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6F8" w:rsidRDefault="008E4C51" w:rsidP="000F26F8">
      <w:pPr>
        <w:pStyle w:val="AHPRADocumenttitle"/>
        <w:rPr>
          <w:i/>
        </w:rPr>
      </w:pPr>
      <w:r w:rsidRPr="008E4C51">
        <w:pict>
          <v:shapetype id="_x0000_t32" coordsize="21600,21600" o:spt="32" o:oned="t" path="m,l21600,21600e" filled="f">
            <v:path arrowok="t" fillok="f" o:connecttype="none"/>
            <o:lock v:ext="edit" shapetype="t"/>
          </v:shapetype>
          <v:shape id="AutoShape 3" o:spid="_x0000_s1027" type="#_x0000_t32" style="position:absolute;margin-left:-56.25pt;margin-top:49.4pt;width:664.8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512,-1,-512"/>
        </w:pict>
      </w:r>
      <w:r w:rsidR="000F26F8" w:rsidRPr="002528A4">
        <w:t xml:space="preserve">Outcomes-based assessment of internationally qualified nurses and midwives (IQNM) competence to practice </w:t>
      </w:r>
    </w:p>
    <w:p w:rsidR="000F26F8" w:rsidRDefault="000F26F8" w:rsidP="000F26F8">
      <w:pPr>
        <w:pStyle w:val="AHPRAbody"/>
      </w:pPr>
      <w:r>
        <w:t>July 2014</w:t>
      </w:r>
    </w:p>
    <w:p w:rsidR="000F26F8" w:rsidRPr="008B255E" w:rsidRDefault="000F26F8" w:rsidP="000F26F8">
      <w:pPr>
        <w:pStyle w:val="AHPRADocumentsubheading"/>
      </w:pPr>
      <w:bookmarkStart w:id="0" w:name="OLE_LINK5"/>
      <w:bookmarkStart w:id="1" w:name="OLE_LINK6"/>
      <w:r>
        <w:t>Questions and response</w:t>
      </w:r>
      <w:r w:rsidR="0060558B">
        <w:t>s</w:t>
      </w:r>
      <w:r>
        <w:t xml:space="preserve"> to request for tender (RFT): Outcomes-based assessment of IQNMs</w:t>
      </w:r>
      <w:bookmarkEnd w:id="0"/>
      <w:bookmarkEnd w:id="1"/>
    </w:p>
    <w:tbl>
      <w:tblPr>
        <w:tblStyle w:val="AHPRATable1"/>
        <w:tblW w:w="5000" w:type="pct"/>
        <w:tblLook w:val="04A0"/>
      </w:tblPr>
      <w:tblGrid>
        <w:gridCol w:w="586"/>
        <w:gridCol w:w="7013"/>
        <w:gridCol w:w="6867"/>
      </w:tblGrid>
      <w:tr w:rsidR="000F26F8" w:rsidRPr="004F5DF5" w:rsidTr="000F26F8">
        <w:trPr>
          <w:cnfStyle w:val="100000000000"/>
          <w:cantSplit/>
        </w:trPr>
        <w:tc>
          <w:tcPr>
            <w:cnfStyle w:val="001000000000"/>
            <w:tcW w:w="586" w:type="dxa"/>
          </w:tcPr>
          <w:p w:rsidR="000F26F8" w:rsidRPr="002528A4" w:rsidRDefault="000F26F8" w:rsidP="00A944A7">
            <w:pPr>
              <w:pStyle w:val="Tableheadingwhite"/>
            </w:pPr>
            <w:r w:rsidRPr="002528A4">
              <w:t>#</w:t>
            </w:r>
          </w:p>
        </w:tc>
        <w:tc>
          <w:tcPr>
            <w:tcW w:w="7013" w:type="dxa"/>
          </w:tcPr>
          <w:p w:rsidR="000F26F8" w:rsidRPr="004F5DF5" w:rsidRDefault="000F26F8" w:rsidP="00A944A7">
            <w:pPr>
              <w:pStyle w:val="Tableheadingwhite"/>
              <w:cnfStyle w:val="100000000000"/>
            </w:pPr>
            <w:r w:rsidRPr="004F5DF5">
              <w:t>Question</w:t>
            </w:r>
          </w:p>
        </w:tc>
        <w:tc>
          <w:tcPr>
            <w:tcW w:w="6867" w:type="dxa"/>
          </w:tcPr>
          <w:p w:rsidR="000F26F8" w:rsidRPr="004F5DF5" w:rsidRDefault="000F26F8" w:rsidP="00A944A7">
            <w:pPr>
              <w:pStyle w:val="Tableheadingwhite"/>
              <w:cnfStyle w:val="100000000000"/>
            </w:pPr>
            <w:r w:rsidRPr="004F5DF5">
              <w:t>Response</w:t>
            </w:r>
          </w:p>
        </w:tc>
      </w:tr>
      <w:tr w:rsidR="000F26F8" w:rsidRPr="004F5DF5" w:rsidTr="000F26F8">
        <w:trPr>
          <w:cnfStyle w:val="000000100000"/>
          <w:cantSplit/>
        </w:trPr>
        <w:tc>
          <w:tcPr>
            <w:cnfStyle w:val="001000000000"/>
            <w:tcW w:w="586" w:type="dxa"/>
          </w:tcPr>
          <w:p w:rsidR="000F26F8" w:rsidRPr="002528A4" w:rsidRDefault="000F26F8" w:rsidP="00A944A7">
            <w:pPr>
              <w:pStyle w:val="Tabletext"/>
              <w:rPr>
                <w:color w:val="FFFFFF"/>
              </w:rPr>
            </w:pPr>
            <w:r w:rsidRPr="002528A4">
              <w:rPr>
                <w:color w:val="FFFFFF"/>
              </w:rPr>
              <w:t>1.</w:t>
            </w:r>
          </w:p>
        </w:tc>
        <w:tc>
          <w:tcPr>
            <w:tcW w:w="7013" w:type="dxa"/>
          </w:tcPr>
          <w:p w:rsidR="000F26F8" w:rsidRDefault="000F26F8" w:rsidP="00A944A7">
            <w:pPr>
              <w:pStyle w:val="Tabletext"/>
              <w:cnfStyle w:val="000000100000"/>
            </w:pPr>
            <w:r w:rsidRPr="004F5DF5">
              <w:t xml:space="preserve">Is there an official definition of ‘Outcomes-based assessment’ that </w:t>
            </w:r>
            <w:r>
              <w:t>the Nursing and Midwifery Board of Australia (National Board or NMBA) and AHPRA are using</w:t>
            </w:r>
            <w:r w:rsidRPr="004F5DF5">
              <w:t>?</w:t>
            </w:r>
          </w:p>
          <w:p w:rsidR="000F26F8" w:rsidRPr="004F5DF5" w:rsidRDefault="000F26F8" w:rsidP="00A944A7">
            <w:pPr>
              <w:pStyle w:val="Tabletext"/>
              <w:cnfStyle w:val="000000100000"/>
            </w:pPr>
          </w:p>
        </w:tc>
        <w:tc>
          <w:tcPr>
            <w:tcW w:w="6867" w:type="dxa"/>
          </w:tcPr>
          <w:p w:rsidR="000F26F8" w:rsidRDefault="000F26F8" w:rsidP="00A944A7">
            <w:pPr>
              <w:pStyle w:val="Tabletext"/>
              <w:cnfStyle w:val="000000100000"/>
            </w:pPr>
            <w:r>
              <w:t xml:space="preserve">‘Outcomes-based assessment’ means assessing what the nurse or midwife should be capable of doing. This means measuring the nurse or midwife’s knowledge, skills and attributes against the relevant NMBA ‘standards for practice’ (previously termed ‘national competency standards’.) </w:t>
            </w:r>
          </w:p>
          <w:p w:rsidR="000F26F8" w:rsidRPr="004F5DF5" w:rsidRDefault="000F26F8" w:rsidP="00A944A7">
            <w:pPr>
              <w:pStyle w:val="Tabletext"/>
              <w:cnfStyle w:val="000000100000"/>
            </w:pPr>
            <w:r>
              <w:t>Outcomes-based assessment is considered different to process based assessment which focuses on tasks and activities.</w:t>
            </w:r>
          </w:p>
        </w:tc>
      </w:tr>
      <w:tr w:rsidR="000F26F8" w:rsidRPr="004F5DF5" w:rsidTr="000F26F8">
        <w:trPr>
          <w:cnfStyle w:val="000000010000"/>
          <w:cantSplit/>
        </w:trPr>
        <w:tc>
          <w:tcPr>
            <w:cnfStyle w:val="001000000000"/>
            <w:tcW w:w="586" w:type="dxa"/>
          </w:tcPr>
          <w:p w:rsidR="000F26F8" w:rsidRPr="002528A4" w:rsidRDefault="000F26F8" w:rsidP="00A944A7">
            <w:pPr>
              <w:pStyle w:val="Tabletext"/>
              <w:rPr>
                <w:color w:val="FFFFFF"/>
              </w:rPr>
            </w:pPr>
            <w:r w:rsidRPr="002528A4">
              <w:rPr>
                <w:color w:val="FFFFFF"/>
              </w:rPr>
              <w:t>2.</w:t>
            </w:r>
          </w:p>
        </w:tc>
        <w:tc>
          <w:tcPr>
            <w:tcW w:w="7013" w:type="dxa"/>
          </w:tcPr>
          <w:p w:rsidR="000F26F8" w:rsidRDefault="000F26F8" w:rsidP="00A944A7">
            <w:pPr>
              <w:pStyle w:val="Tabletext"/>
              <w:cnfStyle w:val="000000010000"/>
            </w:pPr>
            <w:r w:rsidRPr="004F5DF5">
              <w:t xml:space="preserve">What is the status (and relevance) of the document titled </w:t>
            </w:r>
            <w:hyperlink r:id="rId8" w:history="1">
              <w:r w:rsidRPr="00B952B3">
                <w:rPr>
                  <w:rStyle w:val="Hyperlink"/>
                </w:rPr>
                <w:t>Framework for assessing national competency standards for registered nurses, enrolled nurses and midwives</w:t>
              </w:r>
            </w:hyperlink>
            <w:r>
              <w:t xml:space="preserve"> </w:t>
            </w:r>
            <w:r w:rsidRPr="004F5DF5">
              <w:t xml:space="preserve">to the current RFT? </w:t>
            </w:r>
          </w:p>
          <w:p w:rsidR="000F26F8" w:rsidRPr="004F5DF5" w:rsidRDefault="000F26F8" w:rsidP="00A944A7">
            <w:pPr>
              <w:pStyle w:val="Tabletext"/>
              <w:cnfStyle w:val="000000010000"/>
            </w:pPr>
            <w:r w:rsidRPr="004F5DF5">
              <w:t xml:space="preserve"> </w:t>
            </w:r>
          </w:p>
        </w:tc>
        <w:tc>
          <w:tcPr>
            <w:tcW w:w="6867" w:type="dxa"/>
          </w:tcPr>
          <w:p w:rsidR="000F26F8" w:rsidRDefault="000F26F8" w:rsidP="00A944A7">
            <w:pPr>
              <w:pStyle w:val="Tabletext"/>
              <w:cnfStyle w:val="000000010000"/>
            </w:pPr>
            <w:r>
              <w:t xml:space="preserve">The </w:t>
            </w:r>
            <w:hyperlink r:id="rId9" w:history="1">
              <w:r w:rsidRPr="00B952B3">
                <w:rPr>
                  <w:rStyle w:val="Hyperlink"/>
                </w:rPr>
                <w:t>Framework for assessing national competency standards for registered nurses, enrolled nurses and midwives</w:t>
              </w:r>
            </w:hyperlink>
            <w:r>
              <w:t xml:space="preserve"> is a legacy document created before the start of the National Scheme. It has undergone minor revisions only to reflect National Board ownership. </w:t>
            </w:r>
          </w:p>
          <w:p w:rsidR="000F26F8" w:rsidRDefault="000F26F8" w:rsidP="00A944A7">
            <w:pPr>
              <w:pStyle w:val="Tabletext"/>
              <w:cnfStyle w:val="000000010000"/>
            </w:pPr>
            <w:r>
              <w:t xml:space="preserve">The document has a set of principles to guide those assessing competence. Potential bidders may wish to consider these principles in relation to the project. </w:t>
            </w:r>
          </w:p>
          <w:p w:rsidR="000F26F8" w:rsidRPr="004F5DF5" w:rsidRDefault="000F26F8" w:rsidP="00A944A7">
            <w:pPr>
              <w:pStyle w:val="Tabletext"/>
              <w:cnfStyle w:val="000000010000"/>
            </w:pPr>
            <w:r>
              <w:t>Outcomes of the project may inform these principles and a review or update of the framework document may be required based on project findings. However, this has not been identified as a key consideration/deliverable.</w:t>
            </w:r>
          </w:p>
        </w:tc>
      </w:tr>
      <w:tr w:rsidR="000F26F8" w:rsidRPr="004F5DF5" w:rsidTr="000F26F8">
        <w:trPr>
          <w:cnfStyle w:val="000000100000"/>
          <w:cantSplit/>
        </w:trPr>
        <w:tc>
          <w:tcPr>
            <w:cnfStyle w:val="001000000000"/>
            <w:tcW w:w="586" w:type="dxa"/>
          </w:tcPr>
          <w:p w:rsidR="000F26F8" w:rsidRPr="002528A4" w:rsidRDefault="000F26F8" w:rsidP="00A944A7">
            <w:pPr>
              <w:pStyle w:val="Tableheadingwhite"/>
            </w:pPr>
            <w:r w:rsidRPr="002528A4">
              <w:lastRenderedPageBreak/>
              <w:t>#</w:t>
            </w:r>
          </w:p>
        </w:tc>
        <w:tc>
          <w:tcPr>
            <w:tcW w:w="7013" w:type="dxa"/>
          </w:tcPr>
          <w:p w:rsidR="000F26F8" w:rsidRPr="004F5DF5" w:rsidRDefault="000F26F8" w:rsidP="00A944A7">
            <w:pPr>
              <w:pStyle w:val="Tableheadingwhite"/>
              <w:cnfStyle w:val="000000100000"/>
            </w:pPr>
            <w:r w:rsidRPr="004F5DF5">
              <w:t>Question</w:t>
            </w:r>
          </w:p>
        </w:tc>
        <w:tc>
          <w:tcPr>
            <w:tcW w:w="6867" w:type="dxa"/>
          </w:tcPr>
          <w:p w:rsidR="000F26F8" w:rsidRPr="004F5DF5" w:rsidRDefault="000F26F8" w:rsidP="00A944A7">
            <w:pPr>
              <w:pStyle w:val="Tableheadingwhite"/>
              <w:cnfStyle w:val="000000100000"/>
            </w:pPr>
            <w:r w:rsidRPr="004F5DF5">
              <w:t>Response</w:t>
            </w:r>
          </w:p>
        </w:tc>
      </w:tr>
      <w:tr w:rsidR="000F26F8" w:rsidRPr="004F5DF5" w:rsidTr="000F26F8">
        <w:trPr>
          <w:cnfStyle w:val="000000010000"/>
          <w:cantSplit/>
        </w:trPr>
        <w:tc>
          <w:tcPr>
            <w:cnfStyle w:val="001000000000"/>
            <w:tcW w:w="586" w:type="dxa"/>
          </w:tcPr>
          <w:p w:rsidR="000F26F8" w:rsidRPr="002528A4" w:rsidRDefault="000F26F8" w:rsidP="00A944A7">
            <w:pPr>
              <w:pStyle w:val="Tabletext"/>
              <w:rPr>
                <w:color w:val="FFFFFF"/>
              </w:rPr>
            </w:pPr>
            <w:r w:rsidRPr="002528A4">
              <w:rPr>
                <w:color w:val="FFFFFF"/>
              </w:rPr>
              <w:t>3.</w:t>
            </w:r>
          </w:p>
        </w:tc>
        <w:tc>
          <w:tcPr>
            <w:tcW w:w="7013" w:type="dxa"/>
          </w:tcPr>
          <w:p w:rsidR="000F26F8" w:rsidRPr="004F5DF5" w:rsidRDefault="000F26F8" w:rsidP="00A944A7">
            <w:pPr>
              <w:pStyle w:val="Tabletext"/>
              <w:cnfStyle w:val="000000010000"/>
            </w:pPr>
            <w:r w:rsidRPr="004F5DF5">
              <w:t>Is there a template to use for the project plan, communications plan and risk management plan?</w:t>
            </w:r>
          </w:p>
        </w:tc>
        <w:tc>
          <w:tcPr>
            <w:tcW w:w="6867" w:type="dxa"/>
          </w:tcPr>
          <w:p w:rsidR="000F26F8" w:rsidRDefault="000F26F8" w:rsidP="00A944A7">
            <w:pPr>
              <w:pStyle w:val="Tabletext"/>
              <w:cnfStyle w:val="000000010000"/>
            </w:pPr>
            <w:r>
              <w:t>Yes – we will give templates to the successful bidder on contract commencement.</w:t>
            </w:r>
          </w:p>
          <w:p w:rsidR="000F26F8" w:rsidRPr="004F5DF5" w:rsidRDefault="000F26F8" w:rsidP="00A944A7">
            <w:pPr>
              <w:pStyle w:val="Tabletext"/>
              <w:cnfStyle w:val="000000010000"/>
            </w:pPr>
          </w:p>
        </w:tc>
      </w:tr>
      <w:tr w:rsidR="000F26F8" w:rsidRPr="004F5DF5" w:rsidTr="000F26F8">
        <w:trPr>
          <w:cnfStyle w:val="000000100000"/>
          <w:cantSplit/>
        </w:trPr>
        <w:tc>
          <w:tcPr>
            <w:cnfStyle w:val="001000000000"/>
            <w:tcW w:w="586" w:type="dxa"/>
          </w:tcPr>
          <w:p w:rsidR="000F26F8" w:rsidRPr="002528A4" w:rsidRDefault="000F26F8" w:rsidP="00A944A7">
            <w:pPr>
              <w:pStyle w:val="Tabletext"/>
              <w:rPr>
                <w:color w:val="FFFFFF"/>
              </w:rPr>
            </w:pPr>
            <w:r w:rsidRPr="002528A4">
              <w:rPr>
                <w:color w:val="FFFFFF"/>
              </w:rPr>
              <w:t>4.</w:t>
            </w:r>
          </w:p>
        </w:tc>
        <w:tc>
          <w:tcPr>
            <w:tcW w:w="7013" w:type="dxa"/>
          </w:tcPr>
          <w:p w:rsidR="000F26F8" w:rsidRPr="004F5DF5" w:rsidRDefault="000F26F8" w:rsidP="00A944A7">
            <w:pPr>
              <w:pStyle w:val="Tabletext"/>
              <w:cnfStyle w:val="000000100000"/>
            </w:pPr>
            <w:r>
              <w:t xml:space="preserve">Is there an approval process for </w:t>
            </w:r>
            <w:r w:rsidRPr="004F5DF5">
              <w:t>all draft documents (e</w:t>
            </w:r>
            <w:r>
              <w:t>.</w:t>
            </w:r>
            <w:r w:rsidRPr="004F5DF5">
              <w:t>g</w:t>
            </w:r>
            <w:r>
              <w:t>.</w:t>
            </w:r>
            <w:r w:rsidRPr="004F5DF5">
              <w:t xml:space="preserve"> project plan, final reports, literature review, consultation discussion documents, final proposed assessment model) </w:t>
            </w:r>
            <w:r>
              <w:t>before they go to the National Board</w:t>
            </w:r>
            <w:r w:rsidRPr="004F5DF5">
              <w:t>?</w:t>
            </w:r>
          </w:p>
        </w:tc>
        <w:tc>
          <w:tcPr>
            <w:tcW w:w="6867" w:type="dxa"/>
          </w:tcPr>
          <w:p w:rsidR="000F26F8" w:rsidRDefault="000F26F8" w:rsidP="00A944A7">
            <w:pPr>
              <w:pStyle w:val="Tabletext"/>
              <w:cnfStyle w:val="000000100000"/>
            </w:pPr>
            <w:r>
              <w:t>Yes, all documents required as identified deliverables will first go to an IQNM Project Advisory Committee to be considered and recommended for approval, before they are submitted to the National Board for approval</w:t>
            </w:r>
          </w:p>
          <w:p w:rsidR="000F26F8" w:rsidRPr="004F5DF5" w:rsidRDefault="000F26F8" w:rsidP="00A944A7">
            <w:pPr>
              <w:pStyle w:val="Tabletext"/>
              <w:cnfStyle w:val="000000100000"/>
            </w:pPr>
          </w:p>
        </w:tc>
      </w:tr>
      <w:tr w:rsidR="000F26F8" w:rsidRPr="004F5DF5" w:rsidTr="000F26F8">
        <w:trPr>
          <w:cnfStyle w:val="000000010000"/>
          <w:cantSplit/>
        </w:trPr>
        <w:tc>
          <w:tcPr>
            <w:cnfStyle w:val="001000000000"/>
            <w:tcW w:w="586" w:type="dxa"/>
          </w:tcPr>
          <w:p w:rsidR="000F26F8" w:rsidRPr="002528A4" w:rsidRDefault="000F26F8" w:rsidP="00A944A7">
            <w:pPr>
              <w:pStyle w:val="Tabletext"/>
              <w:rPr>
                <w:color w:val="FFFFFF"/>
              </w:rPr>
            </w:pPr>
            <w:r w:rsidRPr="002528A4">
              <w:rPr>
                <w:color w:val="FFFFFF"/>
              </w:rPr>
              <w:t>5.</w:t>
            </w:r>
          </w:p>
        </w:tc>
        <w:tc>
          <w:tcPr>
            <w:tcW w:w="7013" w:type="dxa"/>
          </w:tcPr>
          <w:p w:rsidR="000F26F8" w:rsidRPr="004F5DF5" w:rsidRDefault="000F26F8" w:rsidP="00A944A7">
            <w:pPr>
              <w:pStyle w:val="Tabletext"/>
              <w:cnfStyle w:val="000000010000"/>
            </w:pPr>
            <w:r>
              <w:t>What happens in</w:t>
            </w:r>
            <w:r w:rsidRPr="004F5DF5">
              <w:t xml:space="preserve"> the preliminary consultation phase?</w:t>
            </w:r>
          </w:p>
        </w:tc>
        <w:tc>
          <w:tcPr>
            <w:tcW w:w="6867" w:type="dxa"/>
          </w:tcPr>
          <w:p w:rsidR="000F26F8" w:rsidRDefault="000F26F8" w:rsidP="00A944A7">
            <w:pPr>
              <w:pStyle w:val="Tabletext"/>
              <w:cnfStyle w:val="000000010000"/>
            </w:pPr>
            <w:r>
              <w:t>Preliminary consultation is to targeted stakeholders before public consultation, and it helps to road test the proposed content. This serves to identify any operational impacts, issues or concerns before the documents are opened to public consultation.</w:t>
            </w:r>
          </w:p>
          <w:p w:rsidR="000F26F8" w:rsidRDefault="000F26F8" w:rsidP="00A944A7">
            <w:pPr>
              <w:pStyle w:val="Tabletext"/>
              <w:cnfStyle w:val="000000010000"/>
            </w:pPr>
            <w:r>
              <w:t xml:space="preserve">Following analysis of the preliminary consultation feedback, a public consultation will be published under </w:t>
            </w:r>
            <w:hyperlink r:id="rId10" w:history="1">
              <w:r w:rsidRPr="00C17741">
                <w:rPr>
                  <w:rStyle w:val="Hyperlink"/>
                </w:rPr>
                <w:t>Current consultations</w:t>
              </w:r>
            </w:hyperlink>
            <w:r>
              <w:t xml:space="preserve"> on the National Board website.</w:t>
            </w:r>
          </w:p>
          <w:p w:rsidR="000F26F8" w:rsidRDefault="000F26F8" w:rsidP="00A944A7">
            <w:pPr>
              <w:pStyle w:val="Tabletext"/>
              <w:cnfStyle w:val="000000010000"/>
            </w:pPr>
            <w:r>
              <w:t xml:space="preserve">AHPRA and the National Board will work with the successful bidder to support and administer the consultation process. </w:t>
            </w:r>
          </w:p>
          <w:p w:rsidR="000F26F8" w:rsidRPr="004F5DF5" w:rsidRDefault="000F26F8" w:rsidP="00A944A7">
            <w:pPr>
              <w:pStyle w:val="Tabletext"/>
              <w:cnfStyle w:val="000000010000"/>
            </w:pPr>
            <w:r w:rsidDel="002810D3">
              <w:t xml:space="preserve"> </w:t>
            </w:r>
          </w:p>
        </w:tc>
      </w:tr>
      <w:tr w:rsidR="000F26F8" w:rsidRPr="004F5DF5" w:rsidTr="000F26F8">
        <w:trPr>
          <w:cnfStyle w:val="000000100000"/>
          <w:cantSplit/>
        </w:trPr>
        <w:tc>
          <w:tcPr>
            <w:cnfStyle w:val="001000000000"/>
            <w:tcW w:w="586" w:type="dxa"/>
          </w:tcPr>
          <w:p w:rsidR="000F26F8" w:rsidRPr="002528A4" w:rsidRDefault="000F26F8" w:rsidP="00A944A7">
            <w:pPr>
              <w:pStyle w:val="Tabletext"/>
              <w:rPr>
                <w:color w:val="FFFFFF"/>
              </w:rPr>
            </w:pPr>
            <w:r w:rsidRPr="002528A4">
              <w:rPr>
                <w:color w:val="FFFFFF"/>
              </w:rPr>
              <w:t>6.</w:t>
            </w:r>
          </w:p>
        </w:tc>
        <w:tc>
          <w:tcPr>
            <w:tcW w:w="7013" w:type="dxa"/>
          </w:tcPr>
          <w:p w:rsidR="000F26F8" w:rsidRPr="004F5DF5" w:rsidRDefault="000F26F8" w:rsidP="00A944A7">
            <w:pPr>
              <w:pStyle w:val="Tabletext"/>
              <w:cnfStyle w:val="000000100000"/>
            </w:pPr>
            <w:r>
              <w:t xml:space="preserve">Is </w:t>
            </w:r>
            <w:r w:rsidRPr="004F5DF5">
              <w:t>a copy of the NMBA report</w:t>
            </w:r>
            <w:r>
              <w:t xml:space="preserve"> titled</w:t>
            </w:r>
            <w:r w:rsidRPr="004F5DF5">
              <w:t xml:space="preserve"> </w:t>
            </w:r>
            <w:r w:rsidRPr="004F5DF5">
              <w:rPr>
                <w:i/>
              </w:rPr>
              <w:t>Assessment of IQNM educational equivalence</w:t>
            </w:r>
            <w:r w:rsidRPr="004F5DF5">
              <w:t xml:space="preserve"> </w:t>
            </w:r>
            <w:r>
              <w:t xml:space="preserve">available </w:t>
            </w:r>
            <w:r w:rsidRPr="004F5DF5">
              <w:t>to help prepare a response to the tender?</w:t>
            </w:r>
          </w:p>
        </w:tc>
        <w:tc>
          <w:tcPr>
            <w:tcW w:w="6867" w:type="dxa"/>
          </w:tcPr>
          <w:p w:rsidR="000F26F8" w:rsidRDefault="000F26F8" w:rsidP="00A944A7">
            <w:pPr>
              <w:pStyle w:val="Tabletext"/>
              <w:cnfStyle w:val="000000100000"/>
            </w:pPr>
            <w:r>
              <w:t xml:space="preserve">This report is an internal document that we will make available to the successful bidder on contract commencement. </w:t>
            </w:r>
          </w:p>
          <w:p w:rsidR="000F26F8" w:rsidRPr="004F5DF5" w:rsidRDefault="000F26F8" w:rsidP="00A944A7">
            <w:pPr>
              <w:pStyle w:val="Tabletext"/>
              <w:cnfStyle w:val="000000100000"/>
            </w:pPr>
          </w:p>
        </w:tc>
      </w:tr>
      <w:tr w:rsidR="000F26F8" w:rsidRPr="004F5DF5" w:rsidTr="000F26F8">
        <w:trPr>
          <w:cnfStyle w:val="000000010000"/>
          <w:cantSplit/>
        </w:trPr>
        <w:tc>
          <w:tcPr>
            <w:cnfStyle w:val="001000000000"/>
            <w:tcW w:w="586" w:type="dxa"/>
          </w:tcPr>
          <w:p w:rsidR="000F26F8" w:rsidRPr="002528A4" w:rsidRDefault="000F26F8" w:rsidP="00A944A7">
            <w:pPr>
              <w:pStyle w:val="Tabletext"/>
              <w:rPr>
                <w:color w:val="FFFFFF"/>
              </w:rPr>
            </w:pPr>
            <w:r w:rsidRPr="002528A4">
              <w:rPr>
                <w:color w:val="FFFFFF"/>
              </w:rPr>
              <w:t>7.</w:t>
            </w:r>
          </w:p>
        </w:tc>
        <w:tc>
          <w:tcPr>
            <w:tcW w:w="7013" w:type="dxa"/>
          </w:tcPr>
          <w:p w:rsidR="000F26F8" w:rsidRPr="004F5DF5" w:rsidRDefault="000F26F8" w:rsidP="00A944A7">
            <w:pPr>
              <w:pStyle w:val="Tabletext"/>
              <w:cnfStyle w:val="000000010000"/>
            </w:pPr>
            <w:r w:rsidRPr="004F5DF5">
              <w:t xml:space="preserve">If the </w:t>
            </w:r>
            <w:proofErr w:type="spellStart"/>
            <w:r>
              <w:t>tenderer</w:t>
            </w:r>
            <w:proofErr w:type="spellEnd"/>
            <w:r w:rsidRPr="004F5DF5">
              <w:t xml:space="preserve"> is partnering with another </w:t>
            </w:r>
            <w:proofErr w:type="spellStart"/>
            <w:r w:rsidRPr="004F5DF5">
              <w:t>organi</w:t>
            </w:r>
            <w:r>
              <w:t>s</w:t>
            </w:r>
            <w:r w:rsidRPr="004F5DF5">
              <w:t>ation</w:t>
            </w:r>
            <w:proofErr w:type="spellEnd"/>
            <w:r w:rsidRPr="004F5DF5">
              <w:t>, do both the prime contractor and subcontractor need an ABN?</w:t>
            </w:r>
          </w:p>
        </w:tc>
        <w:tc>
          <w:tcPr>
            <w:tcW w:w="6867" w:type="dxa"/>
          </w:tcPr>
          <w:p w:rsidR="000F26F8" w:rsidRDefault="000F26F8" w:rsidP="00A944A7">
            <w:pPr>
              <w:pStyle w:val="Tabletext"/>
              <w:cnfStyle w:val="000000010000"/>
            </w:pPr>
            <w:r w:rsidRPr="004F5DF5">
              <w:t>Yes – both need an ABN</w:t>
            </w:r>
            <w:r>
              <w:t>. H</w:t>
            </w:r>
            <w:r w:rsidRPr="004F5DF5">
              <w:t>owever, this can be arranged after contractor selection</w:t>
            </w:r>
          </w:p>
          <w:p w:rsidR="000F26F8" w:rsidRPr="004F5DF5" w:rsidRDefault="000F26F8" w:rsidP="00A944A7">
            <w:pPr>
              <w:pStyle w:val="Tabletext"/>
              <w:cnfStyle w:val="000000010000"/>
            </w:pPr>
          </w:p>
        </w:tc>
      </w:tr>
      <w:tr w:rsidR="000F26F8" w:rsidRPr="004F5DF5" w:rsidTr="000F26F8">
        <w:trPr>
          <w:cnfStyle w:val="000000100000"/>
          <w:cantSplit/>
        </w:trPr>
        <w:tc>
          <w:tcPr>
            <w:cnfStyle w:val="001000000000"/>
            <w:tcW w:w="586" w:type="dxa"/>
          </w:tcPr>
          <w:p w:rsidR="000F26F8" w:rsidRPr="002528A4" w:rsidRDefault="000F26F8" w:rsidP="00A944A7">
            <w:pPr>
              <w:pStyle w:val="Tabletext"/>
              <w:rPr>
                <w:color w:val="FFFFFF"/>
              </w:rPr>
            </w:pPr>
            <w:r w:rsidRPr="002528A4">
              <w:rPr>
                <w:color w:val="FFFFFF"/>
              </w:rPr>
              <w:t>8.</w:t>
            </w:r>
          </w:p>
        </w:tc>
        <w:tc>
          <w:tcPr>
            <w:tcW w:w="7013" w:type="dxa"/>
          </w:tcPr>
          <w:p w:rsidR="000F26F8" w:rsidRPr="004F5DF5" w:rsidRDefault="000F26F8" w:rsidP="00A944A7">
            <w:pPr>
              <w:pStyle w:val="Tabletext"/>
              <w:cnfStyle w:val="000000100000"/>
            </w:pPr>
            <w:r>
              <w:t xml:space="preserve">Can a </w:t>
            </w:r>
            <w:proofErr w:type="spellStart"/>
            <w:r>
              <w:t>tenderer</w:t>
            </w:r>
            <w:proofErr w:type="spellEnd"/>
            <w:r w:rsidRPr="004F5DF5">
              <w:t xml:space="preserve"> submit the RFT without an ABN</w:t>
            </w:r>
            <w:r>
              <w:t>,</w:t>
            </w:r>
            <w:r w:rsidRPr="004F5DF5">
              <w:t xml:space="preserve"> with the provision that an ABN will be obtained if/when the project is awarded to the contractor?</w:t>
            </w:r>
          </w:p>
        </w:tc>
        <w:tc>
          <w:tcPr>
            <w:tcW w:w="6867" w:type="dxa"/>
          </w:tcPr>
          <w:p w:rsidR="000F26F8" w:rsidRPr="004F5DF5" w:rsidRDefault="000F26F8" w:rsidP="00A944A7">
            <w:pPr>
              <w:pStyle w:val="Tabletext"/>
              <w:cnfStyle w:val="000000100000"/>
            </w:pPr>
            <w:r w:rsidRPr="004F5DF5">
              <w:t xml:space="preserve">Yes, </w:t>
            </w:r>
            <w:r>
              <w:t xml:space="preserve">you will need to obtain an ABN if you are the successful bidder. </w:t>
            </w:r>
          </w:p>
          <w:p w:rsidR="000F26F8" w:rsidRPr="004F5DF5" w:rsidRDefault="000F26F8" w:rsidP="00A944A7">
            <w:pPr>
              <w:pStyle w:val="Tabletext"/>
              <w:cnfStyle w:val="000000100000"/>
            </w:pPr>
          </w:p>
        </w:tc>
      </w:tr>
      <w:tr w:rsidR="000F26F8" w:rsidRPr="004F5DF5" w:rsidTr="000F26F8">
        <w:trPr>
          <w:cnfStyle w:val="000000010000"/>
          <w:cantSplit/>
        </w:trPr>
        <w:tc>
          <w:tcPr>
            <w:cnfStyle w:val="001000000000"/>
            <w:tcW w:w="586" w:type="dxa"/>
          </w:tcPr>
          <w:p w:rsidR="000F26F8" w:rsidRPr="002528A4" w:rsidRDefault="000F26F8" w:rsidP="00A944A7">
            <w:pPr>
              <w:pStyle w:val="Tabletext"/>
              <w:rPr>
                <w:color w:val="FFFFFF"/>
              </w:rPr>
            </w:pPr>
            <w:r w:rsidRPr="002528A4">
              <w:rPr>
                <w:color w:val="FFFFFF"/>
              </w:rPr>
              <w:lastRenderedPageBreak/>
              <w:t>9.</w:t>
            </w:r>
          </w:p>
        </w:tc>
        <w:tc>
          <w:tcPr>
            <w:tcW w:w="7013" w:type="dxa"/>
          </w:tcPr>
          <w:p w:rsidR="000F26F8" w:rsidRPr="004F5DF5" w:rsidRDefault="000F26F8" w:rsidP="00A944A7">
            <w:pPr>
              <w:pStyle w:val="Tabletext"/>
              <w:cnfStyle w:val="000000010000"/>
            </w:pPr>
            <w:r w:rsidRPr="004F5DF5">
              <w:t>Part D</w:t>
            </w:r>
            <w:r>
              <w:t xml:space="preserve"> of</w:t>
            </w:r>
            <w:r w:rsidRPr="004F5DF5">
              <w:t xml:space="preserve"> the </w:t>
            </w:r>
            <w:r>
              <w:t>t</w:t>
            </w:r>
            <w:r w:rsidRPr="004F5DF5">
              <w:t xml:space="preserve">ender </w:t>
            </w:r>
            <w:r>
              <w:t>r</w:t>
            </w:r>
            <w:r w:rsidRPr="004F5DF5">
              <w:t xml:space="preserve">esponse </w:t>
            </w:r>
            <w:r>
              <w:t>s</w:t>
            </w:r>
            <w:r w:rsidRPr="004F5DF5">
              <w:t>chedule, on pages 15</w:t>
            </w:r>
            <w:r>
              <w:t xml:space="preserve"> </w:t>
            </w:r>
            <w:r w:rsidRPr="004F5DF5">
              <w:t>-</w:t>
            </w:r>
            <w:r>
              <w:t xml:space="preserve"> </w:t>
            </w:r>
            <w:r w:rsidRPr="004F5DF5">
              <w:t>26 of the RFT</w:t>
            </w:r>
            <w:r>
              <w:t>,</w:t>
            </w:r>
            <w:r w:rsidRPr="004F5DF5">
              <w:t xml:space="preserve"> contain</w:t>
            </w:r>
            <w:r>
              <w:t>s</w:t>
            </w:r>
            <w:r w:rsidRPr="004F5DF5">
              <w:t xml:space="preserve"> a number of forms. Are these forms to be completed and included in the submission? </w:t>
            </w:r>
          </w:p>
        </w:tc>
        <w:tc>
          <w:tcPr>
            <w:tcW w:w="6867" w:type="dxa"/>
          </w:tcPr>
          <w:p w:rsidR="000F26F8" w:rsidRDefault="000F26F8" w:rsidP="00A944A7">
            <w:pPr>
              <w:pStyle w:val="Tabletext"/>
              <w:cnfStyle w:val="000000010000"/>
            </w:pPr>
            <w:r w:rsidRPr="004F5DF5">
              <w:t xml:space="preserve">Yes – </w:t>
            </w:r>
            <w:r>
              <w:t xml:space="preserve">you need to complete and submit </w:t>
            </w:r>
            <w:r w:rsidRPr="004F5DF5">
              <w:t xml:space="preserve">the tender response schedule in table format as part of </w:t>
            </w:r>
            <w:r>
              <w:t>your</w:t>
            </w:r>
            <w:r w:rsidRPr="004F5DF5">
              <w:t xml:space="preserve"> bid.  This together with disclosure of contract information (p.24)</w:t>
            </w:r>
            <w:r>
              <w:t>, and</w:t>
            </w:r>
            <w:r w:rsidRPr="004F5DF5">
              <w:t xml:space="preserve"> signed acceptance of terms and conditions (p. 25)</w:t>
            </w:r>
            <w:r>
              <w:t xml:space="preserve">, help us make sure that you are addressing all selection criteria.  </w:t>
            </w:r>
          </w:p>
          <w:p w:rsidR="000F26F8" w:rsidRDefault="000F26F8" w:rsidP="00A944A7">
            <w:pPr>
              <w:pStyle w:val="Tabletext"/>
              <w:cnfStyle w:val="000000010000"/>
            </w:pPr>
            <w:r>
              <w:t>Other than that, you are welcome to give us</w:t>
            </w:r>
            <w:r w:rsidRPr="004F5DF5">
              <w:t> </w:t>
            </w:r>
            <w:r>
              <w:t>a</w:t>
            </w:r>
            <w:r w:rsidRPr="004F5DF5">
              <w:t>dditional information</w:t>
            </w:r>
            <w:r>
              <w:t xml:space="preserve"> in a</w:t>
            </w:r>
            <w:r w:rsidRPr="004F5DF5">
              <w:t xml:space="preserve"> format </w:t>
            </w:r>
            <w:r>
              <w:t xml:space="preserve">of your preference. </w:t>
            </w:r>
          </w:p>
          <w:p w:rsidR="000F26F8" w:rsidRPr="004F5DF5" w:rsidRDefault="000F26F8" w:rsidP="00A944A7">
            <w:pPr>
              <w:pStyle w:val="Tabletext"/>
              <w:cnfStyle w:val="000000010000"/>
            </w:pPr>
          </w:p>
        </w:tc>
      </w:tr>
      <w:tr w:rsidR="000F26F8" w:rsidRPr="004F5DF5" w:rsidTr="000F26F8">
        <w:trPr>
          <w:cnfStyle w:val="000000100000"/>
          <w:cantSplit/>
        </w:trPr>
        <w:tc>
          <w:tcPr>
            <w:cnfStyle w:val="001000000000"/>
            <w:tcW w:w="586" w:type="dxa"/>
          </w:tcPr>
          <w:p w:rsidR="000F26F8" w:rsidRPr="002528A4" w:rsidRDefault="000F26F8" w:rsidP="00A944A7">
            <w:pPr>
              <w:pStyle w:val="Tabletext"/>
              <w:rPr>
                <w:color w:val="FFFFFF"/>
              </w:rPr>
            </w:pPr>
            <w:r w:rsidRPr="002528A4">
              <w:rPr>
                <w:color w:val="FFFFFF"/>
              </w:rPr>
              <w:t>10.</w:t>
            </w:r>
          </w:p>
        </w:tc>
        <w:tc>
          <w:tcPr>
            <w:tcW w:w="7013" w:type="dxa"/>
          </w:tcPr>
          <w:p w:rsidR="000F26F8" w:rsidRPr="004F5DF5" w:rsidRDefault="000F26F8" w:rsidP="00A944A7">
            <w:pPr>
              <w:pStyle w:val="Tabletext"/>
              <w:cnfStyle w:val="000000100000"/>
            </w:pPr>
            <w:r>
              <w:t>C</w:t>
            </w:r>
            <w:r w:rsidRPr="004F5DF5">
              <w:t>an a proposal contain additional information such as a description of the proposed work plan?</w:t>
            </w:r>
          </w:p>
        </w:tc>
        <w:tc>
          <w:tcPr>
            <w:tcW w:w="6867" w:type="dxa"/>
          </w:tcPr>
          <w:p w:rsidR="000F26F8" w:rsidRDefault="000F26F8" w:rsidP="00A944A7">
            <w:pPr>
              <w:pStyle w:val="Tabletext"/>
              <w:cnfStyle w:val="000000100000"/>
            </w:pPr>
            <w:r w:rsidRPr="004F5DF5">
              <w:t xml:space="preserve">Yes – </w:t>
            </w:r>
            <w:r>
              <w:t xml:space="preserve">as stated above, you need to complete </w:t>
            </w:r>
            <w:r w:rsidRPr="004F5DF5">
              <w:t xml:space="preserve">the tender response schedule in table format </w:t>
            </w:r>
            <w:r>
              <w:t xml:space="preserve">as part of your bid, </w:t>
            </w:r>
            <w:r w:rsidRPr="004F5DF5">
              <w:t xml:space="preserve">together with disclosure of contract information (p.24) </w:t>
            </w:r>
            <w:r>
              <w:t>and</w:t>
            </w:r>
            <w:r w:rsidRPr="004F5DF5">
              <w:t xml:space="preserve"> signed acceptance of terms and conditions (p. 25)</w:t>
            </w:r>
            <w:r>
              <w:t>.</w:t>
            </w:r>
          </w:p>
          <w:p w:rsidR="000F26F8" w:rsidRDefault="000F26F8" w:rsidP="00A944A7">
            <w:pPr>
              <w:pStyle w:val="Tabletext"/>
              <w:cnfStyle w:val="000000100000"/>
            </w:pPr>
            <w:r>
              <w:t>Other than that, you are welcome to give us</w:t>
            </w:r>
            <w:r w:rsidRPr="004F5DF5">
              <w:t> </w:t>
            </w:r>
            <w:r>
              <w:t>a</w:t>
            </w:r>
            <w:r w:rsidRPr="004F5DF5">
              <w:t>dditional information</w:t>
            </w:r>
            <w:r>
              <w:t xml:space="preserve"> in a</w:t>
            </w:r>
            <w:r w:rsidRPr="004F5DF5">
              <w:t xml:space="preserve"> format </w:t>
            </w:r>
            <w:r>
              <w:t xml:space="preserve">of your preference. </w:t>
            </w:r>
          </w:p>
          <w:p w:rsidR="000F26F8" w:rsidRPr="004F5DF5" w:rsidRDefault="000F26F8" w:rsidP="00A944A7">
            <w:pPr>
              <w:pStyle w:val="Tabletext"/>
              <w:cnfStyle w:val="000000100000"/>
            </w:pPr>
          </w:p>
        </w:tc>
      </w:tr>
      <w:tr w:rsidR="000F26F8" w:rsidRPr="004F5DF5" w:rsidTr="000F26F8">
        <w:trPr>
          <w:cnfStyle w:val="000000010000"/>
          <w:cantSplit/>
        </w:trPr>
        <w:tc>
          <w:tcPr>
            <w:cnfStyle w:val="001000000000"/>
            <w:tcW w:w="586" w:type="dxa"/>
          </w:tcPr>
          <w:p w:rsidR="000F26F8" w:rsidRPr="002528A4" w:rsidRDefault="000F26F8" w:rsidP="00A944A7">
            <w:pPr>
              <w:pStyle w:val="Tabletext"/>
              <w:rPr>
                <w:color w:val="FFFFFF"/>
              </w:rPr>
            </w:pPr>
            <w:r w:rsidRPr="002528A4">
              <w:rPr>
                <w:color w:val="FFFFFF"/>
              </w:rPr>
              <w:t>11.</w:t>
            </w:r>
          </w:p>
        </w:tc>
        <w:tc>
          <w:tcPr>
            <w:tcW w:w="7013" w:type="dxa"/>
          </w:tcPr>
          <w:p w:rsidR="000F26F8" w:rsidRPr="004F5DF5" w:rsidRDefault="000F26F8" w:rsidP="00A944A7">
            <w:pPr>
              <w:pStyle w:val="Tabletext"/>
              <w:cnfStyle w:val="000000010000"/>
            </w:pPr>
            <w:r w:rsidRPr="004F5DF5">
              <w:t>Are there any additional proposal guidelines to consider? For example, is there a page limit for the submission?  A preferred font size?</w:t>
            </w:r>
          </w:p>
        </w:tc>
        <w:tc>
          <w:tcPr>
            <w:tcW w:w="6867" w:type="dxa"/>
          </w:tcPr>
          <w:p w:rsidR="000F26F8" w:rsidRDefault="000F26F8" w:rsidP="00A944A7">
            <w:pPr>
              <w:pStyle w:val="Tabletext"/>
              <w:cnfStyle w:val="000000010000"/>
            </w:pPr>
            <w:r w:rsidRPr="004F5DF5">
              <w:t xml:space="preserve">Arial font 10 is the common </w:t>
            </w:r>
            <w:r>
              <w:t>font</w:t>
            </w:r>
            <w:r w:rsidRPr="004F5DF5">
              <w:t xml:space="preserve"> for most AHPRA documents</w:t>
            </w:r>
            <w:r>
              <w:t>. However</w:t>
            </w:r>
            <w:r w:rsidRPr="004F5DF5">
              <w:t xml:space="preserve">, </w:t>
            </w:r>
            <w:r>
              <w:t>this</w:t>
            </w:r>
            <w:r w:rsidRPr="004F5DF5">
              <w:t xml:space="preserve"> isn’t a requirement for the RFT submission.  </w:t>
            </w:r>
          </w:p>
          <w:p w:rsidR="000F26F8" w:rsidRDefault="000F26F8" w:rsidP="00A944A7">
            <w:pPr>
              <w:pStyle w:val="Tabletext"/>
              <w:cnfStyle w:val="000000010000"/>
            </w:pPr>
            <w:r>
              <w:t>As we usually receive b</w:t>
            </w:r>
            <w:r w:rsidRPr="004F5DF5">
              <w:t xml:space="preserve">ids by email, </w:t>
            </w:r>
            <w:r>
              <w:t>consider the</w:t>
            </w:r>
            <w:r w:rsidRPr="004F5DF5">
              <w:t xml:space="preserve"> size of document.  </w:t>
            </w:r>
            <w:r>
              <w:t xml:space="preserve">You may choose to use </w:t>
            </w:r>
            <w:r w:rsidRPr="004F5DF5">
              <w:t xml:space="preserve">zip </w:t>
            </w:r>
            <w:r>
              <w:t xml:space="preserve">compression for emailing, or local mailing of </w:t>
            </w:r>
            <w:r w:rsidRPr="004F5DF5">
              <w:t>USB</w:t>
            </w:r>
            <w:r>
              <w:t xml:space="preserve"> or</w:t>
            </w:r>
            <w:r w:rsidRPr="004F5DF5">
              <w:t xml:space="preserve"> DVD</w:t>
            </w:r>
            <w:r>
              <w:t xml:space="preserve">. </w:t>
            </w:r>
          </w:p>
          <w:p w:rsidR="000F26F8" w:rsidRDefault="000F26F8" w:rsidP="00A944A7">
            <w:pPr>
              <w:pStyle w:val="Tabletext"/>
              <w:cnfStyle w:val="000000010000"/>
            </w:pPr>
            <w:r>
              <w:t xml:space="preserve">If you are an international </w:t>
            </w:r>
            <w:proofErr w:type="spellStart"/>
            <w:r>
              <w:t>tenderer</w:t>
            </w:r>
            <w:proofErr w:type="spellEnd"/>
            <w:r>
              <w:t xml:space="preserve">, you will need to factor whether the storage device will reach us on time. </w:t>
            </w:r>
          </w:p>
          <w:p w:rsidR="000F26F8" w:rsidRPr="000667EE" w:rsidRDefault="000F26F8" w:rsidP="00A944A7">
            <w:pPr>
              <w:pStyle w:val="Tabletext"/>
              <w:cnfStyle w:val="000000010000"/>
            </w:pPr>
            <w:r>
              <w:t>If you are locally resident and wish to deliver the files in a storage device by hand, you will need to contact us to arrange collection</w:t>
            </w:r>
            <w:r w:rsidRPr="00E34CF5">
              <w:t xml:space="preserve">. Please contact Dr Jocelyn Small, </w:t>
            </w:r>
            <w:proofErr w:type="spellStart"/>
            <w:r w:rsidRPr="00E34CF5">
              <w:t>Programme</w:t>
            </w:r>
            <w:proofErr w:type="spellEnd"/>
            <w:r w:rsidRPr="00E34CF5">
              <w:t xml:space="preserve"> Manager, Nursing and Midwifery, National Board Services at </w:t>
            </w:r>
            <w:hyperlink r:id="rId11" w:history="1">
              <w:r w:rsidRPr="000667EE">
                <w:rPr>
                  <w:rStyle w:val="Hyperlink"/>
                </w:rPr>
                <w:t>nmbafeedback@ahpra.gov.au</w:t>
              </w:r>
            </w:hyperlink>
          </w:p>
          <w:p w:rsidR="000F26F8" w:rsidRPr="004F5DF5" w:rsidRDefault="000F26F8" w:rsidP="00A944A7">
            <w:pPr>
              <w:pStyle w:val="Tabletext"/>
              <w:cnfStyle w:val="000000010000"/>
            </w:pPr>
          </w:p>
        </w:tc>
      </w:tr>
      <w:tr w:rsidR="000F26F8" w:rsidRPr="004F5DF5" w:rsidTr="000F26F8">
        <w:trPr>
          <w:cnfStyle w:val="000000100000"/>
          <w:cantSplit/>
        </w:trPr>
        <w:tc>
          <w:tcPr>
            <w:cnfStyle w:val="001000000000"/>
            <w:tcW w:w="586" w:type="dxa"/>
          </w:tcPr>
          <w:p w:rsidR="000F26F8" w:rsidRPr="002528A4" w:rsidRDefault="000F26F8" w:rsidP="00A944A7">
            <w:pPr>
              <w:pStyle w:val="Tabletext"/>
              <w:rPr>
                <w:color w:val="FFFFFF"/>
              </w:rPr>
            </w:pPr>
            <w:r w:rsidRPr="002528A4">
              <w:rPr>
                <w:color w:val="FFFFFF"/>
              </w:rPr>
              <w:t>12.</w:t>
            </w:r>
          </w:p>
        </w:tc>
        <w:tc>
          <w:tcPr>
            <w:tcW w:w="7013" w:type="dxa"/>
          </w:tcPr>
          <w:p w:rsidR="000F26F8" w:rsidRPr="004F5DF5" w:rsidRDefault="000F26F8" w:rsidP="00A944A7">
            <w:pPr>
              <w:pStyle w:val="Tabletext"/>
              <w:cnfStyle w:val="000000100000"/>
            </w:pPr>
            <w:r w:rsidRPr="004F5DF5">
              <w:t>What are the preferred elements of a risk matrix?</w:t>
            </w:r>
          </w:p>
        </w:tc>
        <w:tc>
          <w:tcPr>
            <w:tcW w:w="6867" w:type="dxa"/>
          </w:tcPr>
          <w:p w:rsidR="000F26F8" w:rsidRDefault="000F26F8" w:rsidP="00A944A7">
            <w:pPr>
              <w:pStyle w:val="Tabletext"/>
              <w:cnfStyle w:val="000000100000"/>
            </w:pPr>
            <w:r w:rsidRPr="004F5DF5">
              <w:t xml:space="preserve">Once </w:t>
            </w:r>
            <w:r>
              <w:t xml:space="preserve">you are awarded </w:t>
            </w:r>
            <w:r w:rsidRPr="004F5DF5">
              <w:t xml:space="preserve">the contract, </w:t>
            </w:r>
            <w:r>
              <w:t xml:space="preserve">we will give you </w:t>
            </w:r>
            <w:r w:rsidRPr="004F5DF5">
              <w:t xml:space="preserve">a template for the project plan, risk matrix and communications plan.  </w:t>
            </w:r>
          </w:p>
          <w:p w:rsidR="000F26F8" w:rsidRDefault="000F26F8" w:rsidP="00A944A7">
            <w:pPr>
              <w:pStyle w:val="Tabletext"/>
              <w:cnfStyle w:val="000000100000"/>
            </w:pPr>
            <w:r>
              <w:t xml:space="preserve">Ideally, the risk matrix in our framework includes </w:t>
            </w:r>
            <w:r w:rsidRPr="004F5DF5">
              <w:t>initial</w:t>
            </w:r>
            <w:r>
              <w:t xml:space="preserve"> identification of possible</w:t>
            </w:r>
            <w:r w:rsidRPr="004F5DF5">
              <w:t xml:space="preserve"> risk (e</w:t>
            </w:r>
            <w:r>
              <w:t>.</w:t>
            </w:r>
            <w:r w:rsidRPr="004F5DF5">
              <w:t>g</w:t>
            </w:r>
            <w:r>
              <w:t>.</w:t>
            </w:r>
            <w:r w:rsidRPr="004F5DF5">
              <w:t xml:space="preserve"> financial, reputational, </w:t>
            </w:r>
            <w:proofErr w:type="gramStart"/>
            <w:r w:rsidRPr="004F5DF5">
              <w:t>regulatory</w:t>
            </w:r>
            <w:proofErr w:type="gramEnd"/>
            <w:r w:rsidRPr="004F5DF5">
              <w:t xml:space="preserve">), likelihood/consequence </w:t>
            </w:r>
            <w:r>
              <w:t xml:space="preserve">of that risk, </w:t>
            </w:r>
            <w:r w:rsidRPr="004F5DF5">
              <w:t>and mitigating strategies</w:t>
            </w:r>
            <w:r>
              <w:t>.</w:t>
            </w:r>
          </w:p>
          <w:p w:rsidR="000F26F8" w:rsidRPr="004F5DF5" w:rsidRDefault="000F26F8" w:rsidP="00A944A7">
            <w:pPr>
              <w:pStyle w:val="Tabletext"/>
              <w:cnfStyle w:val="000000100000"/>
            </w:pPr>
          </w:p>
        </w:tc>
      </w:tr>
      <w:tr w:rsidR="000F26F8" w:rsidRPr="004F5DF5" w:rsidTr="000F26F8">
        <w:trPr>
          <w:cnfStyle w:val="000000010000"/>
          <w:cantSplit/>
        </w:trPr>
        <w:tc>
          <w:tcPr>
            <w:cnfStyle w:val="001000000000"/>
            <w:tcW w:w="586" w:type="dxa"/>
          </w:tcPr>
          <w:p w:rsidR="000F26F8" w:rsidRPr="002528A4" w:rsidRDefault="000F26F8" w:rsidP="00A944A7">
            <w:pPr>
              <w:pStyle w:val="Tabletext"/>
              <w:rPr>
                <w:color w:val="FFFFFF"/>
              </w:rPr>
            </w:pPr>
            <w:r w:rsidRPr="002528A4">
              <w:rPr>
                <w:color w:val="FFFFFF"/>
              </w:rPr>
              <w:lastRenderedPageBreak/>
              <w:t>13.</w:t>
            </w:r>
          </w:p>
        </w:tc>
        <w:tc>
          <w:tcPr>
            <w:tcW w:w="7013" w:type="dxa"/>
          </w:tcPr>
          <w:p w:rsidR="000F26F8" w:rsidRPr="004F5DF5" w:rsidRDefault="000F26F8" w:rsidP="00A944A7">
            <w:pPr>
              <w:pStyle w:val="Tabletext"/>
              <w:cnfStyle w:val="000000010000"/>
            </w:pPr>
            <w:r w:rsidRPr="004F5DF5">
              <w:t xml:space="preserve">Did a contractor </w:t>
            </w:r>
            <w:r>
              <w:t>deliver</w:t>
            </w:r>
            <w:r w:rsidRPr="004F5DF5">
              <w:t xml:space="preserve"> the</w:t>
            </w:r>
            <w:r>
              <w:t xml:space="preserve"> document titled</w:t>
            </w:r>
            <w:r w:rsidRPr="004F5DF5">
              <w:t xml:space="preserve"> Assessment of IQNM educational equivalence project</w:t>
            </w:r>
            <w:r>
              <w:t xml:space="preserve"> that is mentioned in the RFT</w:t>
            </w:r>
            <w:r w:rsidRPr="004F5DF5">
              <w:t>?  If so, is th</w:t>
            </w:r>
            <w:r>
              <w:t>at same</w:t>
            </w:r>
            <w:r w:rsidRPr="004F5DF5">
              <w:t xml:space="preserve"> contractor able to bid on this RFT?</w:t>
            </w:r>
          </w:p>
        </w:tc>
        <w:tc>
          <w:tcPr>
            <w:tcW w:w="6867" w:type="dxa"/>
          </w:tcPr>
          <w:p w:rsidR="000F26F8" w:rsidRDefault="000F26F8" w:rsidP="00A944A7">
            <w:pPr>
              <w:pStyle w:val="Tabletext"/>
              <w:cnfStyle w:val="000000010000"/>
            </w:pPr>
            <w:r w:rsidRPr="004F5DF5">
              <w:t>Yes to both questions</w:t>
            </w:r>
            <w:r>
              <w:t xml:space="preserve">. The same contractor may choose to bid on this request for </w:t>
            </w:r>
            <w:r w:rsidRPr="004F5DF5">
              <w:t xml:space="preserve">as the tender </w:t>
            </w:r>
            <w:r>
              <w:t>it as we have</w:t>
            </w:r>
            <w:r w:rsidRPr="004F5DF5">
              <w:t xml:space="preserve"> </w:t>
            </w:r>
            <w:r>
              <w:t xml:space="preserve">publicly </w:t>
            </w:r>
            <w:r w:rsidRPr="004F5DF5">
              <w:t xml:space="preserve">advertised </w:t>
            </w:r>
            <w:r>
              <w:t>it.</w:t>
            </w:r>
          </w:p>
          <w:p w:rsidR="000F26F8" w:rsidRPr="004F5DF5" w:rsidRDefault="000F26F8" w:rsidP="00A944A7">
            <w:pPr>
              <w:pStyle w:val="Tabletext"/>
              <w:cnfStyle w:val="000000010000"/>
            </w:pPr>
            <w:r w:rsidRPr="004F5DF5">
              <w:t xml:space="preserve"> </w:t>
            </w:r>
          </w:p>
        </w:tc>
      </w:tr>
      <w:tr w:rsidR="000F26F8" w:rsidRPr="004F5DF5" w:rsidTr="000F26F8">
        <w:trPr>
          <w:cnfStyle w:val="000000100000"/>
          <w:cantSplit/>
        </w:trPr>
        <w:tc>
          <w:tcPr>
            <w:cnfStyle w:val="001000000000"/>
            <w:tcW w:w="586" w:type="dxa"/>
          </w:tcPr>
          <w:p w:rsidR="000F26F8" w:rsidRPr="002528A4" w:rsidRDefault="000F26F8" w:rsidP="00A944A7">
            <w:pPr>
              <w:pStyle w:val="Tabletext"/>
              <w:rPr>
                <w:color w:val="FFFFFF"/>
              </w:rPr>
            </w:pPr>
            <w:r w:rsidRPr="002528A4">
              <w:rPr>
                <w:color w:val="FFFFFF"/>
              </w:rPr>
              <w:t>14.</w:t>
            </w:r>
          </w:p>
        </w:tc>
        <w:tc>
          <w:tcPr>
            <w:tcW w:w="7013" w:type="dxa"/>
          </w:tcPr>
          <w:p w:rsidR="000F26F8" w:rsidRDefault="000F26F8" w:rsidP="00A944A7">
            <w:pPr>
              <w:pStyle w:val="Tabletext"/>
              <w:cnfStyle w:val="000000100000"/>
              <w:rPr>
                <w:lang w:val="en-AU"/>
              </w:rPr>
            </w:pPr>
            <w:r w:rsidRPr="004F5DF5">
              <w:rPr>
                <w:lang w:val="en-AU"/>
              </w:rPr>
              <w:t>The Tender document states</w:t>
            </w:r>
            <w:r>
              <w:rPr>
                <w:lang w:val="en-AU"/>
              </w:rPr>
              <w:t xml:space="preserve"> the following on p</w:t>
            </w:r>
            <w:r w:rsidRPr="004F5DF5">
              <w:rPr>
                <w:lang w:val="en-AU"/>
              </w:rPr>
              <w:t>age 3</w:t>
            </w:r>
            <w:r>
              <w:rPr>
                <w:lang w:val="en-AU"/>
              </w:rPr>
              <w:t xml:space="preserve">: </w:t>
            </w:r>
          </w:p>
          <w:p w:rsidR="000F26F8" w:rsidRDefault="000F26F8" w:rsidP="00A944A7">
            <w:pPr>
              <w:pStyle w:val="Tabletext"/>
              <w:cnfStyle w:val="000000100000"/>
              <w:rPr>
                <w:lang w:val="en-AU"/>
              </w:rPr>
            </w:pPr>
            <w:r>
              <w:rPr>
                <w:lang w:val="en-AU"/>
              </w:rPr>
              <w:t>‘</w:t>
            </w:r>
            <w:r w:rsidRPr="004F5DF5">
              <w:rPr>
                <w:lang w:val="en-AU"/>
              </w:rPr>
              <w:t>Staff competencies - The tender submission must describe the minimum competencies of staff and policies to maintain competency over the period of the contract</w:t>
            </w:r>
            <w:r>
              <w:rPr>
                <w:lang w:val="en-AU"/>
              </w:rPr>
              <w:t>.’</w:t>
            </w:r>
            <w:r w:rsidRPr="004F5DF5">
              <w:rPr>
                <w:lang w:val="en-AU"/>
              </w:rPr>
              <w:t xml:space="preserve"> </w:t>
            </w:r>
          </w:p>
          <w:p w:rsidR="000F26F8" w:rsidRPr="004F5DF5" w:rsidRDefault="000F26F8" w:rsidP="00A944A7">
            <w:pPr>
              <w:pStyle w:val="Tabletext"/>
              <w:cnfStyle w:val="000000100000"/>
            </w:pPr>
            <w:r>
              <w:rPr>
                <w:lang w:val="en-AU"/>
              </w:rPr>
              <w:t>Please explain.</w:t>
            </w:r>
            <w:r w:rsidRPr="004F5DF5">
              <w:rPr>
                <w:lang w:val="en-AU"/>
              </w:rPr>
              <w:t> </w:t>
            </w:r>
          </w:p>
        </w:tc>
        <w:tc>
          <w:tcPr>
            <w:tcW w:w="6867" w:type="dxa"/>
          </w:tcPr>
          <w:p w:rsidR="000F26F8" w:rsidRDefault="000F26F8" w:rsidP="00A944A7">
            <w:pPr>
              <w:pStyle w:val="Tabletext"/>
              <w:cnfStyle w:val="000000100000"/>
            </w:pPr>
            <w:r w:rsidRPr="004F5DF5">
              <w:t xml:space="preserve">We need to </w:t>
            </w:r>
            <w:r>
              <w:t>understand</w:t>
            </w:r>
            <w:r w:rsidRPr="004F5DF5">
              <w:t xml:space="preserve"> the skills and experience of the staff </w:t>
            </w:r>
            <w:r>
              <w:t>you</w:t>
            </w:r>
            <w:r w:rsidRPr="004F5DF5">
              <w:t xml:space="preserve"> are proposing to work </w:t>
            </w:r>
            <w:r>
              <w:t xml:space="preserve">with you </w:t>
            </w:r>
            <w:r w:rsidRPr="004F5DF5">
              <w:t>on our project</w:t>
            </w:r>
            <w:r>
              <w:t>. This is your way to reassure us that you are equipped to</w:t>
            </w:r>
            <w:r w:rsidRPr="004F5DF5">
              <w:t xml:space="preserve"> meet the needs of our project.  </w:t>
            </w:r>
          </w:p>
          <w:p w:rsidR="000F26F8" w:rsidRDefault="000F26F8" w:rsidP="00A944A7">
            <w:pPr>
              <w:pStyle w:val="Tabletext"/>
              <w:cnfStyle w:val="000000100000"/>
            </w:pPr>
            <w:r w:rsidRPr="004F5DF5">
              <w:t xml:space="preserve">In relation to maintaining competency over the period of the contract, </w:t>
            </w:r>
            <w:r>
              <w:t>it</w:t>
            </w:r>
            <w:r w:rsidRPr="004F5DF5">
              <w:t xml:space="preserve"> is </w:t>
            </w:r>
            <w:r>
              <w:t xml:space="preserve">important to us </w:t>
            </w:r>
            <w:r w:rsidRPr="004F5DF5">
              <w:t xml:space="preserve">that </w:t>
            </w:r>
            <w:r>
              <w:t xml:space="preserve">the successful bidder has an </w:t>
            </w:r>
            <w:r w:rsidRPr="004F5DF5">
              <w:t>adequate succession plan in place</w:t>
            </w:r>
            <w:r>
              <w:t>. This means that</w:t>
            </w:r>
            <w:r w:rsidRPr="004F5DF5">
              <w:t xml:space="preserve">, if key </w:t>
            </w:r>
            <w:proofErr w:type="gramStart"/>
            <w:r w:rsidRPr="004F5DF5">
              <w:t>staff leave</w:t>
            </w:r>
            <w:proofErr w:type="gramEnd"/>
            <w:r w:rsidRPr="004F5DF5">
              <w:t xml:space="preserve"> </w:t>
            </w:r>
            <w:r>
              <w:t xml:space="preserve">the project </w:t>
            </w:r>
            <w:r w:rsidRPr="004F5DF5">
              <w:t xml:space="preserve">during </w:t>
            </w:r>
            <w:r>
              <w:t xml:space="preserve">the course of managing </w:t>
            </w:r>
            <w:r w:rsidRPr="004F5DF5">
              <w:t xml:space="preserve">our project, </w:t>
            </w:r>
            <w:r>
              <w:t>you are able to replace them with staff of</w:t>
            </w:r>
            <w:r w:rsidRPr="004F5DF5">
              <w:t xml:space="preserve"> equivalent skills and experience</w:t>
            </w:r>
            <w:r>
              <w:t xml:space="preserve">. </w:t>
            </w:r>
          </w:p>
          <w:p w:rsidR="000F26F8" w:rsidRPr="004F5DF5" w:rsidRDefault="000F26F8" w:rsidP="00A944A7">
            <w:pPr>
              <w:pStyle w:val="Tabletext"/>
              <w:cnfStyle w:val="000000100000"/>
            </w:pPr>
          </w:p>
        </w:tc>
      </w:tr>
    </w:tbl>
    <w:p w:rsidR="000F5D90" w:rsidRPr="000F5D90" w:rsidRDefault="000F5D90" w:rsidP="000F5D90"/>
    <w:p w:rsidR="00C3795C" w:rsidRDefault="00C3795C" w:rsidP="00C3795C">
      <w:pPr>
        <w:outlineLvl w:val="0"/>
      </w:pPr>
    </w:p>
    <w:p w:rsidR="00E77E23" w:rsidRPr="000E7E28" w:rsidRDefault="00E77E23" w:rsidP="000F26F8"/>
    <w:sectPr w:rsidR="00E77E23" w:rsidRPr="000E7E28" w:rsidSect="000F26F8">
      <w:headerReference w:type="default" r:id="rId12"/>
      <w:footerReference w:type="even" r:id="rId13"/>
      <w:footerReference w:type="default" r:id="rId14"/>
      <w:headerReference w:type="first" r:id="rId15"/>
      <w:footerReference w:type="first" r:id="rId16"/>
      <w:pgSz w:w="16840" w:h="11900" w:orient="landscape"/>
      <w:pgMar w:top="1247" w:right="1392" w:bottom="1247" w:left="992" w:header="284" w:footer="685"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703" w:rsidRDefault="00847703" w:rsidP="00FC2881">
      <w:pPr>
        <w:spacing w:after="0"/>
      </w:pPr>
      <w:r>
        <w:separator/>
      </w:r>
    </w:p>
    <w:p w:rsidR="00847703" w:rsidRDefault="00847703"/>
  </w:endnote>
  <w:endnote w:type="continuationSeparator" w:id="0">
    <w:p w:rsidR="00847703" w:rsidRDefault="00847703" w:rsidP="00FC2881">
      <w:pPr>
        <w:spacing w:after="0"/>
      </w:pPr>
      <w:r>
        <w:continuationSeparator/>
      </w:r>
    </w:p>
    <w:p w:rsidR="00847703" w:rsidRDefault="00847703"/>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BF7" w:rsidRDefault="008E4C51" w:rsidP="00FC2881">
    <w:pPr>
      <w:pStyle w:val="AHPRAfootnote"/>
      <w:framePr w:wrap="around" w:vAnchor="text" w:hAnchor="margin" w:xAlign="right" w:y="1"/>
    </w:pPr>
    <w:r>
      <w:fldChar w:fldCharType="begin"/>
    </w:r>
    <w:r w:rsidR="000A6BF7">
      <w:instrText xml:space="preserve">PAGE  </w:instrText>
    </w:r>
    <w:r>
      <w:fldChar w:fldCharType="end"/>
    </w:r>
  </w:p>
  <w:p w:rsidR="000A6BF7" w:rsidRDefault="000A6BF7" w:rsidP="00FC2881">
    <w:pPr>
      <w:pStyle w:val="AHPRAfootnote"/>
      <w:ind w:right="360"/>
    </w:pPr>
  </w:p>
  <w:p w:rsidR="000A6BF7" w:rsidRDefault="000A6BF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6F8" w:rsidRDefault="000F26F8" w:rsidP="000F26F8">
    <w:pPr>
      <w:pStyle w:val="AHPRAfooter"/>
      <w:rPr>
        <w:szCs w:val="16"/>
      </w:rPr>
    </w:pPr>
    <w:r>
      <w:rPr>
        <w:szCs w:val="16"/>
      </w:rPr>
      <w:t>Questions and answers for RFT: Outcomes-based assessment of IQNMs</w:t>
    </w:r>
  </w:p>
  <w:p w:rsidR="000A6BF7" w:rsidRPr="000E7E28" w:rsidRDefault="008E4C51" w:rsidP="000E7E28">
    <w:pPr>
      <w:pStyle w:val="AHPRApagenumber"/>
    </w:pPr>
    <w:sdt>
      <w:sdtPr>
        <w:id w:val="16333165"/>
        <w:docPartObj>
          <w:docPartGallery w:val="Page Numbers (Top of Page)"/>
          <w:docPartUnique/>
        </w:docPartObj>
      </w:sdtPr>
      <w:sdtContent>
        <w:r w:rsidR="001506FE" w:rsidRPr="000E7E28">
          <w:t xml:space="preserve">Page </w:t>
        </w:r>
        <w:fldSimple w:instr=" PAGE ">
          <w:r w:rsidR="003805D8">
            <w:rPr>
              <w:noProof/>
            </w:rPr>
            <w:t>2</w:t>
          </w:r>
        </w:fldSimple>
        <w:r w:rsidR="00E77E23" w:rsidRPr="000E7E28">
          <w:t xml:space="preserve"> of </w:t>
        </w:r>
        <w:fldSimple w:instr=" NUMPAGES  ">
          <w:r w:rsidR="003805D8">
            <w:rPr>
              <w:noProof/>
            </w:rPr>
            <w:t>4</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1D" w:rsidRPr="00E77E23" w:rsidRDefault="00C9191D" w:rsidP="00C9191D">
    <w:pPr>
      <w:pStyle w:val="AHPRAfirstpagefooter"/>
    </w:pPr>
    <w:r>
      <w:rPr>
        <w:color w:val="007DC3"/>
      </w:rPr>
      <w:t>Nursing and Midwifery</w:t>
    </w:r>
    <w:r w:rsidRPr="00E77E23">
      <w:t xml:space="preserve"> </w:t>
    </w:r>
    <w:r>
      <w:t>Board of Australia</w:t>
    </w:r>
  </w:p>
  <w:p w:rsidR="00C9191D" w:rsidRDefault="00C9191D" w:rsidP="00C9191D">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4835F6">
      <w:t>nursingmidwiferyboard</w:t>
    </w:r>
    <w:r w:rsidRPr="00AD312E">
      <w:t xml:space="preserve">.gov.au   </w:t>
    </w:r>
    <w:r w:rsidRPr="00E77E23">
      <w:rPr>
        <w:b/>
        <w:color w:val="007DC3"/>
        <w:szCs w:val="28"/>
      </w:rPr>
      <w:t>|</w:t>
    </w:r>
    <w:r w:rsidRPr="007432A4">
      <w:t xml:space="preserve">   1300 419 495</w:t>
    </w:r>
  </w:p>
  <w:p w:rsidR="00E77E23" w:rsidRPr="00C9191D" w:rsidRDefault="00E77E23" w:rsidP="00C919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703" w:rsidRDefault="00847703" w:rsidP="000E7E28">
      <w:pPr>
        <w:spacing w:after="0"/>
      </w:pPr>
      <w:r>
        <w:separator/>
      </w:r>
    </w:p>
  </w:footnote>
  <w:footnote w:type="continuationSeparator" w:id="0">
    <w:p w:rsidR="00847703" w:rsidRDefault="00847703" w:rsidP="00FC2881">
      <w:pPr>
        <w:spacing w:after="0"/>
      </w:pPr>
      <w:r>
        <w:continuationSeparator/>
      </w:r>
    </w:p>
    <w:p w:rsidR="00847703" w:rsidRDefault="00847703"/>
  </w:footnote>
  <w:footnote w:type="continuationNotice" w:id="1">
    <w:p w:rsidR="00847703" w:rsidRDefault="00847703">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BF7" w:rsidRPr="00315933" w:rsidRDefault="000A6BF7" w:rsidP="00D638E0">
    <w:pPr>
      <w:ind w:left="-1134" w:right="-567"/>
      <w:jc w:val="right"/>
    </w:pPr>
  </w:p>
  <w:p w:rsidR="000A6BF7" w:rsidRDefault="000A6BF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BF7" w:rsidRDefault="002700DD" w:rsidP="002700DD">
    <w:pPr>
      <w:jc w:val="right"/>
    </w:pPr>
    <w:r w:rsidRPr="002700DD">
      <w:rPr>
        <w:noProof/>
        <w:lang w:val="en-US"/>
      </w:rPr>
      <w:drawing>
        <wp:inline distT="0" distB="0" distL="0" distR="0">
          <wp:extent cx="1695450" cy="1352550"/>
          <wp:effectExtent l="19050" t="0" r="0" b="0"/>
          <wp:docPr id="1" name="Picture 2" descr="AHPRA_Nursing&amp;Midwifer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PRA_Nursing&amp;MidwiferyBoardofAustralia"/>
                  <pic:cNvPicPr>
                    <a:picLocks noChangeAspect="1" noChangeArrowheads="1"/>
                  </pic:cNvPicPr>
                </pic:nvPicPr>
                <pic:blipFill>
                  <a:blip r:embed="rId1"/>
                  <a:srcRect/>
                  <a:stretch>
                    <a:fillRect/>
                  </a:stretch>
                </pic:blipFill>
                <pic:spPr bwMode="auto">
                  <a:xfrm>
                    <a:off x="0" y="0"/>
                    <a:ext cx="1695450" cy="1352550"/>
                  </a:xfrm>
                  <a:prstGeom prst="rect">
                    <a:avLst/>
                  </a:prstGeom>
                  <a:noFill/>
                  <a:ln w="9525">
                    <a:noFill/>
                    <a:miter lim="800000"/>
                    <a:headEnd/>
                    <a:tailEnd/>
                  </a:ln>
                </pic:spPr>
              </pic:pic>
            </a:graphicData>
          </a:graphic>
        </wp:inline>
      </w:drawing>
    </w:r>
  </w:p>
  <w:p w:rsidR="002700DD" w:rsidRDefault="002700DD" w:rsidP="002700DD">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17D6"/>
    <w:multiLevelType w:val="multilevel"/>
    <w:tmpl w:val="C4183F12"/>
    <w:numStyleLink w:val="AHPRANumberedlist"/>
  </w:abstractNum>
  <w:abstractNum w:abstractNumId="1">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nsid w:val="0C037DB3"/>
    <w:multiLevelType w:val="multilevel"/>
    <w:tmpl w:val="BE20683A"/>
    <w:numStyleLink w:val="AHPRANumberedheadinglist"/>
  </w:abstractNum>
  <w:abstractNum w:abstractNumId="3">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nsid w:val="152D19FF"/>
    <w:multiLevelType w:val="multilevel"/>
    <w:tmpl w:val="BE20683A"/>
    <w:numStyleLink w:val="AHPRANumberedheadinglist"/>
  </w:abstractNum>
  <w:abstractNum w:abstractNumId="5">
    <w:nsid w:val="2822578D"/>
    <w:multiLevelType w:val="multilevel"/>
    <w:tmpl w:val="BE20683A"/>
    <w:numStyleLink w:val="AHPRANumberedheadinglist"/>
  </w:abstractNum>
  <w:abstractNum w:abstractNumId="6">
    <w:nsid w:val="29795173"/>
    <w:multiLevelType w:val="multilevel"/>
    <w:tmpl w:val="F08CCB96"/>
    <w:lvl w:ilvl="0">
      <w:start w:val="1"/>
      <w:numFmt w:val="bullet"/>
      <w:pStyle w:val="TableBullet1"/>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454"/>
        </w:tabs>
        <w:ind w:left="454" w:hanging="170"/>
      </w:pPr>
      <w:rPr>
        <w:rFonts w:ascii="Symbol" w:hAnsi="Symbol" w:hint="default"/>
      </w:rPr>
    </w:lvl>
    <w:lvl w:ilvl="2">
      <w:start w:val="1"/>
      <w:numFmt w:val="bullet"/>
      <w:pStyle w:val="TableBullet3"/>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04433A"/>
    <w:multiLevelType w:val="multilevel"/>
    <w:tmpl w:val="C4183F12"/>
    <w:numStyleLink w:val="AHPRANumberedlist"/>
  </w:abstractNum>
  <w:abstractNum w:abstractNumId="1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6E154B0"/>
    <w:multiLevelType w:val="multilevel"/>
    <w:tmpl w:val="C4183F12"/>
    <w:numStyleLink w:val="AHPRANumberedlist"/>
  </w:abstractNum>
  <w:abstractNum w:abstractNumId="12">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731660"/>
    <w:multiLevelType w:val="multilevel"/>
    <w:tmpl w:val="C4183F12"/>
    <w:numStyleLink w:val="AHPRANumberedlist"/>
  </w:abstractNum>
  <w:num w:numId="1">
    <w:abstractNumId w:val="10"/>
  </w:num>
  <w:num w:numId="2">
    <w:abstractNumId w:val="8"/>
  </w:num>
  <w:num w:numId="3">
    <w:abstractNumId w:val="1"/>
  </w:num>
  <w:num w:numId="4">
    <w:abstractNumId w:val="3"/>
  </w:num>
  <w:num w:numId="5">
    <w:abstractNumId w:val="4"/>
  </w:num>
  <w:num w:numId="6">
    <w:abstractNumId w:val="5"/>
  </w:num>
  <w:num w:numId="7">
    <w:abstractNumId w:val="0"/>
  </w:num>
  <w:num w:numId="8">
    <w:abstractNumId w:val="7"/>
  </w:num>
  <w:num w:numId="9">
    <w:abstractNumId w:val="12"/>
  </w:num>
  <w:num w:numId="10">
    <w:abstractNumId w:val="9"/>
  </w:num>
  <w:num w:numId="11">
    <w:abstractNumId w:val="2"/>
  </w:num>
  <w:num w:numId="12">
    <w:abstractNumId w:val="11"/>
  </w:num>
  <w:num w:numId="13">
    <w:abstractNumId w:val="13"/>
  </w:num>
  <w:num w:numId="14">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7F04"/>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51201"/>
  </w:hdrShapeDefaults>
  <w:footnotePr>
    <w:footnote w:id="-1"/>
    <w:footnote w:id="0"/>
    <w:footnote w:id="1"/>
  </w:footnotePr>
  <w:endnotePr>
    <w:endnote w:id="-1"/>
    <w:endnote w:id="0"/>
  </w:endnotePr>
  <w:compat/>
  <w:rsids>
    <w:rsidRoot w:val="00877D93"/>
    <w:rsid w:val="00000033"/>
    <w:rsid w:val="00006922"/>
    <w:rsid w:val="00023C83"/>
    <w:rsid w:val="000334D7"/>
    <w:rsid w:val="00071439"/>
    <w:rsid w:val="000945FB"/>
    <w:rsid w:val="000A17AE"/>
    <w:rsid w:val="000A6BF7"/>
    <w:rsid w:val="000E7E28"/>
    <w:rsid w:val="000F26F8"/>
    <w:rsid w:val="000F5D90"/>
    <w:rsid w:val="0010139F"/>
    <w:rsid w:val="001345EB"/>
    <w:rsid w:val="00144DEF"/>
    <w:rsid w:val="001506FE"/>
    <w:rsid w:val="00196F14"/>
    <w:rsid w:val="001C425C"/>
    <w:rsid w:val="001E1E31"/>
    <w:rsid w:val="001E2849"/>
    <w:rsid w:val="001E4A94"/>
    <w:rsid w:val="001E5621"/>
    <w:rsid w:val="00220A3B"/>
    <w:rsid w:val="00224708"/>
    <w:rsid w:val="002700DD"/>
    <w:rsid w:val="0028013F"/>
    <w:rsid w:val="00295B44"/>
    <w:rsid w:val="002B2D48"/>
    <w:rsid w:val="002C08FB"/>
    <w:rsid w:val="002C34EA"/>
    <w:rsid w:val="00303BE1"/>
    <w:rsid w:val="00305AFC"/>
    <w:rsid w:val="003354E4"/>
    <w:rsid w:val="003805D8"/>
    <w:rsid w:val="00393516"/>
    <w:rsid w:val="003D6DBD"/>
    <w:rsid w:val="003E00B5"/>
    <w:rsid w:val="003E3268"/>
    <w:rsid w:val="003F2F06"/>
    <w:rsid w:val="00405C0A"/>
    <w:rsid w:val="00414F2C"/>
    <w:rsid w:val="00450B34"/>
    <w:rsid w:val="004606A7"/>
    <w:rsid w:val="004A5E5D"/>
    <w:rsid w:val="004B438E"/>
    <w:rsid w:val="004B747B"/>
    <w:rsid w:val="004D7537"/>
    <w:rsid w:val="004F5C05"/>
    <w:rsid w:val="00516EF2"/>
    <w:rsid w:val="0053749F"/>
    <w:rsid w:val="00546B56"/>
    <w:rsid w:val="00553A4C"/>
    <w:rsid w:val="00554335"/>
    <w:rsid w:val="005565CE"/>
    <w:rsid w:val="005708AE"/>
    <w:rsid w:val="005A0FA9"/>
    <w:rsid w:val="005C5932"/>
    <w:rsid w:val="005C6817"/>
    <w:rsid w:val="0060558B"/>
    <w:rsid w:val="00616043"/>
    <w:rsid w:val="00640B2C"/>
    <w:rsid w:val="00667CAD"/>
    <w:rsid w:val="00670F48"/>
    <w:rsid w:val="00672A98"/>
    <w:rsid w:val="00681D5E"/>
    <w:rsid w:val="006C0257"/>
    <w:rsid w:val="006C0E29"/>
    <w:rsid w:val="006D30FE"/>
    <w:rsid w:val="006D3757"/>
    <w:rsid w:val="006D45FD"/>
    <w:rsid w:val="006D6D35"/>
    <w:rsid w:val="006F585B"/>
    <w:rsid w:val="006F7348"/>
    <w:rsid w:val="006F796D"/>
    <w:rsid w:val="0070155F"/>
    <w:rsid w:val="007372A4"/>
    <w:rsid w:val="00741B04"/>
    <w:rsid w:val="0076115C"/>
    <w:rsid w:val="007664F3"/>
    <w:rsid w:val="0079197C"/>
    <w:rsid w:val="007A35B9"/>
    <w:rsid w:val="007B77D6"/>
    <w:rsid w:val="007C0B6E"/>
    <w:rsid w:val="007D4836"/>
    <w:rsid w:val="007E2C84"/>
    <w:rsid w:val="007E3545"/>
    <w:rsid w:val="007F0095"/>
    <w:rsid w:val="008338F7"/>
    <w:rsid w:val="00836397"/>
    <w:rsid w:val="00845054"/>
    <w:rsid w:val="00847703"/>
    <w:rsid w:val="00852D1C"/>
    <w:rsid w:val="00856147"/>
    <w:rsid w:val="00860F40"/>
    <w:rsid w:val="008615C9"/>
    <w:rsid w:val="00864020"/>
    <w:rsid w:val="00877D93"/>
    <w:rsid w:val="008979D5"/>
    <w:rsid w:val="008A4C3B"/>
    <w:rsid w:val="008B2AD7"/>
    <w:rsid w:val="008D6B7E"/>
    <w:rsid w:val="008D7845"/>
    <w:rsid w:val="008E4C51"/>
    <w:rsid w:val="009031EA"/>
    <w:rsid w:val="00923B23"/>
    <w:rsid w:val="00937ED0"/>
    <w:rsid w:val="00952797"/>
    <w:rsid w:val="009777D3"/>
    <w:rsid w:val="009859E6"/>
    <w:rsid w:val="009A0A5D"/>
    <w:rsid w:val="009C6933"/>
    <w:rsid w:val="00A04C7A"/>
    <w:rsid w:val="00A058E5"/>
    <w:rsid w:val="00A10C1A"/>
    <w:rsid w:val="00A2072E"/>
    <w:rsid w:val="00A237BB"/>
    <w:rsid w:val="00A458ED"/>
    <w:rsid w:val="00A509AB"/>
    <w:rsid w:val="00A54476"/>
    <w:rsid w:val="00A82078"/>
    <w:rsid w:val="00A838C8"/>
    <w:rsid w:val="00A91C42"/>
    <w:rsid w:val="00A9516B"/>
    <w:rsid w:val="00A9780A"/>
    <w:rsid w:val="00AA00AF"/>
    <w:rsid w:val="00AA2FC9"/>
    <w:rsid w:val="00AB283D"/>
    <w:rsid w:val="00AD312E"/>
    <w:rsid w:val="00AE3EAF"/>
    <w:rsid w:val="00B024B0"/>
    <w:rsid w:val="00B34EDA"/>
    <w:rsid w:val="00B51748"/>
    <w:rsid w:val="00B57198"/>
    <w:rsid w:val="00B85023"/>
    <w:rsid w:val="00BA2456"/>
    <w:rsid w:val="00BA469B"/>
    <w:rsid w:val="00BB4A5B"/>
    <w:rsid w:val="00BF2534"/>
    <w:rsid w:val="00BF79DC"/>
    <w:rsid w:val="00C35DE1"/>
    <w:rsid w:val="00C3795C"/>
    <w:rsid w:val="00C524AA"/>
    <w:rsid w:val="00C54689"/>
    <w:rsid w:val="00C81B3A"/>
    <w:rsid w:val="00C9191D"/>
    <w:rsid w:val="00CB6C08"/>
    <w:rsid w:val="00CD0DCA"/>
    <w:rsid w:val="00D12F61"/>
    <w:rsid w:val="00D201C6"/>
    <w:rsid w:val="00D638E0"/>
    <w:rsid w:val="00D716BA"/>
    <w:rsid w:val="00D8404D"/>
    <w:rsid w:val="00D87C12"/>
    <w:rsid w:val="00DC2952"/>
    <w:rsid w:val="00DF1AB7"/>
    <w:rsid w:val="00E07C02"/>
    <w:rsid w:val="00E12B06"/>
    <w:rsid w:val="00E15BF6"/>
    <w:rsid w:val="00E54005"/>
    <w:rsid w:val="00E71CB9"/>
    <w:rsid w:val="00E73698"/>
    <w:rsid w:val="00E77E23"/>
    <w:rsid w:val="00E8251C"/>
    <w:rsid w:val="00E844A0"/>
    <w:rsid w:val="00F13ED2"/>
    <w:rsid w:val="00F27ACB"/>
    <w:rsid w:val="00F3616F"/>
    <w:rsid w:val="00F6618F"/>
    <w:rsid w:val="00F70DD5"/>
    <w:rsid w:val="00F73165"/>
    <w:rsid w:val="00F90BCE"/>
    <w:rsid w:val="00FC2881"/>
    <w:rsid w:val="00FD7DC1"/>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uiPriority="39"/>
    <w:lsdException w:name="toc 2" w:uiPriority="39"/>
    <w:lsdException w:name="toc 3" w:uiPriority="39"/>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annotation text" w:semiHidden="1" w:uiPriority="1" w:unhideWhenUsed="1"/>
    <w:lsdException w:name="header" w:uiPriority="99"/>
    <w:lsdException w:name="footer" w:uiPriority="99"/>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annotation subject" w:semiHidden="1" w:uiPriority="1" w:unhideWhenUsed="1"/>
    <w:lsdException w:name="Placeholder Text" w:semiHidden="1" w:uiPriority="1" w:unhideWhenUsed="1"/>
    <w:lsdException w:name="No Spacing" w:semiHidden="1" w:uiPriority="1" w:unhideWhenUsed="1"/>
    <w:lsdException w:name="List Paragraph" w:semiHidden="1" w:uiPriority="1" w:unhideWhenUsed="1"/>
    <w:lsdException w:name="Quote" w:semiHidden="1" w:uiPriority="1" w:unhideWhenUsed="1"/>
    <w:lsdException w:name="Intense Quote" w:semiHidden="1" w:uiPriority="1" w:unhideWhenUsed="1"/>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p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b/>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i/>
    </w:rPr>
  </w:style>
  <w:style w:type="character" w:customStyle="1" w:styleId="AHPRAbodyunderlineChar">
    <w:name w:val="AHPRA body underline Char"/>
    <w:basedOn w:val="AHPRAbodyitalicsChar"/>
    <w:link w:val="AHPRAbodyunderline"/>
    <w:rsid w:val="000E7E28"/>
    <w:rPr>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Footer">
    <w:name w:val="footer"/>
    <w:basedOn w:val="Normal"/>
    <w:link w:val="FooterChar"/>
    <w:uiPriority w:val="99"/>
    <w:rsid w:val="00C9191D"/>
    <w:pPr>
      <w:tabs>
        <w:tab w:val="center" w:pos="4513"/>
        <w:tab w:val="right" w:pos="9026"/>
      </w:tabs>
      <w:spacing w:after="0"/>
    </w:pPr>
  </w:style>
  <w:style w:type="character" w:customStyle="1" w:styleId="FooterChar">
    <w:name w:val="Footer Char"/>
    <w:basedOn w:val="DefaultParagraphFont"/>
    <w:link w:val="Footer"/>
    <w:uiPriority w:val="99"/>
    <w:rsid w:val="00C9191D"/>
    <w:rPr>
      <w:sz w:val="24"/>
      <w:szCs w:val="24"/>
      <w:lang w:val="en-AU"/>
    </w:rPr>
  </w:style>
  <w:style w:type="paragraph" w:customStyle="1" w:styleId="TableBullet1">
    <w:name w:val="Table Bullet 1"/>
    <w:qFormat/>
    <w:rsid w:val="000F26F8"/>
    <w:pPr>
      <w:numPr>
        <w:numId w:val="14"/>
      </w:numPr>
      <w:spacing w:before="80" w:after="80"/>
      <w:ind w:right="113"/>
    </w:pPr>
    <w:rPr>
      <w:szCs w:val="24"/>
    </w:rPr>
  </w:style>
  <w:style w:type="paragraph" w:customStyle="1" w:styleId="TableBullet2">
    <w:name w:val="Table Bullet 2"/>
    <w:qFormat/>
    <w:rsid w:val="000F26F8"/>
    <w:pPr>
      <w:numPr>
        <w:ilvl w:val="1"/>
        <w:numId w:val="14"/>
      </w:numPr>
      <w:spacing w:before="80" w:after="80"/>
      <w:ind w:right="113"/>
    </w:pPr>
    <w:rPr>
      <w:szCs w:val="24"/>
    </w:rPr>
  </w:style>
  <w:style w:type="paragraph" w:customStyle="1" w:styleId="TableBullet3">
    <w:name w:val="Table Bullet 3"/>
    <w:qFormat/>
    <w:rsid w:val="000F26F8"/>
    <w:pPr>
      <w:numPr>
        <w:ilvl w:val="2"/>
        <w:numId w:val="14"/>
      </w:numPr>
      <w:spacing w:before="80" w:after="80"/>
      <w:ind w:right="113"/>
    </w:pPr>
    <w:rPr>
      <w:szCs w:val="24"/>
    </w:rPr>
  </w:style>
  <w:style w:type="table" w:customStyle="1" w:styleId="AHPRATable1">
    <w:name w:val="AHPRA Table 1"/>
    <w:basedOn w:val="TableGrid"/>
    <w:uiPriority w:val="99"/>
    <w:qFormat/>
    <w:rsid w:val="000F26F8"/>
    <w:pPr>
      <w:ind w:left="113" w:right="113"/>
    </w:pPr>
    <w:tblPr>
      <w:tblStyleRow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paragraph" w:customStyle="1" w:styleId="Tableheadingwhite">
    <w:name w:val="Table heading white"/>
    <w:rsid w:val="000F26F8"/>
    <w:pPr>
      <w:spacing w:before="80" w:after="80"/>
      <w:ind w:left="113" w:right="113"/>
    </w:pPr>
    <w:rPr>
      <w:rFonts w:eastAsia="Times New Roman" w:cs="Arial"/>
      <w:b/>
      <w:color w:val="FFFFFF"/>
      <w:lang w:val="en-AU" w:eastAsia="en-AU"/>
    </w:rPr>
  </w:style>
  <w:style w:type="paragraph" w:customStyle="1" w:styleId="Tabletext">
    <w:name w:val="Table text"/>
    <w:rsid w:val="000F26F8"/>
    <w:pPr>
      <w:spacing w:before="80" w:after="80"/>
      <w:ind w:left="113" w:right="113"/>
    </w:pPr>
    <w:rPr>
      <w:rFonts w:cs="Arial"/>
    </w:rPr>
  </w:style>
</w:styles>
</file>

<file path=word/webSettings.xml><?xml version="1.0" encoding="utf-8"?>
<w:webSettings xmlns:r="http://schemas.openxmlformats.org/officeDocument/2006/relationships" xmlns:w="http://schemas.openxmlformats.org/wordprocessingml/2006/main">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ursingmidwiferyboard.gov.au/Codes-Guidelines-Statements/Codes-Guidelines/Framework-for-assessing-national-competency-standards.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bafeedback@ahpra.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ursingmidwiferyboard.gov.au/News/Current-Consultations.aspx" TargetMode="External"/><Relationship Id="rId4" Type="http://schemas.openxmlformats.org/officeDocument/2006/relationships/settings" Target="settings.xml"/><Relationship Id="rId9" Type="http://schemas.openxmlformats.org/officeDocument/2006/relationships/hyperlink" Target="http://www.nursingmidwiferyboard.gov.au/Codes-Guidelines-Statements/Codes-Guidelines/Framework-for-assessing-national-competency-standards.asp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acon\AppData\Local\Microsoft\Windows\Temporary%20Internet%20Files\Content.IE5\X0UGPRQL\Short-document-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63339-1966-46AD-8A4E-24E2C72C3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Short-document-template[1]</Template>
  <TotalTime>2</TotalTime>
  <Pages>4</Pages>
  <Words>1063</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7196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responses to request for tender (RFT): Outcomes-based assessment of IQNMs</dc:title>
  <dc:subject>Questions and answers</dc:subject>
  <dc:creator>Nursing and Midwifery Board</dc:creator>
  <cp:keywords>July 2014</cp:keywords>
  <cp:lastModifiedBy>Tara Johnson</cp:lastModifiedBy>
  <cp:revision>2</cp:revision>
  <cp:lastPrinted>2012-02-10T00:45:00Z</cp:lastPrinted>
  <dcterms:created xsi:type="dcterms:W3CDTF">2014-08-07T00:36:00Z</dcterms:created>
  <dcterms:modified xsi:type="dcterms:W3CDTF">2014-08-07T00:36:00Z</dcterms:modified>
</cp:coreProperties>
</file>