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4B" w:rsidRPr="00C35DE1" w:rsidRDefault="007D1B78" w:rsidP="008C5D4B">
      <w:pPr>
        <w:pStyle w:val="AHPRATitle"/>
        <w:rPr>
          <w:color w:val="00BCCE"/>
          <w:sz w:val="32"/>
          <w:szCs w:val="32"/>
        </w:rPr>
      </w:pPr>
      <w:r>
        <w:rPr>
          <w:noProof/>
          <w:color w:val="60605B"/>
          <w:sz w:val="32"/>
          <w:szCs w:val="32"/>
          <w:lang w:eastAsia="en-AU"/>
        </w:rPr>
        <w:pict>
          <v:shapetype id="_x0000_t32" coordsize="21600,21600" o:spt="32" o:oned="t" path="m,l21600,21600e" filled="f">
            <v:path arrowok="t" fillok="f" o:connecttype="none"/>
            <o:lock v:ext="edit" shapetype="t"/>
          </v:shapetype>
          <v:shape id="_x0000_s1026" type="#_x0000_t32" style="position:absolute;margin-left:-69.9pt;margin-top:22.7pt;width:421.65pt;height:0;z-index:251659264" o:connectortype="straight"/>
        </w:pict>
      </w:r>
      <w:r w:rsidR="008C5D4B">
        <w:rPr>
          <w:color w:val="00BCCE"/>
          <w:sz w:val="32"/>
          <w:szCs w:val="32"/>
        </w:rPr>
        <w:t>Registration standard: Effective from 1 July 2015</w:t>
      </w:r>
    </w:p>
    <w:p w:rsidR="008C5D4B" w:rsidRDefault="008C5D4B" w:rsidP="00FF05DE">
      <w:pPr>
        <w:pStyle w:val="AHPRASubhead"/>
        <w:spacing w:before="240"/>
        <w:rPr>
          <w:b w:val="0"/>
          <w:color w:val="60605B"/>
          <w:sz w:val="28"/>
          <w:szCs w:val="28"/>
          <w:lang w:val="en-AU"/>
        </w:rPr>
      </w:pPr>
    </w:p>
    <w:p w:rsidR="00F7477D" w:rsidRPr="008C5D4B" w:rsidRDefault="008C5D4B" w:rsidP="00FF05DE">
      <w:pPr>
        <w:pStyle w:val="AHPRASubhead"/>
        <w:spacing w:before="240"/>
        <w:rPr>
          <w:b w:val="0"/>
          <w:color w:val="60605B"/>
          <w:sz w:val="28"/>
          <w:szCs w:val="28"/>
          <w:lang w:val="en-AU"/>
        </w:rPr>
      </w:pPr>
      <w:r w:rsidRPr="008C5D4B">
        <w:rPr>
          <w:b w:val="0"/>
          <w:color w:val="60605B"/>
          <w:sz w:val="28"/>
          <w:szCs w:val="28"/>
          <w:lang w:val="en-AU"/>
        </w:rPr>
        <w:t xml:space="preserve">Registration </w:t>
      </w:r>
      <w:r w:rsidRPr="008C5D4B">
        <w:rPr>
          <w:rFonts w:eastAsia="Cambria"/>
          <w:b w:val="0"/>
          <w:color w:val="60605B"/>
          <w:sz w:val="28"/>
          <w:szCs w:val="28"/>
          <w:lang w:val="en-AU"/>
        </w:rPr>
        <w:t>standard</w:t>
      </w:r>
      <w:r w:rsidRPr="008C5D4B">
        <w:rPr>
          <w:b w:val="0"/>
          <w:color w:val="60605B"/>
          <w:sz w:val="28"/>
          <w:szCs w:val="28"/>
          <w:lang w:val="en-AU"/>
        </w:rPr>
        <w:t xml:space="preserve">: </w:t>
      </w:r>
      <w:r w:rsidR="00F7477D" w:rsidRPr="008C5D4B">
        <w:rPr>
          <w:b w:val="0"/>
          <w:color w:val="60605B"/>
          <w:sz w:val="28"/>
          <w:szCs w:val="28"/>
          <w:lang w:val="en-AU"/>
        </w:rPr>
        <w:t xml:space="preserve">Criminal history </w:t>
      </w:r>
    </w:p>
    <w:p w:rsidR="0059202D" w:rsidRPr="004A11E6" w:rsidRDefault="00BC571F" w:rsidP="0059202D">
      <w:pPr>
        <w:pStyle w:val="AHPRASubhead"/>
        <w:rPr>
          <w:b w:val="0"/>
          <w:color w:val="auto"/>
        </w:rPr>
      </w:pPr>
      <w:r w:rsidRPr="001D7BB6">
        <w:rPr>
          <w:rFonts w:cs="Arial"/>
        </w:rPr>
        <w:t>Effective from:</w:t>
      </w:r>
      <w:r w:rsidR="0059202D" w:rsidRPr="0059202D">
        <w:t xml:space="preserve"> </w:t>
      </w:r>
      <w:r w:rsidR="00EB2896">
        <w:rPr>
          <w:b w:val="0"/>
          <w:color w:val="auto"/>
        </w:rPr>
        <w:t>1 July 2015</w:t>
      </w:r>
    </w:p>
    <w:p w:rsidR="007E566F" w:rsidRPr="00BC571F" w:rsidRDefault="00EB2DF4" w:rsidP="00FF05DE">
      <w:pPr>
        <w:pStyle w:val="AHPRASubhead"/>
        <w:rPr>
          <w:rFonts w:cs="Arial"/>
          <w:szCs w:val="20"/>
        </w:rPr>
      </w:pPr>
      <w:r w:rsidRPr="00BC571F">
        <w:rPr>
          <w:rFonts w:cs="Arial"/>
          <w:szCs w:val="20"/>
        </w:rPr>
        <w:t xml:space="preserve">Summary </w:t>
      </w:r>
      <w:bookmarkStart w:id="0" w:name="_GoBack"/>
      <w:bookmarkEnd w:id="0"/>
    </w:p>
    <w:p w:rsidR="00487A81" w:rsidRPr="00FF05DE" w:rsidRDefault="00BC571F" w:rsidP="00FF05DE">
      <w:pPr>
        <w:spacing w:line="240" w:lineRule="auto"/>
        <w:rPr>
          <w:rFonts w:ascii="Arial" w:hAnsi="Arial" w:cs="Arial"/>
          <w:sz w:val="20"/>
          <w:szCs w:val="20"/>
        </w:rPr>
      </w:pPr>
      <w:r w:rsidRPr="00BC571F">
        <w:rPr>
          <w:rFonts w:ascii="Arial" w:hAnsi="Arial" w:cs="Arial"/>
          <w:sz w:val="20"/>
          <w:szCs w:val="20"/>
        </w:rPr>
        <w:t xml:space="preserve">This registration standard sets out the factors the National </w:t>
      </w:r>
      <w:r w:rsidR="00A7780F">
        <w:rPr>
          <w:rFonts w:ascii="Arial" w:hAnsi="Arial" w:cs="Arial"/>
          <w:sz w:val="20"/>
          <w:szCs w:val="20"/>
        </w:rPr>
        <w:t>B</w:t>
      </w:r>
      <w:r w:rsidRPr="00BC571F">
        <w:rPr>
          <w:rFonts w:ascii="Arial" w:hAnsi="Arial" w:cs="Arial"/>
          <w:sz w:val="20"/>
          <w:szCs w:val="20"/>
        </w:rPr>
        <w:t>oard will consider in deciding whether a health practitioner’s criminal history is relevant to the practice of their profession under the Health Practitioner Regulation National Law as in force in each state and territory (the National Law).</w:t>
      </w:r>
      <w:r w:rsidR="00EB2DF4" w:rsidRPr="00FF05DE">
        <w:rPr>
          <w:rFonts w:ascii="Arial" w:hAnsi="Arial" w:cs="Arial"/>
          <w:sz w:val="20"/>
          <w:szCs w:val="20"/>
        </w:rPr>
        <w:t xml:space="preserve"> While every case will need to be decided on an individual basis, these 10 factors provide the basis for the Board’s consideration.</w:t>
      </w:r>
    </w:p>
    <w:p w:rsidR="00C015C1" w:rsidRPr="00C015C1" w:rsidRDefault="00BC571F" w:rsidP="00FF05DE">
      <w:pPr>
        <w:spacing w:line="240" w:lineRule="auto"/>
        <w:rPr>
          <w:rFonts w:ascii="Arial" w:hAnsi="Arial" w:cs="Arial"/>
          <w:b/>
          <w:color w:val="008EC4"/>
          <w:sz w:val="20"/>
          <w:szCs w:val="20"/>
          <w:lang w:val="en-US"/>
        </w:rPr>
      </w:pPr>
      <w:r w:rsidRPr="00C015C1">
        <w:rPr>
          <w:rFonts w:ascii="Arial" w:hAnsi="Arial" w:cs="Arial"/>
          <w:b/>
          <w:color w:val="008EC4"/>
          <w:sz w:val="20"/>
          <w:szCs w:val="20"/>
          <w:lang w:val="en-US"/>
        </w:rPr>
        <w:t>Does this standard apply to me?</w:t>
      </w:r>
    </w:p>
    <w:p w:rsidR="00487A81" w:rsidRPr="00FF05DE" w:rsidRDefault="00EB2DF4" w:rsidP="00FF05DE">
      <w:pPr>
        <w:spacing w:line="240" w:lineRule="auto"/>
        <w:rPr>
          <w:rFonts w:ascii="Arial" w:hAnsi="Arial" w:cs="Arial"/>
          <w:sz w:val="20"/>
          <w:szCs w:val="20"/>
        </w:rPr>
      </w:pPr>
      <w:r w:rsidRPr="00FF05DE">
        <w:rPr>
          <w:rFonts w:ascii="Arial" w:hAnsi="Arial" w:cs="Arial"/>
          <w:sz w:val="20"/>
          <w:szCs w:val="20"/>
        </w:rPr>
        <w:t>This standard applies to all applicants</w:t>
      </w:r>
      <w:r w:rsidR="00BC571F">
        <w:rPr>
          <w:rFonts w:ascii="Arial" w:hAnsi="Arial" w:cs="Arial"/>
          <w:sz w:val="20"/>
          <w:szCs w:val="20"/>
        </w:rPr>
        <w:t xml:space="preserve"> for registration</w:t>
      </w:r>
      <w:r w:rsidRPr="00FF05DE">
        <w:rPr>
          <w:rFonts w:ascii="Arial" w:hAnsi="Arial" w:cs="Arial"/>
          <w:sz w:val="20"/>
          <w:szCs w:val="20"/>
        </w:rPr>
        <w:t xml:space="preserve"> and all registered health practitioners. It does not apply to students.</w:t>
      </w:r>
    </w:p>
    <w:p w:rsidR="007E566F" w:rsidRPr="00FF05DE" w:rsidRDefault="00EB2DF4" w:rsidP="00FF05DE">
      <w:pPr>
        <w:pStyle w:val="AHPRASubhead"/>
      </w:pPr>
      <w:r w:rsidRPr="00FF05DE">
        <w:t xml:space="preserve">Requirements </w:t>
      </w:r>
    </w:p>
    <w:p w:rsidR="00487A81" w:rsidRPr="00FF05DE" w:rsidRDefault="00EB2DF4" w:rsidP="00FF05DE">
      <w:pPr>
        <w:spacing w:line="240" w:lineRule="auto"/>
        <w:rPr>
          <w:rFonts w:ascii="Arial" w:hAnsi="Arial" w:cs="Arial"/>
          <w:sz w:val="20"/>
          <w:szCs w:val="20"/>
        </w:rPr>
      </w:pPr>
      <w:r w:rsidRPr="00FF05DE">
        <w:rPr>
          <w:rFonts w:ascii="Arial" w:hAnsi="Arial" w:cs="Arial"/>
          <w:sz w:val="20"/>
          <w:szCs w:val="20"/>
        </w:rPr>
        <w:t>In deciding whether a health practitioner’s criminal history is relevant to the practice of their profession, the Board will consider the following factors.</w:t>
      </w:r>
    </w:p>
    <w:p w:rsidR="00487A81" w:rsidRPr="00FF05DE" w:rsidRDefault="00EB2DF4" w:rsidP="00FF05DE">
      <w:pPr>
        <w:pStyle w:val="ListParagraph"/>
        <w:numPr>
          <w:ilvl w:val="0"/>
          <w:numId w:val="20"/>
        </w:numPr>
        <w:spacing w:line="240" w:lineRule="auto"/>
        <w:rPr>
          <w:rFonts w:ascii="Arial" w:hAnsi="Arial" w:cs="Arial"/>
          <w:sz w:val="20"/>
          <w:szCs w:val="20"/>
        </w:rPr>
      </w:pPr>
      <w:r w:rsidRPr="00FF05DE">
        <w:rPr>
          <w:rFonts w:ascii="Arial" w:hAnsi="Arial" w:cs="Arial"/>
          <w:b/>
          <w:sz w:val="20"/>
          <w:szCs w:val="20"/>
        </w:rPr>
        <w:t>The nature and gravity of the offence or alleged offence and its relevance to health practice.</w:t>
      </w:r>
      <w:r w:rsidRPr="00FF05DE">
        <w:rPr>
          <w:rFonts w:ascii="Arial" w:hAnsi="Arial" w:cs="Arial"/>
          <w:sz w:val="20"/>
          <w:szCs w:val="20"/>
        </w:rPr>
        <w:t xml:space="preserve"> </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more serious the offence or alleged offence and the greater its relevance to health practice, the more weight that the Board will assign to it.</w:t>
      </w:r>
    </w:p>
    <w:p w:rsidR="00487A81" w:rsidRPr="00FF05DE" w:rsidRDefault="00EB2DF4" w:rsidP="00FF05DE">
      <w:pPr>
        <w:pStyle w:val="ListParagraph"/>
        <w:numPr>
          <w:ilvl w:val="0"/>
          <w:numId w:val="20"/>
        </w:numPr>
        <w:spacing w:line="240" w:lineRule="auto"/>
        <w:rPr>
          <w:rFonts w:ascii="Arial" w:hAnsi="Arial" w:cs="Arial"/>
          <w:sz w:val="20"/>
          <w:szCs w:val="20"/>
        </w:rPr>
      </w:pPr>
      <w:r w:rsidRPr="00FF05DE">
        <w:rPr>
          <w:rFonts w:ascii="Arial" w:hAnsi="Arial" w:cs="Arial"/>
          <w:b/>
          <w:sz w:val="20"/>
          <w:szCs w:val="20"/>
        </w:rPr>
        <w:t>The period of time since the health practitioner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will generally place greater weight on more recent offences.</w:t>
      </w:r>
    </w:p>
    <w:p w:rsidR="00487A81" w:rsidRPr="00FF05DE" w:rsidRDefault="00EB2DF4" w:rsidP="00FF05DE">
      <w:pPr>
        <w:pStyle w:val="ListParagraph"/>
        <w:numPr>
          <w:ilvl w:val="0"/>
          <w:numId w:val="20"/>
        </w:numPr>
        <w:spacing w:line="240" w:lineRule="auto"/>
        <w:rPr>
          <w:rFonts w:ascii="Arial" w:hAnsi="Arial" w:cs="Arial"/>
          <w:b/>
          <w:sz w:val="20"/>
          <w:szCs w:val="20"/>
        </w:rPr>
      </w:pPr>
      <w:r w:rsidRPr="00FF05DE">
        <w:rPr>
          <w:rFonts w:ascii="Arial" w:hAnsi="Arial" w:cs="Arial"/>
          <w:b/>
          <w:sz w:val="20"/>
          <w:szCs w:val="20"/>
        </w:rPr>
        <w:t>Whether a finding of guilt or a conviction was recorded for the offence or a charge for the offence is still pending.</w:t>
      </w:r>
    </w:p>
    <w:p w:rsidR="00487A81" w:rsidRPr="00FF05DE" w:rsidRDefault="00EB2DF4" w:rsidP="00FF05DE">
      <w:pPr>
        <w:spacing w:line="240" w:lineRule="auto"/>
        <w:ind w:left="357"/>
        <w:rPr>
          <w:rFonts w:ascii="Arial" w:hAnsi="Arial" w:cs="Arial"/>
          <w:sz w:val="20"/>
          <w:szCs w:val="20"/>
        </w:rPr>
      </w:pPr>
      <w:r w:rsidRPr="00FF05DE">
        <w:rPr>
          <w:rFonts w:ascii="Arial" w:hAnsi="Arial" w:cs="Arial"/>
          <w:sz w:val="20"/>
          <w:szCs w:val="20"/>
        </w:rPr>
        <w:t>In considering the relevance of the criminal history information, the Board is to have regard to the type of criminal history information provided. The following types of criminal history information are to be considered, in descending order of relevance:</w:t>
      </w:r>
    </w:p>
    <w:p w:rsidR="00487A81" w:rsidRPr="00FF05DE" w:rsidRDefault="00EB2DF4" w:rsidP="00FF05DE">
      <w:pPr>
        <w:pStyle w:val="ListParagraph"/>
        <w:numPr>
          <w:ilvl w:val="0"/>
          <w:numId w:val="21"/>
        </w:numPr>
        <w:spacing w:line="240" w:lineRule="auto"/>
        <w:rPr>
          <w:rFonts w:ascii="Arial" w:hAnsi="Arial" w:cs="Arial"/>
          <w:sz w:val="20"/>
          <w:szCs w:val="20"/>
        </w:rPr>
      </w:pPr>
      <w:r w:rsidRPr="00FF05DE">
        <w:rPr>
          <w:rFonts w:ascii="Arial" w:hAnsi="Arial" w:cs="Arial"/>
          <w:sz w:val="20"/>
          <w:szCs w:val="20"/>
        </w:rPr>
        <w:t>convictions</w:t>
      </w:r>
    </w:p>
    <w:p w:rsidR="00487A81" w:rsidRPr="00FF05DE" w:rsidRDefault="00EB2DF4" w:rsidP="00FF05DE">
      <w:pPr>
        <w:pStyle w:val="ListParagraph"/>
        <w:numPr>
          <w:ilvl w:val="0"/>
          <w:numId w:val="21"/>
        </w:numPr>
        <w:spacing w:line="240" w:lineRule="auto"/>
        <w:rPr>
          <w:rFonts w:ascii="Arial" w:hAnsi="Arial" w:cs="Arial"/>
          <w:sz w:val="20"/>
          <w:szCs w:val="20"/>
        </w:rPr>
      </w:pPr>
      <w:r w:rsidRPr="00FF05DE">
        <w:rPr>
          <w:rFonts w:ascii="Arial" w:hAnsi="Arial" w:cs="Arial"/>
          <w:sz w:val="20"/>
          <w:szCs w:val="20"/>
        </w:rPr>
        <w:t>findings of guilt</w:t>
      </w:r>
    </w:p>
    <w:p w:rsidR="00487A81" w:rsidRPr="00FF05DE" w:rsidRDefault="00EB2DF4" w:rsidP="00FF05DE">
      <w:pPr>
        <w:pStyle w:val="ListParagraph"/>
        <w:numPr>
          <w:ilvl w:val="0"/>
          <w:numId w:val="21"/>
        </w:numPr>
        <w:spacing w:line="240" w:lineRule="auto"/>
        <w:rPr>
          <w:rFonts w:ascii="Arial" w:hAnsi="Arial" w:cs="Arial"/>
          <w:sz w:val="20"/>
          <w:szCs w:val="20"/>
        </w:rPr>
      </w:pPr>
      <w:r w:rsidRPr="00FF05DE">
        <w:rPr>
          <w:rFonts w:ascii="Arial" w:hAnsi="Arial" w:cs="Arial"/>
          <w:sz w:val="20"/>
          <w:szCs w:val="20"/>
        </w:rPr>
        <w:t>pending charges</w:t>
      </w:r>
    </w:p>
    <w:p w:rsidR="00487A81" w:rsidRPr="00BC571F" w:rsidRDefault="00EB2DF4" w:rsidP="00BC571F">
      <w:pPr>
        <w:pStyle w:val="ListParagraph"/>
        <w:numPr>
          <w:ilvl w:val="0"/>
          <w:numId w:val="21"/>
        </w:numPr>
        <w:spacing w:line="240" w:lineRule="auto"/>
        <w:ind w:left="714" w:hanging="357"/>
        <w:rPr>
          <w:rFonts w:ascii="Arial" w:hAnsi="Arial" w:cs="Arial"/>
          <w:sz w:val="20"/>
          <w:szCs w:val="20"/>
        </w:rPr>
      </w:pPr>
      <w:r w:rsidRPr="00FD5499">
        <w:rPr>
          <w:rFonts w:ascii="Arial" w:hAnsi="Arial" w:cs="Arial"/>
          <w:sz w:val="20"/>
          <w:szCs w:val="20"/>
        </w:rPr>
        <w:t xml:space="preserve">non conviction charges; that is, charges that have been resolved otherwise than by a conviction or finding of guilt, taking into account the availability and source of contextual </w:t>
      </w:r>
      <w:r w:rsidRPr="00BC571F">
        <w:rPr>
          <w:rFonts w:ascii="Arial" w:hAnsi="Arial" w:cs="Arial"/>
          <w:sz w:val="20"/>
          <w:szCs w:val="20"/>
        </w:rPr>
        <w:t>information which may explain why a non</w:t>
      </w:r>
      <w:r w:rsidR="002519C7" w:rsidRPr="00BC571F">
        <w:rPr>
          <w:rFonts w:ascii="Arial" w:hAnsi="Arial" w:cs="Arial"/>
          <w:sz w:val="20"/>
          <w:szCs w:val="20"/>
        </w:rPr>
        <w:t>-</w:t>
      </w:r>
      <w:r w:rsidRPr="00BC571F">
        <w:rPr>
          <w:rFonts w:ascii="Arial" w:hAnsi="Arial" w:cs="Arial"/>
          <w:sz w:val="20"/>
          <w:szCs w:val="20"/>
        </w:rPr>
        <w:t>conviction charge did not result in a conviction or finding of guilt.</w:t>
      </w:r>
    </w:p>
    <w:p w:rsidR="007E566F" w:rsidRPr="00FF05DE" w:rsidRDefault="00EB2DF4" w:rsidP="00FF05DE">
      <w:pPr>
        <w:pStyle w:val="ListParagraph"/>
        <w:numPr>
          <w:ilvl w:val="0"/>
          <w:numId w:val="20"/>
        </w:numPr>
        <w:spacing w:before="360" w:line="240" w:lineRule="auto"/>
        <w:ind w:left="357" w:hanging="357"/>
        <w:contextualSpacing w:val="0"/>
        <w:rPr>
          <w:rFonts w:ascii="Arial" w:hAnsi="Arial" w:cs="Arial"/>
          <w:b/>
          <w:sz w:val="20"/>
          <w:szCs w:val="20"/>
        </w:rPr>
      </w:pPr>
      <w:r w:rsidRPr="00FF05DE">
        <w:rPr>
          <w:rFonts w:ascii="Arial" w:hAnsi="Arial" w:cs="Arial"/>
          <w:b/>
          <w:sz w:val="20"/>
          <w:szCs w:val="20"/>
        </w:rPr>
        <w:lastRenderedPageBreak/>
        <w:t>The sentence imposed for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weight the Board will place on the sentence will generally increase as the significance of the sentence increases, including any custodial period imposed. The Board will also consider any mitigating factors raised in sentencing, where available, including rehabilitation.</w:t>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The ages of the health practitioner and of any victim at the time the health practitioner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may place less weight on offences committed when the applicant is younger, and particularly under 18 years of age. The Board may place more weight on offences involving victims under 18 years of age or other vulnerable persons.</w:t>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Whether or not the conduct that constituted the offence or to which the charge relates has been decriminalised since the health practitioner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will generally place less or no weight on offences that have been decriminalised since the health practitioner committed, or allegedly committed, the offence.</w:t>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The health practitioner’s behaviour since he or she committed, or allegedly committed, the offence.</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Indications that the offence was an aberration and evidence of good conduct or rehabilitation since the commission, or alleged commission of the offence, will tend to be a mitigating factor. However, indications that the offence is part of a pattern of behaviour will tend to have the opposite effect.</w:t>
      </w:r>
    </w:p>
    <w:p w:rsidR="00EB2DF4"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The likelihood of future threat to a patient of the health practitioner.</w:t>
      </w:r>
    </w:p>
    <w:p w:rsidR="00EB2DF4"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is likely to place significant weight on the likelihood of future threat to a patient or client of the health practitioner.</w:t>
      </w:r>
    </w:p>
    <w:p w:rsidR="00EB2DF4"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Any information given by the health practitioner.</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Any information provided by the health practitioner such as an explanation or mitigating factors will be reviewed by the Board and taken into account in considering the health practitioner’s criminal history.</w:t>
      </w:r>
    </w:p>
    <w:p w:rsidR="00487A81" w:rsidRPr="00FF05DE" w:rsidRDefault="00EB2DF4" w:rsidP="00FF05DE">
      <w:pPr>
        <w:pStyle w:val="ListParagraph"/>
        <w:numPr>
          <w:ilvl w:val="0"/>
          <w:numId w:val="20"/>
        </w:numPr>
        <w:spacing w:before="240" w:line="240" w:lineRule="auto"/>
        <w:ind w:left="357" w:hanging="357"/>
        <w:rPr>
          <w:rFonts w:ascii="Arial" w:hAnsi="Arial" w:cs="Arial"/>
          <w:b/>
          <w:sz w:val="20"/>
          <w:szCs w:val="20"/>
        </w:rPr>
      </w:pPr>
      <w:r w:rsidRPr="00FF05DE">
        <w:rPr>
          <w:rFonts w:ascii="Arial" w:hAnsi="Arial" w:cs="Arial"/>
          <w:b/>
          <w:sz w:val="20"/>
          <w:szCs w:val="20"/>
        </w:rPr>
        <w:t>Any other matter that the Board considers relevant.</w:t>
      </w:r>
    </w:p>
    <w:p w:rsidR="00487A81" w:rsidRPr="00FF05DE" w:rsidRDefault="00EB2DF4" w:rsidP="00FF05DE">
      <w:pPr>
        <w:spacing w:line="240" w:lineRule="auto"/>
        <w:ind w:left="360"/>
        <w:rPr>
          <w:rFonts w:ascii="Arial" w:hAnsi="Arial" w:cs="Arial"/>
          <w:sz w:val="20"/>
          <w:szCs w:val="20"/>
        </w:rPr>
      </w:pPr>
      <w:r w:rsidRPr="00FF05DE">
        <w:rPr>
          <w:rFonts w:ascii="Arial" w:hAnsi="Arial" w:cs="Arial"/>
          <w:sz w:val="20"/>
          <w:szCs w:val="20"/>
        </w:rPr>
        <w:t>The Board may take into account any other matter that it considers relevant to the application or notification. A Board will not require an applicant or registered health practitioner to provide further information that may prejudice their personal situation pending charges and the Board must not draw any adverse inference as a result of the fact that information has not been provided.</w:t>
      </w:r>
    </w:p>
    <w:p w:rsidR="00487A81" w:rsidRPr="00FF05DE" w:rsidRDefault="00EB2DF4" w:rsidP="00FF05DE">
      <w:pPr>
        <w:spacing w:line="240" w:lineRule="auto"/>
        <w:rPr>
          <w:rFonts w:ascii="Arial" w:hAnsi="Arial" w:cs="Arial"/>
          <w:sz w:val="20"/>
          <w:szCs w:val="20"/>
        </w:rPr>
      </w:pPr>
      <w:r w:rsidRPr="00FF05DE">
        <w:rPr>
          <w:rFonts w:ascii="Arial" w:hAnsi="Arial" w:cs="Arial"/>
          <w:b/>
          <w:sz w:val="20"/>
          <w:szCs w:val="20"/>
        </w:rPr>
        <w:t>Note:</w:t>
      </w:r>
      <w:r w:rsidRPr="00FF05DE">
        <w:rPr>
          <w:rFonts w:ascii="Arial" w:hAnsi="Arial" w:cs="Arial"/>
          <w:sz w:val="20"/>
          <w:szCs w:val="20"/>
        </w:rPr>
        <w:t xml:space="preserve"> the above factors have been numbered for ease of reference only. The numbering does not indicate a priority order of application.</w:t>
      </w:r>
    </w:p>
    <w:p w:rsidR="007E566F" w:rsidRPr="00FF05DE" w:rsidRDefault="00EB2DF4" w:rsidP="00FF05DE">
      <w:pPr>
        <w:pStyle w:val="AHPRASubhead"/>
      </w:pPr>
      <w:r w:rsidRPr="00FF05DE">
        <w:t xml:space="preserve">Review </w:t>
      </w:r>
    </w:p>
    <w:p w:rsidR="00487A81" w:rsidRDefault="00EB2DF4" w:rsidP="00FF05DE">
      <w:pPr>
        <w:autoSpaceDE w:val="0"/>
        <w:autoSpaceDN w:val="0"/>
        <w:adjustRightInd w:val="0"/>
        <w:spacing w:before="120" w:line="240" w:lineRule="auto"/>
        <w:rPr>
          <w:rFonts w:ascii="Arial" w:hAnsi="Arial" w:cs="Arial"/>
          <w:sz w:val="20"/>
          <w:szCs w:val="20"/>
        </w:rPr>
      </w:pPr>
      <w:r w:rsidRPr="00FF05DE">
        <w:rPr>
          <w:rFonts w:ascii="Arial" w:hAnsi="Arial" w:cs="Arial"/>
          <w:sz w:val="20"/>
          <w:szCs w:val="20"/>
        </w:rPr>
        <w:t xml:space="preserve">This standard will commence on </w:t>
      </w:r>
      <w:r w:rsidR="00D66701">
        <w:rPr>
          <w:rFonts w:ascii="Arial" w:hAnsi="Arial" w:cs="Arial"/>
          <w:sz w:val="20"/>
          <w:szCs w:val="20"/>
        </w:rPr>
        <w:t>1 July 2015</w:t>
      </w:r>
      <w:r w:rsidRPr="00FF05DE">
        <w:rPr>
          <w:rFonts w:ascii="Arial" w:hAnsi="Arial" w:cs="Arial"/>
          <w:sz w:val="20"/>
          <w:szCs w:val="20"/>
        </w:rPr>
        <w:t>.  The Board will review this standard at least every five years.</w:t>
      </w:r>
    </w:p>
    <w:p w:rsidR="00BC571F" w:rsidRPr="00FF05DE" w:rsidRDefault="00BC571F" w:rsidP="00BC571F">
      <w:pPr>
        <w:pStyle w:val="AHPRASubhead"/>
        <w:rPr>
          <w:rFonts w:cs="Arial"/>
          <w:szCs w:val="20"/>
        </w:rPr>
      </w:pPr>
      <w:r w:rsidRPr="00FF05DE">
        <w:rPr>
          <w:rFonts w:cs="Arial"/>
          <w:szCs w:val="20"/>
        </w:rPr>
        <w:t xml:space="preserve">Authority </w:t>
      </w:r>
    </w:p>
    <w:p w:rsidR="00BC571F" w:rsidRPr="001D7BB6" w:rsidRDefault="00BC571F" w:rsidP="00BC571F">
      <w:pPr>
        <w:autoSpaceDE w:val="0"/>
        <w:autoSpaceDN w:val="0"/>
        <w:adjustRightInd w:val="0"/>
        <w:spacing w:after="0"/>
        <w:rPr>
          <w:rFonts w:ascii="Arial" w:hAnsi="Arial" w:cs="Arial"/>
          <w:sz w:val="20"/>
          <w:szCs w:val="20"/>
        </w:rPr>
      </w:pPr>
      <w:r w:rsidRPr="001D7BB6">
        <w:rPr>
          <w:rFonts w:ascii="Arial" w:hAnsi="Arial" w:cs="Arial"/>
          <w:sz w:val="20"/>
          <w:szCs w:val="20"/>
        </w:rPr>
        <w:t xml:space="preserve">This registration standard was approved by the Australian Health Workforce Ministerial Council on </w:t>
      </w:r>
      <w:r w:rsidR="00D66701">
        <w:rPr>
          <w:rFonts w:ascii="Arial" w:hAnsi="Arial" w:cs="Arial"/>
          <w:sz w:val="20"/>
          <w:szCs w:val="20"/>
        </w:rPr>
        <w:t>17 March 2015</w:t>
      </w:r>
      <w:r w:rsidRPr="001D7BB6">
        <w:rPr>
          <w:rFonts w:ascii="Arial" w:hAnsi="Arial" w:cs="Arial"/>
          <w:sz w:val="20"/>
          <w:szCs w:val="20"/>
        </w:rPr>
        <w:t xml:space="preserve">. </w:t>
      </w:r>
    </w:p>
    <w:p w:rsidR="00BC571F" w:rsidRPr="001D7BB6" w:rsidRDefault="00BC571F" w:rsidP="00BC571F">
      <w:pPr>
        <w:autoSpaceDE w:val="0"/>
        <w:autoSpaceDN w:val="0"/>
        <w:adjustRightInd w:val="0"/>
        <w:spacing w:after="0"/>
        <w:rPr>
          <w:rFonts w:ascii="Arial" w:hAnsi="Arial" w:cs="Arial"/>
          <w:sz w:val="20"/>
          <w:szCs w:val="20"/>
        </w:rPr>
      </w:pPr>
    </w:p>
    <w:p w:rsidR="00BC571F" w:rsidRPr="001D7BB6" w:rsidRDefault="00BC571F" w:rsidP="00BC571F">
      <w:pPr>
        <w:autoSpaceDE w:val="0"/>
        <w:autoSpaceDN w:val="0"/>
        <w:adjustRightInd w:val="0"/>
        <w:spacing w:after="0"/>
        <w:rPr>
          <w:rFonts w:ascii="Arial" w:hAnsi="Arial" w:cs="Arial"/>
          <w:sz w:val="20"/>
          <w:szCs w:val="20"/>
        </w:rPr>
      </w:pPr>
      <w:r w:rsidRPr="001D7BB6">
        <w:rPr>
          <w:rFonts w:ascii="Arial" w:hAnsi="Arial" w:cs="Arial"/>
          <w:sz w:val="20"/>
          <w:szCs w:val="20"/>
        </w:rPr>
        <w:t>Registration standards are developed under section 38 of the National Law and are subject to wide ranging consultation.</w:t>
      </w:r>
    </w:p>
    <w:p w:rsidR="00BC571F" w:rsidRPr="00FF05DE" w:rsidRDefault="00BC571F" w:rsidP="00BC571F">
      <w:pPr>
        <w:spacing w:line="240" w:lineRule="auto"/>
        <w:rPr>
          <w:rFonts w:ascii="Arial" w:hAnsi="Arial" w:cs="Arial"/>
          <w:sz w:val="20"/>
          <w:szCs w:val="20"/>
        </w:rPr>
      </w:pPr>
    </w:p>
    <w:p w:rsidR="00BC571F" w:rsidRPr="00FF05DE" w:rsidRDefault="00BC571F" w:rsidP="00BC571F">
      <w:pPr>
        <w:pStyle w:val="AHPRASubhead"/>
      </w:pPr>
      <w:r w:rsidRPr="00FF05DE">
        <w:t>Definitions</w:t>
      </w:r>
    </w:p>
    <w:p w:rsidR="00BC571F" w:rsidRPr="00FF05DE" w:rsidRDefault="00BC571F" w:rsidP="00BC571F">
      <w:pPr>
        <w:spacing w:line="240" w:lineRule="auto"/>
        <w:rPr>
          <w:rFonts w:ascii="Arial" w:hAnsi="Arial" w:cs="Arial"/>
          <w:sz w:val="20"/>
          <w:szCs w:val="20"/>
        </w:rPr>
      </w:pPr>
      <w:r w:rsidRPr="00FF05DE">
        <w:rPr>
          <w:rFonts w:ascii="Arial" w:hAnsi="Arial" w:cs="Arial"/>
          <w:b/>
          <w:sz w:val="20"/>
          <w:szCs w:val="20"/>
        </w:rPr>
        <w:t>Criminal history</w:t>
      </w:r>
      <w:r w:rsidRPr="00FF05DE">
        <w:rPr>
          <w:rFonts w:ascii="Arial" w:hAnsi="Arial" w:cs="Arial"/>
          <w:sz w:val="20"/>
          <w:szCs w:val="20"/>
        </w:rPr>
        <w:t xml:space="preserve"> is defined in the National Law as:</w:t>
      </w:r>
    </w:p>
    <w:p w:rsidR="00BC571F" w:rsidRPr="00FF05DE" w:rsidRDefault="00BC571F" w:rsidP="00BC571F">
      <w:pPr>
        <w:pStyle w:val="ListParagraph"/>
        <w:numPr>
          <w:ilvl w:val="0"/>
          <w:numId w:val="22"/>
        </w:numPr>
        <w:spacing w:line="240" w:lineRule="auto"/>
        <w:rPr>
          <w:rFonts w:ascii="Arial" w:hAnsi="Arial" w:cs="Arial"/>
          <w:sz w:val="20"/>
          <w:szCs w:val="20"/>
        </w:rPr>
      </w:pPr>
      <w:r w:rsidRPr="00FF05DE">
        <w:rPr>
          <w:rFonts w:ascii="Arial" w:hAnsi="Arial" w:cs="Arial"/>
          <w:sz w:val="20"/>
          <w:szCs w:val="20"/>
        </w:rPr>
        <w:t>every conviction of the person for an offence, in a participating jurisdiction or elsewhere, and whether before or after the commencement of this Law;</w:t>
      </w:r>
    </w:p>
    <w:p w:rsidR="00BC571F" w:rsidRPr="00FF05DE" w:rsidRDefault="00BC571F" w:rsidP="00BC571F">
      <w:pPr>
        <w:pStyle w:val="ListParagraph"/>
        <w:numPr>
          <w:ilvl w:val="0"/>
          <w:numId w:val="22"/>
        </w:numPr>
        <w:spacing w:line="240" w:lineRule="auto"/>
        <w:rPr>
          <w:rFonts w:ascii="Arial" w:hAnsi="Arial" w:cs="Arial"/>
          <w:sz w:val="20"/>
          <w:szCs w:val="20"/>
        </w:rPr>
      </w:pPr>
      <w:r w:rsidRPr="00FF05DE">
        <w:rPr>
          <w:rFonts w:ascii="Arial" w:hAnsi="Arial" w:cs="Arial"/>
          <w:sz w:val="20"/>
          <w:szCs w:val="20"/>
        </w:rPr>
        <w:t>every plea of guilty or finding of guilt by a court of the person for an offence, in a participating jurisdiction or elsewhere, and whether before or after the commencement of this Law and whether or not a conviction is recorded for the offence;</w:t>
      </w:r>
    </w:p>
    <w:p w:rsidR="00BC571F" w:rsidRPr="00FF05DE" w:rsidRDefault="00BC571F" w:rsidP="00BC571F">
      <w:pPr>
        <w:pStyle w:val="ListParagraph"/>
        <w:numPr>
          <w:ilvl w:val="0"/>
          <w:numId w:val="22"/>
        </w:numPr>
        <w:spacing w:line="240" w:lineRule="auto"/>
        <w:rPr>
          <w:rFonts w:ascii="Arial" w:hAnsi="Arial" w:cs="Arial"/>
          <w:sz w:val="20"/>
          <w:szCs w:val="20"/>
        </w:rPr>
      </w:pPr>
      <w:r w:rsidRPr="00FF05DE">
        <w:rPr>
          <w:rFonts w:ascii="Arial" w:hAnsi="Arial" w:cs="Arial"/>
          <w:sz w:val="20"/>
          <w:szCs w:val="20"/>
        </w:rPr>
        <w:t>every charge made against the person for an offence, in a participating jurisdiction or elsewhere, and whether before or after the commencement of this Law.</w:t>
      </w:r>
    </w:p>
    <w:p w:rsidR="002E7E81" w:rsidRPr="006E3AB8" w:rsidRDefault="00BC571F" w:rsidP="006E3AB8">
      <w:pPr>
        <w:spacing w:line="240" w:lineRule="auto"/>
        <w:rPr>
          <w:rFonts w:ascii="Arial" w:hAnsi="Arial" w:cs="Arial"/>
          <w:sz w:val="20"/>
          <w:szCs w:val="20"/>
        </w:rPr>
      </w:pPr>
      <w:r w:rsidRPr="00FF05DE">
        <w:rPr>
          <w:rFonts w:ascii="Arial" w:hAnsi="Arial" w:cs="Arial"/>
          <w:sz w:val="20"/>
          <w:szCs w:val="20"/>
        </w:rPr>
        <w:t>Under the National Law, spent convictions legislation does not apply to criminal history disclosure requirements.</w:t>
      </w:r>
      <w:r>
        <w:rPr>
          <w:rFonts w:ascii="Arial" w:hAnsi="Arial" w:cs="Arial"/>
          <w:sz w:val="20"/>
          <w:szCs w:val="20"/>
        </w:rPr>
        <w:t xml:space="preserve"> </w:t>
      </w:r>
      <w:r w:rsidR="002E7E81" w:rsidRPr="006E3AB8">
        <w:rPr>
          <w:rFonts w:ascii="Arial" w:hAnsi="Arial" w:cs="Arial"/>
          <w:sz w:val="20"/>
          <w:szCs w:val="20"/>
        </w:rPr>
        <w:t>This means that when making a declaration about criminal history, applicants and registered health practitioners must declare their entire criminal history, from Australia and any other country, including any spent convictions.</w:t>
      </w:r>
    </w:p>
    <w:p w:rsidR="002E7E81" w:rsidRPr="00FF05DE" w:rsidRDefault="002E7E81" w:rsidP="00BC571F">
      <w:pPr>
        <w:spacing w:line="240" w:lineRule="auto"/>
        <w:rPr>
          <w:rFonts w:ascii="Arial" w:hAnsi="Arial" w:cs="Arial"/>
          <w:sz w:val="20"/>
          <w:szCs w:val="20"/>
        </w:rPr>
      </w:pPr>
    </w:p>
    <w:sectPr w:rsidR="002E7E81" w:rsidRPr="00FF05DE" w:rsidSect="008C5D4B">
      <w:footerReference w:type="default" r:id="rId8"/>
      <w:headerReference w:type="first" r:id="rId9"/>
      <w:footerReference w:type="first" r:id="rId10"/>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2A" w:rsidRDefault="003F512A" w:rsidP="00CB559B">
      <w:pPr>
        <w:spacing w:after="0" w:line="240" w:lineRule="auto"/>
      </w:pPr>
      <w:r>
        <w:separator/>
      </w:r>
    </w:p>
  </w:endnote>
  <w:endnote w:type="continuationSeparator" w:id="0">
    <w:p w:rsidR="003F512A" w:rsidRDefault="003F512A" w:rsidP="00CB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4650"/>
      <w:docPartObj>
        <w:docPartGallery w:val="Page Numbers (Bottom of Page)"/>
        <w:docPartUnique/>
      </w:docPartObj>
    </w:sdtPr>
    <w:sdtEndPr>
      <w:rPr>
        <w:noProof/>
      </w:rPr>
    </w:sdtEndPr>
    <w:sdtContent>
      <w:sdt>
        <w:sdtPr>
          <w:id w:val="-712190119"/>
          <w:docPartObj>
            <w:docPartGallery w:val="Page Numbers (Bottom of Page)"/>
            <w:docPartUnique/>
          </w:docPartObj>
        </w:sdtPr>
        <w:sdtEndPr>
          <w:rPr>
            <w:rFonts w:ascii="Arial" w:hAnsi="Arial" w:cs="Arial"/>
            <w:sz w:val="18"/>
            <w:szCs w:val="18"/>
          </w:rPr>
        </w:sdtEndPr>
        <w:sdtContent>
          <w:p w:rsidR="008C5D4B" w:rsidRPr="003079DE" w:rsidRDefault="0046047F" w:rsidP="008C5D4B">
            <w:pPr>
              <w:pStyle w:val="Footer"/>
              <w:jc w:val="right"/>
              <w:rPr>
                <w:rFonts w:ascii="Arial" w:hAnsi="Arial" w:cs="Arial"/>
                <w:sz w:val="18"/>
                <w:szCs w:val="18"/>
              </w:rPr>
            </w:pPr>
            <w:r w:rsidRPr="003079DE">
              <w:rPr>
                <w:rFonts w:ascii="Arial" w:hAnsi="Arial" w:cs="Arial"/>
                <w:sz w:val="18"/>
                <w:szCs w:val="18"/>
              </w:rPr>
              <w:fldChar w:fldCharType="begin"/>
            </w:r>
            <w:r w:rsidR="008C5D4B" w:rsidRPr="003079DE">
              <w:rPr>
                <w:rFonts w:ascii="Arial" w:hAnsi="Arial" w:cs="Arial"/>
                <w:sz w:val="18"/>
                <w:szCs w:val="18"/>
              </w:rPr>
              <w:instrText xml:space="preserve"> PAGE   \* MERGEFORMAT </w:instrText>
            </w:r>
            <w:r w:rsidRPr="003079DE">
              <w:rPr>
                <w:rFonts w:ascii="Arial" w:hAnsi="Arial" w:cs="Arial"/>
                <w:sz w:val="18"/>
                <w:szCs w:val="18"/>
              </w:rPr>
              <w:fldChar w:fldCharType="separate"/>
            </w:r>
            <w:r w:rsidR="007D1B78">
              <w:rPr>
                <w:rFonts w:ascii="Arial" w:hAnsi="Arial" w:cs="Arial"/>
                <w:noProof/>
                <w:sz w:val="18"/>
                <w:szCs w:val="18"/>
              </w:rPr>
              <w:t>3</w:t>
            </w:r>
            <w:r w:rsidRPr="003079DE">
              <w:rPr>
                <w:rFonts w:ascii="Arial" w:hAnsi="Arial" w:cs="Arial"/>
                <w:noProof/>
                <w:sz w:val="18"/>
                <w:szCs w:val="18"/>
              </w:rPr>
              <w:fldChar w:fldCharType="end"/>
            </w:r>
          </w:p>
        </w:sdtContent>
      </w:sdt>
      <w:p w:rsidR="008C5D4B" w:rsidRPr="00D638E0" w:rsidRDefault="008C5D4B" w:rsidP="008C5D4B">
        <w:pPr>
          <w:pStyle w:val="AHPRAbody"/>
          <w:tabs>
            <w:tab w:val="left" w:pos="4536"/>
            <w:tab w:val="left" w:pos="8931"/>
          </w:tabs>
          <w:spacing w:after="100"/>
          <w:ind w:right="-46"/>
          <w:jc w:val="center"/>
          <w:rPr>
            <w:b/>
            <w:color w:val="008EC4"/>
          </w:rPr>
        </w:pPr>
        <w:r w:rsidRPr="00D638E0">
          <w:rPr>
            <w:b/>
            <w:color w:val="424342"/>
          </w:rPr>
          <w:t>Australian</w:t>
        </w:r>
        <w:r w:rsidRPr="00D638E0">
          <w:rPr>
            <w:b/>
            <w:color w:val="008EC4"/>
          </w:rPr>
          <w:t xml:space="preserve"> Health Practitioner </w:t>
        </w:r>
        <w:r w:rsidRPr="00D638E0">
          <w:rPr>
            <w:b/>
            <w:color w:val="424342"/>
          </w:rPr>
          <w:t>Regulation Agency</w:t>
        </w:r>
      </w:p>
      <w:p w:rsidR="008C5D4B" w:rsidRPr="00AD312E" w:rsidRDefault="008C5D4B" w:rsidP="008C5D4B">
        <w:pPr>
          <w:pStyle w:val="AHPRAbody"/>
          <w:tabs>
            <w:tab w:val="left" w:pos="4536"/>
            <w:tab w:val="center" w:pos="4749"/>
            <w:tab w:val="left" w:pos="8931"/>
            <w:tab w:val="right" w:pos="9496"/>
          </w:tabs>
          <w:ind w:right="-46"/>
          <w:jc w:val="center"/>
          <w:rPr>
            <w:szCs w:val="20"/>
          </w:rPr>
        </w:pPr>
        <w:r w:rsidRPr="00D638E0">
          <w:rPr>
            <w:szCs w:val="20"/>
          </w:rPr>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www.ahpra.gov.au</w:t>
        </w:r>
      </w:p>
      <w:p w:rsidR="00FC6242" w:rsidRDefault="007D1B78">
        <w:pPr>
          <w:pStyle w:val="Footer"/>
          <w:jc w:val="right"/>
        </w:pPr>
      </w:p>
    </w:sdtContent>
  </w:sdt>
  <w:p w:rsidR="00FC6242" w:rsidRDefault="00FC6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3947"/>
      <w:docPartObj>
        <w:docPartGallery w:val="Page Numbers (Bottom of Page)"/>
        <w:docPartUnique/>
      </w:docPartObj>
    </w:sdtPr>
    <w:sdtEndPr>
      <w:rPr>
        <w:rFonts w:ascii="Arial" w:hAnsi="Arial" w:cs="Arial"/>
        <w:sz w:val="18"/>
        <w:szCs w:val="18"/>
      </w:rPr>
    </w:sdtEndPr>
    <w:sdtContent>
      <w:p w:rsidR="008C5D4B" w:rsidRPr="003079DE" w:rsidRDefault="0046047F" w:rsidP="00C4554A">
        <w:pPr>
          <w:pStyle w:val="Footer"/>
          <w:jc w:val="right"/>
          <w:rPr>
            <w:rFonts w:ascii="Arial" w:hAnsi="Arial" w:cs="Arial"/>
            <w:sz w:val="18"/>
            <w:szCs w:val="18"/>
          </w:rPr>
        </w:pPr>
        <w:r w:rsidRPr="003079DE">
          <w:rPr>
            <w:rFonts w:ascii="Arial" w:hAnsi="Arial" w:cs="Arial"/>
            <w:sz w:val="18"/>
            <w:szCs w:val="18"/>
          </w:rPr>
          <w:fldChar w:fldCharType="begin"/>
        </w:r>
        <w:r w:rsidR="008C5D4B" w:rsidRPr="003079DE">
          <w:rPr>
            <w:rFonts w:ascii="Arial" w:hAnsi="Arial" w:cs="Arial"/>
            <w:sz w:val="18"/>
            <w:szCs w:val="18"/>
          </w:rPr>
          <w:instrText xml:space="preserve"> PAGE   \* MERGEFORMAT </w:instrText>
        </w:r>
        <w:r w:rsidRPr="003079DE">
          <w:rPr>
            <w:rFonts w:ascii="Arial" w:hAnsi="Arial" w:cs="Arial"/>
            <w:sz w:val="18"/>
            <w:szCs w:val="18"/>
          </w:rPr>
          <w:fldChar w:fldCharType="separate"/>
        </w:r>
        <w:r w:rsidR="007D1B78">
          <w:rPr>
            <w:rFonts w:ascii="Arial" w:hAnsi="Arial" w:cs="Arial"/>
            <w:noProof/>
            <w:sz w:val="18"/>
            <w:szCs w:val="18"/>
          </w:rPr>
          <w:t>1</w:t>
        </w:r>
        <w:r w:rsidRPr="003079DE">
          <w:rPr>
            <w:rFonts w:ascii="Arial" w:hAnsi="Arial" w:cs="Arial"/>
            <w:noProof/>
            <w:sz w:val="18"/>
            <w:szCs w:val="18"/>
          </w:rPr>
          <w:fldChar w:fldCharType="end"/>
        </w:r>
      </w:p>
    </w:sdtContent>
  </w:sdt>
  <w:p w:rsidR="008C5D4B" w:rsidRPr="00D638E0" w:rsidRDefault="008C5D4B" w:rsidP="00C4554A">
    <w:pPr>
      <w:pStyle w:val="AHPRAbody"/>
      <w:tabs>
        <w:tab w:val="center" w:pos="4513"/>
        <w:tab w:val="left" w:pos="8647"/>
        <w:tab w:val="right" w:pos="9026"/>
      </w:tabs>
      <w:spacing w:after="100"/>
      <w:ind w:right="360"/>
      <w:jc w:val="center"/>
      <w:rPr>
        <w:b/>
        <w:color w:val="008EC4"/>
      </w:rPr>
    </w:pPr>
    <w:r w:rsidRPr="00D638E0">
      <w:rPr>
        <w:b/>
        <w:color w:val="424342"/>
      </w:rPr>
      <w:t>Australian</w:t>
    </w:r>
    <w:r w:rsidRPr="00D638E0">
      <w:rPr>
        <w:b/>
        <w:color w:val="008EC4"/>
      </w:rPr>
      <w:t xml:space="preserve"> Health Practitioner </w:t>
    </w:r>
    <w:r w:rsidRPr="00D638E0">
      <w:rPr>
        <w:b/>
        <w:color w:val="424342"/>
      </w:rPr>
      <w:t>Regulation Agency</w:t>
    </w:r>
  </w:p>
  <w:p w:rsidR="008C5D4B" w:rsidRPr="00AD312E" w:rsidRDefault="008C5D4B" w:rsidP="00C4554A">
    <w:pPr>
      <w:pStyle w:val="AHPRAbody"/>
      <w:tabs>
        <w:tab w:val="center" w:pos="4513"/>
        <w:tab w:val="center" w:pos="4749"/>
        <w:tab w:val="right" w:pos="9026"/>
        <w:tab w:val="right" w:pos="9496"/>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www.ahpra.gov.au</w:t>
    </w:r>
    <w:r>
      <w:rPr>
        <w:szCs w:val="20"/>
      </w:rPr>
      <w:tab/>
    </w:r>
  </w:p>
  <w:p w:rsidR="008C5D4B" w:rsidRDefault="008C5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2A" w:rsidRDefault="003F512A" w:rsidP="00CB559B">
      <w:pPr>
        <w:spacing w:after="0" w:line="240" w:lineRule="auto"/>
      </w:pPr>
      <w:r>
        <w:separator/>
      </w:r>
    </w:p>
  </w:footnote>
  <w:footnote w:type="continuationSeparator" w:id="0">
    <w:p w:rsidR="003F512A" w:rsidRDefault="003F512A" w:rsidP="00CB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61" w:rsidRDefault="008C5D4B" w:rsidP="008C5D4B">
    <w:pPr>
      <w:pStyle w:val="Header"/>
      <w:jc w:val="right"/>
    </w:pPr>
    <w:r>
      <w:rPr>
        <w:noProof/>
      </w:rPr>
      <w:drawing>
        <wp:inline distT="0" distB="0" distL="0" distR="0">
          <wp:extent cx="2960516" cy="1238250"/>
          <wp:effectExtent l="19050" t="0" r="0" b="0"/>
          <wp:docPr id="1" name="Picture 1" descr="\\meerkat\users\arivera\My Documents\Z. Admin\LOGOS\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7483 AHPRA_CombinedBoards_14.jpg"/>
                  <pic:cNvPicPr>
                    <a:picLocks noChangeAspect="1" noChangeArrowheads="1"/>
                  </pic:cNvPicPr>
                </pic:nvPicPr>
                <pic:blipFill>
                  <a:blip r:embed="rId1"/>
                  <a:srcRect/>
                  <a:stretch>
                    <a:fillRect/>
                  </a:stretch>
                </pic:blipFill>
                <pic:spPr bwMode="auto">
                  <a:xfrm>
                    <a:off x="0" y="0"/>
                    <a:ext cx="2961313" cy="1238583"/>
                  </a:xfrm>
                  <a:prstGeom prst="rect">
                    <a:avLst/>
                  </a:prstGeom>
                  <a:noFill/>
                  <a:ln w="9525">
                    <a:noFill/>
                    <a:miter lim="800000"/>
                    <a:headEnd/>
                    <a:tailEnd/>
                  </a:ln>
                </pic:spPr>
              </pic:pic>
            </a:graphicData>
          </a:graphic>
        </wp:inline>
      </w:drawing>
    </w:r>
  </w:p>
  <w:p w:rsidR="008C5D4B" w:rsidRDefault="008C5D4B" w:rsidP="008C5D4B">
    <w:pPr>
      <w:pStyle w:val="Header"/>
      <w:jc w:val="right"/>
    </w:pPr>
  </w:p>
  <w:p w:rsidR="008C5D4B" w:rsidRDefault="008C5D4B" w:rsidP="008C5D4B">
    <w:pPr>
      <w:pStyle w:val="Header"/>
      <w:jc w:val="right"/>
    </w:pPr>
  </w:p>
  <w:p w:rsidR="008C5D4B" w:rsidRDefault="008C5D4B" w:rsidP="008C5D4B">
    <w:pPr>
      <w:pStyle w:val="Header"/>
      <w:jc w:val="right"/>
    </w:pPr>
  </w:p>
  <w:p w:rsidR="008C5D4B" w:rsidRDefault="008C5D4B" w:rsidP="008C5D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348"/>
    <w:multiLevelType w:val="hybridMultilevel"/>
    <w:tmpl w:val="D42AF94C"/>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3EEB"/>
    <w:multiLevelType w:val="hybridMultilevel"/>
    <w:tmpl w:val="4C8AB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85FC8"/>
    <w:multiLevelType w:val="hybridMultilevel"/>
    <w:tmpl w:val="CC0A1F5C"/>
    <w:lvl w:ilvl="0" w:tplc="0C09000F">
      <w:start w:val="1"/>
      <w:numFmt w:val="decimal"/>
      <w:lvlText w:val="%1."/>
      <w:lvlJc w:val="left"/>
      <w:pPr>
        <w:ind w:left="644"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35937"/>
    <w:multiLevelType w:val="hybridMultilevel"/>
    <w:tmpl w:val="3DEE213E"/>
    <w:lvl w:ilvl="0" w:tplc="7544559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nsid w:val="12C6604A"/>
    <w:multiLevelType w:val="hybridMultilevel"/>
    <w:tmpl w:val="4EEE9642"/>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nsid w:val="178A3927"/>
    <w:multiLevelType w:val="hybridMultilevel"/>
    <w:tmpl w:val="7CDA2BF8"/>
    <w:lvl w:ilvl="0" w:tplc="7D7A1D18">
      <w:start w:val="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96D9B"/>
    <w:multiLevelType w:val="hybridMultilevel"/>
    <w:tmpl w:val="2FB6A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EA60B5"/>
    <w:multiLevelType w:val="hybridMultilevel"/>
    <w:tmpl w:val="B9C08118"/>
    <w:lvl w:ilvl="0" w:tplc="51301AA6">
      <w:start w:val="1"/>
      <w:numFmt w:val="decimal"/>
      <w:lvlText w:val="%1."/>
      <w:lvlJc w:val="left"/>
      <w:pPr>
        <w:ind w:left="720" w:hanging="360"/>
      </w:pPr>
      <w:rPr>
        <w:rFonts w:cs="Times New Roman"/>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955EDE"/>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0FC773F"/>
    <w:multiLevelType w:val="hybridMultilevel"/>
    <w:tmpl w:val="0DEEC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1A25EC"/>
    <w:multiLevelType w:val="hybridMultilevel"/>
    <w:tmpl w:val="7E3A076E"/>
    <w:lvl w:ilvl="0" w:tplc="0C090001">
      <w:start w:val="1"/>
      <w:numFmt w:val="bullet"/>
      <w:lvlText w:val=""/>
      <w:lvlJc w:val="left"/>
      <w:pPr>
        <w:ind w:left="1185" w:hanging="360"/>
      </w:pPr>
      <w:rPr>
        <w:rFonts w:ascii="Symbol" w:hAnsi="Symbol" w:hint="default"/>
      </w:rPr>
    </w:lvl>
    <w:lvl w:ilvl="1" w:tplc="0C090003">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1">
    <w:nsid w:val="35A820F5"/>
    <w:multiLevelType w:val="hybridMultilevel"/>
    <w:tmpl w:val="398AC2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38A664AE"/>
    <w:multiLevelType w:val="hybridMultilevel"/>
    <w:tmpl w:val="92A2CAE6"/>
    <w:lvl w:ilvl="0" w:tplc="86027196">
      <w:start w:val="1"/>
      <w:numFmt w:val="upperLetter"/>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D68CF"/>
    <w:multiLevelType w:val="hybridMultilevel"/>
    <w:tmpl w:val="5FBC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BC4938"/>
    <w:multiLevelType w:val="hybridMultilevel"/>
    <w:tmpl w:val="71183C02"/>
    <w:lvl w:ilvl="0" w:tplc="0C090003">
      <w:start w:val="1"/>
      <w:numFmt w:val="bullet"/>
      <w:lvlText w:val="o"/>
      <w:lvlJc w:val="left"/>
      <w:pPr>
        <w:ind w:left="2346" w:hanging="360"/>
      </w:pPr>
      <w:rPr>
        <w:rFonts w:ascii="Courier New" w:hAnsi="Courier New" w:cs="Courier New" w:hint="default"/>
      </w:rPr>
    </w:lvl>
    <w:lvl w:ilvl="1" w:tplc="0C090003" w:tentative="1">
      <w:start w:val="1"/>
      <w:numFmt w:val="bullet"/>
      <w:lvlText w:val="o"/>
      <w:lvlJc w:val="left"/>
      <w:pPr>
        <w:ind w:left="3066" w:hanging="360"/>
      </w:pPr>
      <w:rPr>
        <w:rFonts w:ascii="Courier New" w:hAnsi="Courier New" w:cs="Courier New" w:hint="default"/>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16">
    <w:nsid w:val="42074C7E"/>
    <w:multiLevelType w:val="hybridMultilevel"/>
    <w:tmpl w:val="A68AAD2E"/>
    <w:lvl w:ilvl="0" w:tplc="16E21DB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16B28"/>
    <w:multiLevelType w:val="hybridMultilevel"/>
    <w:tmpl w:val="3000D84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74F76F7"/>
    <w:multiLevelType w:val="hybridMultilevel"/>
    <w:tmpl w:val="31DC2AFA"/>
    <w:lvl w:ilvl="0" w:tplc="0C09000F">
      <w:start w:val="1"/>
      <w:numFmt w:val="decimal"/>
      <w:lvlText w:val="%1."/>
      <w:lvlJc w:val="left"/>
      <w:pPr>
        <w:ind w:left="360" w:hanging="360"/>
      </w:pPr>
    </w:lvl>
    <w:lvl w:ilvl="1" w:tplc="03202BD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7F835F3"/>
    <w:multiLevelType w:val="hybridMultilevel"/>
    <w:tmpl w:val="A8B46F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8669AAC">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64ACC"/>
    <w:multiLevelType w:val="hybridMultilevel"/>
    <w:tmpl w:val="6AFC9C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53C62B17"/>
    <w:multiLevelType w:val="hybridMultilevel"/>
    <w:tmpl w:val="A926BCE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8669AAC">
      <w:start w:val="4"/>
      <w:numFmt w:val="bullet"/>
      <w:lvlText w:val="•"/>
      <w:lvlJc w:val="left"/>
      <w:pPr>
        <w:ind w:left="1980" w:hanging="360"/>
      </w:pPr>
      <w:rPr>
        <w:rFonts w:ascii="Calibri" w:eastAsia="Calibri" w:hAnsi="Calibri"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644285E"/>
    <w:multiLevelType w:val="hybridMultilevel"/>
    <w:tmpl w:val="C77ED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C2812"/>
    <w:multiLevelType w:val="hybridMultilevel"/>
    <w:tmpl w:val="0F28E8EE"/>
    <w:lvl w:ilvl="0" w:tplc="0409000F">
      <w:start w:val="1"/>
      <w:numFmt w:val="decimal"/>
      <w:lvlText w:val="%1."/>
      <w:lvlJc w:val="left"/>
      <w:pPr>
        <w:ind w:left="360" w:hanging="360"/>
      </w:pPr>
    </w:lvl>
    <w:lvl w:ilvl="1" w:tplc="04090019">
      <w:start w:val="1"/>
      <w:numFmt w:val="lowerLetter"/>
      <w:lvlText w:val="%2."/>
      <w:lvlJc w:val="left"/>
      <w:pPr>
        <w:ind w:left="3621"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8461F5"/>
    <w:multiLevelType w:val="hybridMultilevel"/>
    <w:tmpl w:val="DA3CB95A"/>
    <w:lvl w:ilvl="0" w:tplc="4BF2E18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9BB0053"/>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1150642"/>
    <w:multiLevelType w:val="hybridMultilevel"/>
    <w:tmpl w:val="3000D84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84370DB"/>
    <w:multiLevelType w:val="hybridMultilevel"/>
    <w:tmpl w:val="8E641FF4"/>
    <w:lvl w:ilvl="0" w:tplc="1C564E0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A15584"/>
    <w:multiLevelType w:val="hybridMultilevel"/>
    <w:tmpl w:val="FA74DD3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nsid w:val="7FB17DE5"/>
    <w:multiLevelType w:val="hybridMultilevel"/>
    <w:tmpl w:val="EC8EBE6A"/>
    <w:lvl w:ilvl="0" w:tplc="915ABA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7"/>
  </w:num>
  <w:num w:numId="3">
    <w:abstractNumId w:val="26"/>
  </w:num>
  <w:num w:numId="4">
    <w:abstractNumId w:val="17"/>
  </w:num>
  <w:num w:numId="5">
    <w:abstractNumId w:val="21"/>
  </w:num>
  <w:num w:numId="6">
    <w:abstractNumId w:val="13"/>
  </w:num>
  <w:num w:numId="7">
    <w:abstractNumId w:val="2"/>
  </w:num>
  <w:num w:numId="8">
    <w:abstractNumId w:val="0"/>
  </w:num>
  <w:num w:numId="9">
    <w:abstractNumId w:val="3"/>
  </w:num>
  <w:num w:numId="10">
    <w:abstractNumId w:val="24"/>
  </w:num>
  <w:num w:numId="11">
    <w:abstractNumId w:val="30"/>
  </w:num>
  <w:num w:numId="12">
    <w:abstractNumId w:val="14"/>
  </w:num>
  <w:num w:numId="13">
    <w:abstractNumId w:val="4"/>
  </w:num>
  <w:num w:numId="14">
    <w:abstractNumId w:val="9"/>
  </w:num>
  <w:num w:numId="15">
    <w:abstractNumId w:val="10"/>
  </w:num>
  <w:num w:numId="16">
    <w:abstractNumId w:val="15"/>
  </w:num>
  <w:num w:numId="17">
    <w:abstractNumId w:val="29"/>
  </w:num>
  <w:num w:numId="18">
    <w:abstractNumId w:val="8"/>
  </w:num>
  <w:num w:numId="19">
    <w:abstractNumId w:val="27"/>
  </w:num>
  <w:num w:numId="20">
    <w:abstractNumId w:val="18"/>
  </w:num>
  <w:num w:numId="21">
    <w:abstractNumId w:val="19"/>
  </w:num>
  <w:num w:numId="22">
    <w:abstractNumId w:val="22"/>
  </w:num>
  <w:num w:numId="23">
    <w:abstractNumId w:val="23"/>
  </w:num>
  <w:num w:numId="24">
    <w:abstractNumId w:val="16"/>
  </w:num>
  <w:num w:numId="25">
    <w:abstractNumId w:val="1"/>
  </w:num>
  <w:num w:numId="26">
    <w:abstractNumId w:val="12"/>
  </w:num>
  <w:num w:numId="27">
    <w:abstractNumId w:val="25"/>
  </w:num>
  <w:num w:numId="28">
    <w:abstractNumId w:val="6"/>
  </w:num>
  <w:num w:numId="29">
    <w:abstractNumId w:val="28"/>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026C48"/>
    <w:rsid w:val="00006001"/>
    <w:rsid w:val="00013309"/>
    <w:rsid w:val="000143E9"/>
    <w:rsid w:val="00016DAE"/>
    <w:rsid w:val="000206A0"/>
    <w:rsid w:val="00020C5A"/>
    <w:rsid w:val="000233FE"/>
    <w:rsid w:val="000235E6"/>
    <w:rsid w:val="00024052"/>
    <w:rsid w:val="00026C48"/>
    <w:rsid w:val="0003691E"/>
    <w:rsid w:val="000372DC"/>
    <w:rsid w:val="00042FA2"/>
    <w:rsid w:val="000516A3"/>
    <w:rsid w:val="00054332"/>
    <w:rsid w:val="00054CB0"/>
    <w:rsid w:val="000561E4"/>
    <w:rsid w:val="00056593"/>
    <w:rsid w:val="00056C9A"/>
    <w:rsid w:val="00057C4D"/>
    <w:rsid w:val="00061310"/>
    <w:rsid w:val="00061C98"/>
    <w:rsid w:val="000639C4"/>
    <w:rsid w:val="00064571"/>
    <w:rsid w:val="0006504E"/>
    <w:rsid w:val="0006512C"/>
    <w:rsid w:val="000668B9"/>
    <w:rsid w:val="00066BA3"/>
    <w:rsid w:val="00066DB0"/>
    <w:rsid w:val="00074A2E"/>
    <w:rsid w:val="00075A09"/>
    <w:rsid w:val="000803A4"/>
    <w:rsid w:val="000808AC"/>
    <w:rsid w:val="00081160"/>
    <w:rsid w:val="00082FDF"/>
    <w:rsid w:val="00084B39"/>
    <w:rsid w:val="00086267"/>
    <w:rsid w:val="00087286"/>
    <w:rsid w:val="000917CC"/>
    <w:rsid w:val="0009487F"/>
    <w:rsid w:val="00095DB3"/>
    <w:rsid w:val="000A0843"/>
    <w:rsid w:val="000A1F3A"/>
    <w:rsid w:val="000B11DC"/>
    <w:rsid w:val="000B225F"/>
    <w:rsid w:val="000B3035"/>
    <w:rsid w:val="000B5AEE"/>
    <w:rsid w:val="000B74D2"/>
    <w:rsid w:val="000C5E4B"/>
    <w:rsid w:val="000D0462"/>
    <w:rsid w:val="000D0625"/>
    <w:rsid w:val="000D0DA7"/>
    <w:rsid w:val="000D28C3"/>
    <w:rsid w:val="000D3255"/>
    <w:rsid w:val="000D3261"/>
    <w:rsid w:val="000D4AA1"/>
    <w:rsid w:val="000D5089"/>
    <w:rsid w:val="000D61CF"/>
    <w:rsid w:val="000D7087"/>
    <w:rsid w:val="000E18D7"/>
    <w:rsid w:val="000E4EF4"/>
    <w:rsid w:val="000E51D2"/>
    <w:rsid w:val="000E60D4"/>
    <w:rsid w:val="000E616D"/>
    <w:rsid w:val="000E6CED"/>
    <w:rsid w:val="000F088B"/>
    <w:rsid w:val="00103849"/>
    <w:rsid w:val="0011291E"/>
    <w:rsid w:val="001136FB"/>
    <w:rsid w:val="0011551A"/>
    <w:rsid w:val="00115658"/>
    <w:rsid w:val="00117C6D"/>
    <w:rsid w:val="00123618"/>
    <w:rsid w:val="00135088"/>
    <w:rsid w:val="00137D4C"/>
    <w:rsid w:val="00150A3E"/>
    <w:rsid w:val="001571CE"/>
    <w:rsid w:val="00163B14"/>
    <w:rsid w:val="00167B24"/>
    <w:rsid w:val="00171DCC"/>
    <w:rsid w:val="0017421E"/>
    <w:rsid w:val="00175D22"/>
    <w:rsid w:val="00176540"/>
    <w:rsid w:val="001809D7"/>
    <w:rsid w:val="00181398"/>
    <w:rsid w:val="00185D27"/>
    <w:rsid w:val="0018706F"/>
    <w:rsid w:val="00187FAE"/>
    <w:rsid w:val="0019517F"/>
    <w:rsid w:val="001956DB"/>
    <w:rsid w:val="001A1105"/>
    <w:rsid w:val="001A67E6"/>
    <w:rsid w:val="001B1761"/>
    <w:rsid w:val="001B2823"/>
    <w:rsid w:val="001B2E7B"/>
    <w:rsid w:val="001B5EF0"/>
    <w:rsid w:val="001B65CB"/>
    <w:rsid w:val="001C1BCD"/>
    <w:rsid w:val="001C1CBE"/>
    <w:rsid w:val="001C6DA2"/>
    <w:rsid w:val="001D2CDC"/>
    <w:rsid w:val="001D487E"/>
    <w:rsid w:val="001D6E82"/>
    <w:rsid w:val="001E2E20"/>
    <w:rsid w:val="001E35CF"/>
    <w:rsid w:val="001E4901"/>
    <w:rsid w:val="001E5BA4"/>
    <w:rsid w:val="001E7142"/>
    <w:rsid w:val="001F19FF"/>
    <w:rsid w:val="001F4631"/>
    <w:rsid w:val="001F7359"/>
    <w:rsid w:val="001F782C"/>
    <w:rsid w:val="00200538"/>
    <w:rsid w:val="00201AAE"/>
    <w:rsid w:val="00202AA5"/>
    <w:rsid w:val="00206DC6"/>
    <w:rsid w:val="00207B36"/>
    <w:rsid w:val="0021233E"/>
    <w:rsid w:val="002141ED"/>
    <w:rsid w:val="00216B00"/>
    <w:rsid w:val="00217F6D"/>
    <w:rsid w:val="002220FA"/>
    <w:rsid w:val="00223B67"/>
    <w:rsid w:val="00224C82"/>
    <w:rsid w:val="00224D70"/>
    <w:rsid w:val="002252F0"/>
    <w:rsid w:val="00227E1D"/>
    <w:rsid w:val="002300AE"/>
    <w:rsid w:val="00231DF5"/>
    <w:rsid w:val="00234680"/>
    <w:rsid w:val="00237A63"/>
    <w:rsid w:val="00237EC8"/>
    <w:rsid w:val="00243DF4"/>
    <w:rsid w:val="0024443C"/>
    <w:rsid w:val="002519C7"/>
    <w:rsid w:val="00255873"/>
    <w:rsid w:val="002560C6"/>
    <w:rsid w:val="00260D78"/>
    <w:rsid w:val="002657D9"/>
    <w:rsid w:val="002663A3"/>
    <w:rsid w:val="00271EB0"/>
    <w:rsid w:val="00272874"/>
    <w:rsid w:val="002773E6"/>
    <w:rsid w:val="0028080D"/>
    <w:rsid w:val="00280BC7"/>
    <w:rsid w:val="00280CB8"/>
    <w:rsid w:val="00283F96"/>
    <w:rsid w:val="00284E2C"/>
    <w:rsid w:val="00284FC6"/>
    <w:rsid w:val="00286104"/>
    <w:rsid w:val="002864FD"/>
    <w:rsid w:val="002900AB"/>
    <w:rsid w:val="0029137D"/>
    <w:rsid w:val="00292FFD"/>
    <w:rsid w:val="00296BA3"/>
    <w:rsid w:val="002A0FB3"/>
    <w:rsid w:val="002A316B"/>
    <w:rsid w:val="002A36A4"/>
    <w:rsid w:val="002A6A86"/>
    <w:rsid w:val="002B2975"/>
    <w:rsid w:val="002B5E4B"/>
    <w:rsid w:val="002B71E6"/>
    <w:rsid w:val="002C0FCC"/>
    <w:rsid w:val="002C19E9"/>
    <w:rsid w:val="002C309E"/>
    <w:rsid w:val="002C5FFB"/>
    <w:rsid w:val="002D1623"/>
    <w:rsid w:val="002D3781"/>
    <w:rsid w:val="002D3AFB"/>
    <w:rsid w:val="002D3CE2"/>
    <w:rsid w:val="002D6F05"/>
    <w:rsid w:val="002E1B0D"/>
    <w:rsid w:val="002E54B4"/>
    <w:rsid w:val="002E553A"/>
    <w:rsid w:val="002E5FE2"/>
    <w:rsid w:val="002E6AB3"/>
    <w:rsid w:val="002E7060"/>
    <w:rsid w:val="002E7E81"/>
    <w:rsid w:val="002F04A5"/>
    <w:rsid w:val="002F2E67"/>
    <w:rsid w:val="0030026A"/>
    <w:rsid w:val="003031B5"/>
    <w:rsid w:val="00304045"/>
    <w:rsid w:val="00305E57"/>
    <w:rsid w:val="00317191"/>
    <w:rsid w:val="003176CC"/>
    <w:rsid w:val="00321AB4"/>
    <w:rsid w:val="00330A14"/>
    <w:rsid w:val="00332BC5"/>
    <w:rsid w:val="00335A70"/>
    <w:rsid w:val="00335DFB"/>
    <w:rsid w:val="0033681E"/>
    <w:rsid w:val="00344074"/>
    <w:rsid w:val="00346B5C"/>
    <w:rsid w:val="0035167B"/>
    <w:rsid w:val="00355FE2"/>
    <w:rsid w:val="00357809"/>
    <w:rsid w:val="00363760"/>
    <w:rsid w:val="00370B14"/>
    <w:rsid w:val="0037447B"/>
    <w:rsid w:val="0037592D"/>
    <w:rsid w:val="00375E0E"/>
    <w:rsid w:val="00375FD3"/>
    <w:rsid w:val="00377301"/>
    <w:rsid w:val="00377911"/>
    <w:rsid w:val="003818F6"/>
    <w:rsid w:val="00383573"/>
    <w:rsid w:val="003958B6"/>
    <w:rsid w:val="003976B9"/>
    <w:rsid w:val="003A104F"/>
    <w:rsid w:val="003A2CDB"/>
    <w:rsid w:val="003A353F"/>
    <w:rsid w:val="003B307E"/>
    <w:rsid w:val="003B38C8"/>
    <w:rsid w:val="003B394A"/>
    <w:rsid w:val="003B6A9A"/>
    <w:rsid w:val="003C4780"/>
    <w:rsid w:val="003C58D7"/>
    <w:rsid w:val="003C6517"/>
    <w:rsid w:val="003C6631"/>
    <w:rsid w:val="003C7C3B"/>
    <w:rsid w:val="003D0C2B"/>
    <w:rsid w:val="003D0E44"/>
    <w:rsid w:val="003D30D6"/>
    <w:rsid w:val="003D4182"/>
    <w:rsid w:val="003D4186"/>
    <w:rsid w:val="003D431C"/>
    <w:rsid w:val="003E2842"/>
    <w:rsid w:val="003E3DA8"/>
    <w:rsid w:val="003E4C8B"/>
    <w:rsid w:val="003E59A2"/>
    <w:rsid w:val="003E6026"/>
    <w:rsid w:val="003E7887"/>
    <w:rsid w:val="003F512A"/>
    <w:rsid w:val="00400CA7"/>
    <w:rsid w:val="00403A8B"/>
    <w:rsid w:val="0041665B"/>
    <w:rsid w:val="0042542B"/>
    <w:rsid w:val="00426E6B"/>
    <w:rsid w:val="00432B07"/>
    <w:rsid w:val="00433908"/>
    <w:rsid w:val="00443E51"/>
    <w:rsid w:val="004453CA"/>
    <w:rsid w:val="00452490"/>
    <w:rsid w:val="00455E0C"/>
    <w:rsid w:val="004575D8"/>
    <w:rsid w:val="0046047F"/>
    <w:rsid w:val="00463D7C"/>
    <w:rsid w:val="00464583"/>
    <w:rsid w:val="00464E4F"/>
    <w:rsid w:val="0046500F"/>
    <w:rsid w:val="00472313"/>
    <w:rsid w:val="004742A1"/>
    <w:rsid w:val="004746E7"/>
    <w:rsid w:val="00475C4E"/>
    <w:rsid w:val="00475E6D"/>
    <w:rsid w:val="00476118"/>
    <w:rsid w:val="0047650F"/>
    <w:rsid w:val="00480EC1"/>
    <w:rsid w:val="004812E7"/>
    <w:rsid w:val="004829F2"/>
    <w:rsid w:val="004848E9"/>
    <w:rsid w:val="00484F04"/>
    <w:rsid w:val="004875CA"/>
    <w:rsid w:val="00487A81"/>
    <w:rsid w:val="00497001"/>
    <w:rsid w:val="004A3358"/>
    <w:rsid w:val="004A352C"/>
    <w:rsid w:val="004A36A9"/>
    <w:rsid w:val="004A7689"/>
    <w:rsid w:val="004B074D"/>
    <w:rsid w:val="004B0BA8"/>
    <w:rsid w:val="004B3037"/>
    <w:rsid w:val="004C1430"/>
    <w:rsid w:val="004C28E0"/>
    <w:rsid w:val="004C3E04"/>
    <w:rsid w:val="004C66FA"/>
    <w:rsid w:val="004E0302"/>
    <w:rsid w:val="004E0CF5"/>
    <w:rsid w:val="004E6AB3"/>
    <w:rsid w:val="004F119B"/>
    <w:rsid w:val="004F1B12"/>
    <w:rsid w:val="004F6029"/>
    <w:rsid w:val="00501420"/>
    <w:rsid w:val="00501F86"/>
    <w:rsid w:val="00504EF7"/>
    <w:rsid w:val="0051128B"/>
    <w:rsid w:val="00513891"/>
    <w:rsid w:val="00514D73"/>
    <w:rsid w:val="005155EC"/>
    <w:rsid w:val="0051649C"/>
    <w:rsid w:val="00517A2F"/>
    <w:rsid w:val="00520B47"/>
    <w:rsid w:val="00521D98"/>
    <w:rsid w:val="00521E05"/>
    <w:rsid w:val="00523E37"/>
    <w:rsid w:val="00525E73"/>
    <w:rsid w:val="00526E44"/>
    <w:rsid w:val="00527756"/>
    <w:rsid w:val="0053227A"/>
    <w:rsid w:val="0053312C"/>
    <w:rsid w:val="00534AAF"/>
    <w:rsid w:val="00534F29"/>
    <w:rsid w:val="005377A4"/>
    <w:rsid w:val="0054042E"/>
    <w:rsid w:val="005428E3"/>
    <w:rsid w:val="0054530C"/>
    <w:rsid w:val="0055400B"/>
    <w:rsid w:val="005579D3"/>
    <w:rsid w:val="00561789"/>
    <w:rsid w:val="00561992"/>
    <w:rsid w:val="00562221"/>
    <w:rsid w:val="00566C5B"/>
    <w:rsid w:val="00567161"/>
    <w:rsid w:val="00576CC3"/>
    <w:rsid w:val="005819BA"/>
    <w:rsid w:val="00582A77"/>
    <w:rsid w:val="00590802"/>
    <w:rsid w:val="0059202D"/>
    <w:rsid w:val="00594440"/>
    <w:rsid w:val="0059487C"/>
    <w:rsid w:val="00595306"/>
    <w:rsid w:val="00596382"/>
    <w:rsid w:val="005A1A91"/>
    <w:rsid w:val="005A2C82"/>
    <w:rsid w:val="005B1152"/>
    <w:rsid w:val="005B11D8"/>
    <w:rsid w:val="005B46EC"/>
    <w:rsid w:val="005B65D2"/>
    <w:rsid w:val="005B6721"/>
    <w:rsid w:val="005B693A"/>
    <w:rsid w:val="005C0794"/>
    <w:rsid w:val="005C3E9E"/>
    <w:rsid w:val="005C3FF6"/>
    <w:rsid w:val="005C4024"/>
    <w:rsid w:val="005C5647"/>
    <w:rsid w:val="005D2D03"/>
    <w:rsid w:val="005D3383"/>
    <w:rsid w:val="005D6B9F"/>
    <w:rsid w:val="005D711B"/>
    <w:rsid w:val="005E1ACB"/>
    <w:rsid w:val="005F12CA"/>
    <w:rsid w:val="005F4E2A"/>
    <w:rsid w:val="005F64D0"/>
    <w:rsid w:val="005F7F4F"/>
    <w:rsid w:val="00600171"/>
    <w:rsid w:val="00600DCB"/>
    <w:rsid w:val="00601A01"/>
    <w:rsid w:val="00602B70"/>
    <w:rsid w:val="00602E73"/>
    <w:rsid w:val="00603C10"/>
    <w:rsid w:val="006047A2"/>
    <w:rsid w:val="00612829"/>
    <w:rsid w:val="006143B4"/>
    <w:rsid w:val="0061487C"/>
    <w:rsid w:val="00614B87"/>
    <w:rsid w:val="00615A03"/>
    <w:rsid w:val="0061626B"/>
    <w:rsid w:val="00621FAD"/>
    <w:rsid w:val="006236E6"/>
    <w:rsid w:val="00623A78"/>
    <w:rsid w:val="00623D10"/>
    <w:rsid w:val="00626106"/>
    <w:rsid w:val="00626293"/>
    <w:rsid w:val="0062750A"/>
    <w:rsid w:val="00634F48"/>
    <w:rsid w:val="00640983"/>
    <w:rsid w:val="00641EED"/>
    <w:rsid w:val="00642794"/>
    <w:rsid w:val="006444AD"/>
    <w:rsid w:val="0064754C"/>
    <w:rsid w:val="00653EBA"/>
    <w:rsid w:val="00657A25"/>
    <w:rsid w:val="00663059"/>
    <w:rsid w:val="0066313D"/>
    <w:rsid w:val="00670D63"/>
    <w:rsid w:val="00671ADE"/>
    <w:rsid w:val="00677E2C"/>
    <w:rsid w:val="00680241"/>
    <w:rsid w:val="00680A0A"/>
    <w:rsid w:val="00682000"/>
    <w:rsid w:val="00682354"/>
    <w:rsid w:val="0068280A"/>
    <w:rsid w:val="00686F90"/>
    <w:rsid w:val="00687F02"/>
    <w:rsid w:val="006910FB"/>
    <w:rsid w:val="00691BE2"/>
    <w:rsid w:val="00691C35"/>
    <w:rsid w:val="006969AB"/>
    <w:rsid w:val="006A00F5"/>
    <w:rsid w:val="006A0682"/>
    <w:rsid w:val="006A1A3B"/>
    <w:rsid w:val="006A54FF"/>
    <w:rsid w:val="006B693D"/>
    <w:rsid w:val="006B72FD"/>
    <w:rsid w:val="006C06FA"/>
    <w:rsid w:val="006C3D2A"/>
    <w:rsid w:val="006C4127"/>
    <w:rsid w:val="006C6F68"/>
    <w:rsid w:val="006C7CD4"/>
    <w:rsid w:val="006D0E42"/>
    <w:rsid w:val="006D3F86"/>
    <w:rsid w:val="006D659D"/>
    <w:rsid w:val="006E06F1"/>
    <w:rsid w:val="006E1F8A"/>
    <w:rsid w:val="006E3AB8"/>
    <w:rsid w:val="006E5344"/>
    <w:rsid w:val="006E55CE"/>
    <w:rsid w:val="006E76F2"/>
    <w:rsid w:val="006E7D6F"/>
    <w:rsid w:val="006E7DC1"/>
    <w:rsid w:val="006F26BA"/>
    <w:rsid w:val="006F3E31"/>
    <w:rsid w:val="007011BB"/>
    <w:rsid w:val="00701743"/>
    <w:rsid w:val="00706D1E"/>
    <w:rsid w:val="00707733"/>
    <w:rsid w:val="0071051D"/>
    <w:rsid w:val="00711A63"/>
    <w:rsid w:val="00712EC1"/>
    <w:rsid w:val="00712F57"/>
    <w:rsid w:val="00720B93"/>
    <w:rsid w:val="00721373"/>
    <w:rsid w:val="00731C4D"/>
    <w:rsid w:val="00733009"/>
    <w:rsid w:val="0073306A"/>
    <w:rsid w:val="00734B4D"/>
    <w:rsid w:val="00735E80"/>
    <w:rsid w:val="007363C7"/>
    <w:rsid w:val="00742786"/>
    <w:rsid w:val="00743D7F"/>
    <w:rsid w:val="00743F29"/>
    <w:rsid w:val="00744ED7"/>
    <w:rsid w:val="007450C0"/>
    <w:rsid w:val="00745935"/>
    <w:rsid w:val="007544BC"/>
    <w:rsid w:val="00754969"/>
    <w:rsid w:val="00756CDF"/>
    <w:rsid w:val="007572E5"/>
    <w:rsid w:val="00762D6A"/>
    <w:rsid w:val="0076633C"/>
    <w:rsid w:val="00766415"/>
    <w:rsid w:val="007678F5"/>
    <w:rsid w:val="00767923"/>
    <w:rsid w:val="007726CA"/>
    <w:rsid w:val="007739B0"/>
    <w:rsid w:val="007757A9"/>
    <w:rsid w:val="00775DCA"/>
    <w:rsid w:val="00776B42"/>
    <w:rsid w:val="00785D77"/>
    <w:rsid w:val="00787DF7"/>
    <w:rsid w:val="00793A7A"/>
    <w:rsid w:val="00794183"/>
    <w:rsid w:val="007948CE"/>
    <w:rsid w:val="00795236"/>
    <w:rsid w:val="0079798B"/>
    <w:rsid w:val="007A0E9F"/>
    <w:rsid w:val="007A7EF1"/>
    <w:rsid w:val="007B21F0"/>
    <w:rsid w:val="007C0CDD"/>
    <w:rsid w:val="007C1B52"/>
    <w:rsid w:val="007C3D17"/>
    <w:rsid w:val="007C44FF"/>
    <w:rsid w:val="007C520B"/>
    <w:rsid w:val="007C5A3F"/>
    <w:rsid w:val="007C720B"/>
    <w:rsid w:val="007C7BF6"/>
    <w:rsid w:val="007D1B78"/>
    <w:rsid w:val="007D1E9D"/>
    <w:rsid w:val="007D341D"/>
    <w:rsid w:val="007D7010"/>
    <w:rsid w:val="007D75F8"/>
    <w:rsid w:val="007E232D"/>
    <w:rsid w:val="007E46D8"/>
    <w:rsid w:val="007E566F"/>
    <w:rsid w:val="007E682A"/>
    <w:rsid w:val="007F4F2C"/>
    <w:rsid w:val="0080080A"/>
    <w:rsid w:val="00800ED5"/>
    <w:rsid w:val="008012E1"/>
    <w:rsid w:val="0080303C"/>
    <w:rsid w:val="00803E19"/>
    <w:rsid w:val="00806169"/>
    <w:rsid w:val="008075A5"/>
    <w:rsid w:val="008143EF"/>
    <w:rsid w:val="0082604C"/>
    <w:rsid w:val="00826057"/>
    <w:rsid w:val="00826FA1"/>
    <w:rsid w:val="00827D14"/>
    <w:rsid w:val="00835DF3"/>
    <w:rsid w:val="00836C60"/>
    <w:rsid w:val="0084092D"/>
    <w:rsid w:val="008413AC"/>
    <w:rsid w:val="00842E92"/>
    <w:rsid w:val="00843344"/>
    <w:rsid w:val="00844E0C"/>
    <w:rsid w:val="0084584D"/>
    <w:rsid w:val="00846262"/>
    <w:rsid w:val="008519A5"/>
    <w:rsid w:val="008531FA"/>
    <w:rsid w:val="008554D7"/>
    <w:rsid w:val="00857927"/>
    <w:rsid w:val="00860E78"/>
    <w:rsid w:val="00863892"/>
    <w:rsid w:val="0086489B"/>
    <w:rsid w:val="008656F9"/>
    <w:rsid w:val="00866AFF"/>
    <w:rsid w:val="00871466"/>
    <w:rsid w:val="00872F9B"/>
    <w:rsid w:val="00873150"/>
    <w:rsid w:val="00880BE6"/>
    <w:rsid w:val="00881FC8"/>
    <w:rsid w:val="00882625"/>
    <w:rsid w:val="008842C3"/>
    <w:rsid w:val="008854B2"/>
    <w:rsid w:val="008859FB"/>
    <w:rsid w:val="008878ED"/>
    <w:rsid w:val="00887D8F"/>
    <w:rsid w:val="0089629B"/>
    <w:rsid w:val="008978B8"/>
    <w:rsid w:val="008A20AD"/>
    <w:rsid w:val="008A228F"/>
    <w:rsid w:val="008A5775"/>
    <w:rsid w:val="008A6140"/>
    <w:rsid w:val="008A6691"/>
    <w:rsid w:val="008A72EA"/>
    <w:rsid w:val="008B3C27"/>
    <w:rsid w:val="008B5E82"/>
    <w:rsid w:val="008C2E87"/>
    <w:rsid w:val="008C3B96"/>
    <w:rsid w:val="008C3C03"/>
    <w:rsid w:val="008C4722"/>
    <w:rsid w:val="008C4D0C"/>
    <w:rsid w:val="008C5D4B"/>
    <w:rsid w:val="008D1399"/>
    <w:rsid w:val="008D3A58"/>
    <w:rsid w:val="008D3B0D"/>
    <w:rsid w:val="008D5A37"/>
    <w:rsid w:val="008D7630"/>
    <w:rsid w:val="008D7CF7"/>
    <w:rsid w:val="008E4607"/>
    <w:rsid w:val="008E4C57"/>
    <w:rsid w:val="008F50B3"/>
    <w:rsid w:val="00901364"/>
    <w:rsid w:val="00910FD7"/>
    <w:rsid w:val="00913389"/>
    <w:rsid w:val="0091436C"/>
    <w:rsid w:val="009146B9"/>
    <w:rsid w:val="00915B98"/>
    <w:rsid w:val="00923F78"/>
    <w:rsid w:val="0092664F"/>
    <w:rsid w:val="00931CB7"/>
    <w:rsid w:val="0093383A"/>
    <w:rsid w:val="00936232"/>
    <w:rsid w:val="00940BB3"/>
    <w:rsid w:val="00944F9D"/>
    <w:rsid w:val="00945AAA"/>
    <w:rsid w:val="00946867"/>
    <w:rsid w:val="00947555"/>
    <w:rsid w:val="00947E7D"/>
    <w:rsid w:val="00955C9F"/>
    <w:rsid w:val="0095740E"/>
    <w:rsid w:val="00957647"/>
    <w:rsid w:val="00973F63"/>
    <w:rsid w:val="00975370"/>
    <w:rsid w:val="00981804"/>
    <w:rsid w:val="0099007C"/>
    <w:rsid w:val="00993C8C"/>
    <w:rsid w:val="0099670C"/>
    <w:rsid w:val="009A2990"/>
    <w:rsid w:val="009B04C3"/>
    <w:rsid w:val="009C2542"/>
    <w:rsid w:val="009C3D91"/>
    <w:rsid w:val="009C68B1"/>
    <w:rsid w:val="009D5C02"/>
    <w:rsid w:val="009D63CB"/>
    <w:rsid w:val="009E341A"/>
    <w:rsid w:val="009E37A3"/>
    <w:rsid w:val="009F4080"/>
    <w:rsid w:val="009F488A"/>
    <w:rsid w:val="009F51B6"/>
    <w:rsid w:val="00A009C3"/>
    <w:rsid w:val="00A02298"/>
    <w:rsid w:val="00A05787"/>
    <w:rsid w:val="00A13218"/>
    <w:rsid w:val="00A15E79"/>
    <w:rsid w:val="00A16EB4"/>
    <w:rsid w:val="00A21119"/>
    <w:rsid w:val="00A22322"/>
    <w:rsid w:val="00A24C0C"/>
    <w:rsid w:val="00A24CA2"/>
    <w:rsid w:val="00A260D7"/>
    <w:rsid w:val="00A27515"/>
    <w:rsid w:val="00A3019A"/>
    <w:rsid w:val="00A304D1"/>
    <w:rsid w:val="00A460B6"/>
    <w:rsid w:val="00A46B6D"/>
    <w:rsid w:val="00A46EF2"/>
    <w:rsid w:val="00A47E5C"/>
    <w:rsid w:val="00A500D5"/>
    <w:rsid w:val="00A51E77"/>
    <w:rsid w:val="00A528DC"/>
    <w:rsid w:val="00A60CAF"/>
    <w:rsid w:val="00A61C71"/>
    <w:rsid w:val="00A65314"/>
    <w:rsid w:val="00A70156"/>
    <w:rsid w:val="00A709FD"/>
    <w:rsid w:val="00A70E93"/>
    <w:rsid w:val="00A71E5B"/>
    <w:rsid w:val="00A776E5"/>
    <w:rsid w:val="00A7780F"/>
    <w:rsid w:val="00A81518"/>
    <w:rsid w:val="00A84442"/>
    <w:rsid w:val="00A94A90"/>
    <w:rsid w:val="00A953A5"/>
    <w:rsid w:val="00AA45F0"/>
    <w:rsid w:val="00AA4A2B"/>
    <w:rsid w:val="00AA68F7"/>
    <w:rsid w:val="00AB0D60"/>
    <w:rsid w:val="00AC0017"/>
    <w:rsid w:val="00AC009E"/>
    <w:rsid w:val="00AC37D8"/>
    <w:rsid w:val="00AC3F4C"/>
    <w:rsid w:val="00AC57EB"/>
    <w:rsid w:val="00AC591C"/>
    <w:rsid w:val="00AC597D"/>
    <w:rsid w:val="00AC6426"/>
    <w:rsid w:val="00AC769A"/>
    <w:rsid w:val="00AD0312"/>
    <w:rsid w:val="00AD1DE2"/>
    <w:rsid w:val="00AD7E6F"/>
    <w:rsid w:val="00AE052D"/>
    <w:rsid w:val="00AE450D"/>
    <w:rsid w:val="00AE5FA7"/>
    <w:rsid w:val="00AE6534"/>
    <w:rsid w:val="00AF231E"/>
    <w:rsid w:val="00B0485B"/>
    <w:rsid w:val="00B067E9"/>
    <w:rsid w:val="00B1006A"/>
    <w:rsid w:val="00B104F7"/>
    <w:rsid w:val="00B13483"/>
    <w:rsid w:val="00B1469C"/>
    <w:rsid w:val="00B15571"/>
    <w:rsid w:val="00B20CDD"/>
    <w:rsid w:val="00B20E65"/>
    <w:rsid w:val="00B22270"/>
    <w:rsid w:val="00B24F94"/>
    <w:rsid w:val="00B27FBA"/>
    <w:rsid w:val="00B30A78"/>
    <w:rsid w:val="00B313EF"/>
    <w:rsid w:val="00B316C4"/>
    <w:rsid w:val="00B32E8C"/>
    <w:rsid w:val="00B33FC4"/>
    <w:rsid w:val="00B3441C"/>
    <w:rsid w:val="00B35822"/>
    <w:rsid w:val="00B41494"/>
    <w:rsid w:val="00B418F3"/>
    <w:rsid w:val="00B4364E"/>
    <w:rsid w:val="00B46535"/>
    <w:rsid w:val="00B5108B"/>
    <w:rsid w:val="00B527B3"/>
    <w:rsid w:val="00B53368"/>
    <w:rsid w:val="00B53679"/>
    <w:rsid w:val="00B60168"/>
    <w:rsid w:val="00B60722"/>
    <w:rsid w:val="00B62076"/>
    <w:rsid w:val="00B70A1F"/>
    <w:rsid w:val="00B72F4C"/>
    <w:rsid w:val="00B756B4"/>
    <w:rsid w:val="00B90488"/>
    <w:rsid w:val="00B96B26"/>
    <w:rsid w:val="00BA016B"/>
    <w:rsid w:val="00BA2045"/>
    <w:rsid w:val="00BA59A4"/>
    <w:rsid w:val="00BA5BBD"/>
    <w:rsid w:val="00BA7218"/>
    <w:rsid w:val="00BB0CE8"/>
    <w:rsid w:val="00BB119A"/>
    <w:rsid w:val="00BB1540"/>
    <w:rsid w:val="00BC294E"/>
    <w:rsid w:val="00BC30A0"/>
    <w:rsid w:val="00BC571F"/>
    <w:rsid w:val="00BD0683"/>
    <w:rsid w:val="00BD1835"/>
    <w:rsid w:val="00BD3267"/>
    <w:rsid w:val="00BD34C6"/>
    <w:rsid w:val="00BD70B9"/>
    <w:rsid w:val="00BE5D10"/>
    <w:rsid w:val="00BE6114"/>
    <w:rsid w:val="00BF5DDC"/>
    <w:rsid w:val="00C00FF5"/>
    <w:rsid w:val="00C015C1"/>
    <w:rsid w:val="00C02DC1"/>
    <w:rsid w:val="00C02EC9"/>
    <w:rsid w:val="00C0406A"/>
    <w:rsid w:val="00C044EB"/>
    <w:rsid w:val="00C05523"/>
    <w:rsid w:val="00C06BC1"/>
    <w:rsid w:val="00C127FD"/>
    <w:rsid w:val="00C132D4"/>
    <w:rsid w:val="00C13C73"/>
    <w:rsid w:val="00C23A78"/>
    <w:rsid w:val="00C23D9C"/>
    <w:rsid w:val="00C275B9"/>
    <w:rsid w:val="00C27C17"/>
    <w:rsid w:val="00C32CE6"/>
    <w:rsid w:val="00C37470"/>
    <w:rsid w:val="00C43D82"/>
    <w:rsid w:val="00C43DF3"/>
    <w:rsid w:val="00C4523E"/>
    <w:rsid w:val="00C4554A"/>
    <w:rsid w:val="00C526AC"/>
    <w:rsid w:val="00C53D5E"/>
    <w:rsid w:val="00C55273"/>
    <w:rsid w:val="00C5613E"/>
    <w:rsid w:val="00C6053C"/>
    <w:rsid w:val="00C63692"/>
    <w:rsid w:val="00C67282"/>
    <w:rsid w:val="00C67B76"/>
    <w:rsid w:val="00C67FD6"/>
    <w:rsid w:val="00C71CE9"/>
    <w:rsid w:val="00C72E5D"/>
    <w:rsid w:val="00C765E2"/>
    <w:rsid w:val="00C8025E"/>
    <w:rsid w:val="00C8070C"/>
    <w:rsid w:val="00C80F56"/>
    <w:rsid w:val="00C84039"/>
    <w:rsid w:val="00C84418"/>
    <w:rsid w:val="00C86005"/>
    <w:rsid w:val="00C878E3"/>
    <w:rsid w:val="00C91A06"/>
    <w:rsid w:val="00C929C2"/>
    <w:rsid w:val="00C93528"/>
    <w:rsid w:val="00C9464B"/>
    <w:rsid w:val="00C956B3"/>
    <w:rsid w:val="00CA078A"/>
    <w:rsid w:val="00CA1626"/>
    <w:rsid w:val="00CA1F20"/>
    <w:rsid w:val="00CA5A8B"/>
    <w:rsid w:val="00CB01C4"/>
    <w:rsid w:val="00CB345A"/>
    <w:rsid w:val="00CB423F"/>
    <w:rsid w:val="00CB4428"/>
    <w:rsid w:val="00CB559B"/>
    <w:rsid w:val="00CB5E5A"/>
    <w:rsid w:val="00CB7251"/>
    <w:rsid w:val="00CC0B75"/>
    <w:rsid w:val="00CC1A42"/>
    <w:rsid w:val="00CC341D"/>
    <w:rsid w:val="00CC5F59"/>
    <w:rsid w:val="00CC7511"/>
    <w:rsid w:val="00CD1D6C"/>
    <w:rsid w:val="00CD2506"/>
    <w:rsid w:val="00CD25ED"/>
    <w:rsid w:val="00CD5901"/>
    <w:rsid w:val="00CD5A1E"/>
    <w:rsid w:val="00CD6776"/>
    <w:rsid w:val="00CE08CF"/>
    <w:rsid w:val="00CE63C4"/>
    <w:rsid w:val="00CF0436"/>
    <w:rsid w:val="00CF171D"/>
    <w:rsid w:val="00D04ED4"/>
    <w:rsid w:val="00D061E1"/>
    <w:rsid w:val="00D1150E"/>
    <w:rsid w:val="00D115B9"/>
    <w:rsid w:val="00D20AB0"/>
    <w:rsid w:val="00D22604"/>
    <w:rsid w:val="00D22DF5"/>
    <w:rsid w:val="00D2303E"/>
    <w:rsid w:val="00D2743A"/>
    <w:rsid w:val="00D334E1"/>
    <w:rsid w:val="00D34B34"/>
    <w:rsid w:val="00D35CD4"/>
    <w:rsid w:val="00D372B5"/>
    <w:rsid w:val="00D41679"/>
    <w:rsid w:val="00D44BD2"/>
    <w:rsid w:val="00D511FE"/>
    <w:rsid w:val="00D528B7"/>
    <w:rsid w:val="00D53293"/>
    <w:rsid w:val="00D55BFE"/>
    <w:rsid w:val="00D56BDD"/>
    <w:rsid w:val="00D56D09"/>
    <w:rsid w:val="00D57328"/>
    <w:rsid w:val="00D57E1D"/>
    <w:rsid w:val="00D6233D"/>
    <w:rsid w:val="00D66701"/>
    <w:rsid w:val="00D72699"/>
    <w:rsid w:val="00D77DA5"/>
    <w:rsid w:val="00D80018"/>
    <w:rsid w:val="00D80367"/>
    <w:rsid w:val="00D80887"/>
    <w:rsid w:val="00D817AB"/>
    <w:rsid w:val="00D81B24"/>
    <w:rsid w:val="00D8609E"/>
    <w:rsid w:val="00D92429"/>
    <w:rsid w:val="00D92EE6"/>
    <w:rsid w:val="00D94C1E"/>
    <w:rsid w:val="00D95B9A"/>
    <w:rsid w:val="00DA0E4D"/>
    <w:rsid w:val="00DA20F8"/>
    <w:rsid w:val="00DA4547"/>
    <w:rsid w:val="00DB1DA1"/>
    <w:rsid w:val="00DB3773"/>
    <w:rsid w:val="00DB5837"/>
    <w:rsid w:val="00DC0049"/>
    <w:rsid w:val="00DC21BD"/>
    <w:rsid w:val="00DC2BCC"/>
    <w:rsid w:val="00DC3F24"/>
    <w:rsid w:val="00DC77A6"/>
    <w:rsid w:val="00DD4AF8"/>
    <w:rsid w:val="00DD5C3A"/>
    <w:rsid w:val="00DD619E"/>
    <w:rsid w:val="00DD7132"/>
    <w:rsid w:val="00DE56E6"/>
    <w:rsid w:val="00DF3255"/>
    <w:rsid w:val="00DF4B0C"/>
    <w:rsid w:val="00DF6065"/>
    <w:rsid w:val="00E04EDB"/>
    <w:rsid w:val="00E052E5"/>
    <w:rsid w:val="00E07A61"/>
    <w:rsid w:val="00E12541"/>
    <w:rsid w:val="00E1339B"/>
    <w:rsid w:val="00E16DAA"/>
    <w:rsid w:val="00E243F2"/>
    <w:rsid w:val="00E24415"/>
    <w:rsid w:val="00E27D74"/>
    <w:rsid w:val="00E32BAD"/>
    <w:rsid w:val="00E3404D"/>
    <w:rsid w:val="00E352AA"/>
    <w:rsid w:val="00E379E7"/>
    <w:rsid w:val="00E4045D"/>
    <w:rsid w:val="00E40F05"/>
    <w:rsid w:val="00E41728"/>
    <w:rsid w:val="00E417AD"/>
    <w:rsid w:val="00E4407B"/>
    <w:rsid w:val="00E50688"/>
    <w:rsid w:val="00E522DE"/>
    <w:rsid w:val="00E61965"/>
    <w:rsid w:val="00E620FC"/>
    <w:rsid w:val="00E66BF3"/>
    <w:rsid w:val="00E717C4"/>
    <w:rsid w:val="00E71C2F"/>
    <w:rsid w:val="00E74004"/>
    <w:rsid w:val="00E74559"/>
    <w:rsid w:val="00E757C0"/>
    <w:rsid w:val="00E77D97"/>
    <w:rsid w:val="00E87E21"/>
    <w:rsid w:val="00E95152"/>
    <w:rsid w:val="00E9660C"/>
    <w:rsid w:val="00EA103D"/>
    <w:rsid w:val="00EA7D5C"/>
    <w:rsid w:val="00EB2896"/>
    <w:rsid w:val="00EB2DF4"/>
    <w:rsid w:val="00EB6262"/>
    <w:rsid w:val="00EC0A36"/>
    <w:rsid w:val="00EC177D"/>
    <w:rsid w:val="00EC27FB"/>
    <w:rsid w:val="00EC7A7E"/>
    <w:rsid w:val="00ED0337"/>
    <w:rsid w:val="00ED3745"/>
    <w:rsid w:val="00ED5BB1"/>
    <w:rsid w:val="00ED6E87"/>
    <w:rsid w:val="00EE073C"/>
    <w:rsid w:val="00EF2C21"/>
    <w:rsid w:val="00EF371C"/>
    <w:rsid w:val="00EF50B3"/>
    <w:rsid w:val="00EF5378"/>
    <w:rsid w:val="00EF57C8"/>
    <w:rsid w:val="00EF6EEC"/>
    <w:rsid w:val="00EF7884"/>
    <w:rsid w:val="00F024BE"/>
    <w:rsid w:val="00F12A42"/>
    <w:rsid w:val="00F14240"/>
    <w:rsid w:val="00F1573F"/>
    <w:rsid w:val="00F20D14"/>
    <w:rsid w:val="00F30AD1"/>
    <w:rsid w:val="00F33EDF"/>
    <w:rsid w:val="00F35148"/>
    <w:rsid w:val="00F400E6"/>
    <w:rsid w:val="00F40646"/>
    <w:rsid w:val="00F41710"/>
    <w:rsid w:val="00F41A0E"/>
    <w:rsid w:val="00F41F58"/>
    <w:rsid w:val="00F4501E"/>
    <w:rsid w:val="00F472BF"/>
    <w:rsid w:val="00F50041"/>
    <w:rsid w:val="00F500B1"/>
    <w:rsid w:val="00F55135"/>
    <w:rsid w:val="00F56F60"/>
    <w:rsid w:val="00F60EA5"/>
    <w:rsid w:val="00F6161B"/>
    <w:rsid w:val="00F6470A"/>
    <w:rsid w:val="00F64E26"/>
    <w:rsid w:val="00F70D5E"/>
    <w:rsid w:val="00F71FDA"/>
    <w:rsid w:val="00F72B00"/>
    <w:rsid w:val="00F7477D"/>
    <w:rsid w:val="00F75F4A"/>
    <w:rsid w:val="00F8118C"/>
    <w:rsid w:val="00F84C99"/>
    <w:rsid w:val="00F904AA"/>
    <w:rsid w:val="00F91924"/>
    <w:rsid w:val="00F94FC5"/>
    <w:rsid w:val="00FA37ED"/>
    <w:rsid w:val="00FA6366"/>
    <w:rsid w:val="00FA7A77"/>
    <w:rsid w:val="00FB1B05"/>
    <w:rsid w:val="00FB2A62"/>
    <w:rsid w:val="00FB40D8"/>
    <w:rsid w:val="00FB4C7B"/>
    <w:rsid w:val="00FB4C87"/>
    <w:rsid w:val="00FC3B6F"/>
    <w:rsid w:val="00FC620B"/>
    <w:rsid w:val="00FC6242"/>
    <w:rsid w:val="00FC7E2A"/>
    <w:rsid w:val="00FC7ECC"/>
    <w:rsid w:val="00FD0753"/>
    <w:rsid w:val="00FD25F2"/>
    <w:rsid w:val="00FD5499"/>
    <w:rsid w:val="00FE17C2"/>
    <w:rsid w:val="00FE6413"/>
    <w:rsid w:val="00FF053C"/>
    <w:rsid w:val="00FF05DE"/>
    <w:rsid w:val="00FF4A38"/>
    <w:rsid w:val="00FF71A5"/>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rules v:ext="edit">
        <o:r id="V:Rule2" type="connector" idref="#_x0000_s1026"/>
      </o:rules>
    </o:shapelayout>
  </w:shapeDefaults>
  <w:decimalSymbol w:val="."/>
  <w:listSeparator w:val=","/>
  <w15:docId w15:val="{930A63F9-931D-4E03-B326-AADF61A8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AA"/>
    <w:pPr>
      <w:spacing w:after="200" w:line="276" w:lineRule="auto"/>
    </w:pPr>
    <w:rPr>
      <w:rFonts w:eastAsia="Times New Roman"/>
      <w:sz w:val="22"/>
      <w:szCs w:val="22"/>
      <w:lang w:val="en-AU"/>
    </w:rPr>
  </w:style>
  <w:style w:type="paragraph" w:styleId="Heading1">
    <w:name w:val="heading 1"/>
    <w:basedOn w:val="Normal"/>
    <w:next w:val="Normal"/>
    <w:link w:val="Heading1Char"/>
    <w:qFormat/>
    <w:locked/>
    <w:rsid w:val="0027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B074D"/>
    <w:pPr>
      <w:spacing w:after="0" w:line="240" w:lineRule="auto"/>
    </w:pPr>
    <w:rPr>
      <w:rFonts w:ascii="Tahoma" w:eastAsia="Calibri" w:hAnsi="Tahoma"/>
      <w:sz w:val="16"/>
      <w:szCs w:val="16"/>
      <w:lang w:eastAsia="en-AU"/>
    </w:rPr>
  </w:style>
  <w:style w:type="character" w:customStyle="1" w:styleId="BalloonTextChar">
    <w:name w:val="Balloon Text Char"/>
    <w:basedOn w:val="DefaultParagraphFont"/>
    <w:uiPriority w:val="99"/>
    <w:semiHidden/>
    <w:rsid w:val="00F63879"/>
    <w:rPr>
      <w:rFonts w:ascii="Lucida Grande" w:hAnsi="Lucida Grande"/>
      <w:sz w:val="18"/>
      <w:szCs w:val="18"/>
    </w:rPr>
  </w:style>
  <w:style w:type="paragraph" w:styleId="ListParagraph">
    <w:name w:val="List Paragraph"/>
    <w:basedOn w:val="Normal"/>
    <w:uiPriority w:val="34"/>
    <w:qFormat/>
    <w:rsid w:val="00DF4B0C"/>
    <w:pPr>
      <w:ind w:left="720"/>
      <w:contextualSpacing/>
    </w:pPr>
  </w:style>
  <w:style w:type="paragraph" w:customStyle="1" w:styleId="Default">
    <w:name w:val="Default"/>
    <w:rsid w:val="00DF4B0C"/>
    <w:pPr>
      <w:autoSpaceDE w:val="0"/>
      <w:autoSpaceDN w:val="0"/>
      <w:adjustRightInd w:val="0"/>
    </w:pPr>
    <w:rPr>
      <w:rFonts w:ascii="Arial Narrow" w:hAnsi="Arial Narrow" w:cs="Arial Narrow"/>
      <w:color w:val="000000"/>
      <w:sz w:val="24"/>
      <w:szCs w:val="24"/>
      <w:lang w:val="en-AU" w:eastAsia="en-AU"/>
    </w:rPr>
  </w:style>
  <w:style w:type="table" w:styleId="TableGrid">
    <w:name w:val="Table Grid"/>
    <w:basedOn w:val="TableNormal"/>
    <w:uiPriority w:val="59"/>
    <w:rsid w:val="00776B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559B"/>
    <w:rPr>
      <w:rFonts w:cs="Times New Roman"/>
      <w:color w:val="0000FF"/>
      <w:u w:val="single"/>
    </w:rPr>
  </w:style>
  <w:style w:type="paragraph" w:styleId="Header">
    <w:name w:val="header"/>
    <w:basedOn w:val="Normal"/>
    <w:link w:val="Head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HeaderChar">
    <w:name w:val="Header Char"/>
    <w:basedOn w:val="DefaultParagraphFont"/>
    <w:link w:val="Header"/>
    <w:uiPriority w:val="99"/>
    <w:locked/>
    <w:rsid w:val="00CB559B"/>
    <w:rPr>
      <w:rFonts w:cs="Times New Roman"/>
    </w:rPr>
  </w:style>
  <w:style w:type="paragraph" w:styleId="Footer">
    <w:name w:val="footer"/>
    <w:basedOn w:val="Normal"/>
    <w:link w:val="Foot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FooterChar">
    <w:name w:val="Footer Char"/>
    <w:basedOn w:val="DefaultParagraphFont"/>
    <w:link w:val="Footer"/>
    <w:uiPriority w:val="99"/>
    <w:locked/>
    <w:rsid w:val="00CB559B"/>
    <w:rPr>
      <w:rFonts w:cs="Times New Roman"/>
    </w:rPr>
  </w:style>
  <w:style w:type="character" w:customStyle="1" w:styleId="BalloonTextChar1">
    <w:name w:val="Balloon Text Char1"/>
    <w:basedOn w:val="DefaultParagraphFont"/>
    <w:link w:val="BalloonText"/>
    <w:uiPriority w:val="99"/>
    <w:semiHidden/>
    <w:locked/>
    <w:rsid w:val="004B074D"/>
    <w:rPr>
      <w:rFonts w:ascii="Tahoma" w:hAnsi="Tahoma" w:cs="Times New Roman"/>
      <w:sz w:val="16"/>
    </w:rPr>
  </w:style>
  <w:style w:type="character" w:styleId="CommentReference">
    <w:name w:val="annotation reference"/>
    <w:basedOn w:val="DefaultParagraphFont"/>
    <w:rsid w:val="00F40646"/>
    <w:rPr>
      <w:rFonts w:cs="Times New Roman"/>
      <w:sz w:val="16"/>
    </w:rPr>
  </w:style>
  <w:style w:type="paragraph" w:styleId="CommentText">
    <w:name w:val="annotation text"/>
    <w:basedOn w:val="Normal"/>
    <w:link w:val="CommentTextChar"/>
    <w:rsid w:val="00F40646"/>
    <w:pPr>
      <w:spacing w:line="240" w:lineRule="auto"/>
    </w:pPr>
    <w:rPr>
      <w:rFonts w:eastAsia="Calibri"/>
      <w:sz w:val="20"/>
      <w:szCs w:val="20"/>
      <w:lang w:eastAsia="en-AU"/>
    </w:rPr>
  </w:style>
  <w:style w:type="character" w:customStyle="1" w:styleId="CommentTextChar">
    <w:name w:val="Comment Text Char"/>
    <w:basedOn w:val="DefaultParagraphFont"/>
    <w:link w:val="CommentText"/>
    <w:locked/>
    <w:rsid w:val="00F40646"/>
    <w:rPr>
      <w:rFonts w:cs="Times New Roman"/>
      <w:sz w:val="20"/>
    </w:rPr>
  </w:style>
  <w:style w:type="paragraph" w:styleId="CommentSubject">
    <w:name w:val="annotation subject"/>
    <w:basedOn w:val="CommentText"/>
    <w:next w:val="CommentText"/>
    <w:link w:val="CommentSubjectChar"/>
    <w:uiPriority w:val="99"/>
    <w:semiHidden/>
    <w:rsid w:val="00F40646"/>
    <w:rPr>
      <w:b/>
      <w:bCs/>
    </w:rPr>
  </w:style>
  <w:style w:type="character" w:customStyle="1" w:styleId="CommentSubjectChar">
    <w:name w:val="Comment Subject Char"/>
    <w:basedOn w:val="CommentTextChar"/>
    <w:link w:val="CommentSubject"/>
    <w:uiPriority w:val="99"/>
    <w:semiHidden/>
    <w:locked/>
    <w:rsid w:val="00F40646"/>
    <w:rPr>
      <w:rFonts w:cs="Times New Roman"/>
      <w:b/>
      <w:sz w:val="20"/>
    </w:rPr>
  </w:style>
  <w:style w:type="paragraph" w:customStyle="1" w:styleId="AHPRAHeadline">
    <w:name w:val="AHPRA Headline"/>
    <w:basedOn w:val="Normal"/>
    <w:qFormat/>
    <w:rsid w:val="002E1B0D"/>
    <w:pPr>
      <w:spacing w:line="240" w:lineRule="auto"/>
    </w:pPr>
    <w:rPr>
      <w:rFonts w:ascii="Arial" w:hAnsi="Arial"/>
      <w:color w:val="008EC4"/>
      <w:sz w:val="28"/>
      <w:szCs w:val="24"/>
      <w:lang w:val="en-US"/>
    </w:rPr>
  </w:style>
  <w:style w:type="paragraph" w:customStyle="1" w:styleId="AHPRATitle">
    <w:name w:val="AHPRA Title"/>
    <w:basedOn w:val="Normal"/>
    <w:next w:val="AHPRAHeadline"/>
    <w:qFormat/>
    <w:rsid w:val="002E1B0D"/>
    <w:pPr>
      <w:spacing w:line="240" w:lineRule="auto"/>
      <w:outlineLvl w:val="0"/>
    </w:pPr>
    <w:rPr>
      <w:rFonts w:ascii="Arial" w:hAnsi="Arial" w:cs="Arial"/>
      <w:color w:val="808080"/>
      <w:sz w:val="44"/>
      <w:szCs w:val="52"/>
    </w:rPr>
  </w:style>
  <w:style w:type="paragraph" w:customStyle="1" w:styleId="AHPRASubhead">
    <w:name w:val="AHPRA Subhead"/>
    <w:basedOn w:val="Normal"/>
    <w:qFormat/>
    <w:rsid w:val="002E1B0D"/>
    <w:pPr>
      <w:spacing w:line="240" w:lineRule="auto"/>
    </w:pPr>
    <w:rPr>
      <w:rFonts w:ascii="Arial" w:hAnsi="Arial"/>
      <w:b/>
      <w:color w:val="008EC4"/>
      <w:sz w:val="20"/>
      <w:szCs w:val="24"/>
      <w:lang w:val="en-US"/>
    </w:rPr>
  </w:style>
  <w:style w:type="paragraph" w:styleId="Revision">
    <w:name w:val="Revision"/>
    <w:hidden/>
    <w:uiPriority w:val="99"/>
    <w:semiHidden/>
    <w:rsid w:val="00E61965"/>
    <w:rPr>
      <w:rFonts w:eastAsia="Times New Roman"/>
      <w:sz w:val="22"/>
      <w:szCs w:val="22"/>
      <w:lang w:val="en-AU"/>
    </w:rPr>
  </w:style>
  <w:style w:type="paragraph" w:customStyle="1" w:styleId="TableBullet">
    <w:name w:val="TableBullet"/>
    <w:basedOn w:val="Normal"/>
    <w:uiPriority w:val="99"/>
    <w:rsid w:val="004F119B"/>
    <w:pPr>
      <w:keepNext/>
      <w:numPr>
        <w:numId w:val="1"/>
      </w:numPr>
      <w:tabs>
        <w:tab w:val="left" w:pos="0"/>
      </w:tabs>
      <w:spacing w:before="120" w:after="120" w:line="240" w:lineRule="auto"/>
    </w:pPr>
    <w:rPr>
      <w:rFonts w:ascii="Helvetica Narrow" w:eastAsia="Calibri" w:hAnsi="Helvetica Narrow"/>
      <w:color w:val="000000"/>
      <w:sz w:val="20"/>
      <w:szCs w:val="24"/>
    </w:rPr>
  </w:style>
  <w:style w:type="paragraph" w:customStyle="1" w:styleId="TableDash">
    <w:name w:val="TableDash"/>
    <w:basedOn w:val="Normal"/>
    <w:uiPriority w:val="99"/>
    <w:rsid w:val="004F119B"/>
    <w:pPr>
      <w:keepNext/>
      <w:numPr>
        <w:ilvl w:val="1"/>
        <w:numId w:val="1"/>
      </w:numPr>
      <w:tabs>
        <w:tab w:val="left" w:pos="432"/>
      </w:tabs>
      <w:spacing w:before="120" w:after="120" w:line="240" w:lineRule="auto"/>
    </w:pPr>
    <w:rPr>
      <w:rFonts w:ascii="Helvetica Narrow" w:eastAsia="Calibri" w:hAnsi="Helvetica Narrow"/>
      <w:color w:val="000000"/>
      <w:sz w:val="20"/>
      <w:szCs w:val="24"/>
    </w:rPr>
  </w:style>
  <w:style w:type="paragraph" w:customStyle="1" w:styleId="TableText">
    <w:name w:val="TableText"/>
    <w:basedOn w:val="Normal"/>
    <w:uiPriority w:val="99"/>
    <w:rsid w:val="004F119B"/>
    <w:pPr>
      <w:keepNext/>
      <w:spacing w:before="120" w:after="120" w:line="240" w:lineRule="auto"/>
    </w:pPr>
    <w:rPr>
      <w:rFonts w:ascii="Helvetica Narrow" w:eastAsia="Calibri" w:hAnsi="Helvetica Narrow"/>
      <w:color w:val="000000"/>
      <w:sz w:val="20"/>
      <w:szCs w:val="24"/>
    </w:rPr>
  </w:style>
  <w:style w:type="paragraph" w:customStyle="1" w:styleId="para">
    <w:name w:val="para"/>
    <w:uiPriority w:val="1"/>
    <w:qFormat/>
    <w:rsid w:val="007C520B"/>
    <w:pPr>
      <w:spacing w:after="240"/>
      <w:ind w:left="425"/>
    </w:pPr>
    <w:rPr>
      <w:rFonts w:ascii="Arial" w:hAnsi="Arial"/>
      <w:szCs w:val="28"/>
      <w:lang w:val="en-AU"/>
    </w:rPr>
  </w:style>
  <w:style w:type="paragraph" w:customStyle="1" w:styleId="Body1">
    <w:name w:val="Body 1"/>
    <w:uiPriority w:val="99"/>
    <w:rsid w:val="00AA4A2B"/>
    <w:pPr>
      <w:spacing w:after="200" w:line="276" w:lineRule="auto"/>
      <w:outlineLvl w:val="0"/>
    </w:pPr>
    <w:rPr>
      <w:rFonts w:ascii="Helvetica" w:eastAsia="Arial Unicode MS" w:hAnsi="Helvetica"/>
      <w:color w:val="000000"/>
      <w:sz w:val="22"/>
      <w:u w:color="000000"/>
      <w:lang w:val="en-AU" w:eastAsia="en-AU"/>
    </w:rPr>
  </w:style>
  <w:style w:type="paragraph" w:customStyle="1" w:styleId="AHPRAbodytext">
    <w:name w:val="AHPRA body text"/>
    <w:basedOn w:val="Normal"/>
    <w:rsid w:val="008A6691"/>
    <w:pPr>
      <w:spacing w:line="240" w:lineRule="auto"/>
    </w:pPr>
    <w:rPr>
      <w:rFonts w:ascii="Arial" w:eastAsia="Cambria" w:hAnsi="Arial" w:cs="Arial"/>
      <w:sz w:val="20"/>
      <w:szCs w:val="24"/>
      <w:lang w:val="en-US"/>
    </w:rPr>
  </w:style>
  <w:style w:type="paragraph" w:customStyle="1" w:styleId="AHPRAbody">
    <w:name w:val="AHPRA body"/>
    <w:basedOn w:val="Normal"/>
    <w:link w:val="AHPRAbodyChar"/>
    <w:qFormat/>
    <w:rsid w:val="008A6691"/>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A6691"/>
    <w:rPr>
      <w:rFonts w:ascii="Arial" w:eastAsia="Cambria" w:hAnsi="Arial" w:cs="Arial"/>
      <w:szCs w:val="24"/>
      <w:lang w:val="en-AU"/>
    </w:rPr>
  </w:style>
  <w:style w:type="paragraph" w:customStyle="1" w:styleId="AHPRAfirstpagefooter">
    <w:name w:val="AHPRA first page footer"/>
    <w:basedOn w:val="Normal"/>
    <w:rsid w:val="008A6691"/>
    <w:pPr>
      <w:spacing w:after="0" w:line="240" w:lineRule="auto"/>
      <w:jc w:val="center"/>
    </w:pPr>
    <w:rPr>
      <w:rFonts w:ascii="Arial" w:eastAsia="Cambria" w:hAnsi="Arial" w:cs="Arial"/>
      <w:b/>
      <w:color w:val="5F6062"/>
      <w:sz w:val="18"/>
      <w:szCs w:val="20"/>
    </w:rPr>
  </w:style>
  <w:style w:type="paragraph" w:customStyle="1" w:styleId="AHPRASubheadinglevel3">
    <w:name w:val="AHPRA Subheading level 3"/>
    <w:basedOn w:val="Normal"/>
    <w:next w:val="Normal"/>
    <w:qFormat/>
    <w:rsid w:val="008A6691"/>
    <w:pPr>
      <w:spacing w:before="200" w:line="240" w:lineRule="auto"/>
    </w:pPr>
    <w:rPr>
      <w:rFonts w:ascii="Arial" w:eastAsia="Cambria" w:hAnsi="Arial"/>
      <w:i/>
      <w:color w:val="008EC4"/>
      <w:sz w:val="20"/>
      <w:szCs w:val="24"/>
      <w:lang w:val="en-US"/>
    </w:rPr>
  </w:style>
  <w:style w:type="paragraph" w:customStyle="1" w:styleId="AHPRASubheading">
    <w:name w:val="AHPRA Subheading"/>
    <w:basedOn w:val="Normal"/>
    <w:qFormat/>
    <w:rsid w:val="00B32E8C"/>
    <w:pPr>
      <w:spacing w:before="200" w:line="240" w:lineRule="auto"/>
    </w:pPr>
    <w:rPr>
      <w:rFonts w:ascii="Arial" w:eastAsia="Cambria" w:hAnsi="Arial"/>
      <w:b/>
      <w:color w:val="008EC4"/>
      <w:sz w:val="20"/>
      <w:szCs w:val="24"/>
      <w:lang w:val="en-US"/>
    </w:rPr>
  </w:style>
  <w:style w:type="paragraph" w:customStyle="1" w:styleId="AHPRANumberedlistlevel2">
    <w:name w:val="AHPRA Numbered list level 2"/>
    <w:basedOn w:val="Normal"/>
    <w:rsid w:val="00C6053C"/>
    <w:pPr>
      <w:spacing w:after="0" w:line="240" w:lineRule="auto"/>
      <w:ind w:left="737" w:hanging="368"/>
    </w:pPr>
    <w:rPr>
      <w:rFonts w:ascii="Arial" w:eastAsia="Cambria" w:hAnsi="Arial" w:cs="Arial"/>
      <w:sz w:val="20"/>
      <w:szCs w:val="20"/>
      <w:lang w:val="en-US"/>
    </w:rPr>
  </w:style>
  <w:style w:type="paragraph" w:customStyle="1" w:styleId="AHPRADocumenttitle">
    <w:name w:val="AHPRA Document title"/>
    <w:basedOn w:val="Normal"/>
    <w:rsid w:val="00F7477D"/>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qFormat/>
    <w:rsid w:val="00F7477D"/>
    <w:pPr>
      <w:spacing w:line="240" w:lineRule="auto"/>
      <w:outlineLvl w:val="0"/>
    </w:pPr>
    <w:rPr>
      <w:rFonts w:ascii="Arial" w:eastAsia="Cambria" w:hAnsi="Arial" w:cs="Arial"/>
      <w:color w:val="808080"/>
      <w:sz w:val="28"/>
      <w:szCs w:val="52"/>
      <w:lang w:val="en-US"/>
    </w:rPr>
  </w:style>
  <w:style w:type="paragraph" w:styleId="FootnoteText">
    <w:name w:val="footnote text"/>
    <w:basedOn w:val="Normal"/>
    <w:link w:val="FootnoteTextChar"/>
    <w:uiPriority w:val="99"/>
    <w:semiHidden/>
    <w:unhideWhenUsed/>
    <w:rsid w:val="00F74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77D"/>
    <w:rPr>
      <w:rFonts w:eastAsia="Times New Roman"/>
      <w:lang w:val="en-AU"/>
    </w:rPr>
  </w:style>
  <w:style w:type="character" w:styleId="FootnoteReference">
    <w:name w:val="footnote reference"/>
    <w:basedOn w:val="DefaultParagraphFont"/>
    <w:uiPriority w:val="99"/>
    <w:semiHidden/>
    <w:unhideWhenUsed/>
    <w:rsid w:val="00F7477D"/>
    <w:rPr>
      <w:vertAlign w:val="superscript"/>
    </w:rPr>
  </w:style>
  <w:style w:type="paragraph" w:styleId="EndnoteText">
    <w:name w:val="endnote text"/>
    <w:basedOn w:val="Normal"/>
    <w:link w:val="EndnoteTextChar"/>
    <w:uiPriority w:val="99"/>
    <w:semiHidden/>
    <w:unhideWhenUsed/>
    <w:rsid w:val="00272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874"/>
    <w:rPr>
      <w:rFonts w:eastAsia="Times New Roman"/>
      <w:lang w:val="en-AU"/>
    </w:rPr>
  </w:style>
  <w:style w:type="character" w:styleId="EndnoteReference">
    <w:name w:val="endnote reference"/>
    <w:basedOn w:val="DefaultParagraphFont"/>
    <w:uiPriority w:val="99"/>
    <w:semiHidden/>
    <w:unhideWhenUsed/>
    <w:rsid w:val="00272874"/>
    <w:rPr>
      <w:vertAlign w:val="superscript"/>
    </w:rPr>
  </w:style>
  <w:style w:type="character" w:customStyle="1" w:styleId="Heading1Char">
    <w:name w:val="Heading 1 Char"/>
    <w:basedOn w:val="DefaultParagraphFont"/>
    <w:link w:val="Heading1"/>
    <w:rsid w:val="00272874"/>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272874"/>
    <w:pPr>
      <w:outlineLvl w:val="9"/>
    </w:pPr>
    <w:rPr>
      <w:lang w:val="en-US"/>
    </w:rPr>
  </w:style>
  <w:style w:type="paragraph" w:styleId="TOC1">
    <w:name w:val="toc 1"/>
    <w:basedOn w:val="Normal"/>
    <w:next w:val="Normal"/>
    <w:autoRedefine/>
    <w:uiPriority w:val="39"/>
    <w:locked/>
    <w:rsid w:val="00272874"/>
    <w:pPr>
      <w:spacing w:after="100"/>
    </w:pPr>
  </w:style>
  <w:style w:type="character" w:styleId="FollowedHyperlink">
    <w:name w:val="FollowedHyperlink"/>
    <w:basedOn w:val="DefaultParagraphFont"/>
    <w:uiPriority w:val="99"/>
    <w:semiHidden/>
    <w:unhideWhenUsed/>
    <w:rsid w:val="00A27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7900">
      <w:bodyDiv w:val="1"/>
      <w:marLeft w:val="0"/>
      <w:marRight w:val="0"/>
      <w:marTop w:val="0"/>
      <w:marBottom w:val="0"/>
      <w:divBdr>
        <w:top w:val="none" w:sz="0" w:space="0" w:color="auto"/>
        <w:left w:val="none" w:sz="0" w:space="0" w:color="auto"/>
        <w:bottom w:val="none" w:sz="0" w:space="0" w:color="auto"/>
        <w:right w:val="none" w:sz="0" w:space="0" w:color="auto"/>
      </w:divBdr>
    </w:div>
    <w:div w:id="521549384">
      <w:bodyDiv w:val="1"/>
      <w:marLeft w:val="0"/>
      <w:marRight w:val="0"/>
      <w:marTop w:val="0"/>
      <w:marBottom w:val="0"/>
      <w:divBdr>
        <w:top w:val="none" w:sz="0" w:space="0" w:color="auto"/>
        <w:left w:val="none" w:sz="0" w:space="0" w:color="auto"/>
        <w:bottom w:val="none" w:sz="0" w:space="0" w:color="auto"/>
        <w:right w:val="none" w:sz="0" w:space="0" w:color="auto"/>
      </w:divBdr>
    </w:div>
    <w:div w:id="1046947762">
      <w:marLeft w:val="0"/>
      <w:marRight w:val="0"/>
      <w:marTop w:val="0"/>
      <w:marBottom w:val="0"/>
      <w:divBdr>
        <w:top w:val="none" w:sz="0" w:space="0" w:color="auto"/>
        <w:left w:val="none" w:sz="0" w:space="0" w:color="auto"/>
        <w:bottom w:val="none" w:sz="0" w:space="0" w:color="auto"/>
        <w:right w:val="none" w:sz="0" w:space="0" w:color="auto"/>
      </w:divBdr>
    </w:div>
    <w:div w:id="1046947774">
      <w:marLeft w:val="0"/>
      <w:marRight w:val="0"/>
      <w:marTop w:val="0"/>
      <w:marBottom w:val="0"/>
      <w:divBdr>
        <w:top w:val="none" w:sz="0" w:space="0" w:color="auto"/>
        <w:left w:val="none" w:sz="0" w:space="0" w:color="auto"/>
        <w:bottom w:val="none" w:sz="0" w:space="0" w:color="auto"/>
        <w:right w:val="none" w:sz="0" w:space="0" w:color="auto"/>
      </w:divBdr>
    </w:div>
    <w:div w:id="1046947776">
      <w:marLeft w:val="0"/>
      <w:marRight w:val="0"/>
      <w:marTop w:val="0"/>
      <w:marBottom w:val="0"/>
      <w:divBdr>
        <w:top w:val="none" w:sz="0" w:space="0" w:color="auto"/>
        <w:left w:val="none" w:sz="0" w:space="0" w:color="auto"/>
        <w:bottom w:val="none" w:sz="0" w:space="0" w:color="auto"/>
        <w:right w:val="none" w:sz="0" w:space="0" w:color="auto"/>
      </w:divBdr>
    </w:div>
    <w:div w:id="1046947777">
      <w:marLeft w:val="0"/>
      <w:marRight w:val="0"/>
      <w:marTop w:val="0"/>
      <w:marBottom w:val="0"/>
      <w:divBdr>
        <w:top w:val="none" w:sz="0" w:space="0" w:color="auto"/>
        <w:left w:val="none" w:sz="0" w:space="0" w:color="auto"/>
        <w:bottom w:val="none" w:sz="0" w:space="0" w:color="auto"/>
        <w:right w:val="none" w:sz="0" w:space="0" w:color="auto"/>
      </w:divBdr>
    </w:div>
    <w:div w:id="1046947779">
      <w:marLeft w:val="0"/>
      <w:marRight w:val="0"/>
      <w:marTop w:val="0"/>
      <w:marBottom w:val="0"/>
      <w:divBdr>
        <w:top w:val="none" w:sz="0" w:space="0" w:color="auto"/>
        <w:left w:val="none" w:sz="0" w:space="0" w:color="auto"/>
        <w:bottom w:val="none" w:sz="0" w:space="0" w:color="auto"/>
        <w:right w:val="none" w:sz="0" w:space="0" w:color="auto"/>
      </w:divBdr>
    </w:div>
    <w:div w:id="1046947780">
      <w:marLeft w:val="0"/>
      <w:marRight w:val="0"/>
      <w:marTop w:val="0"/>
      <w:marBottom w:val="0"/>
      <w:divBdr>
        <w:top w:val="none" w:sz="0" w:space="0" w:color="auto"/>
        <w:left w:val="none" w:sz="0" w:space="0" w:color="auto"/>
        <w:bottom w:val="none" w:sz="0" w:space="0" w:color="auto"/>
        <w:right w:val="none" w:sz="0" w:space="0" w:color="auto"/>
      </w:divBdr>
      <w:divsChild>
        <w:div w:id="1046947761">
          <w:marLeft w:val="0"/>
          <w:marRight w:val="0"/>
          <w:marTop w:val="0"/>
          <w:marBottom w:val="0"/>
          <w:divBdr>
            <w:top w:val="none" w:sz="0" w:space="0" w:color="auto"/>
            <w:left w:val="none" w:sz="0" w:space="0" w:color="auto"/>
            <w:bottom w:val="none" w:sz="0" w:space="0" w:color="auto"/>
            <w:right w:val="none" w:sz="0" w:space="0" w:color="auto"/>
          </w:divBdr>
        </w:div>
        <w:div w:id="1046947763">
          <w:marLeft w:val="0"/>
          <w:marRight w:val="0"/>
          <w:marTop w:val="0"/>
          <w:marBottom w:val="0"/>
          <w:divBdr>
            <w:top w:val="none" w:sz="0" w:space="0" w:color="auto"/>
            <w:left w:val="none" w:sz="0" w:space="0" w:color="auto"/>
            <w:bottom w:val="none" w:sz="0" w:space="0" w:color="auto"/>
            <w:right w:val="none" w:sz="0" w:space="0" w:color="auto"/>
          </w:divBdr>
        </w:div>
        <w:div w:id="1046947764">
          <w:marLeft w:val="0"/>
          <w:marRight w:val="0"/>
          <w:marTop w:val="0"/>
          <w:marBottom w:val="0"/>
          <w:divBdr>
            <w:top w:val="none" w:sz="0" w:space="0" w:color="auto"/>
            <w:left w:val="none" w:sz="0" w:space="0" w:color="auto"/>
            <w:bottom w:val="none" w:sz="0" w:space="0" w:color="auto"/>
            <w:right w:val="none" w:sz="0" w:space="0" w:color="auto"/>
          </w:divBdr>
        </w:div>
        <w:div w:id="1046947765">
          <w:marLeft w:val="0"/>
          <w:marRight w:val="0"/>
          <w:marTop w:val="0"/>
          <w:marBottom w:val="0"/>
          <w:divBdr>
            <w:top w:val="none" w:sz="0" w:space="0" w:color="auto"/>
            <w:left w:val="none" w:sz="0" w:space="0" w:color="auto"/>
            <w:bottom w:val="none" w:sz="0" w:space="0" w:color="auto"/>
            <w:right w:val="none" w:sz="0" w:space="0" w:color="auto"/>
          </w:divBdr>
        </w:div>
        <w:div w:id="1046947766">
          <w:marLeft w:val="0"/>
          <w:marRight w:val="0"/>
          <w:marTop w:val="0"/>
          <w:marBottom w:val="0"/>
          <w:divBdr>
            <w:top w:val="none" w:sz="0" w:space="0" w:color="auto"/>
            <w:left w:val="none" w:sz="0" w:space="0" w:color="auto"/>
            <w:bottom w:val="none" w:sz="0" w:space="0" w:color="auto"/>
            <w:right w:val="none" w:sz="0" w:space="0" w:color="auto"/>
          </w:divBdr>
        </w:div>
        <w:div w:id="1046947767">
          <w:marLeft w:val="0"/>
          <w:marRight w:val="0"/>
          <w:marTop w:val="0"/>
          <w:marBottom w:val="0"/>
          <w:divBdr>
            <w:top w:val="none" w:sz="0" w:space="0" w:color="auto"/>
            <w:left w:val="none" w:sz="0" w:space="0" w:color="auto"/>
            <w:bottom w:val="none" w:sz="0" w:space="0" w:color="auto"/>
            <w:right w:val="none" w:sz="0" w:space="0" w:color="auto"/>
          </w:divBdr>
        </w:div>
        <w:div w:id="1046947768">
          <w:marLeft w:val="0"/>
          <w:marRight w:val="0"/>
          <w:marTop w:val="0"/>
          <w:marBottom w:val="0"/>
          <w:divBdr>
            <w:top w:val="none" w:sz="0" w:space="0" w:color="auto"/>
            <w:left w:val="none" w:sz="0" w:space="0" w:color="auto"/>
            <w:bottom w:val="none" w:sz="0" w:space="0" w:color="auto"/>
            <w:right w:val="none" w:sz="0" w:space="0" w:color="auto"/>
          </w:divBdr>
        </w:div>
        <w:div w:id="1046947769">
          <w:marLeft w:val="0"/>
          <w:marRight w:val="0"/>
          <w:marTop w:val="0"/>
          <w:marBottom w:val="0"/>
          <w:divBdr>
            <w:top w:val="none" w:sz="0" w:space="0" w:color="auto"/>
            <w:left w:val="none" w:sz="0" w:space="0" w:color="auto"/>
            <w:bottom w:val="none" w:sz="0" w:space="0" w:color="auto"/>
            <w:right w:val="none" w:sz="0" w:space="0" w:color="auto"/>
          </w:divBdr>
        </w:div>
        <w:div w:id="1046947770">
          <w:marLeft w:val="0"/>
          <w:marRight w:val="0"/>
          <w:marTop w:val="0"/>
          <w:marBottom w:val="0"/>
          <w:divBdr>
            <w:top w:val="none" w:sz="0" w:space="0" w:color="auto"/>
            <w:left w:val="none" w:sz="0" w:space="0" w:color="auto"/>
            <w:bottom w:val="none" w:sz="0" w:space="0" w:color="auto"/>
            <w:right w:val="none" w:sz="0" w:space="0" w:color="auto"/>
          </w:divBdr>
        </w:div>
        <w:div w:id="1046947771">
          <w:marLeft w:val="0"/>
          <w:marRight w:val="0"/>
          <w:marTop w:val="0"/>
          <w:marBottom w:val="0"/>
          <w:divBdr>
            <w:top w:val="none" w:sz="0" w:space="0" w:color="auto"/>
            <w:left w:val="none" w:sz="0" w:space="0" w:color="auto"/>
            <w:bottom w:val="none" w:sz="0" w:space="0" w:color="auto"/>
            <w:right w:val="none" w:sz="0" w:space="0" w:color="auto"/>
          </w:divBdr>
        </w:div>
        <w:div w:id="1046947772">
          <w:marLeft w:val="0"/>
          <w:marRight w:val="0"/>
          <w:marTop w:val="0"/>
          <w:marBottom w:val="0"/>
          <w:divBdr>
            <w:top w:val="none" w:sz="0" w:space="0" w:color="auto"/>
            <w:left w:val="none" w:sz="0" w:space="0" w:color="auto"/>
            <w:bottom w:val="none" w:sz="0" w:space="0" w:color="auto"/>
            <w:right w:val="none" w:sz="0" w:space="0" w:color="auto"/>
          </w:divBdr>
        </w:div>
        <w:div w:id="1046947773">
          <w:marLeft w:val="0"/>
          <w:marRight w:val="0"/>
          <w:marTop w:val="0"/>
          <w:marBottom w:val="0"/>
          <w:divBdr>
            <w:top w:val="none" w:sz="0" w:space="0" w:color="auto"/>
            <w:left w:val="none" w:sz="0" w:space="0" w:color="auto"/>
            <w:bottom w:val="none" w:sz="0" w:space="0" w:color="auto"/>
            <w:right w:val="none" w:sz="0" w:space="0" w:color="auto"/>
          </w:divBdr>
        </w:div>
        <w:div w:id="1046947775">
          <w:marLeft w:val="0"/>
          <w:marRight w:val="0"/>
          <w:marTop w:val="0"/>
          <w:marBottom w:val="0"/>
          <w:divBdr>
            <w:top w:val="none" w:sz="0" w:space="0" w:color="auto"/>
            <w:left w:val="none" w:sz="0" w:space="0" w:color="auto"/>
            <w:bottom w:val="none" w:sz="0" w:space="0" w:color="auto"/>
            <w:right w:val="none" w:sz="0" w:space="0" w:color="auto"/>
          </w:divBdr>
        </w:div>
        <w:div w:id="1046947778">
          <w:marLeft w:val="0"/>
          <w:marRight w:val="0"/>
          <w:marTop w:val="0"/>
          <w:marBottom w:val="0"/>
          <w:divBdr>
            <w:top w:val="none" w:sz="0" w:space="0" w:color="auto"/>
            <w:left w:val="none" w:sz="0" w:space="0" w:color="auto"/>
            <w:bottom w:val="none" w:sz="0" w:space="0" w:color="auto"/>
            <w:right w:val="none" w:sz="0" w:space="0" w:color="auto"/>
          </w:divBdr>
        </w:div>
        <w:div w:id="1046947781">
          <w:marLeft w:val="0"/>
          <w:marRight w:val="0"/>
          <w:marTop w:val="0"/>
          <w:marBottom w:val="0"/>
          <w:divBdr>
            <w:top w:val="none" w:sz="0" w:space="0" w:color="auto"/>
            <w:left w:val="none" w:sz="0" w:space="0" w:color="auto"/>
            <w:bottom w:val="none" w:sz="0" w:space="0" w:color="auto"/>
            <w:right w:val="none" w:sz="0" w:space="0" w:color="auto"/>
          </w:divBdr>
        </w:div>
        <w:div w:id="1046947782">
          <w:marLeft w:val="0"/>
          <w:marRight w:val="0"/>
          <w:marTop w:val="0"/>
          <w:marBottom w:val="0"/>
          <w:divBdr>
            <w:top w:val="none" w:sz="0" w:space="0" w:color="auto"/>
            <w:left w:val="none" w:sz="0" w:space="0" w:color="auto"/>
            <w:bottom w:val="none" w:sz="0" w:space="0" w:color="auto"/>
            <w:right w:val="none" w:sz="0" w:space="0" w:color="auto"/>
          </w:divBdr>
        </w:div>
        <w:div w:id="1046947783">
          <w:marLeft w:val="0"/>
          <w:marRight w:val="0"/>
          <w:marTop w:val="0"/>
          <w:marBottom w:val="0"/>
          <w:divBdr>
            <w:top w:val="none" w:sz="0" w:space="0" w:color="auto"/>
            <w:left w:val="none" w:sz="0" w:space="0" w:color="auto"/>
            <w:bottom w:val="none" w:sz="0" w:space="0" w:color="auto"/>
            <w:right w:val="none" w:sz="0" w:space="0" w:color="auto"/>
          </w:divBdr>
        </w:div>
        <w:div w:id="1046947784">
          <w:marLeft w:val="0"/>
          <w:marRight w:val="0"/>
          <w:marTop w:val="0"/>
          <w:marBottom w:val="0"/>
          <w:divBdr>
            <w:top w:val="none" w:sz="0" w:space="0" w:color="auto"/>
            <w:left w:val="none" w:sz="0" w:space="0" w:color="auto"/>
            <w:bottom w:val="none" w:sz="0" w:space="0" w:color="auto"/>
            <w:right w:val="none" w:sz="0" w:space="0" w:color="auto"/>
          </w:divBdr>
        </w:div>
        <w:div w:id="1046947786">
          <w:marLeft w:val="0"/>
          <w:marRight w:val="0"/>
          <w:marTop w:val="0"/>
          <w:marBottom w:val="0"/>
          <w:divBdr>
            <w:top w:val="none" w:sz="0" w:space="0" w:color="auto"/>
            <w:left w:val="none" w:sz="0" w:space="0" w:color="auto"/>
            <w:bottom w:val="none" w:sz="0" w:space="0" w:color="auto"/>
            <w:right w:val="none" w:sz="0" w:space="0" w:color="auto"/>
          </w:divBdr>
        </w:div>
        <w:div w:id="1046947787">
          <w:marLeft w:val="0"/>
          <w:marRight w:val="0"/>
          <w:marTop w:val="0"/>
          <w:marBottom w:val="0"/>
          <w:divBdr>
            <w:top w:val="none" w:sz="0" w:space="0" w:color="auto"/>
            <w:left w:val="none" w:sz="0" w:space="0" w:color="auto"/>
            <w:bottom w:val="none" w:sz="0" w:space="0" w:color="auto"/>
            <w:right w:val="none" w:sz="0" w:space="0" w:color="auto"/>
          </w:divBdr>
        </w:div>
      </w:divsChild>
    </w:div>
    <w:div w:id="1046947785">
      <w:marLeft w:val="0"/>
      <w:marRight w:val="0"/>
      <w:marTop w:val="0"/>
      <w:marBottom w:val="0"/>
      <w:divBdr>
        <w:top w:val="none" w:sz="0" w:space="0" w:color="auto"/>
        <w:left w:val="none" w:sz="0" w:space="0" w:color="auto"/>
        <w:bottom w:val="none" w:sz="0" w:space="0" w:color="auto"/>
        <w:right w:val="none" w:sz="0" w:space="0" w:color="auto"/>
      </w:divBdr>
    </w:div>
    <w:div w:id="1046947788">
      <w:marLeft w:val="0"/>
      <w:marRight w:val="0"/>
      <w:marTop w:val="0"/>
      <w:marBottom w:val="0"/>
      <w:divBdr>
        <w:top w:val="none" w:sz="0" w:space="0" w:color="auto"/>
        <w:left w:val="none" w:sz="0" w:space="0" w:color="auto"/>
        <w:bottom w:val="none" w:sz="0" w:space="0" w:color="auto"/>
        <w:right w:val="none" w:sz="0" w:space="0" w:color="auto"/>
      </w:divBdr>
    </w:div>
    <w:div w:id="1549487414">
      <w:bodyDiv w:val="1"/>
      <w:marLeft w:val="0"/>
      <w:marRight w:val="0"/>
      <w:marTop w:val="0"/>
      <w:marBottom w:val="0"/>
      <w:divBdr>
        <w:top w:val="none" w:sz="0" w:space="0" w:color="auto"/>
        <w:left w:val="none" w:sz="0" w:space="0" w:color="auto"/>
        <w:bottom w:val="none" w:sz="0" w:space="0" w:color="auto"/>
        <w:right w:val="none" w:sz="0" w:space="0" w:color="auto"/>
      </w:divBdr>
    </w:div>
    <w:div w:id="1574387625">
      <w:bodyDiv w:val="1"/>
      <w:marLeft w:val="0"/>
      <w:marRight w:val="0"/>
      <w:marTop w:val="0"/>
      <w:marBottom w:val="0"/>
      <w:divBdr>
        <w:top w:val="none" w:sz="0" w:space="0" w:color="auto"/>
        <w:left w:val="none" w:sz="0" w:space="0" w:color="auto"/>
        <w:bottom w:val="none" w:sz="0" w:space="0" w:color="auto"/>
        <w:right w:val="none" w:sz="0" w:space="0" w:color="auto"/>
      </w:divBdr>
      <w:divsChild>
        <w:div w:id="101338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DA08C-EA9A-4249-B675-76CA6908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Review of Criminal history registration standard and English language skills registration standard</vt:lpstr>
    </vt:vector>
  </TitlesOfParts>
  <Company>AHPRA</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Criminal history</dc:title>
  <dc:subject>Registration standard</dc:subject>
  <dc:creator>AHPRA</dc:creator>
  <cp:keywords>1 July 2015</cp:keywords>
  <cp:lastModifiedBy>Tara Johnson</cp:lastModifiedBy>
  <cp:revision>2</cp:revision>
  <cp:lastPrinted>2013-10-25T00:32:00Z</cp:lastPrinted>
  <dcterms:created xsi:type="dcterms:W3CDTF">2015-05-20T01:08:00Z</dcterms:created>
  <dcterms:modified xsi:type="dcterms:W3CDTF">2015-05-20T01:08:00Z</dcterms:modified>
</cp:coreProperties>
</file>