
<file path=[Content_Types].xml><?xml version="1.0" encoding="utf-8"?>
<Types xmlns="http://schemas.openxmlformats.org/package/2006/content-types">
  <Override PartName="/word/header18.xml" ContentType="application/vnd.openxmlformats-officedocument.wordprocessingml.header+xml"/>
  <Override PartName="/word/header29.xml" ContentType="application/vnd.openxmlformats-officedocument.wordprocessingml.header+xml"/>
  <Override PartName="/word/header47.xml" ContentType="application/vnd.openxmlformats-officedocument.wordprocessingml.header+xml"/>
  <Override PartName="/customXml/itemProps1.xml" ContentType="application/vnd.openxmlformats-officedocument.customXmlProperties+xml"/>
  <Override PartName="/word/footer9.xml" ContentType="application/vnd.openxmlformats-officedocument.wordprocessingml.footer+xml"/>
  <Override PartName="/word/header16.xml" ContentType="application/vnd.openxmlformats-officedocument.wordprocessingml.header+xml"/>
  <Override PartName="/word/header27.xml" ContentType="application/vnd.openxmlformats-officedocument.wordprocessingml.header+xml"/>
  <Override PartName="/word/header36.xml" ContentType="application/vnd.openxmlformats-officedocument.wordprocessingml.header+xml"/>
  <Override PartName="/word/header45.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header25.xml" ContentType="application/vnd.openxmlformats-officedocument.wordprocessingml.header+xml"/>
  <Override PartName="/word/header34.xml" ContentType="application/vnd.openxmlformats-officedocument.wordprocessingml.header+xml"/>
  <Override PartName="/word/footer19.xml" ContentType="application/vnd.openxmlformats-officedocument.wordprocessingml.footer+xml"/>
  <Override PartName="/word/header43.xml" ContentType="application/vnd.openxmlformats-officedocument.wordprocessingml.header+xml"/>
  <Override PartName="/word/footer28.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header8.xml" ContentType="application/vnd.openxmlformats-officedocument.wordprocessingml.header+xml"/>
  <Override PartName="/word/footer5.xml" ContentType="application/vnd.openxmlformats-officedocument.wordprocessingml.footer+xml"/>
  <Override PartName="/word/header12.xml" ContentType="application/vnd.openxmlformats-officedocument.wordprocessingml.header+xml"/>
  <Override PartName="/word/header21.xml" ContentType="application/vnd.openxmlformats-officedocument.wordprocessingml.header+xml"/>
  <Override PartName="/word/header23.xml" ContentType="application/vnd.openxmlformats-officedocument.wordprocessingml.header+xml"/>
  <Override PartName="/word/footer17.xml" ContentType="application/vnd.openxmlformats-officedocument.wordprocessingml.footer+xml"/>
  <Override PartName="/word/header32.xml" ContentType="application/vnd.openxmlformats-officedocument.wordprocessingml.header+xml"/>
  <Override PartName="/word/header41.xml" ContentType="application/vnd.openxmlformats-officedocument.wordprocessingml.header+xml"/>
  <Override PartName="/word/header50.xml" ContentType="application/vnd.openxmlformats-officedocument.wordprocessingml.header+xml"/>
  <Override PartName="/word/footer26.xml" ContentType="application/vnd.openxmlformats-officedocument.wordprocessingml.footer+xml"/>
  <Override PartName="/word/stylesWithEffects.xml" ContentType="application/vnd.ms-word.stylesWithEffects+xml"/>
  <Override PartName="/word/header6.xml" ContentType="application/vnd.openxmlformats-officedocument.wordprocessingml.header+xml"/>
  <Override PartName="/word/footer3.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footer15.xml" ContentType="application/vnd.openxmlformats-officedocument.wordprocessingml.footer+xml"/>
  <Override PartName="/word/header30.xml" ContentType="application/vnd.openxmlformats-officedocument.wordprocessingml.header+xml"/>
  <Override PartName="/word/footer24.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footer22.xml" ContentType="application/vnd.openxmlformats-officedocument.wordprocessingml.footer+xml"/>
  <Override PartName="/word/header2.xml" ContentType="application/vnd.openxmlformats-officedocument.wordprocessingml.header+xml"/>
  <Override PartName="/word/footer20.xml" ContentType="application/vnd.openxmlformats-officedocument.wordprocessingml.footer+xml"/>
  <Override PartName="/word/header39.xml" ContentType="application/vnd.openxmlformats-officedocument.wordprocessingml.header+xml"/>
  <Default Extension="png" ContentType="image/png"/>
  <Override PartName="/word/header19.xml" ContentType="application/vnd.openxmlformats-officedocument.wordprocessingml.header+xml"/>
  <Override PartName="/word/header28.xml" ContentType="application/vnd.openxmlformats-officedocument.wordprocessingml.header+xml"/>
  <Override PartName="/word/header37.xml" ContentType="application/vnd.openxmlformats-officedocument.wordprocessingml.header+xml"/>
  <Override PartName="/word/header48.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header26.xml" ContentType="application/vnd.openxmlformats-officedocument.wordprocessingml.header+xml"/>
  <Override PartName="/word/header35.xml" ContentType="application/vnd.openxmlformats-officedocument.wordprocessingml.header+xml"/>
  <Override PartName="/word/header44.xml" ContentType="application/vnd.openxmlformats-officedocument.wordprocessingml.header+xml"/>
  <Override PartName="/word/header46.xml" ContentType="application/vnd.openxmlformats-officedocument.wordprocessingml.header+xml"/>
  <Default Extension="jpeg" ContentType="image/jpeg"/>
  <Default Extension="emf" ContentType="image/x-emf"/>
  <Override PartName="/word/footer6.xml" ContentType="application/vnd.openxmlformats-officedocument.wordprocessingml.footer+xml"/>
  <Override PartName="/word/header15.xml" ContentType="application/vnd.openxmlformats-officedocument.wordprocessingml.header+xml"/>
  <Override PartName="/word/header24.xml" ContentType="application/vnd.openxmlformats-officedocument.wordprocessingml.header+xml"/>
  <Override PartName="/word/footer18.xml" ContentType="application/vnd.openxmlformats-officedocument.wordprocessingml.footer+xml"/>
  <Override PartName="/word/header33.xml" ContentType="application/vnd.openxmlformats-officedocument.wordprocessingml.header+xml"/>
  <Override PartName="/word/header42.xml" ContentType="application/vnd.openxmlformats-officedocument.wordprocessingml.header+xml"/>
  <Override PartName="/word/footer27.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header9.xml" ContentType="application/vnd.openxmlformats-officedocument.wordprocessingml.header+xml"/>
  <Override PartName="/word/header13.xml" ContentType="application/vnd.openxmlformats-officedocument.wordprocessingml.header+xml"/>
  <Override PartName="/word/header22.xml" ContentType="application/vnd.openxmlformats-officedocument.wordprocessingml.header+xml"/>
  <Override PartName="/word/footer16.xml" ContentType="application/vnd.openxmlformats-officedocument.wordprocessingml.footer+xml"/>
  <Override PartName="/word/header31.xml" ContentType="application/vnd.openxmlformats-officedocument.wordprocessingml.header+xml"/>
  <Override PartName="/word/header40.xml" ContentType="application/vnd.openxmlformats-officedocument.wordprocessingml.header+xml"/>
  <Override PartName="/word/footer25.xml" ContentType="application/vnd.openxmlformats-officedocument.wordprocessingml.footer+xml"/>
  <Override PartName="/word/header51.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7.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Override PartName="/word/footer14.xml" ContentType="application/vnd.openxmlformats-officedocument.wordprocessingml.footer+xml"/>
  <Override PartName="/word/footer23.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footer21.xml" ContentType="application/vnd.openxmlformats-officedocument.wordprocessingml.footer+xml"/>
  <Override PartName="/word/theme/theme1.xml" ContentType="application/vnd.openxmlformats-officedocument.theme+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header49.xml" ContentType="application/vnd.openxmlformats-officedocument.wordprocessingml.header+xml"/>
  <Override PartName="/docProps/core.xml" ContentType="application/vnd.openxmlformats-package.core-properties+xml"/>
  <Override PartName="/word/footnotes.xml" ContentType="application/vnd.openxmlformats-officedocument.wordprocessingml.footnotes+xml"/>
  <Override PartName="/word/header38.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015C" w:rsidRPr="00CB32B1" w:rsidRDefault="00177CC7" w:rsidP="00175918">
      <w:pPr>
        <w:pStyle w:val="CoverOutcomeHeadline"/>
        <w:rPr>
          <w:lang w:val="en-AU"/>
        </w:rPr>
      </w:pPr>
      <w:r w:rsidRPr="00CB32B1">
        <w:rPr>
          <w:lang w:val="en-AU"/>
        </w:rPr>
        <w:t>Professional indemnity insurance for midwives research</w:t>
      </w:r>
    </w:p>
    <w:p w:rsidR="00E27E5B" w:rsidRPr="00CB32B1" w:rsidRDefault="00177CC7" w:rsidP="00B158EB">
      <w:pPr>
        <w:pStyle w:val="Covertitle"/>
        <w:framePr w:wrap="notBeside" w:y="7014"/>
        <w:rPr>
          <w:lang w:val="en-AU"/>
        </w:rPr>
      </w:pPr>
      <w:r w:rsidRPr="00CB32B1">
        <w:rPr>
          <w:lang w:val="en-AU"/>
        </w:rPr>
        <w:t>Nursing and Midwifery Board of Australia</w:t>
      </w:r>
    </w:p>
    <w:p w:rsidR="00E27E5B" w:rsidRPr="00CB32B1" w:rsidRDefault="00A433C5" w:rsidP="00B158EB">
      <w:pPr>
        <w:pStyle w:val="CoverDate"/>
        <w:framePr w:wrap="notBeside" w:y="7014"/>
        <w:rPr>
          <w:lang w:val="en-AU"/>
        </w:rPr>
      </w:pPr>
      <w:r>
        <w:rPr>
          <w:lang w:val="en-AU"/>
        </w:rPr>
        <w:t>30</w:t>
      </w:r>
      <w:r w:rsidR="00177CC7" w:rsidRPr="00CB32B1">
        <w:rPr>
          <w:lang w:val="en-AU"/>
        </w:rPr>
        <w:t xml:space="preserve"> Ju</w:t>
      </w:r>
      <w:r w:rsidR="00056AD9" w:rsidRPr="00CB32B1">
        <w:rPr>
          <w:lang w:val="en-AU"/>
        </w:rPr>
        <w:t>ly</w:t>
      </w:r>
      <w:r w:rsidR="00177CC7" w:rsidRPr="00CB32B1">
        <w:rPr>
          <w:lang w:val="en-AU"/>
        </w:rPr>
        <w:t xml:space="preserve"> 2013</w:t>
      </w:r>
    </w:p>
    <w:p w:rsidR="00E27E5B" w:rsidRPr="00CB32B1" w:rsidRDefault="00E27E5B" w:rsidP="00B158EB">
      <w:pPr>
        <w:pStyle w:val="Coverpulloutframe"/>
        <w:framePr w:wrap="notBeside" w:y="7015"/>
        <w:rPr>
          <w:lang w:val="en-AU"/>
        </w:rPr>
      </w:pPr>
    </w:p>
    <w:p w:rsidR="00336BAA" w:rsidRPr="00CB32B1" w:rsidRDefault="009024BC" w:rsidP="00275248">
      <w:pPr>
        <w:pStyle w:val="PwCNormal"/>
        <w:numPr>
          <w:ilvl w:val="0"/>
          <w:numId w:val="0"/>
        </w:numPr>
        <w:sectPr w:rsidR="00336BAA" w:rsidRPr="00CB32B1" w:rsidSect="002F4681">
          <w:headerReference w:type="even" r:id="rId8"/>
          <w:headerReference w:type="default" r:id="rId9"/>
          <w:footerReference w:type="even" r:id="rId10"/>
          <w:headerReference w:type="first" r:id="rId11"/>
          <w:pgSz w:w="11907" w:h="16839" w:code="9"/>
          <w:pgMar w:top="3005" w:right="680" w:bottom="1134" w:left="3317" w:header="680" w:footer="680" w:gutter="227"/>
          <w:pgNumType w:start="1"/>
          <w:cols w:space="708"/>
          <w:titlePg/>
          <w:docGrid w:linePitch="360"/>
        </w:sectPr>
      </w:pPr>
      <w:r>
        <w:rPr>
          <w:noProof/>
          <w:snapToGrid/>
          <w:lang w:val="en-US"/>
        </w:rPr>
        <w:drawing>
          <wp:anchor distT="0" distB="0" distL="114300" distR="114300" simplePos="0" relativeHeight="251659264" behindDoc="0" locked="0" layoutInCell="1" allowOverlap="1">
            <wp:simplePos x="0" y="0"/>
            <wp:positionH relativeFrom="page">
              <wp:posOffset>561310</wp:posOffset>
            </wp:positionH>
            <wp:positionV relativeFrom="page">
              <wp:posOffset>5369441</wp:posOffset>
            </wp:positionV>
            <wp:extent cx="1373816" cy="1105786"/>
            <wp:effectExtent l="19050" t="0" r="0" b="0"/>
            <wp:wrapNone/>
            <wp:docPr id="39" name="Picture 7" descr="C:\Users\KELLYS~1\AppData\Local\Temp\notesF3B52A\NM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ELLYS~1\AppData\Local\Temp\notesF3B52A\NMB LOGO.JPG"/>
                    <pic:cNvPicPr>
                      <a:picLocks noChangeAspect="1" noChangeArrowheads="1"/>
                    </pic:cNvPicPr>
                  </pic:nvPicPr>
                  <pic:blipFill>
                    <a:blip r:embed="rId12" cstate="print"/>
                    <a:srcRect/>
                    <a:stretch>
                      <a:fillRect/>
                    </a:stretch>
                  </pic:blipFill>
                  <pic:spPr bwMode="auto">
                    <a:xfrm>
                      <a:off x="0" y="0"/>
                      <a:ext cx="1373816" cy="1105786"/>
                    </a:xfrm>
                    <a:prstGeom prst="rect">
                      <a:avLst/>
                    </a:prstGeom>
                    <a:noFill/>
                    <a:ln w="9525">
                      <a:noFill/>
                      <a:miter lim="800000"/>
                      <a:headEnd/>
                      <a:tailEnd/>
                    </a:ln>
                  </pic:spPr>
                </pic:pic>
              </a:graphicData>
            </a:graphic>
          </wp:anchor>
        </w:drawing>
      </w:r>
    </w:p>
    <w:p w:rsidR="00336BAA" w:rsidRPr="00CB32B1" w:rsidRDefault="00175918" w:rsidP="00755347">
      <w:pPr>
        <w:pStyle w:val="PwCNormal-Single"/>
      </w:pPr>
      <w:r w:rsidRPr="00CB32B1">
        <w:lastRenderedPageBreak/>
        <w:t>Mary Chiarella</w:t>
      </w:r>
    </w:p>
    <w:p w:rsidR="00175918" w:rsidRPr="00CB32B1" w:rsidRDefault="00175918" w:rsidP="00755347">
      <w:pPr>
        <w:pStyle w:val="PwCNormal-Single"/>
      </w:pPr>
      <w:r w:rsidRPr="00CB32B1">
        <w:t>Chair of Policy Committee</w:t>
      </w:r>
    </w:p>
    <w:p w:rsidR="00175918" w:rsidRPr="00CB32B1" w:rsidRDefault="00175918" w:rsidP="00755347">
      <w:pPr>
        <w:pStyle w:val="PwCNormal-Single"/>
      </w:pPr>
      <w:r w:rsidRPr="00CB32B1">
        <w:t>Nursing and Midwifery Board of Australia</w:t>
      </w:r>
    </w:p>
    <w:p w:rsidR="00175918" w:rsidRPr="00CB32B1" w:rsidRDefault="00175918" w:rsidP="00755347">
      <w:pPr>
        <w:pStyle w:val="PwCNormal-Single"/>
      </w:pPr>
      <w:r w:rsidRPr="00CB32B1">
        <w:t>Level 7, 111 Bourke Street</w:t>
      </w:r>
    </w:p>
    <w:p w:rsidR="00336BAA" w:rsidRPr="00CB32B1" w:rsidRDefault="00175918" w:rsidP="00755347">
      <w:pPr>
        <w:pStyle w:val="PwCNormal-Single"/>
      </w:pPr>
      <w:r w:rsidRPr="00CB32B1">
        <w:t>Melbourne, VIC 3000</w:t>
      </w:r>
    </w:p>
    <w:p w:rsidR="00F57555" w:rsidRPr="00CB32B1" w:rsidRDefault="00F57555" w:rsidP="00755347">
      <w:pPr>
        <w:pStyle w:val="PwCNormal"/>
      </w:pPr>
    </w:p>
    <w:p w:rsidR="00336BAA" w:rsidRPr="00CB32B1" w:rsidRDefault="00A433C5" w:rsidP="00755347">
      <w:pPr>
        <w:pStyle w:val="PwCNormal"/>
      </w:pPr>
      <w:r>
        <w:t>30</w:t>
      </w:r>
      <w:r w:rsidR="00175918" w:rsidRPr="00CB32B1">
        <w:t xml:space="preserve"> Ju</w:t>
      </w:r>
      <w:r w:rsidR="00056AD9" w:rsidRPr="00CB32B1">
        <w:t>ly</w:t>
      </w:r>
      <w:r w:rsidR="00175918" w:rsidRPr="00CB32B1">
        <w:t xml:space="preserve"> 2013</w:t>
      </w:r>
    </w:p>
    <w:p w:rsidR="00336BAA" w:rsidRPr="00CB32B1" w:rsidRDefault="00A360AB" w:rsidP="00755347">
      <w:pPr>
        <w:pStyle w:val="PwCNormal"/>
      </w:pPr>
      <w:r w:rsidRPr="00CB32B1">
        <w:t>Dear Mary</w:t>
      </w:r>
      <w:bookmarkStart w:id="0" w:name="_GoBack"/>
      <w:bookmarkEnd w:id="0"/>
    </w:p>
    <w:p w:rsidR="00336BAA" w:rsidRPr="00CB32B1" w:rsidRDefault="00A360AB" w:rsidP="00336BAA">
      <w:pPr>
        <w:pStyle w:val="PwCNormal"/>
        <w:rPr>
          <w:rStyle w:val="Base"/>
        </w:rPr>
      </w:pPr>
      <w:r w:rsidRPr="00CB32B1">
        <w:rPr>
          <w:rStyle w:val="Base"/>
        </w:rPr>
        <w:t>Re: Professional indemnity insurance for midwives research</w:t>
      </w:r>
    </w:p>
    <w:p w:rsidR="00A360AB" w:rsidRPr="00CB32B1" w:rsidRDefault="00A360AB" w:rsidP="00755347">
      <w:pPr>
        <w:pStyle w:val="PwCNormal"/>
      </w:pPr>
      <w:r w:rsidRPr="00CB32B1">
        <w:t>Please find attached our report on the research completed on professional indemnity insurance (PII) for privately practising midwives (PPM</w:t>
      </w:r>
      <w:r w:rsidR="00F32363">
        <w:t>s</w:t>
      </w:r>
      <w:r w:rsidRPr="00CB32B1">
        <w:t>) in Australia.</w:t>
      </w:r>
    </w:p>
    <w:p w:rsidR="00A360AB" w:rsidRPr="00CB32B1" w:rsidRDefault="00A360AB" w:rsidP="00755347">
      <w:pPr>
        <w:pStyle w:val="PwCNormal"/>
      </w:pPr>
      <w:r w:rsidRPr="00CB32B1">
        <w:t xml:space="preserve">Historically, PPMs have had difficulty in obtaining PII. This has led to the current exemption under the </w:t>
      </w:r>
      <w:r w:rsidR="00856F39" w:rsidRPr="00CB32B1">
        <w:t xml:space="preserve">Health Practitioner Regulation </w:t>
      </w:r>
      <w:r w:rsidRPr="00CB32B1">
        <w:t xml:space="preserve">National Law for PPMs to hold PII for intrapartum care. In seeking a resolution to ongoing exemptions, this </w:t>
      </w:r>
      <w:r w:rsidR="00CB151C" w:rsidRPr="00CB32B1">
        <w:t xml:space="preserve">research </w:t>
      </w:r>
      <w:r w:rsidRPr="00CB32B1">
        <w:t>report</w:t>
      </w:r>
      <w:r w:rsidR="00CB151C" w:rsidRPr="00CB32B1">
        <w:t xml:space="preserve"> was commiss</w:t>
      </w:r>
      <w:r w:rsidR="00F32363">
        <w:t>ion</w:t>
      </w:r>
      <w:r w:rsidR="00CB151C" w:rsidRPr="00CB32B1">
        <w:t>ed by the Australian Health Practitioner Regulation Agency on behalf of the Nursing and Midwifery Board of Australia. The report</w:t>
      </w:r>
      <w:r w:rsidRPr="00CB32B1">
        <w:t>:</w:t>
      </w:r>
    </w:p>
    <w:p w:rsidR="00A360AB" w:rsidRPr="00CB32B1" w:rsidRDefault="00F32363" w:rsidP="00E0114C">
      <w:pPr>
        <w:pStyle w:val="ListBullet"/>
      </w:pPr>
      <w:r>
        <w:t>o</w:t>
      </w:r>
      <w:r w:rsidR="00A360AB" w:rsidRPr="00CB32B1">
        <w:t>utlines the Australian PII market and the relevant factors re</w:t>
      </w:r>
      <w:r w:rsidR="00E0114C" w:rsidRPr="00CB32B1">
        <w:t>lating to PII products for PPMs</w:t>
      </w:r>
    </w:p>
    <w:p w:rsidR="00A360AB" w:rsidRPr="00CB32B1" w:rsidRDefault="00F32363" w:rsidP="00E0114C">
      <w:pPr>
        <w:pStyle w:val="ListBullet"/>
      </w:pPr>
      <w:r>
        <w:t>i</w:t>
      </w:r>
      <w:r w:rsidR="00A360AB" w:rsidRPr="00CB32B1">
        <w:t>dentifies and outlines the practice of PPMs and how the context in which PPMs practice as well as implicit risks have impacted upon PII product offerings, both</w:t>
      </w:r>
      <w:r w:rsidR="00E0114C" w:rsidRPr="00CB32B1">
        <w:t xml:space="preserve"> nationally and internationally</w:t>
      </w:r>
    </w:p>
    <w:p w:rsidR="00A360AB" w:rsidRPr="00CB32B1" w:rsidRDefault="00F32363" w:rsidP="00E0114C">
      <w:pPr>
        <w:pStyle w:val="ListBullet"/>
      </w:pPr>
      <w:r>
        <w:t>d</w:t>
      </w:r>
      <w:r w:rsidR="00A360AB" w:rsidRPr="00CB32B1">
        <w:t>etails the extent of claims and tribunal cases that have been raised nationally and internationally, and their impact on the development of insurance products.</w:t>
      </w:r>
    </w:p>
    <w:p w:rsidR="00A360AB" w:rsidRPr="00CB32B1" w:rsidRDefault="00A360AB" w:rsidP="00755347">
      <w:pPr>
        <w:pStyle w:val="PwCNormal"/>
      </w:pPr>
      <w:r w:rsidRPr="00CB32B1">
        <w:t xml:space="preserve">To strengthen this report, we have in turn looked to equivalent PPM practice internationally to determine insights into PII offerings in these </w:t>
      </w:r>
      <w:r w:rsidR="009170F7">
        <w:t>jurisdictions</w:t>
      </w:r>
      <w:r w:rsidRPr="00CB32B1">
        <w:t xml:space="preserve"> and associated claims raised, and to outline any </w:t>
      </w:r>
      <w:r w:rsidR="005A16C9" w:rsidRPr="00CB32B1">
        <w:t>transferable</w:t>
      </w:r>
      <w:r w:rsidRPr="00CB32B1">
        <w:t xml:space="preserve"> lessons for Australia.</w:t>
      </w:r>
    </w:p>
    <w:p w:rsidR="00A360AB" w:rsidRPr="00CB32B1" w:rsidRDefault="00A360AB" w:rsidP="00755347">
      <w:pPr>
        <w:pStyle w:val="PwCNormal"/>
      </w:pPr>
      <w:r w:rsidRPr="00CB32B1">
        <w:t>This report has been informed by consultations with key stakeholders both nationally and internationally, in the areas of health regulation and administration, health service provision, midwifery and PPMs, as well as with representatives from tribunals and insurers. We have also analysed recent literature on PPM practice, and quantitative data where available.</w:t>
      </w:r>
    </w:p>
    <w:p w:rsidR="00A360AB" w:rsidRPr="00CB32B1" w:rsidRDefault="00CB151C" w:rsidP="00755347">
      <w:pPr>
        <w:pStyle w:val="PwCNormal"/>
      </w:pPr>
      <w:r w:rsidRPr="00CB32B1">
        <w:t xml:space="preserve">Informed </w:t>
      </w:r>
      <w:r w:rsidR="00A360AB" w:rsidRPr="00CB32B1">
        <w:t>b</w:t>
      </w:r>
      <w:r w:rsidRPr="00CB32B1">
        <w:t>y the base of evidence we have assembled</w:t>
      </w:r>
      <w:r w:rsidR="00A360AB" w:rsidRPr="00CB32B1">
        <w:t>, we have sought to provide you with key insights and considerations that we hope will assist in future discussions relating to the future provision of PII for</w:t>
      </w:r>
      <w:r w:rsidR="00E80814" w:rsidRPr="00CB32B1">
        <w:t> </w:t>
      </w:r>
      <w:r w:rsidR="00A360AB" w:rsidRPr="00CB32B1">
        <w:t>PPMs.</w:t>
      </w:r>
    </w:p>
    <w:p w:rsidR="00336BAA" w:rsidRPr="00CB32B1" w:rsidRDefault="00A360AB" w:rsidP="00C4253C">
      <w:pPr>
        <w:pStyle w:val="BodyText"/>
      </w:pPr>
      <w:r w:rsidRPr="00CB32B1">
        <w:t>Kind regards,</w:t>
      </w:r>
    </w:p>
    <w:p w:rsidR="00336BAA" w:rsidRPr="00CB32B1" w:rsidRDefault="00185DC9" w:rsidP="00755347">
      <w:pPr>
        <w:pStyle w:val="PwCNormal"/>
        <w:spacing w:after="0"/>
      </w:pPr>
      <w:r w:rsidRPr="00CB32B1">
        <w:rPr>
          <w:noProof/>
          <w:lang w:val="en-US"/>
        </w:rPr>
        <w:drawing>
          <wp:inline distT="0" distB="0" distL="0" distR="0">
            <wp:extent cx="1255594" cy="523164"/>
            <wp:effectExtent l="0" t="0" r="1905"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1274658" cy="531107"/>
                    </a:xfrm>
                    <a:prstGeom prst="rect">
                      <a:avLst/>
                    </a:prstGeom>
                    <a:noFill/>
                    <a:ln w="9525">
                      <a:noFill/>
                      <a:miter lim="800000"/>
                      <a:headEnd/>
                      <a:tailEnd/>
                    </a:ln>
                  </pic:spPr>
                </pic:pic>
              </a:graphicData>
            </a:graphic>
          </wp:inline>
        </w:drawing>
      </w:r>
    </w:p>
    <w:p w:rsidR="00336BAA" w:rsidRPr="00CB32B1" w:rsidRDefault="00185DC9" w:rsidP="00184D1C">
      <w:pPr>
        <w:pStyle w:val="BodySingle"/>
        <w:rPr>
          <w:lang w:val="en-AU"/>
        </w:rPr>
      </w:pPr>
      <w:r w:rsidRPr="00CB32B1">
        <w:rPr>
          <w:lang w:val="en-AU"/>
        </w:rPr>
        <w:t>James van Smeerdijk</w:t>
      </w:r>
    </w:p>
    <w:p w:rsidR="00336BAA" w:rsidRPr="00CB32B1" w:rsidRDefault="00185DC9" w:rsidP="00184D1C">
      <w:pPr>
        <w:pStyle w:val="BodySingle"/>
        <w:rPr>
          <w:lang w:val="en-AU"/>
        </w:rPr>
      </w:pPr>
      <w:r w:rsidRPr="00CB32B1">
        <w:rPr>
          <w:lang w:val="en-AU"/>
        </w:rPr>
        <w:t>james.vs@au.pwc.com</w:t>
      </w:r>
    </w:p>
    <w:p w:rsidR="00695B02" w:rsidRPr="00CB32B1" w:rsidRDefault="00185DC9" w:rsidP="00184D1C">
      <w:pPr>
        <w:pStyle w:val="BodySingle"/>
        <w:rPr>
          <w:lang w:val="en-AU"/>
        </w:rPr>
      </w:pPr>
      <w:r w:rsidRPr="00CB32B1">
        <w:rPr>
          <w:lang w:val="en-AU"/>
        </w:rPr>
        <w:t>T: (61) 3 8603 4814</w:t>
      </w:r>
    </w:p>
    <w:p w:rsidR="00336BAA" w:rsidRPr="00CB32B1" w:rsidRDefault="00336BAA" w:rsidP="00695B02">
      <w:pPr>
        <w:pStyle w:val="PwCNormal"/>
        <w:numPr>
          <w:ilvl w:val="0"/>
          <w:numId w:val="0"/>
        </w:numPr>
        <w:sectPr w:rsidR="00336BAA" w:rsidRPr="00CB32B1" w:rsidSect="002F4681">
          <w:headerReference w:type="even" r:id="rId14"/>
          <w:headerReference w:type="default" r:id="rId15"/>
          <w:headerReference w:type="first" r:id="rId16"/>
          <w:footerReference w:type="first" r:id="rId17"/>
          <w:type w:val="oddPage"/>
          <w:pgSz w:w="11907" w:h="16839" w:code="9"/>
          <w:pgMar w:top="3119" w:right="851" w:bottom="1985" w:left="1985" w:header="680" w:footer="680" w:gutter="0"/>
          <w:pgNumType w:start="1"/>
          <w:cols w:space="708"/>
          <w:titlePg/>
          <w:docGrid w:linePitch="360"/>
        </w:sectPr>
      </w:pPr>
    </w:p>
    <w:p w:rsidR="00192F0B" w:rsidRPr="00CB32B1" w:rsidRDefault="00192F0B" w:rsidP="00825263">
      <w:pPr>
        <w:pStyle w:val="PrefaceTitle"/>
      </w:pPr>
      <w:bookmarkStart w:id="1" w:name="_Toc362975037"/>
      <w:r w:rsidRPr="00CB32B1">
        <w:lastRenderedPageBreak/>
        <w:t>Abbreviations</w:t>
      </w:r>
      <w:bookmarkEnd w:id="1"/>
    </w:p>
    <w:p w:rsidR="00192F0B" w:rsidRPr="00CB32B1" w:rsidRDefault="00192F0B" w:rsidP="00192F0B">
      <w:pPr>
        <w:pStyle w:val="PwCNormal"/>
        <w:numPr>
          <w:ilvl w:val="0"/>
          <w:numId w:val="0"/>
        </w:numPr>
      </w:pPr>
      <w:r w:rsidRPr="00CB32B1">
        <w:t>The following abbreviations have been used within this report.</w:t>
      </w:r>
    </w:p>
    <w:tbl>
      <w:tblPr>
        <w:tblStyle w:val="PwCTableStyle1"/>
        <w:tblW w:w="9288" w:type="dxa"/>
        <w:tblLayout w:type="fixed"/>
        <w:tblLook w:val="04A0"/>
      </w:tblPr>
      <w:tblGrid>
        <w:gridCol w:w="2374"/>
        <w:gridCol w:w="6914"/>
      </w:tblGrid>
      <w:tr w:rsidR="00847199" w:rsidRPr="00CB32B1" w:rsidTr="008F2394">
        <w:trPr>
          <w:cnfStyle w:val="100000000000"/>
          <w:tblHeader w:val="off"/>
        </w:trPr>
        <w:tc>
          <w:tcPr>
            <w:cnfStyle w:val="001000000000"/>
            <w:tcW w:w="2374" w:type="dxa"/>
            <w:tcBorders>
              <w:right w:val="nil"/>
            </w:tcBorders>
            <w:shd w:val="clear" w:color="auto" w:fill="auto"/>
          </w:tcPr>
          <w:p w:rsidR="00847199" w:rsidRPr="00CB32B1" w:rsidRDefault="00847199" w:rsidP="00712A46">
            <w:pPr>
              <w:pStyle w:val="TableTextNormalBold"/>
            </w:pPr>
            <w:r w:rsidRPr="00CB32B1">
              <w:t>ABS</w:t>
            </w:r>
          </w:p>
        </w:tc>
        <w:tc>
          <w:tcPr>
            <w:tcW w:w="6914" w:type="dxa"/>
            <w:tcBorders>
              <w:left w:val="nil"/>
            </w:tcBorders>
            <w:shd w:val="clear" w:color="auto" w:fill="auto"/>
          </w:tcPr>
          <w:p w:rsidR="00847199" w:rsidRPr="00CB32B1" w:rsidRDefault="00847199" w:rsidP="00712A46">
            <w:pPr>
              <w:pStyle w:val="TableTextNormal"/>
              <w:cnfStyle w:val="100000000000"/>
              <w:rPr>
                <w:color w:val="000000" w:themeColor="text1"/>
              </w:rPr>
            </w:pPr>
            <w:r w:rsidRPr="00CB32B1">
              <w:rPr>
                <w:color w:val="000000" w:themeColor="text1"/>
              </w:rPr>
              <w:t>Australian Bureau of Statistics</w:t>
            </w:r>
          </w:p>
        </w:tc>
      </w:tr>
      <w:tr w:rsidR="00847199" w:rsidRPr="00CB32B1" w:rsidTr="008F2394">
        <w:tc>
          <w:tcPr>
            <w:cnfStyle w:val="001000000000"/>
            <w:tcW w:w="2374" w:type="dxa"/>
          </w:tcPr>
          <w:p w:rsidR="00847199" w:rsidRPr="00CB32B1" w:rsidRDefault="00847199" w:rsidP="004D0E6C">
            <w:pPr>
              <w:pStyle w:val="TableTextNormalBold"/>
            </w:pPr>
            <w:r w:rsidRPr="00CB32B1">
              <w:t>ACC</w:t>
            </w:r>
          </w:p>
        </w:tc>
        <w:tc>
          <w:tcPr>
            <w:tcW w:w="6914" w:type="dxa"/>
          </w:tcPr>
          <w:p w:rsidR="00847199" w:rsidRPr="00CB32B1" w:rsidRDefault="00847199" w:rsidP="00A9099C">
            <w:pPr>
              <w:pStyle w:val="TableTextNormal"/>
              <w:cnfStyle w:val="000000000000"/>
            </w:pPr>
            <w:r w:rsidRPr="00CB32B1">
              <w:t>Accident Compensation Corporation (NZ)</w:t>
            </w:r>
          </w:p>
        </w:tc>
      </w:tr>
      <w:tr w:rsidR="00847199" w:rsidRPr="00CB32B1" w:rsidTr="008F2394">
        <w:tc>
          <w:tcPr>
            <w:cnfStyle w:val="001000000000"/>
            <w:tcW w:w="2374" w:type="dxa"/>
          </w:tcPr>
          <w:p w:rsidR="00847199" w:rsidRPr="00CB32B1" w:rsidRDefault="00847199" w:rsidP="004D0E6C">
            <w:pPr>
              <w:pStyle w:val="TableTextNormalBold"/>
            </w:pPr>
            <w:r w:rsidRPr="00CB32B1">
              <w:t>ACCC</w:t>
            </w:r>
          </w:p>
        </w:tc>
        <w:tc>
          <w:tcPr>
            <w:tcW w:w="6914" w:type="dxa"/>
          </w:tcPr>
          <w:p w:rsidR="00847199" w:rsidRPr="00CB32B1" w:rsidRDefault="00847199" w:rsidP="00A9099C">
            <w:pPr>
              <w:pStyle w:val="TableTextNormal"/>
              <w:cnfStyle w:val="000000000000"/>
            </w:pPr>
            <w:r w:rsidRPr="00CB32B1">
              <w:t>Australian Competition and Consumer Commission</w:t>
            </w:r>
          </w:p>
        </w:tc>
      </w:tr>
      <w:tr w:rsidR="00847199" w:rsidRPr="00CB32B1" w:rsidTr="008F2394">
        <w:tc>
          <w:tcPr>
            <w:cnfStyle w:val="001000000000"/>
            <w:tcW w:w="2374" w:type="dxa"/>
          </w:tcPr>
          <w:p w:rsidR="00847199" w:rsidRPr="00CB32B1" w:rsidRDefault="00847199" w:rsidP="004D0E6C">
            <w:pPr>
              <w:pStyle w:val="TableTextNormalBold"/>
            </w:pPr>
            <w:r w:rsidRPr="00CB32B1">
              <w:t>ACCO</w:t>
            </w:r>
          </w:p>
        </w:tc>
        <w:tc>
          <w:tcPr>
            <w:tcW w:w="6914" w:type="dxa"/>
          </w:tcPr>
          <w:p w:rsidR="00847199" w:rsidRPr="00CB32B1" w:rsidRDefault="00847199" w:rsidP="00A9099C">
            <w:pPr>
              <w:pStyle w:val="TableTextNormal"/>
              <w:cnfStyle w:val="000000000000"/>
            </w:pPr>
            <w:r w:rsidRPr="00CB32B1">
              <w:t>Aboriginal Community Controlled Organisations</w:t>
            </w:r>
          </w:p>
        </w:tc>
      </w:tr>
      <w:tr w:rsidR="00847199" w:rsidRPr="00CB32B1" w:rsidTr="008F2394">
        <w:tc>
          <w:tcPr>
            <w:cnfStyle w:val="001000000000"/>
            <w:tcW w:w="2374" w:type="dxa"/>
          </w:tcPr>
          <w:p w:rsidR="00847199" w:rsidRPr="00CB32B1" w:rsidRDefault="00847199" w:rsidP="004D0E6C">
            <w:pPr>
              <w:pStyle w:val="TableTextNormalBold"/>
            </w:pPr>
            <w:r w:rsidRPr="00CB32B1">
              <w:t>ACM</w:t>
            </w:r>
          </w:p>
        </w:tc>
        <w:tc>
          <w:tcPr>
            <w:tcW w:w="6914" w:type="dxa"/>
          </w:tcPr>
          <w:p w:rsidR="00847199" w:rsidRPr="00CB32B1" w:rsidRDefault="00847199" w:rsidP="00A9099C">
            <w:pPr>
              <w:pStyle w:val="TableTextNormal"/>
              <w:cnfStyle w:val="000000000000"/>
            </w:pPr>
            <w:r w:rsidRPr="00CB32B1">
              <w:t>Australian College of Midwives</w:t>
            </w:r>
          </w:p>
        </w:tc>
      </w:tr>
      <w:tr w:rsidR="00847199" w:rsidRPr="00CB32B1" w:rsidTr="008F2394">
        <w:tc>
          <w:tcPr>
            <w:cnfStyle w:val="001000000000"/>
            <w:tcW w:w="2374" w:type="dxa"/>
          </w:tcPr>
          <w:p w:rsidR="00847199" w:rsidRPr="00CB32B1" w:rsidRDefault="00847199" w:rsidP="004D0E6C">
            <w:pPr>
              <w:pStyle w:val="TableTextNormalBold"/>
            </w:pPr>
            <w:r w:rsidRPr="00CB32B1">
              <w:t>ACM Guidelines</w:t>
            </w:r>
          </w:p>
        </w:tc>
        <w:tc>
          <w:tcPr>
            <w:tcW w:w="6914" w:type="dxa"/>
          </w:tcPr>
          <w:p w:rsidR="00847199" w:rsidRPr="00CB32B1" w:rsidRDefault="00847199" w:rsidP="00A433C5">
            <w:pPr>
              <w:pStyle w:val="TableTextNormal"/>
              <w:cnfStyle w:val="000000000000"/>
              <w:rPr>
                <w:i/>
              </w:rPr>
            </w:pPr>
            <w:r w:rsidRPr="00CB32B1">
              <w:rPr>
                <w:i/>
              </w:rPr>
              <w:t>National Midwifery Guidelines for Consultation &amp; Referral (</w:t>
            </w:r>
            <w:r w:rsidR="00A433C5">
              <w:rPr>
                <w:i/>
              </w:rPr>
              <w:t>2nd</w:t>
            </w:r>
            <w:r w:rsidRPr="00CB32B1">
              <w:rPr>
                <w:i/>
              </w:rPr>
              <w:t xml:space="preserve"> edition)</w:t>
            </w:r>
          </w:p>
        </w:tc>
      </w:tr>
      <w:tr w:rsidR="00847199" w:rsidRPr="00CB32B1" w:rsidTr="008F2394">
        <w:tc>
          <w:tcPr>
            <w:cnfStyle w:val="001000000000"/>
            <w:tcW w:w="2374" w:type="dxa"/>
          </w:tcPr>
          <w:p w:rsidR="00847199" w:rsidRPr="00CB32B1" w:rsidRDefault="00847199" w:rsidP="004D0E6C">
            <w:pPr>
              <w:pStyle w:val="TableTextNormalBold"/>
            </w:pPr>
            <w:r w:rsidRPr="00CB32B1">
              <w:t>AIHW</w:t>
            </w:r>
          </w:p>
        </w:tc>
        <w:tc>
          <w:tcPr>
            <w:tcW w:w="6914" w:type="dxa"/>
          </w:tcPr>
          <w:p w:rsidR="00847199" w:rsidRPr="00CB32B1" w:rsidRDefault="00847199" w:rsidP="00A9099C">
            <w:pPr>
              <w:pStyle w:val="TableTextNormal"/>
              <w:cnfStyle w:val="000000000000"/>
            </w:pPr>
            <w:r w:rsidRPr="00CB32B1">
              <w:t>Australian Institute of Health and Welfare</w:t>
            </w:r>
          </w:p>
        </w:tc>
      </w:tr>
      <w:tr w:rsidR="00847199" w:rsidRPr="00CB32B1" w:rsidTr="008F2394">
        <w:tc>
          <w:tcPr>
            <w:cnfStyle w:val="001000000000"/>
            <w:tcW w:w="2374" w:type="dxa"/>
          </w:tcPr>
          <w:p w:rsidR="00847199" w:rsidRPr="00CB32B1" w:rsidRDefault="00847199" w:rsidP="004D0E6C">
            <w:pPr>
              <w:pStyle w:val="TableTextNormalBold"/>
            </w:pPr>
            <w:r w:rsidRPr="00CB32B1">
              <w:t>AHPRA</w:t>
            </w:r>
          </w:p>
        </w:tc>
        <w:tc>
          <w:tcPr>
            <w:tcW w:w="6914" w:type="dxa"/>
          </w:tcPr>
          <w:p w:rsidR="00847199" w:rsidRPr="00CB32B1" w:rsidRDefault="00847199" w:rsidP="00A9099C">
            <w:pPr>
              <w:pStyle w:val="TableTextNormal"/>
              <w:cnfStyle w:val="000000000000"/>
            </w:pPr>
            <w:r w:rsidRPr="00CB32B1">
              <w:t>Australian Health Practitioner Regulation Agency</w:t>
            </w:r>
          </w:p>
        </w:tc>
      </w:tr>
      <w:tr w:rsidR="00847199" w:rsidRPr="00CB32B1" w:rsidTr="008F2394">
        <w:tc>
          <w:tcPr>
            <w:cnfStyle w:val="001000000000"/>
            <w:tcW w:w="2374" w:type="dxa"/>
          </w:tcPr>
          <w:p w:rsidR="00847199" w:rsidRPr="00CB32B1" w:rsidRDefault="00847199" w:rsidP="004D0E6C">
            <w:pPr>
              <w:pStyle w:val="TableTextNormalBold"/>
            </w:pPr>
            <w:r w:rsidRPr="00CB32B1">
              <w:t>AOM</w:t>
            </w:r>
          </w:p>
        </w:tc>
        <w:tc>
          <w:tcPr>
            <w:tcW w:w="6914" w:type="dxa"/>
          </w:tcPr>
          <w:p w:rsidR="00847199" w:rsidRPr="00CB32B1" w:rsidRDefault="00847199" w:rsidP="00A9099C">
            <w:pPr>
              <w:pStyle w:val="TableTextNormal"/>
              <w:cnfStyle w:val="000000000000"/>
            </w:pPr>
            <w:r w:rsidRPr="00CB32B1">
              <w:t>Association of Ontario Midwives</w:t>
            </w:r>
          </w:p>
        </w:tc>
      </w:tr>
      <w:tr w:rsidR="00847199" w:rsidRPr="00CB32B1" w:rsidTr="008F2394">
        <w:tc>
          <w:tcPr>
            <w:cnfStyle w:val="001000000000"/>
            <w:tcW w:w="2374" w:type="dxa"/>
          </w:tcPr>
          <w:p w:rsidR="00847199" w:rsidRPr="00CB32B1" w:rsidRDefault="00847199" w:rsidP="004D0E6C">
            <w:pPr>
              <w:pStyle w:val="TableTextNormalBold"/>
            </w:pPr>
            <w:r w:rsidRPr="00CB32B1">
              <w:t>ANF</w:t>
            </w:r>
          </w:p>
        </w:tc>
        <w:tc>
          <w:tcPr>
            <w:tcW w:w="6914" w:type="dxa"/>
          </w:tcPr>
          <w:p w:rsidR="00847199" w:rsidRPr="00CB32B1" w:rsidRDefault="00847199" w:rsidP="00A9099C">
            <w:pPr>
              <w:pStyle w:val="TableTextNormal"/>
              <w:cnfStyle w:val="000000000000"/>
            </w:pPr>
            <w:r w:rsidRPr="00CB32B1">
              <w:t>Australian Nursing Federation</w:t>
            </w:r>
          </w:p>
        </w:tc>
      </w:tr>
      <w:tr w:rsidR="009170F7" w:rsidRPr="00CB32B1" w:rsidTr="008F2394">
        <w:tc>
          <w:tcPr>
            <w:cnfStyle w:val="001000000000"/>
            <w:tcW w:w="2374" w:type="dxa"/>
          </w:tcPr>
          <w:p w:rsidR="009170F7" w:rsidRPr="00CB32B1" w:rsidRDefault="009170F7" w:rsidP="004D0E6C">
            <w:pPr>
              <w:pStyle w:val="TableTextNormalBold"/>
            </w:pPr>
            <w:r>
              <w:t>ANMAC</w:t>
            </w:r>
          </w:p>
        </w:tc>
        <w:tc>
          <w:tcPr>
            <w:tcW w:w="6914" w:type="dxa"/>
          </w:tcPr>
          <w:p w:rsidR="009170F7" w:rsidRPr="00CB32B1" w:rsidRDefault="009170F7" w:rsidP="00A9099C">
            <w:pPr>
              <w:pStyle w:val="TableTextNormal"/>
              <w:cnfStyle w:val="000000000000"/>
            </w:pPr>
            <w:r w:rsidRPr="00CB32B1">
              <w:t>Australian Nursing and Midwifery Accreditation Council</w:t>
            </w:r>
          </w:p>
        </w:tc>
      </w:tr>
      <w:tr w:rsidR="00847199" w:rsidRPr="00CB32B1" w:rsidTr="008F2394">
        <w:tc>
          <w:tcPr>
            <w:cnfStyle w:val="001000000000"/>
            <w:tcW w:w="2374" w:type="dxa"/>
          </w:tcPr>
          <w:p w:rsidR="00847199" w:rsidRPr="00CB32B1" w:rsidRDefault="00847199" w:rsidP="004D0E6C">
            <w:pPr>
              <w:pStyle w:val="TableTextNormalBold"/>
            </w:pPr>
            <w:r w:rsidRPr="00CB32B1">
              <w:t>AWBZ</w:t>
            </w:r>
          </w:p>
        </w:tc>
        <w:tc>
          <w:tcPr>
            <w:tcW w:w="6914" w:type="dxa"/>
          </w:tcPr>
          <w:p w:rsidR="00847199" w:rsidRPr="00CB32B1" w:rsidRDefault="00847199" w:rsidP="00A9099C">
            <w:pPr>
              <w:pStyle w:val="TableTextNormal"/>
              <w:cnfStyle w:val="000000000000"/>
            </w:pPr>
            <w:r w:rsidRPr="00CB32B1">
              <w:t>Exceptional Medical Expenses Act (the Netherlands)</w:t>
            </w:r>
          </w:p>
        </w:tc>
      </w:tr>
      <w:tr w:rsidR="00847199" w:rsidRPr="00CB32B1" w:rsidTr="008F2394">
        <w:tc>
          <w:tcPr>
            <w:cnfStyle w:val="001000000000"/>
            <w:tcW w:w="2374" w:type="dxa"/>
          </w:tcPr>
          <w:p w:rsidR="00847199" w:rsidRPr="00CB32B1" w:rsidRDefault="00847199" w:rsidP="004D0E6C">
            <w:pPr>
              <w:pStyle w:val="TableTextNormalBold"/>
            </w:pPr>
            <w:r w:rsidRPr="00CB32B1">
              <w:t>CAD</w:t>
            </w:r>
          </w:p>
        </w:tc>
        <w:tc>
          <w:tcPr>
            <w:tcW w:w="6914" w:type="dxa"/>
          </w:tcPr>
          <w:p w:rsidR="00847199" w:rsidRPr="00CB32B1" w:rsidRDefault="00847199" w:rsidP="00A9099C">
            <w:pPr>
              <w:pStyle w:val="TableTextNormal"/>
              <w:cnfStyle w:val="000000000000"/>
            </w:pPr>
            <w:r w:rsidRPr="00CB32B1">
              <w:t>Canadian dollars</w:t>
            </w:r>
          </w:p>
        </w:tc>
      </w:tr>
      <w:tr w:rsidR="00847199" w:rsidRPr="00CB32B1" w:rsidTr="008F2394">
        <w:tc>
          <w:tcPr>
            <w:cnfStyle w:val="001000000000"/>
            <w:tcW w:w="2374" w:type="dxa"/>
          </w:tcPr>
          <w:p w:rsidR="00847199" w:rsidRPr="00CB32B1" w:rsidRDefault="00847199" w:rsidP="004D0E6C">
            <w:pPr>
              <w:pStyle w:val="TableTextNormalBold"/>
            </w:pPr>
            <w:r w:rsidRPr="00CB32B1">
              <w:t>CMO</w:t>
            </w:r>
          </w:p>
        </w:tc>
        <w:tc>
          <w:tcPr>
            <w:tcW w:w="6914" w:type="dxa"/>
          </w:tcPr>
          <w:p w:rsidR="00847199" w:rsidRPr="00CB32B1" w:rsidRDefault="00847199" w:rsidP="00A9099C">
            <w:pPr>
              <w:pStyle w:val="TableTextNormal"/>
              <w:cnfStyle w:val="000000000000"/>
            </w:pPr>
            <w:r w:rsidRPr="00CB32B1">
              <w:t>College of Midwifery Ontario</w:t>
            </w:r>
          </w:p>
        </w:tc>
      </w:tr>
      <w:tr w:rsidR="00847199" w:rsidRPr="00CB32B1" w:rsidTr="008F2394">
        <w:tc>
          <w:tcPr>
            <w:cnfStyle w:val="001000000000"/>
            <w:tcW w:w="2374" w:type="dxa"/>
          </w:tcPr>
          <w:p w:rsidR="00847199" w:rsidRPr="00CB32B1" w:rsidRDefault="00847199" w:rsidP="004D0E6C">
            <w:pPr>
              <w:pStyle w:val="TableTextNormalBold"/>
            </w:pPr>
            <w:r w:rsidRPr="00CB32B1">
              <w:t>CNST</w:t>
            </w:r>
          </w:p>
        </w:tc>
        <w:tc>
          <w:tcPr>
            <w:tcW w:w="6914" w:type="dxa"/>
          </w:tcPr>
          <w:p w:rsidR="00847199" w:rsidRPr="00CB32B1" w:rsidRDefault="00847199" w:rsidP="00A9099C">
            <w:pPr>
              <w:pStyle w:val="TableTextNormal"/>
              <w:cnfStyle w:val="000000000000"/>
            </w:pPr>
            <w:r w:rsidRPr="00CB32B1">
              <w:t>Clinical Negligence Scheme for Trusts</w:t>
            </w:r>
          </w:p>
        </w:tc>
      </w:tr>
      <w:tr w:rsidR="009170F7" w:rsidRPr="00CB32B1" w:rsidTr="008F2394">
        <w:tc>
          <w:tcPr>
            <w:cnfStyle w:val="001000000000"/>
            <w:tcW w:w="2374" w:type="dxa"/>
          </w:tcPr>
          <w:p w:rsidR="009170F7" w:rsidRPr="00CB32B1" w:rsidRDefault="009170F7" w:rsidP="004D0E6C">
            <w:pPr>
              <w:pStyle w:val="TableTextNormalBold"/>
            </w:pPr>
            <w:r>
              <w:t>CPD</w:t>
            </w:r>
          </w:p>
        </w:tc>
        <w:tc>
          <w:tcPr>
            <w:tcW w:w="6914" w:type="dxa"/>
          </w:tcPr>
          <w:p w:rsidR="009170F7" w:rsidRPr="00CB32B1" w:rsidRDefault="009170F7" w:rsidP="00A9099C">
            <w:pPr>
              <w:pStyle w:val="TableTextNormal"/>
              <w:cnfStyle w:val="000000000000"/>
            </w:pPr>
            <w:r>
              <w:t>Continuing professional development</w:t>
            </w:r>
          </w:p>
        </w:tc>
      </w:tr>
      <w:tr w:rsidR="00847199" w:rsidRPr="00CB32B1" w:rsidTr="008F2394">
        <w:tc>
          <w:tcPr>
            <w:cnfStyle w:val="001000000000"/>
            <w:tcW w:w="2374" w:type="dxa"/>
          </w:tcPr>
          <w:p w:rsidR="00847199" w:rsidRPr="00CB32B1" w:rsidRDefault="00847199" w:rsidP="004D0E6C">
            <w:pPr>
              <w:pStyle w:val="TableTextNormalBold"/>
            </w:pPr>
            <w:r w:rsidRPr="00CB32B1">
              <w:t>CQC</w:t>
            </w:r>
          </w:p>
        </w:tc>
        <w:tc>
          <w:tcPr>
            <w:tcW w:w="6914" w:type="dxa"/>
          </w:tcPr>
          <w:p w:rsidR="00847199" w:rsidRPr="00CB32B1" w:rsidRDefault="00847199" w:rsidP="00A9099C">
            <w:pPr>
              <w:pStyle w:val="TableTextNormal"/>
              <w:cnfStyle w:val="000000000000"/>
            </w:pPr>
            <w:r w:rsidRPr="00CB32B1">
              <w:t>Care Quality Commission</w:t>
            </w:r>
          </w:p>
        </w:tc>
      </w:tr>
      <w:tr w:rsidR="00847199" w:rsidRPr="00CB32B1" w:rsidTr="008F2394">
        <w:tc>
          <w:tcPr>
            <w:cnfStyle w:val="001000000000"/>
            <w:tcW w:w="2374" w:type="dxa"/>
          </w:tcPr>
          <w:p w:rsidR="00847199" w:rsidRPr="00CB32B1" w:rsidRDefault="00847199" w:rsidP="004D0E6C">
            <w:pPr>
              <w:pStyle w:val="TableTextNormalBold"/>
            </w:pPr>
            <w:r w:rsidRPr="00CB32B1">
              <w:t>Departments</w:t>
            </w:r>
          </w:p>
        </w:tc>
        <w:tc>
          <w:tcPr>
            <w:tcW w:w="6914" w:type="dxa"/>
          </w:tcPr>
          <w:p w:rsidR="00847199" w:rsidRPr="00CB32B1" w:rsidRDefault="00847199" w:rsidP="00A9099C">
            <w:pPr>
              <w:pStyle w:val="TableTextNormal"/>
              <w:cnfStyle w:val="000000000000"/>
            </w:pPr>
            <w:r w:rsidRPr="00CB32B1">
              <w:t>UK Health Departments (England, Wales, Scotland and Northern Ireland)</w:t>
            </w:r>
          </w:p>
        </w:tc>
      </w:tr>
      <w:tr w:rsidR="00847199" w:rsidRPr="00CB32B1" w:rsidTr="008F2394">
        <w:tc>
          <w:tcPr>
            <w:cnfStyle w:val="001000000000"/>
            <w:tcW w:w="2374" w:type="dxa"/>
          </w:tcPr>
          <w:p w:rsidR="00847199" w:rsidRPr="00CB32B1" w:rsidRDefault="00847199" w:rsidP="004D0E6C">
            <w:pPr>
              <w:pStyle w:val="TableTextNormalBold"/>
            </w:pPr>
            <w:r w:rsidRPr="00CB32B1">
              <w:t>DHS</w:t>
            </w:r>
          </w:p>
        </w:tc>
        <w:tc>
          <w:tcPr>
            <w:tcW w:w="6914" w:type="dxa"/>
          </w:tcPr>
          <w:p w:rsidR="00847199" w:rsidRPr="00CB32B1" w:rsidRDefault="00847199" w:rsidP="00A9099C">
            <w:pPr>
              <w:pStyle w:val="TableTextNormal"/>
              <w:cnfStyle w:val="000000000000"/>
            </w:pPr>
            <w:r w:rsidRPr="00CB32B1">
              <w:t>Department of Human Services (Commonwealth)</w:t>
            </w:r>
          </w:p>
        </w:tc>
      </w:tr>
      <w:tr w:rsidR="00847199" w:rsidRPr="00CB32B1" w:rsidTr="008F2394">
        <w:tc>
          <w:tcPr>
            <w:cnfStyle w:val="001000000000"/>
            <w:tcW w:w="2374" w:type="dxa"/>
          </w:tcPr>
          <w:p w:rsidR="00847199" w:rsidRPr="00CB32B1" w:rsidRDefault="00847199" w:rsidP="004D0E6C">
            <w:pPr>
              <w:pStyle w:val="TableTextNormalBold"/>
            </w:pPr>
            <w:r w:rsidRPr="00CB32B1">
              <w:t>Directive</w:t>
            </w:r>
          </w:p>
        </w:tc>
        <w:tc>
          <w:tcPr>
            <w:tcW w:w="6914" w:type="dxa"/>
          </w:tcPr>
          <w:p w:rsidR="00847199" w:rsidRPr="00CB32B1" w:rsidRDefault="00847199" w:rsidP="00A9099C">
            <w:pPr>
              <w:pStyle w:val="TableTextNormal"/>
              <w:cnfStyle w:val="000000000000"/>
            </w:pPr>
            <w:r w:rsidRPr="00CB32B1">
              <w:t>The European Union Directive (2011/24/EU)</w:t>
            </w:r>
          </w:p>
        </w:tc>
      </w:tr>
      <w:tr w:rsidR="00847199" w:rsidRPr="00CB32B1" w:rsidTr="008F2394">
        <w:tc>
          <w:tcPr>
            <w:cnfStyle w:val="001000000000"/>
            <w:tcW w:w="2374" w:type="dxa"/>
          </w:tcPr>
          <w:p w:rsidR="00847199" w:rsidRPr="00CB32B1" w:rsidRDefault="00847199" w:rsidP="004D0E6C">
            <w:pPr>
              <w:pStyle w:val="TableTextNormalBold"/>
            </w:pPr>
            <w:r w:rsidRPr="00CB32B1">
              <w:t>DoHA</w:t>
            </w:r>
          </w:p>
        </w:tc>
        <w:tc>
          <w:tcPr>
            <w:tcW w:w="6914" w:type="dxa"/>
          </w:tcPr>
          <w:p w:rsidR="00847199" w:rsidRPr="00CB32B1" w:rsidRDefault="00847199" w:rsidP="00A9099C">
            <w:pPr>
              <w:pStyle w:val="TableTextNormal"/>
              <w:cnfStyle w:val="000000000000"/>
            </w:pPr>
            <w:r w:rsidRPr="00CB32B1">
              <w:t>Department of Health and Ageing (Commonwealth)</w:t>
            </w:r>
          </w:p>
        </w:tc>
      </w:tr>
      <w:tr w:rsidR="00847199" w:rsidRPr="00CB32B1" w:rsidTr="008F2394">
        <w:tc>
          <w:tcPr>
            <w:cnfStyle w:val="001000000000"/>
            <w:tcW w:w="2374" w:type="dxa"/>
          </w:tcPr>
          <w:p w:rsidR="00847199" w:rsidRPr="00CB32B1" w:rsidRDefault="00847199" w:rsidP="004D0E6C">
            <w:pPr>
              <w:pStyle w:val="TableTextNormalBold"/>
            </w:pPr>
            <w:r w:rsidRPr="00CB32B1">
              <w:t>EU</w:t>
            </w:r>
          </w:p>
        </w:tc>
        <w:tc>
          <w:tcPr>
            <w:tcW w:w="6914" w:type="dxa"/>
          </w:tcPr>
          <w:p w:rsidR="00847199" w:rsidRPr="00CB32B1" w:rsidRDefault="00847199" w:rsidP="00A9099C">
            <w:pPr>
              <w:pStyle w:val="TableTextNormal"/>
              <w:cnfStyle w:val="000000000000"/>
            </w:pPr>
            <w:r w:rsidRPr="00CB32B1">
              <w:t>European Union</w:t>
            </w:r>
          </w:p>
        </w:tc>
      </w:tr>
      <w:tr w:rsidR="00847199" w:rsidRPr="00CB32B1" w:rsidTr="008F2394">
        <w:tc>
          <w:tcPr>
            <w:cnfStyle w:val="001000000000"/>
            <w:tcW w:w="2374" w:type="dxa"/>
          </w:tcPr>
          <w:p w:rsidR="00847199" w:rsidRPr="00CB32B1" w:rsidRDefault="00847199" w:rsidP="004D0E6C">
            <w:pPr>
              <w:pStyle w:val="TableTextNormalBold"/>
            </w:pPr>
            <w:r w:rsidRPr="00CB32B1">
              <w:t>Guidelines</w:t>
            </w:r>
          </w:p>
        </w:tc>
        <w:tc>
          <w:tcPr>
            <w:tcW w:w="6914" w:type="dxa"/>
          </w:tcPr>
          <w:p w:rsidR="00847199" w:rsidRPr="00CB32B1" w:rsidRDefault="00847199" w:rsidP="00A9099C">
            <w:pPr>
              <w:pStyle w:val="TableTextNormal"/>
              <w:cnfStyle w:val="000000000000"/>
            </w:pPr>
            <w:r w:rsidRPr="00CB32B1">
              <w:t>Consultation and Referral Guidelines (NZ)</w:t>
            </w:r>
          </w:p>
        </w:tc>
      </w:tr>
      <w:tr w:rsidR="00847199" w:rsidRPr="00CB32B1" w:rsidTr="008F2394">
        <w:tc>
          <w:tcPr>
            <w:cnfStyle w:val="001000000000"/>
            <w:tcW w:w="2374" w:type="dxa"/>
          </w:tcPr>
          <w:p w:rsidR="00847199" w:rsidRPr="00CB32B1" w:rsidRDefault="00847199" w:rsidP="004D0E6C">
            <w:pPr>
              <w:pStyle w:val="TableTextNormalBold"/>
            </w:pPr>
            <w:r w:rsidRPr="00CB32B1">
              <w:t>HIROC</w:t>
            </w:r>
          </w:p>
        </w:tc>
        <w:tc>
          <w:tcPr>
            <w:tcW w:w="6914" w:type="dxa"/>
          </w:tcPr>
          <w:p w:rsidR="00847199" w:rsidRPr="00CB32B1" w:rsidRDefault="00847199" w:rsidP="00A9099C">
            <w:pPr>
              <w:pStyle w:val="TableTextNormal"/>
              <w:cnfStyle w:val="000000000000"/>
            </w:pPr>
            <w:r w:rsidRPr="00CB32B1">
              <w:t>Health Insurance Reciprocal of Canada</w:t>
            </w:r>
          </w:p>
        </w:tc>
      </w:tr>
      <w:tr w:rsidR="00847199" w:rsidRPr="00CB32B1" w:rsidTr="008F2394">
        <w:tc>
          <w:tcPr>
            <w:cnfStyle w:val="001000000000"/>
            <w:tcW w:w="2374" w:type="dxa"/>
          </w:tcPr>
          <w:p w:rsidR="00847199" w:rsidRPr="00CB32B1" w:rsidRDefault="00847199" w:rsidP="004D0E6C">
            <w:pPr>
              <w:pStyle w:val="TableTextNormalBold"/>
            </w:pPr>
            <w:r w:rsidRPr="00CB32B1">
              <w:t>IBNR</w:t>
            </w:r>
          </w:p>
        </w:tc>
        <w:tc>
          <w:tcPr>
            <w:tcW w:w="6914" w:type="dxa"/>
          </w:tcPr>
          <w:p w:rsidR="00847199" w:rsidRPr="00CB32B1" w:rsidRDefault="00847199" w:rsidP="00A9099C">
            <w:pPr>
              <w:pStyle w:val="TableTextNormal"/>
              <w:cnfStyle w:val="000000000000"/>
            </w:pPr>
            <w:r w:rsidRPr="00CB32B1">
              <w:t>Incurred but not raised</w:t>
            </w:r>
          </w:p>
        </w:tc>
      </w:tr>
      <w:tr w:rsidR="00847199" w:rsidRPr="00CB32B1" w:rsidTr="008F2394">
        <w:tc>
          <w:tcPr>
            <w:cnfStyle w:val="001000000000"/>
            <w:tcW w:w="2374" w:type="dxa"/>
          </w:tcPr>
          <w:p w:rsidR="00847199" w:rsidRPr="00CB32B1" w:rsidRDefault="00847199" w:rsidP="004D0E6C">
            <w:pPr>
              <w:pStyle w:val="TableTextNormalBold"/>
            </w:pPr>
            <w:r w:rsidRPr="00CB32B1">
              <w:t>ICM</w:t>
            </w:r>
          </w:p>
        </w:tc>
        <w:tc>
          <w:tcPr>
            <w:tcW w:w="6914" w:type="dxa"/>
          </w:tcPr>
          <w:p w:rsidR="00847199" w:rsidRPr="00CB32B1" w:rsidRDefault="00847199" w:rsidP="00A9099C">
            <w:pPr>
              <w:pStyle w:val="TableTextNormal"/>
              <w:cnfStyle w:val="000000000000"/>
            </w:pPr>
            <w:r w:rsidRPr="00CB32B1">
              <w:t>International Confederation of Midwives</w:t>
            </w:r>
          </w:p>
        </w:tc>
      </w:tr>
      <w:tr w:rsidR="00847199" w:rsidRPr="00CB32B1" w:rsidTr="008F2394">
        <w:tc>
          <w:tcPr>
            <w:cnfStyle w:val="001000000000"/>
            <w:tcW w:w="2374" w:type="dxa"/>
          </w:tcPr>
          <w:p w:rsidR="00847199" w:rsidRPr="00CB32B1" w:rsidRDefault="00847199" w:rsidP="004D0E6C">
            <w:pPr>
              <w:pStyle w:val="TableTextNormalBold"/>
            </w:pPr>
            <w:r w:rsidRPr="00CB32B1">
              <w:lastRenderedPageBreak/>
              <w:t>IM</w:t>
            </w:r>
          </w:p>
        </w:tc>
        <w:tc>
          <w:tcPr>
            <w:tcW w:w="6914" w:type="dxa"/>
          </w:tcPr>
          <w:p w:rsidR="00847199" w:rsidRPr="00CB32B1" w:rsidRDefault="00847199" w:rsidP="00A9099C">
            <w:pPr>
              <w:pStyle w:val="TableTextNormal"/>
              <w:cnfStyle w:val="000000000000"/>
            </w:pPr>
            <w:r w:rsidRPr="00CB32B1">
              <w:t>Independent Midwife</w:t>
            </w:r>
          </w:p>
        </w:tc>
      </w:tr>
      <w:tr w:rsidR="00847199" w:rsidRPr="00CB32B1" w:rsidTr="008F2394">
        <w:tc>
          <w:tcPr>
            <w:cnfStyle w:val="001000000000"/>
            <w:tcW w:w="2374" w:type="dxa"/>
          </w:tcPr>
          <w:p w:rsidR="00847199" w:rsidRPr="00CB32B1" w:rsidRDefault="00847199" w:rsidP="004D0E6C">
            <w:pPr>
              <w:pStyle w:val="TableTextNormalBold"/>
            </w:pPr>
            <w:r w:rsidRPr="00CB32B1">
              <w:t>IMGA</w:t>
            </w:r>
          </w:p>
        </w:tc>
        <w:tc>
          <w:tcPr>
            <w:tcW w:w="6914" w:type="dxa"/>
          </w:tcPr>
          <w:p w:rsidR="00847199" w:rsidRPr="00CB32B1" w:rsidRDefault="00847199" w:rsidP="00A9099C">
            <w:pPr>
              <w:pStyle w:val="TableTextNormal"/>
              <w:cnfStyle w:val="000000000000"/>
            </w:pPr>
            <w:r w:rsidRPr="00CB32B1">
              <w:t>Insurance Marketing Group of Australia</w:t>
            </w:r>
          </w:p>
        </w:tc>
      </w:tr>
      <w:tr w:rsidR="00847199" w:rsidRPr="00CB32B1" w:rsidTr="008F2394">
        <w:tc>
          <w:tcPr>
            <w:cnfStyle w:val="001000000000"/>
            <w:tcW w:w="2374" w:type="dxa"/>
          </w:tcPr>
          <w:p w:rsidR="00847199" w:rsidRPr="00CB32B1" w:rsidRDefault="00847199" w:rsidP="004D0E6C">
            <w:pPr>
              <w:pStyle w:val="TableTextNormalBold"/>
            </w:pPr>
            <w:r w:rsidRPr="00CB32B1">
              <w:t>IRCM</w:t>
            </w:r>
          </w:p>
        </w:tc>
        <w:tc>
          <w:tcPr>
            <w:tcW w:w="6914" w:type="dxa"/>
          </w:tcPr>
          <w:p w:rsidR="00847199" w:rsidRPr="00CB32B1" w:rsidRDefault="00847199" w:rsidP="00A9099C">
            <w:pPr>
              <w:pStyle w:val="TableTextNormal"/>
              <w:cnfStyle w:val="000000000000"/>
            </w:pPr>
            <w:r w:rsidRPr="00CB32B1">
              <w:t>The Interim Regulatory Council on Midwifery (Canada)</w:t>
            </w:r>
          </w:p>
        </w:tc>
      </w:tr>
      <w:tr w:rsidR="00847199" w:rsidRPr="00CB32B1" w:rsidTr="008F2394">
        <w:tc>
          <w:tcPr>
            <w:cnfStyle w:val="001000000000"/>
            <w:tcW w:w="2374" w:type="dxa"/>
          </w:tcPr>
          <w:p w:rsidR="00847199" w:rsidRPr="00CB32B1" w:rsidRDefault="00847199" w:rsidP="004D0E6C">
            <w:pPr>
              <w:pStyle w:val="TableTextNormalBold"/>
            </w:pPr>
            <w:r w:rsidRPr="00CB32B1">
              <w:t>LMC</w:t>
            </w:r>
          </w:p>
        </w:tc>
        <w:tc>
          <w:tcPr>
            <w:tcW w:w="6914" w:type="dxa"/>
          </w:tcPr>
          <w:p w:rsidR="00847199" w:rsidRPr="00CB32B1" w:rsidRDefault="00847199" w:rsidP="00A9099C">
            <w:pPr>
              <w:pStyle w:val="TableTextNormal"/>
              <w:cnfStyle w:val="000000000000"/>
            </w:pPr>
            <w:r w:rsidRPr="00CB32B1">
              <w:t>Lead maternity caregiver</w:t>
            </w:r>
          </w:p>
        </w:tc>
      </w:tr>
      <w:tr w:rsidR="00847199" w:rsidRPr="00CB32B1" w:rsidTr="008F2394">
        <w:tc>
          <w:tcPr>
            <w:cnfStyle w:val="001000000000"/>
            <w:tcW w:w="2374" w:type="dxa"/>
          </w:tcPr>
          <w:p w:rsidR="00847199" w:rsidRPr="00CB32B1" w:rsidRDefault="00847199" w:rsidP="004D0E6C">
            <w:pPr>
              <w:pStyle w:val="TableTextNormalBold"/>
            </w:pPr>
            <w:r w:rsidRPr="00CB32B1">
              <w:t>the Manual</w:t>
            </w:r>
          </w:p>
        </w:tc>
        <w:tc>
          <w:tcPr>
            <w:tcW w:w="6914" w:type="dxa"/>
          </w:tcPr>
          <w:p w:rsidR="00847199" w:rsidRPr="00CB32B1" w:rsidRDefault="00847199" w:rsidP="00A9099C">
            <w:pPr>
              <w:pStyle w:val="TableTextNormal"/>
              <w:cnfStyle w:val="000000000000"/>
            </w:pPr>
            <w:r w:rsidRPr="00CB32B1">
              <w:t>The Obstetric and Midwifery Manual (the Netherlands)</w:t>
            </w:r>
          </w:p>
        </w:tc>
      </w:tr>
      <w:tr w:rsidR="00847199" w:rsidRPr="00CB32B1" w:rsidTr="008F2394">
        <w:tc>
          <w:tcPr>
            <w:cnfStyle w:val="001000000000"/>
            <w:tcW w:w="2374" w:type="dxa"/>
          </w:tcPr>
          <w:p w:rsidR="00847199" w:rsidRPr="00CB32B1" w:rsidRDefault="00847199" w:rsidP="004D0E6C">
            <w:pPr>
              <w:pStyle w:val="TableTextNormalBold"/>
            </w:pPr>
            <w:r w:rsidRPr="00CB32B1">
              <w:t>MDO</w:t>
            </w:r>
          </w:p>
        </w:tc>
        <w:tc>
          <w:tcPr>
            <w:tcW w:w="6914" w:type="dxa"/>
          </w:tcPr>
          <w:p w:rsidR="00847199" w:rsidRPr="00CB32B1" w:rsidRDefault="00847199" w:rsidP="00A9099C">
            <w:pPr>
              <w:pStyle w:val="TableTextNormal"/>
              <w:cnfStyle w:val="000000000000"/>
            </w:pPr>
            <w:r w:rsidRPr="00CB32B1">
              <w:t>Medical Defence Organisation</w:t>
            </w:r>
          </w:p>
        </w:tc>
      </w:tr>
      <w:tr w:rsidR="00847199" w:rsidRPr="00CB32B1" w:rsidTr="008F2394">
        <w:tc>
          <w:tcPr>
            <w:cnfStyle w:val="001000000000"/>
            <w:tcW w:w="2374" w:type="dxa"/>
          </w:tcPr>
          <w:p w:rsidR="00847199" w:rsidRPr="00CB32B1" w:rsidRDefault="00847199" w:rsidP="004D0E6C">
            <w:pPr>
              <w:pStyle w:val="TableTextNormalBold"/>
            </w:pPr>
            <w:r w:rsidRPr="00CB32B1">
              <w:t>MDU</w:t>
            </w:r>
          </w:p>
        </w:tc>
        <w:tc>
          <w:tcPr>
            <w:tcW w:w="6914" w:type="dxa"/>
          </w:tcPr>
          <w:p w:rsidR="00847199" w:rsidRPr="00CB32B1" w:rsidRDefault="00847199" w:rsidP="00A9099C">
            <w:pPr>
              <w:pStyle w:val="TableTextNormal"/>
              <w:cnfStyle w:val="000000000000"/>
            </w:pPr>
            <w:r w:rsidRPr="00CB32B1">
              <w:t>Medical Defence Union</w:t>
            </w:r>
          </w:p>
        </w:tc>
      </w:tr>
      <w:tr w:rsidR="00847199" w:rsidRPr="00CB32B1" w:rsidTr="008F2394">
        <w:tc>
          <w:tcPr>
            <w:cnfStyle w:val="001000000000"/>
            <w:tcW w:w="2374" w:type="dxa"/>
          </w:tcPr>
          <w:p w:rsidR="00847199" w:rsidRPr="00CB32B1" w:rsidRDefault="00847199" w:rsidP="004D0E6C">
            <w:pPr>
              <w:pStyle w:val="TableTextNormalBold"/>
            </w:pPr>
            <w:r w:rsidRPr="00CB32B1">
              <w:t>MDT</w:t>
            </w:r>
          </w:p>
        </w:tc>
        <w:tc>
          <w:tcPr>
            <w:tcW w:w="6914" w:type="dxa"/>
          </w:tcPr>
          <w:p w:rsidR="00847199" w:rsidRPr="00CB32B1" w:rsidRDefault="00847199" w:rsidP="00A9099C">
            <w:pPr>
              <w:pStyle w:val="TableTextNormal"/>
              <w:cnfStyle w:val="000000000000"/>
            </w:pPr>
            <w:r w:rsidRPr="00CB32B1">
              <w:t>Multi-disciplinary team</w:t>
            </w:r>
          </w:p>
        </w:tc>
      </w:tr>
      <w:tr w:rsidR="00847199" w:rsidRPr="00CB32B1" w:rsidTr="008F2394">
        <w:tc>
          <w:tcPr>
            <w:cnfStyle w:val="001000000000"/>
            <w:tcW w:w="2374" w:type="dxa"/>
          </w:tcPr>
          <w:p w:rsidR="00847199" w:rsidRPr="00CB32B1" w:rsidRDefault="00847199" w:rsidP="004D0E6C">
            <w:pPr>
              <w:pStyle w:val="TableTextNormalBold"/>
            </w:pPr>
            <w:r w:rsidRPr="00CB32B1">
              <w:t>Medicare</w:t>
            </w:r>
          </w:p>
        </w:tc>
        <w:tc>
          <w:tcPr>
            <w:tcW w:w="6914" w:type="dxa"/>
          </w:tcPr>
          <w:p w:rsidR="00847199" w:rsidRPr="00CB32B1" w:rsidRDefault="00847199" w:rsidP="00A9099C">
            <w:pPr>
              <w:pStyle w:val="TableTextNormal"/>
              <w:cnfStyle w:val="000000000000"/>
            </w:pPr>
            <w:r w:rsidRPr="00CB32B1">
              <w:t>Medicare Australia</w:t>
            </w:r>
          </w:p>
        </w:tc>
      </w:tr>
      <w:tr w:rsidR="00847199" w:rsidRPr="00CB32B1" w:rsidTr="008F2394">
        <w:tc>
          <w:tcPr>
            <w:cnfStyle w:val="001000000000"/>
            <w:tcW w:w="2374" w:type="dxa"/>
          </w:tcPr>
          <w:p w:rsidR="00847199" w:rsidRPr="00CB32B1" w:rsidRDefault="00847199" w:rsidP="004D0E6C">
            <w:pPr>
              <w:pStyle w:val="TableTextNormalBold"/>
            </w:pPr>
            <w:r w:rsidRPr="00CB32B1">
              <w:t>MIGA</w:t>
            </w:r>
          </w:p>
        </w:tc>
        <w:tc>
          <w:tcPr>
            <w:tcW w:w="6914" w:type="dxa"/>
          </w:tcPr>
          <w:p w:rsidR="00847199" w:rsidRPr="00CB32B1" w:rsidRDefault="00847199" w:rsidP="00A9099C">
            <w:pPr>
              <w:pStyle w:val="TableTextNormal"/>
              <w:cnfStyle w:val="000000000000"/>
            </w:pPr>
            <w:r w:rsidRPr="00CB32B1">
              <w:t>Medical Insurance Group Australia</w:t>
            </w:r>
          </w:p>
        </w:tc>
      </w:tr>
      <w:tr w:rsidR="00847199" w:rsidRPr="00CB32B1" w:rsidTr="008F2394">
        <w:tc>
          <w:tcPr>
            <w:cnfStyle w:val="001000000000"/>
            <w:tcW w:w="2374" w:type="dxa"/>
          </w:tcPr>
          <w:p w:rsidR="00847199" w:rsidRPr="00CB32B1" w:rsidRDefault="00847199" w:rsidP="004D0E6C">
            <w:pPr>
              <w:pStyle w:val="TableTextNormalBold"/>
            </w:pPr>
            <w:r w:rsidRPr="00CB32B1">
              <w:t>MOU</w:t>
            </w:r>
          </w:p>
        </w:tc>
        <w:tc>
          <w:tcPr>
            <w:tcW w:w="6914" w:type="dxa"/>
          </w:tcPr>
          <w:p w:rsidR="00847199" w:rsidRPr="00CB32B1" w:rsidRDefault="00847199" w:rsidP="00A9099C">
            <w:pPr>
              <w:pStyle w:val="TableTextNormal"/>
              <w:cnfStyle w:val="000000000000"/>
            </w:pPr>
            <w:r w:rsidRPr="00CB32B1">
              <w:t>Memoranda of Understanding</w:t>
            </w:r>
          </w:p>
        </w:tc>
      </w:tr>
      <w:tr w:rsidR="00847199" w:rsidRPr="00CB32B1" w:rsidTr="008F2394">
        <w:tc>
          <w:tcPr>
            <w:cnfStyle w:val="001000000000"/>
            <w:tcW w:w="2374" w:type="dxa"/>
          </w:tcPr>
          <w:p w:rsidR="00847199" w:rsidRPr="00CB32B1" w:rsidRDefault="00847199" w:rsidP="004D0E6C">
            <w:pPr>
              <w:pStyle w:val="TableTextNormalBold"/>
            </w:pPr>
            <w:r w:rsidRPr="00CB32B1">
              <w:t>National Law</w:t>
            </w:r>
          </w:p>
        </w:tc>
        <w:tc>
          <w:tcPr>
            <w:tcW w:w="6914" w:type="dxa"/>
          </w:tcPr>
          <w:p w:rsidR="00847199" w:rsidRPr="00CB32B1" w:rsidRDefault="00847199" w:rsidP="00A9099C">
            <w:pPr>
              <w:pStyle w:val="TableTextNormal"/>
              <w:cnfStyle w:val="000000000000"/>
            </w:pPr>
            <w:r w:rsidRPr="00CB32B1">
              <w:t>Health Practitioner Regulation National Law</w:t>
            </w:r>
          </w:p>
        </w:tc>
      </w:tr>
      <w:tr w:rsidR="00847199" w:rsidRPr="00CB32B1" w:rsidTr="008F2394">
        <w:tc>
          <w:tcPr>
            <w:cnfStyle w:val="001000000000"/>
            <w:tcW w:w="2374" w:type="dxa"/>
          </w:tcPr>
          <w:p w:rsidR="00847199" w:rsidRPr="00CB32B1" w:rsidRDefault="00847199" w:rsidP="004D0E6C">
            <w:pPr>
              <w:pStyle w:val="TableTextNormalBold"/>
            </w:pPr>
            <w:r w:rsidRPr="00CB32B1">
              <w:t>National scheme</w:t>
            </w:r>
          </w:p>
        </w:tc>
        <w:tc>
          <w:tcPr>
            <w:tcW w:w="6914" w:type="dxa"/>
          </w:tcPr>
          <w:p w:rsidR="00847199" w:rsidRPr="00CB32B1" w:rsidRDefault="00847199" w:rsidP="00A9099C">
            <w:pPr>
              <w:pStyle w:val="TableTextNormal"/>
              <w:cnfStyle w:val="000000000000"/>
            </w:pPr>
            <w:r w:rsidRPr="00CB32B1">
              <w:t>National Registration and Accreditation Scheme</w:t>
            </w:r>
          </w:p>
        </w:tc>
      </w:tr>
      <w:tr w:rsidR="00847199" w:rsidRPr="00CB32B1" w:rsidTr="008F2394">
        <w:tc>
          <w:tcPr>
            <w:cnfStyle w:val="001000000000"/>
            <w:tcW w:w="2374" w:type="dxa"/>
          </w:tcPr>
          <w:p w:rsidR="00847199" w:rsidRPr="00CB32B1" w:rsidRDefault="00847199" w:rsidP="004D0E6C">
            <w:pPr>
              <w:pStyle w:val="TableTextNormalBold"/>
            </w:pPr>
            <w:r w:rsidRPr="00CB32B1">
              <w:t>NFP</w:t>
            </w:r>
          </w:p>
        </w:tc>
        <w:tc>
          <w:tcPr>
            <w:tcW w:w="6914" w:type="dxa"/>
          </w:tcPr>
          <w:p w:rsidR="00847199" w:rsidRPr="00CB32B1" w:rsidRDefault="00847199" w:rsidP="00A9099C">
            <w:pPr>
              <w:pStyle w:val="TableTextNormal"/>
              <w:cnfStyle w:val="000000000000"/>
            </w:pPr>
            <w:r w:rsidRPr="00CB32B1">
              <w:t>Not-for-profit</w:t>
            </w:r>
          </w:p>
        </w:tc>
      </w:tr>
      <w:tr w:rsidR="00847199" w:rsidRPr="00CB32B1" w:rsidTr="008F2394">
        <w:tc>
          <w:tcPr>
            <w:cnfStyle w:val="001000000000"/>
            <w:tcW w:w="2374" w:type="dxa"/>
          </w:tcPr>
          <w:p w:rsidR="00847199" w:rsidRPr="00CB32B1" w:rsidRDefault="00847199" w:rsidP="004D0E6C">
            <w:pPr>
              <w:pStyle w:val="TableTextNormalBold"/>
            </w:pPr>
            <w:r w:rsidRPr="00CB32B1">
              <w:t>NHMRC</w:t>
            </w:r>
          </w:p>
        </w:tc>
        <w:tc>
          <w:tcPr>
            <w:tcW w:w="6914" w:type="dxa"/>
          </w:tcPr>
          <w:p w:rsidR="00847199" w:rsidRPr="00CB32B1" w:rsidRDefault="00847199" w:rsidP="00A9099C">
            <w:pPr>
              <w:pStyle w:val="TableTextNormal"/>
              <w:cnfStyle w:val="000000000000"/>
            </w:pPr>
            <w:r w:rsidRPr="00CB32B1">
              <w:t>National Health and Medical Research Council</w:t>
            </w:r>
          </w:p>
        </w:tc>
      </w:tr>
      <w:tr w:rsidR="00847199" w:rsidRPr="00CB32B1" w:rsidTr="008F2394">
        <w:tc>
          <w:tcPr>
            <w:cnfStyle w:val="001000000000"/>
            <w:tcW w:w="2374" w:type="dxa"/>
          </w:tcPr>
          <w:p w:rsidR="00847199" w:rsidRPr="00CB32B1" w:rsidRDefault="00847199" w:rsidP="004D0E6C">
            <w:pPr>
              <w:pStyle w:val="TableTextNormalBold"/>
            </w:pPr>
            <w:r w:rsidRPr="00CB32B1">
              <w:t>NHS</w:t>
            </w:r>
          </w:p>
        </w:tc>
        <w:tc>
          <w:tcPr>
            <w:tcW w:w="6914" w:type="dxa"/>
          </w:tcPr>
          <w:p w:rsidR="00847199" w:rsidRPr="00CB32B1" w:rsidRDefault="00847199" w:rsidP="00A9099C">
            <w:pPr>
              <w:pStyle w:val="TableTextNormal"/>
              <w:cnfStyle w:val="000000000000"/>
            </w:pPr>
            <w:r w:rsidRPr="00CB32B1">
              <w:t>National Health Service (UK)</w:t>
            </w:r>
          </w:p>
        </w:tc>
      </w:tr>
      <w:tr w:rsidR="00847199" w:rsidRPr="00CB32B1" w:rsidTr="008F2394">
        <w:tc>
          <w:tcPr>
            <w:cnfStyle w:val="001000000000"/>
            <w:tcW w:w="2374" w:type="dxa"/>
          </w:tcPr>
          <w:p w:rsidR="00847199" w:rsidRPr="00CB32B1" w:rsidRDefault="00847199" w:rsidP="004D0E6C">
            <w:pPr>
              <w:pStyle w:val="TableTextNormalBold"/>
            </w:pPr>
            <w:r w:rsidRPr="00CB32B1">
              <w:t>NHSLA</w:t>
            </w:r>
          </w:p>
        </w:tc>
        <w:tc>
          <w:tcPr>
            <w:tcW w:w="6914" w:type="dxa"/>
          </w:tcPr>
          <w:p w:rsidR="00847199" w:rsidRPr="00CB32B1" w:rsidRDefault="00847199" w:rsidP="00A9099C">
            <w:pPr>
              <w:pStyle w:val="TableTextNormal"/>
              <w:cnfStyle w:val="000000000000"/>
            </w:pPr>
            <w:r w:rsidRPr="00CB32B1">
              <w:t>National Health Service Litigation Authority</w:t>
            </w:r>
          </w:p>
        </w:tc>
      </w:tr>
      <w:tr w:rsidR="00847199" w:rsidRPr="00CB32B1" w:rsidTr="008F2394">
        <w:tc>
          <w:tcPr>
            <w:cnfStyle w:val="001000000000"/>
            <w:tcW w:w="2374" w:type="dxa"/>
          </w:tcPr>
          <w:p w:rsidR="00847199" w:rsidRPr="00CB32B1" w:rsidRDefault="00847199" w:rsidP="004D0E6C">
            <w:pPr>
              <w:pStyle w:val="TableTextNormalBold"/>
            </w:pPr>
            <w:r w:rsidRPr="00CB32B1">
              <w:t>NICE</w:t>
            </w:r>
          </w:p>
        </w:tc>
        <w:tc>
          <w:tcPr>
            <w:tcW w:w="6914" w:type="dxa"/>
          </w:tcPr>
          <w:p w:rsidR="00847199" w:rsidRPr="00CB32B1" w:rsidRDefault="00847199" w:rsidP="00A9099C">
            <w:pPr>
              <w:pStyle w:val="TableTextNormal"/>
              <w:cnfStyle w:val="000000000000"/>
            </w:pPr>
            <w:r w:rsidRPr="00CB32B1">
              <w:t>National Institute for Health and Clinical Excellence (UK)</w:t>
            </w:r>
          </w:p>
        </w:tc>
      </w:tr>
      <w:tr w:rsidR="00847199" w:rsidRPr="00CB32B1" w:rsidTr="008F2394">
        <w:tc>
          <w:tcPr>
            <w:cnfStyle w:val="001000000000"/>
            <w:tcW w:w="2374" w:type="dxa"/>
          </w:tcPr>
          <w:p w:rsidR="00847199" w:rsidRPr="00CB32B1" w:rsidRDefault="00847199" w:rsidP="004D0E6C">
            <w:pPr>
              <w:pStyle w:val="TableTextNormalBold"/>
            </w:pPr>
            <w:r w:rsidRPr="00CB32B1">
              <w:t>NMBA</w:t>
            </w:r>
          </w:p>
        </w:tc>
        <w:tc>
          <w:tcPr>
            <w:tcW w:w="6914" w:type="dxa"/>
          </w:tcPr>
          <w:p w:rsidR="00847199" w:rsidRPr="00CB32B1" w:rsidRDefault="00847199" w:rsidP="00A9099C">
            <w:pPr>
              <w:pStyle w:val="TableTextNormal"/>
              <w:cnfStyle w:val="000000000000"/>
            </w:pPr>
            <w:r w:rsidRPr="00CB32B1">
              <w:t>Nursing and Midwifery Board of Australia</w:t>
            </w:r>
          </w:p>
        </w:tc>
      </w:tr>
      <w:tr w:rsidR="00847199" w:rsidRPr="00CB32B1" w:rsidTr="008F2394">
        <w:tc>
          <w:tcPr>
            <w:cnfStyle w:val="001000000000"/>
            <w:tcW w:w="2374" w:type="dxa"/>
          </w:tcPr>
          <w:p w:rsidR="00847199" w:rsidRPr="00CB32B1" w:rsidRDefault="00847199" w:rsidP="004D0E6C">
            <w:pPr>
              <w:pStyle w:val="TableTextNormalBold"/>
            </w:pPr>
            <w:r w:rsidRPr="00CB32B1">
              <w:t>NMC-UK</w:t>
            </w:r>
          </w:p>
        </w:tc>
        <w:tc>
          <w:tcPr>
            <w:tcW w:w="6914" w:type="dxa"/>
          </w:tcPr>
          <w:p w:rsidR="00847199" w:rsidRPr="00CB32B1" w:rsidRDefault="00847199" w:rsidP="00A9099C">
            <w:pPr>
              <w:pStyle w:val="TableTextNormal"/>
              <w:cnfStyle w:val="000000000000"/>
            </w:pPr>
            <w:r w:rsidRPr="00CB32B1">
              <w:t>Nursing and Midwifery Council, UK</w:t>
            </w:r>
          </w:p>
        </w:tc>
      </w:tr>
      <w:tr w:rsidR="00847199" w:rsidRPr="00CB32B1" w:rsidTr="008F2394">
        <w:tc>
          <w:tcPr>
            <w:cnfStyle w:val="001000000000"/>
            <w:tcW w:w="2374" w:type="dxa"/>
          </w:tcPr>
          <w:p w:rsidR="003F57AE" w:rsidRPr="00CB32B1" w:rsidRDefault="00847199" w:rsidP="004D0E6C">
            <w:pPr>
              <w:pStyle w:val="TableTextNormalBold"/>
            </w:pPr>
            <w:r w:rsidRPr="00CB32B1">
              <w:t>NPESU</w:t>
            </w:r>
          </w:p>
        </w:tc>
        <w:tc>
          <w:tcPr>
            <w:tcW w:w="6914" w:type="dxa"/>
          </w:tcPr>
          <w:p w:rsidR="00847199" w:rsidRPr="00CB32B1" w:rsidRDefault="00847199" w:rsidP="00A9099C">
            <w:pPr>
              <w:pStyle w:val="TableTextNormal"/>
              <w:cnfStyle w:val="000000000000"/>
            </w:pPr>
            <w:r w:rsidRPr="00CB32B1">
              <w:t>AIHW National Perinatal Epidemiology and Statistics Unit</w:t>
            </w:r>
          </w:p>
        </w:tc>
      </w:tr>
      <w:tr w:rsidR="00847199" w:rsidRPr="00CB32B1" w:rsidTr="008F2394">
        <w:tc>
          <w:tcPr>
            <w:cnfStyle w:val="001000000000"/>
            <w:tcW w:w="2374" w:type="dxa"/>
          </w:tcPr>
          <w:p w:rsidR="00847199" w:rsidRPr="00CB32B1" w:rsidRDefault="00847199" w:rsidP="004D0E6C">
            <w:pPr>
              <w:pStyle w:val="TableTextNormalBold"/>
            </w:pPr>
            <w:r w:rsidRPr="00CB32B1">
              <w:t>NSW</w:t>
            </w:r>
          </w:p>
        </w:tc>
        <w:tc>
          <w:tcPr>
            <w:tcW w:w="6914" w:type="dxa"/>
          </w:tcPr>
          <w:p w:rsidR="00847199" w:rsidRPr="00CB32B1" w:rsidRDefault="00847199" w:rsidP="00A9099C">
            <w:pPr>
              <w:pStyle w:val="TableTextNormal"/>
              <w:cnfStyle w:val="000000000000"/>
            </w:pPr>
            <w:r w:rsidRPr="00CB32B1">
              <w:t>New South Wales</w:t>
            </w:r>
          </w:p>
        </w:tc>
      </w:tr>
      <w:tr w:rsidR="00847199" w:rsidRPr="00CB32B1" w:rsidTr="008F2394">
        <w:tc>
          <w:tcPr>
            <w:cnfStyle w:val="001000000000"/>
            <w:tcW w:w="2374" w:type="dxa"/>
          </w:tcPr>
          <w:p w:rsidR="00847199" w:rsidRPr="00CB32B1" w:rsidRDefault="00847199" w:rsidP="004D0E6C">
            <w:pPr>
              <w:pStyle w:val="TableTextNormalBold"/>
            </w:pPr>
            <w:r w:rsidRPr="00CB32B1">
              <w:t>NZD</w:t>
            </w:r>
          </w:p>
        </w:tc>
        <w:tc>
          <w:tcPr>
            <w:tcW w:w="6914" w:type="dxa"/>
          </w:tcPr>
          <w:p w:rsidR="00847199" w:rsidRPr="00CB32B1" w:rsidRDefault="00847199" w:rsidP="00A9099C">
            <w:pPr>
              <w:pStyle w:val="TableTextNormal"/>
              <w:cnfStyle w:val="000000000000"/>
            </w:pPr>
            <w:r w:rsidRPr="00CB32B1">
              <w:t>New Zealand dollar</w:t>
            </w:r>
          </w:p>
        </w:tc>
      </w:tr>
      <w:tr w:rsidR="00847199" w:rsidRPr="00CB32B1" w:rsidTr="008F2394">
        <w:tc>
          <w:tcPr>
            <w:cnfStyle w:val="001000000000"/>
            <w:tcW w:w="2374" w:type="dxa"/>
          </w:tcPr>
          <w:p w:rsidR="00847199" w:rsidRPr="00CB32B1" w:rsidRDefault="00847199" w:rsidP="004D0E6C">
            <w:pPr>
              <w:pStyle w:val="TableTextNormalBold"/>
            </w:pPr>
            <w:r w:rsidRPr="00CB32B1">
              <w:t>NZCOM</w:t>
            </w:r>
          </w:p>
        </w:tc>
        <w:tc>
          <w:tcPr>
            <w:tcW w:w="6914" w:type="dxa"/>
          </w:tcPr>
          <w:p w:rsidR="00847199" w:rsidRPr="00CB32B1" w:rsidRDefault="00847199" w:rsidP="00A9099C">
            <w:pPr>
              <w:pStyle w:val="TableTextNormal"/>
              <w:cnfStyle w:val="000000000000"/>
            </w:pPr>
            <w:r w:rsidRPr="00CB32B1">
              <w:t>New Zealand College of Midwives</w:t>
            </w:r>
          </w:p>
        </w:tc>
      </w:tr>
      <w:tr w:rsidR="00847199" w:rsidRPr="00CB32B1" w:rsidTr="008F2394">
        <w:tc>
          <w:tcPr>
            <w:cnfStyle w:val="001000000000"/>
            <w:tcW w:w="2374" w:type="dxa"/>
          </w:tcPr>
          <w:p w:rsidR="00847199" w:rsidRPr="00CB32B1" w:rsidRDefault="00847199" w:rsidP="004D0E6C">
            <w:pPr>
              <w:pStyle w:val="TableTextNormalBold"/>
            </w:pPr>
            <w:r w:rsidRPr="00CB32B1">
              <w:t>OMA</w:t>
            </w:r>
          </w:p>
        </w:tc>
        <w:tc>
          <w:tcPr>
            <w:tcW w:w="6914" w:type="dxa"/>
          </w:tcPr>
          <w:p w:rsidR="00847199" w:rsidRPr="00CB32B1" w:rsidRDefault="00847199" w:rsidP="00A9099C">
            <w:pPr>
              <w:pStyle w:val="TableTextNormal"/>
              <w:cnfStyle w:val="000000000000"/>
            </w:pPr>
            <w:r w:rsidRPr="00CB32B1">
              <w:t>Ontario Medical Association</w:t>
            </w:r>
          </w:p>
        </w:tc>
      </w:tr>
      <w:tr w:rsidR="00847199" w:rsidRPr="00CB32B1" w:rsidTr="008F2394">
        <w:tc>
          <w:tcPr>
            <w:cnfStyle w:val="001000000000"/>
            <w:tcW w:w="2374" w:type="dxa"/>
          </w:tcPr>
          <w:p w:rsidR="00847199" w:rsidRPr="00CB32B1" w:rsidRDefault="00847199" w:rsidP="004D0E6C">
            <w:pPr>
              <w:pStyle w:val="TableTextNormalBold"/>
            </w:pPr>
            <w:r w:rsidRPr="00CB32B1">
              <w:t>PC</w:t>
            </w:r>
          </w:p>
        </w:tc>
        <w:tc>
          <w:tcPr>
            <w:tcW w:w="6914" w:type="dxa"/>
          </w:tcPr>
          <w:p w:rsidR="00847199" w:rsidRPr="00CB32B1" w:rsidRDefault="00847199" w:rsidP="00A9099C">
            <w:pPr>
              <w:pStyle w:val="TableTextNormal"/>
              <w:cnfStyle w:val="000000000000"/>
            </w:pPr>
            <w:r w:rsidRPr="00CB32B1">
              <w:t>Policy Committee of the NMBA</w:t>
            </w:r>
          </w:p>
        </w:tc>
      </w:tr>
      <w:tr w:rsidR="00847199" w:rsidRPr="00CB32B1" w:rsidTr="008F2394">
        <w:tc>
          <w:tcPr>
            <w:cnfStyle w:val="001000000000"/>
            <w:tcW w:w="2374" w:type="dxa"/>
          </w:tcPr>
          <w:p w:rsidR="00847199" w:rsidRPr="00CB32B1" w:rsidRDefault="00847199" w:rsidP="004D0E6C">
            <w:pPr>
              <w:pStyle w:val="TableTextNormalBold"/>
            </w:pPr>
            <w:r w:rsidRPr="00CB32B1">
              <w:t>PHI</w:t>
            </w:r>
          </w:p>
        </w:tc>
        <w:tc>
          <w:tcPr>
            <w:tcW w:w="6914" w:type="dxa"/>
          </w:tcPr>
          <w:p w:rsidR="00847199" w:rsidRPr="00CB32B1" w:rsidRDefault="00847199" w:rsidP="00A9099C">
            <w:pPr>
              <w:pStyle w:val="TableTextNormal"/>
              <w:cnfStyle w:val="000000000000"/>
            </w:pPr>
            <w:r w:rsidRPr="00CB32B1">
              <w:t>Private health insurance</w:t>
            </w:r>
          </w:p>
        </w:tc>
      </w:tr>
      <w:tr w:rsidR="00847199" w:rsidRPr="00CB32B1" w:rsidTr="008F2394">
        <w:tc>
          <w:tcPr>
            <w:cnfStyle w:val="001000000000"/>
            <w:tcW w:w="2374" w:type="dxa"/>
          </w:tcPr>
          <w:p w:rsidR="00847199" w:rsidRPr="00CB32B1" w:rsidRDefault="00847199" w:rsidP="004D0E6C">
            <w:pPr>
              <w:pStyle w:val="TableTextNormalBold"/>
            </w:pPr>
            <w:r w:rsidRPr="00CB32B1">
              <w:t>PII</w:t>
            </w:r>
          </w:p>
        </w:tc>
        <w:tc>
          <w:tcPr>
            <w:tcW w:w="6914" w:type="dxa"/>
          </w:tcPr>
          <w:p w:rsidR="00847199" w:rsidRPr="00CB32B1" w:rsidRDefault="00847199" w:rsidP="00A9099C">
            <w:pPr>
              <w:pStyle w:val="TableTextNormal"/>
              <w:cnfStyle w:val="000000000000"/>
            </w:pPr>
            <w:r w:rsidRPr="00CB32B1">
              <w:t>Professional indemnity insurance</w:t>
            </w:r>
          </w:p>
        </w:tc>
      </w:tr>
      <w:tr w:rsidR="00847199" w:rsidRPr="00CB32B1" w:rsidTr="008F2394">
        <w:tc>
          <w:tcPr>
            <w:cnfStyle w:val="001000000000"/>
            <w:tcW w:w="2374" w:type="dxa"/>
          </w:tcPr>
          <w:p w:rsidR="00847199" w:rsidRPr="00CB32B1" w:rsidRDefault="00847199" w:rsidP="004D0E6C">
            <w:pPr>
              <w:pStyle w:val="TableTextNormalBold"/>
            </w:pPr>
            <w:r w:rsidRPr="00CB32B1">
              <w:t>PPH</w:t>
            </w:r>
          </w:p>
        </w:tc>
        <w:tc>
          <w:tcPr>
            <w:tcW w:w="6914" w:type="dxa"/>
          </w:tcPr>
          <w:p w:rsidR="00847199" w:rsidRPr="00CB32B1" w:rsidRDefault="00847199" w:rsidP="00A9099C">
            <w:pPr>
              <w:pStyle w:val="TableTextNormal"/>
              <w:cnfStyle w:val="000000000000"/>
            </w:pPr>
            <w:r w:rsidRPr="00CB32B1">
              <w:t>Postpartum haemorrhage</w:t>
            </w:r>
          </w:p>
        </w:tc>
      </w:tr>
      <w:tr w:rsidR="00847199" w:rsidRPr="00CB32B1" w:rsidTr="008F2394">
        <w:tc>
          <w:tcPr>
            <w:cnfStyle w:val="001000000000"/>
            <w:tcW w:w="2374" w:type="dxa"/>
          </w:tcPr>
          <w:p w:rsidR="00847199" w:rsidRPr="00CB32B1" w:rsidRDefault="00847199" w:rsidP="004D0E6C">
            <w:pPr>
              <w:pStyle w:val="TableTextNormalBold"/>
            </w:pPr>
            <w:r w:rsidRPr="00CB32B1">
              <w:lastRenderedPageBreak/>
              <w:t>PPM</w:t>
            </w:r>
          </w:p>
        </w:tc>
        <w:tc>
          <w:tcPr>
            <w:tcW w:w="6914" w:type="dxa"/>
          </w:tcPr>
          <w:p w:rsidR="00847199" w:rsidRPr="00CB32B1" w:rsidRDefault="00847199" w:rsidP="00A9099C">
            <w:pPr>
              <w:pStyle w:val="TableTextNormal"/>
              <w:cnfStyle w:val="000000000000"/>
            </w:pPr>
            <w:r w:rsidRPr="00CB32B1">
              <w:t>Privately practising midwife</w:t>
            </w:r>
          </w:p>
        </w:tc>
      </w:tr>
      <w:tr w:rsidR="00847199" w:rsidRPr="00CB32B1" w:rsidTr="008F2394">
        <w:tc>
          <w:tcPr>
            <w:cnfStyle w:val="001000000000"/>
            <w:tcW w:w="2374" w:type="dxa"/>
          </w:tcPr>
          <w:p w:rsidR="00847199" w:rsidRPr="00CB32B1" w:rsidRDefault="00847199" w:rsidP="004D0E6C">
            <w:pPr>
              <w:pStyle w:val="TableTextNormalBold"/>
            </w:pPr>
            <w:r w:rsidRPr="00CB32B1">
              <w:t>PwC</w:t>
            </w:r>
          </w:p>
        </w:tc>
        <w:tc>
          <w:tcPr>
            <w:tcW w:w="6914" w:type="dxa"/>
          </w:tcPr>
          <w:p w:rsidR="00847199" w:rsidRPr="00CB32B1" w:rsidRDefault="00847199" w:rsidP="00A9099C">
            <w:pPr>
              <w:pStyle w:val="TableTextNormal"/>
              <w:cnfStyle w:val="000000000000"/>
            </w:pPr>
            <w:r w:rsidRPr="00CB32B1">
              <w:t>PricewaterhouseCoopers</w:t>
            </w:r>
          </w:p>
        </w:tc>
      </w:tr>
      <w:tr w:rsidR="00847199" w:rsidRPr="00CB32B1" w:rsidTr="008F2394">
        <w:tc>
          <w:tcPr>
            <w:cnfStyle w:val="001000000000"/>
            <w:tcW w:w="2374" w:type="dxa"/>
          </w:tcPr>
          <w:p w:rsidR="00847199" w:rsidRPr="00CB32B1" w:rsidRDefault="00847199" w:rsidP="004D0E6C">
            <w:pPr>
              <w:pStyle w:val="TableTextNormalBold"/>
            </w:pPr>
            <w:r w:rsidRPr="00CB32B1">
              <w:t>RCM</w:t>
            </w:r>
          </w:p>
        </w:tc>
        <w:tc>
          <w:tcPr>
            <w:tcW w:w="6914" w:type="dxa"/>
          </w:tcPr>
          <w:p w:rsidR="00847199" w:rsidRPr="00CB32B1" w:rsidRDefault="00847199" w:rsidP="00A9099C">
            <w:pPr>
              <w:pStyle w:val="TableTextNormal"/>
              <w:cnfStyle w:val="000000000000"/>
            </w:pPr>
            <w:r w:rsidRPr="00CB32B1">
              <w:t>Royal College of Midwives</w:t>
            </w:r>
          </w:p>
        </w:tc>
      </w:tr>
      <w:tr w:rsidR="00847199" w:rsidRPr="00CB32B1" w:rsidTr="008F2394">
        <w:tc>
          <w:tcPr>
            <w:cnfStyle w:val="001000000000"/>
            <w:tcW w:w="2374" w:type="dxa"/>
          </w:tcPr>
          <w:p w:rsidR="00847199" w:rsidRPr="00CB32B1" w:rsidRDefault="00847199" w:rsidP="004D0E6C">
            <w:pPr>
              <w:pStyle w:val="TableTextNormalBold"/>
            </w:pPr>
            <w:r w:rsidRPr="00CB32B1">
              <w:t>RK Harris</w:t>
            </w:r>
          </w:p>
        </w:tc>
        <w:tc>
          <w:tcPr>
            <w:tcW w:w="6914" w:type="dxa"/>
          </w:tcPr>
          <w:p w:rsidR="00847199" w:rsidRPr="00CB32B1" w:rsidRDefault="00847199" w:rsidP="00A9099C">
            <w:pPr>
              <w:pStyle w:val="TableTextNormal"/>
              <w:cnfStyle w:val="000000000000"/>
            </w:pPr>
            <w:r w:rsidRPr="00CB32B1">
              <w:t>RK Harris Insurance Services Limited</w:t>
            </w:r>
          </w:p>
        </w:tc>
      </w:tr>
      <w:tr w:rsidR="00847199" w:rsidRPr="00CB32B1" w:rsidTr="008F2394">
        <w:tc>
          <w:tcPr>
            <w:cnfStyle w:val="001000000000"/>
            <w:tcW w:w="2374" w:type="dxa"/>
          </w:tcPr>
          <w:p w:rsidR="00847199" w:rsidRPr="00CB32B1" w:rsidRDefault="00847199" w:rsidP="004D0E6C">
            <w:pPr>
              <w:pStyle w:val="TableTextNormalBold"/>
            </w:pPr>
            <w:r w:rsidRPr="00CB32B1">
              <w:t>SA</w:t>
            </w:r>
          </w:p>
        </w:tc>
        <w:tc>
          <w:tcPr>
            <w:tcW w:w="6914" w:type="dxa"/>
          </w:tcPr>
          <w:p w:rsidR="00847199" w:rsidRPr="00CB32B1" w:rsidRDefault="00847199" w:rsidP="00A9099C">
            <w:pPr>
              <w:pStyle w:val="TableTextNormal"/>
              <w:cnfStyle w:val="000000000000"/>
            </w:pPr>
            <w:r w:rsidRPr="00CB32B1">
              <w:t>South Australia</w:t>
            </w:r>
          </w:p>
        </w:tc>
      </w:tr>
      <w:tr w:rsidR="00847199" w:rsidRPr="00CB32B1" w:rsidTr="008F2394">
        <w:tc>
          <w:tcPr>
            <w:cnfStyle w:val="001000000000"/>
            <w:tcW w:w="2374" w:type="dxa"/>
          </w:tcPr>
          <w:p w:rsidR="00847199" w:rsidRPr="00CB32B1" w:rsidRDefault="00847199" w:rsidP="004D0E6C">
            <w:pPr>
              <w:pStyle w:val="TableTextNormalBold"/>
            </w:pPr>
            <w:r w:rsidRPr="00CB32B1">
              <w:t>Scott review</w:t>
            </w:r>
          </w:p>
        </w:tc>
        <w:tc>
          <w:tcPr>
            <w:tcW w:w="6914" w:type="dxa"/>
          </w:tcPr>
          <w:p w:rsidR="00847199" w:rsidRPr="00CB32B1" w:rsidRDefault="00847199" w:rsidP="00A9099C">
            <w:pPr>
              <w:pStyle w:val="TableTextNormal"/>
              <w:cnfStyle w:val="000000000000"/>
            </w:pPr>
            <w:r w:rsidRPr="00CB32B1">
              <w:t>The Finlay Scott Review (United Kingdom)</w:t>
            </w:r>
          </w:p>
        </w:tc>
      </w:tr>
      <w:tr w:rsidR="00847199" w:rsidRPr="00CB32B1" w:rsidTr="008F2394">
        <w:tc>
          <w:tcPr>
            <w:cnfStyle w:val="001000000000"/>
            <w:tcW w:w="2374" w:type="dxa"/>
          </w:tcPr>
          <w:p w:rsidR="00847199" w:rsidRPr="00CB32B1" w:rsidRDefault="00847199" w:rsidP="004D0E6C">
            <w:pPr>
              <w:pStyle w:val="TableTextNormalBold"/>
            </w:pPr>
            <w:r w:rsidRPr="00CB32B1">
              <w:t>TMFs</w:t>
            </w:r>
          </w:p>
        </w:tc>
        <w:tc>
          <w:tcPr>
            <w:tcW w:w="6914" w:type="dxa"/>
          </w:tcPr>
          <w:p w:rsidR="00847199" w:rsidRPr="00CB32B1" w:rsidRDefault="00847199" w:rsidP="00A9099C">
            <w:pPr>
              <w:pStyle w:val="TableTextNormal"/>
              <w:cnfStyle w:val="000000000000"/>
            </w:pPr>
            <w:r w:rsidRPr="00CB32B1">
              <w:t>Treasury Managed Funds</w:t>
            </w:r>
          </w:p>
        </w:tc>
      </w:tr>
      <w:tr w:rsidR="00847199" w:rsidRPr="00CB32B1" w:rsidTr="008F2394">
        <w:tc>
          <w:tcPr>
            <w:cnfStyle w:val="001000000000"/>
            <w:tcW w:w="2374" w:type="dxa"/>
          </w:tcPr>
          <w:p w:rsidR="00847199" w:rsidRPr="00CB32B1" w:rsidRDefault="00847199" w:rsidP="004D0E6C">
            <w:pPr>
              <w:pStyle w:val="TableTextNormalBold"/>
            </w:pPr>
            <w:r w:rsidRPr="00CB32B1">
              <w:t>UK</w:t>
            </w:r>
          </w:p>
        </w:tc>
        <w:tc>
          <w:tcPr>
            <w:tcW w:w="6914" w:type="dxa"/>
          </w:tcPr>
          <w:p w:rsidR="00847199" w:rsidRPr="00CB32B1" w:rsidRDefault="00847199" w:rsidP="00A9099C">
            <w:pPr>
              <w:pStyle w:val="TableTextNormal"/>
              <w:cnfStyle w:val="000000000000"/>
            </w:pPr>
            <w:r w:rsidRPr="00CB32B1">
              <w:t>United Kingdom</w:t>
            </w:r>
          </w:p>
        </w:tc>
      </w:tr>
      <w:tr w:rsidR="00847199" w:rsidRPr="00CB32B1" w:rsidTr="008F2394">
        <w:tc>
          <w:tcPr>
            <w:cnfStyle w:val="001000000000"/>
            <w:tcW w:w="2374" w:type="dxa"/>
          </w:tcPr>
          <w:p w:rsidR="00847199" w:rsidRPr="00CB32B1" w:rsidRDefault="00847199" w:rsidP="004D0E6C">
            <w:pPr>
              <w:pStyle w:val="TableTextNormalBold"/>
            </w:pPr>
            <w:r w:rsidRPr="00CB32B1">
              <w:t>WA</w:t>
            </w:r>
          </w:p>
        </w:tc>
        <w:tc>
          <w:tcPr>
            <w:tcW w:w="6914" w:type="dxa"/>
          </w:tcPr>
          <w:p w:rsidR="00847199" w:rsidRPr="00CB32B1" w:rsidRDefault="00847199" w:rsidP="00A9099C">
            <w:pPr>
              <w:pStyle w:val="TableTextNormal"/>
              <w:cnfStyle w:val="000000000000"/>
            </w:pPr>
            <w:r w:rsidRPr="00CB32B1">
              <w:t>Western Australia</w:t>
            </w:r>
          </w:p>
        </w:tc>
      </w:tr>
    </w:tbl>
    <w:p w:rsidR="00D24950" w:rsidRPr="00CB32B1" w:rsidRDefault="00D24950" w:rsidP="00192F0B">
      <w:pPr>
        <w:pStyle w:val="PwCNormal"/>
        <w:numPr>
          <w:ilvl w:val="0"/>
          <w:numId w:val="0"/>
        </w:numPr>
      </w:pPr>
    </w:p>
    <w:p w:rsidR="00D24950" w:rsidRPr="00CB32B1" w:rsidRDefault="00D24950" w:rsidP="00192F0B">
      <w:pPr>
        <w:pStyle w:val="PwCNormal"/>
        <w:numPr>
          <w:ilvl w:val="0"/>
          <w:numId w:val="0"/>
        </w:numPr>
        <w:sectPr w:rsidR="00D24950" w:rsidRPr="00CB32B1" w:rsidSect="008920E1">
          <w:headerReference w:type="even" r:id="rId18"/>
          <w:headerReference w:type="default" r:id="rId19"/>
          <w:footerReference w:type="even" r:id="rId20"/>
          <w:footerReference w:type="default" r:id="rId21"/>
          <w:headerReference w:type="first" r:id="rId22"/>
          <w:footerReference w:type="first" r:id="rId23"/>
          <w:type w:val="oddPage"/>
          <w:pgSz w:w="11907" w:h="16840" w:code="9"/>
          <w:pgMar w:top="1699" w:right="1138" w:bottom="1699" w:left="1138" w:header="677" w:footer="677" w:gutter="562"/>
          <w:pgNumType w:fmt="lowerRoman" w:start="1"/>
          <w:cols w:space="227"/>
          <w:titlePg/>
          <w:docGrid w:linePitch="360"/>
        </w:sectPr>
      </w:pPr>
    </w:p>
    <w:p w:rsidR="00D24950" w:rsidRPr="00CB32B1" w:rsidRDefault="00F073D7" w:rsidP="00F073D7">
      <w:pPr>
        <w:pStyle w:val="PrefaceTitle"/>
      </w:pPr>
      <w:bookmarkStart w:id="2" w:name="_Toc362975038"/>
      <w:r w:rsidRPr="00CB32B1">
        <w:lastRenderedPageBreak/>
        <w:t>Disclaimer</w:t>
      </w:r>
      <w:bookmarkEnd w:id="2"/>
    </w:p>
    <w:p w:rsidR="00F63EE3" w:rsidRPr="00CB32B1" w:rsidRDefault="00F63EE3" w:rsidP="00F63EE3">
      <w:pPr>
        <w:pStyle w:val="PwCNormal"/>
      </w:pPr>
      <w:r w:rsidRPr="00CB32B1">
        <w:t>This report has been prepared by PricewaterhouseCoopers Australia (PwC) at the request of the Australian Health Practitioner Regulation Agency (AHPRA) on behalf of the Nursing Board of Midwifery (NMBA), in our capacity as advisors in accordance with the Terms of Reference.</w:t>
      </w:r>
    </w:p>
    <w:p w:rsidR="00F63EE3" w:rsidRPr="00CB32B1" w:rsidRDefault="00F63EE3" w:rsidP="00F63EE3">
      <w:pPr>
        <w:pStyle w:val="PwCNormal"/>
      </w:pPr>
      <w:r w:rsidRPr="00CB32B1">
        <w:t xml:space="preserve">This report is objective, </w:t>
      </w:r>
      <w:r w:rsidR="00056AD9" w:rsidRPr="00CB32B1">
        <w:t>aimed at a discussion based on research and evidence in accordance with the Terms of Reference</w:t>
      </w:r>
      <w:r w:rsidRPr="00CB32B1">
        <w:t>. It is to provide an evidence base on potential barriers to the provision of a professional indemnity insurance product for privately practicing midwives providing intrapartum care in the home. Based on the evidence found, including the provision of equivalent insurance arrangements for similar midwives internationally, it seeks only to provide a range of actions that the NMBA could consider furthe</w:t>
      </w:r>
      <w:r w:rsidR="00A80886">
        <w:t>r to support the provision of professional indemnity insurance</w:t>
      </w:r>
      <w:r w:rsidRPr="00CB32B1">
        <w:t xml:space="preserve"> for these midwives going forward. </w:t>
      </w:r>
    </w:p>
    <w:p w:rsidR="00A80886" w:rsidRPr="00CB32B1" w:rsidRDefault="00F63EE3" w:rsidP="00A80886">
      <w:pPr>
        <w:pStyle w:val="PwCNormal"/>
      </w:pPr>
      <w:r w:rsidRPr="00CB32B1">
        <w:t>Accordingly, PwC accepts no responsibility for the use of this report by any other persons or for any other purpose.</w:t>
      </w:r>
      <w:r w:rsidR="00A80886">
        <w:t xml:space="preserve"> </w:t>
      </w:r>
      <w:r w:rsidR="00A80886" w:rsidRPr="00CB32B1">
        <w:t>This document is not intended to be utilised or relied upon by any other persons other than from the NMBA, or to be used for any purpose other than that stipulated within the contract.</w:t>
      </w:r>
    </w:p>
    <w:p w:rsidR="00F63EE3" w:rsidRPr="00CB32B1" w:rsidRDefault="00F63EE3" w:rsidP="00F63EE3">
      <w:pPr>
        <w:pStyle w:val="PwCNormal"/>
      </w:pPr>
      <w:r w:rsidRPr="00CB32B1">
        <w:t>The information, statements, statistics and commentary (together the ‘information’) contained in this report have been prepared by PwC from publicly available material, as well as consultations held with key stakeholders identified by the NMBA and from material provided by specific stakeholders including AHPRA and the NMBA.</w:t>
      </w:r>
    </w:p>
    <w:p w:rsidR="00F63EE3" w:rsidRPr="00CB32B1" w:rsidRDefault="00F63EE3" w:rsidP="00F63EE3">
      <w:pPr>
        <w:pStyle w:val="PwCNormal"/>
      </w:pPr>
      <w:r w:rsidRPr="00CB32B1">
        <w:t>PwC has not sought any independent confirmation of the reliability, accuracy or completeness of this information. It should not be construed that PwC has carried out any form of audit of the information that has been relied upon. Accordingly, while the statements made in this report are given in good faith, PwC accepts no responsibility for any errors in the information provided by AHPRA or the NMBA, publicly, or by any other parties in this report, nor the effect of any such error on our analysis, considerations put forward or report</w:t>
      </w:r>
      <w:r w:rsidR="00A80886">
        <w:t>ed</w:t>
      </w:r>
      <w:r w:rsidRPr="00CB32B1">
        <w:t>.</w:t>
      </w:r>
    </w:p>
    <w:p w:rsidR="00313A61" w:rsidRPr="00CB32B1" w:rsidRDefault="00313A61" w:rsidP="00192F0B">
      <w:pPr>
        <w:pStyle w:val="PwCNormal"/>
        <w:numPr>
          <w:ilvl w:val="0"/>
          <w:numId w:val="0"/>
        </w:numPr>
        <w:sectPr w:rsidR="00313A61" w:rsidRPr="00CB32B1" w:rsidSect="008920E1">
          <w:headerReference w:type="even" r:id="rId24"/>
          <w:headerReference w:type="default" r:id="rId25"/>
          <w:footerReference w:type="default" r:id="rId26"/>
          <w:headerReference w:type="first" r:id="rId27"/>
          <w:pgSz w:w="11907" w:h="16840" w:code="9"/>
          <w:pgMar w:top="1699" w:right="1138" w:bottom="1699" w:left="1138" w:header="677" w:footer="677" w:gutter="562"/>
          <w:pgNumType w:fmt="lowerRoman"/>
          <w:cols w:space="227"/>
          <w:titlePg/>
          <w:docGrid w:linePitch="360"/>
        </w:sectPr>
      </w:pPr>
    </w:p>
    <w:p w:rsidR="00F073D7" w:rsidRPr="00CB32B1" w:rsidRDefault="00313A61" w:rsidP="00313A61">
      <w:pPr>
        <w:pStyle w:val="PrefaceTitle"/>
      </w:pPr>
      <w:bookmarkStart w:id="3" w:name="_Toc362975039"/>
      <w:r w:rsidRPr="00CB32B1">
        <w:t>Summary</w:t>
      </w:r>
      <w:bookmarkEnd w:id="3"/>
    </w:p>
    <w:p w:rsidR="00313A61" w:rsidRPr="00CB32B1" w:rsidRDefault="00313A61" w:rsidP="002925CE">
      <w:pPr>
        <w:pStyle w:val="Majorheading"/>
        <w:rPr>
          <w:iCs/>
          <w:sz w:val="32"/>
          <w:szCs w:val="36"/>
        </w:rPr>
      </w:pPr>
      <w:r w:rsidRPr="00CB32B1">
        <w:rPr>
          <w:iCs/>
          <w:sz w:val="32"/>
          <w:szCs w:val="36"/>
        </w:rPr>
        <w:t>The desire of women to be able to choose and access a range of safe, high quality maternity services is clear</w:t>
      </w:r>
    </w:p>
    <w:p w:rsidR="00313A61" w:rsidRPr="00CB32B1" w:rsidRDefault="00313A61" w:rsidP="00313A61">
      <w:pPr>
        <w:pStyle w:val="PwCNormal"/>
      </w:pPr>
      <w:r w:rsidRPr="00CB32B1">
        <w:t>In late 2012 PricewaterhouseCoopers</w:t>
      </w:r>
      <w:r w:rsidR="0086250F" w:rsidRPr="00CB32B1">
        <w:t xml:space="preserve"> (PwC)</w:t>
      </w:r>
      <w:r w:rsidRPr="00CB32B1">
        <w:t xml:space="preserve"> was commissioned by </w:t>
      </w:r>
      <w:r w:rsidR="00056AD9" w:rsidRPr="00CB32B1">
        <w:t xml:space="preserve">the Australian Health Practitioner Regulation Agency (AHPRA) on behalf of </w:t>
      </w:r>
      <w:r w:rsidRPr="00CB32B1">
        <w:t>the Nursing and Midwifery Board of Australia (NMBA) to research professional indemnity insurance (PII) for privately practising midwives (PPMs). This was in response to the lack of availability of PII products for intrapartum care provided by PPMs in home</w:t>
      </w:r>
      <w:r w:rsidR="00056AD9" w:rsidRPr="00CB32B1">
        <w:t>s</w:t>
      </w:r>
      <w:r w:rsidRPr="00CB32B1">
        <w:t>, as well as the consequent exemption for PPMs from the</w:t>
      </w:r>
      <w:r w:rsidR="00856F39" w:rsidRPr="00856F39">
        <w:t xml:space="preserve"> </w:t>
      </w:r>
      <w:r w:rsidR="00856F39" w:rsidRPr="00E7362B">
        <w:rPr>
          <w:i/>
        </w:rPr>
        <w:t>Health Practitioner Regulation</w:t>
      </w:r>
      <w:r w:rsidRPr="00E7362B">
        <w:rPr>
          <w:i/>
        </w:rPr>
        <w:t xml:space="preserve"> National Law</w:t>
      </w:r>
      <w:r w:rsidRPr="00CB32B1">
        <w:t xml:space="preserve"> </w:t>
      </w:r>
      <w:r w:rsidR="00856F39">
        <w:t xml:space="preserve">(National Law) </w:t>
      </w:r>
      <w:r w:rsidRPr="00CB32B1">
        <w:t>registration requirement to hold such PII. The National Law requires all</w:t>
      </w:r>
      <w:r w:rsidR="00056AD9" w:rsidRPr="00CB32B1">
        <w:t xml:space="preserve"> other</w:t>
      </w:r>
      <w:r w:rsidRPr="00CB32B1">
        <w:t xml:space="preserve"> health professionals intending to practise to hold PII as a part of the conditions of r</w:t>
      </w:r>
      <w:r w:rsidR="002925CE" w:rsidRPr="00CB32B1">
        <w:t>egistration.</w:t>
      </w:r>
    </w:p>
    <w:p w:rsidR="00313A61" w:rsidRPr="00CB32B1" w:rsidRDefault="00313A61" w:rsidP="00313A61">
      <w:pPr>
        <w:pStyle w:val="PwCNormal"/>
      </w:pPr>
      <w:r w:rsidRPr="00CB32B1">
        <w:t xml:space="preserve">In order to provide an evidence base on the lack of availability of PII products for PPMs providing intrapartum care in the home, the NMBA </w:t>
      </w:r>
      <w:r w:rsidR="0086250F" w:rsidRPr="00CB32B1">
        <w:t>commissioned</w:t>
      </w:r>
      <w:r w:rsidRPr="00CB32B1">
        <w:t xml:space="preserve"> </w:t>
      </w:r>
      <w:r w:rsidR="0086250F" w:rsidRPr="00CB32B1">
        <w:t>PwC</w:t>
      </w:r>
      <w:r w:rsidRPr="00CB32B1">
        <w:t xml:space="preserve"> to gather data and consult widely. An extensive amount of literature was reviewed and data collected both nationally and within a select number of international jurisdictions</w:t>
      </w:r>
      <w:r w:rsidR="00056AD9" w:rsidRPr="00CB32B1">
        <w:t>. This</w:t>
      </w:r>
      <w:r w:rsidRPr="00CB32B1">
        <w:t xml:space="preserve"> provide</w:t>
      </w:r>
      <w:r w:rsidR="00056AD9" w:rsidRPr="00CB32B1">
        <w:t>d</w:t>
      </w:r>
      <w:r w:rsidRPr="00CB32B1">
        <w:t xml:space="preserve"> insight as to the current factors precluding a viable national insurance product for PPMs, and what transferable lessons could be available from other </w:t>
      </w:r>
      <w:r w:rsidR="00496AD4">
        <w:t>jurisdiction</w:t>
      </w:r>
      <w:r w:rsidRPr="00CB32B1">
        <w:t>s to assist in determining a way forward</w:t>
      </w:r>
      <w:r w:rsidR="00056AD9" w:rsidRPr="00CB32B1">
        <w:t xml:space="preserve"> for Australia.</w:t>
      </w:r>
    </w:p>
    <w:p w:rsidR="00313A61" w:rsidRPr="00CB32B1" w:rsidRDefault="00313A61" w:rsidP="00313A61">
      <w:pPr>
        <w:pStyle w:val="PwCNormal"/>
      </w:pPr>
      <w:r w:rsidRPr="00CB32B1">
        <w:t xml:space="preserve">In the Commonwealth Government’s </w:t>
      </w:r>
      <w:r w:rsidRPr="00CB32B1">
        <w:rPr>
          <w:i/>
        </w:rPr>
        <w:t>Report of the Maternity Services Review</w:t>
      </w:r>
      <w:r w:rsidR="00E7362B">
        <w:t>,</w:t>
      </w:r>
      <w:r w:rsidRPr="00CB32B1">
        <w:t xml:space="preserve"> the concern about the level of current access to homebirth services in Australia was resounding</w:t>
      </w:r>
      <w:r w:rsidR="00583586">
        <w:t>,</w:t>
      </w:r>
      <w:r w:rsidR="00E7362B" w:rsidRPr="00CB32B1">
        <w:rPr>
          <w:vertAlign w:val="superscript"/>
        </w:rPr>
        <w:footnoteReference w:id="2"/>
      </w:r>
      <w:r w:rsidRPr="00CB32B1">
        <w:t xml:space="preserve"> with over 60% of the submissions from consumers wanting to improve access to homebirth options.</w:t>
      </w:r>
      <w:r w:rsidR="001F7539">
        <w:rPr>
          <w:rStyle w:val="FootnoteReference"/>
        </w:rPr>
        <w:footnoteReference w:id="3"/>
      </w:r>
      <w:r w:rsidR="001F7539">
        <w:t xml:space="preserve"> </w:t>
      </w:r>
      <w:r w:rsidRPr="00CB32B1">
        <w:t>While th</w:t>
      </w:r>
      <w:r w:rsidR="00056AD9" w:rsidRPr="00CB32B1">
        <w:t>e report</w:t>
      </w:r>
      <w:r w:rsidRPr="00CB32B1">
        <w:t xml:space="preserve"> identified that these women represented a small proportion of the total, it did note that “maternity care in Australia is not meeting the needs of all Australian women”.</w:t>
      </w:r>
      <w:r w:rsidR="002925CE" w:rsidRPr="00CB32B1">
        <w:rPr>
          <w:rStyle w:val="FootnoteReference"/>
        </w:rPr>
        <w:footnoteReference w:id="4"/>
      </w:r>
      <w:r w:rsidRPr="00CB32B1">
        <w:t xml:space="preserve"> Consultations held nationally and internationally with a wide range of stakeholders representing regulators, professional associations, </w:t>
      </w:r>
      <w:r w:rsidR="00E7362B">
        <w:t>C</w:t>
      </w:r>
      <w:r w:rsidR="00E25231">
        <w:t>ollege</w:t>
      </w:r>
      <w:r w:rsidRPr="00CB32B1">
        <w:t>s, insurers and consumers confirmed the desire that women should have a broad choice of maternity services and have access to safe, high quality and appropriate care.</w:t>
      </w:r>
    </w:p>
    <w:p w:rsidR="00313A61" w:rsidRPr="00CB32B1" w:rsidRDefault="00313A61" w:rsidP="00313A61">
      <w:pPr>
        <w:pStyle w:val="PwCNormal"/>
        <w:numPr>
          <w:ilvl w:val="0"/>
          <w:numId w:val="0"/>
        </w:numPr>
      </w:pPr>
      <w:r w:rsidRPr="00CB32B1">
        <w:t xml:space="preserve">It was therefore established that women ought to have </w:t>
      </w:r>
      <w:r w:rsidR="00056AD9" w:rsidRPr="00CB32B1">
        <w:t xml:space="preserve">a range of </w:t>
      </w:r>
      <w:r w:rsidRPr="00CB32B1">
        <w:t>birthing options</w:t>
      </w:r>
      <w:r w:rsidR="00056AD9" w:rsidRPr="00CB32B1">
        <w:t xml:space="preserve"> for the </w:t>
      </w:r>
      <w:r w:rsidR="00CB32B1" w:rsidRPr="00CB32B1">
        <w:t>setting</w:t>
      </w:r>
      <w:r w:rsidR="002E30ED">
        <w:t>s</w:t>
      </w:r>
      <w:r w:rsidR="00056AD9" w:rsidRPr="00CB32B1">
        <w:t xml:space="preserve"> of birthing services</w:t>
      </w:r>
      <w:r w:rsidRPr="00CB32B1">
        <w:t xml:space="preserve">, including </w:t>
      </w:r>
      <w:r w:rsidR="00E7362B">
        <w:t xml:space="preserve">giving </w:t>
      </w:r>
      <w:r w:rsidRPr="00CB32B1">
        <w:t>a birth within their home</w:t>
      </w:r>
      <w:r w:rsidR="00686693">
        <w:t xml:space="preserve"> and community</w:t>
      </w:r>
      <w:r w:rsidRPr="00CB32B1">
        <w:t xml:space="preserve">, when it is assessed by </w:t>
      </w:r>
      <w:r w:rsidR="00056AD9" w:rsidRPr="00CB32B1">
        <w:t>a</w:t>
      </w:r>
      <w:r w:rsidRPr="00CB32B1">
        <w:t xml:space="preserve"> registered health professional as safe and appropriate</w:t>
      </w:r>
      <w:r w:rsidR="00056AD9" w:rsidRPr="00CB32B1">
        <w:t>. F</w:t>
      </w:r>
      <w:r w:rsidR="006C0A91">
        <w:t>urther, the attending health pro</w:t>
      </w:r>
      <w:r w:rsidR="00056AD9" w:rsidRPr="00CB32B1">
        <w:t>fessional should have the ability</w:t>
      </w:r>
      <w:r w:rsidRPr="00CB32B1">
        <w:t xml:space="preserve"> to have that birth covered by appropriate </w:t>
      </w:r>
      <w:r w:rsidR="00E7362B">
        <w:t>professional indemnity insurance</w:t>
      </w:r>
      <w:r w:rsidRPr="00CB32B1">
        <w:t xml:space="preserve">. This report aims to provide the evidence that moves discussion on </w:t>
      </w:r>
      <w:r w:rsidR="00E25231">
        <w:t>PII</w:t>
      </w:r>
      <w:r w:rsidRPr="00CB32B1">
        <w:t xml:space="preserve"> for PPMs to a constructive debate on how expectant mothers can be provided with a range of safe maternity services, which provide common protections and avenues for reparation </w:t>
      </w:r>
      <w:r w:rsidR="00CB32B1">
        <w:t>should things</w:t>
      </w:r>
      <w:r w:rsidRPr="00CB32B1">
        <w:t xml:space="preserve"> go wrong</w:t>
      </w:r>
      <w:r w:rsidR="002E30ED">
        <w:t xml:space="preserve"> in the case of adverse events</w:t>
      </w:r>
      <w:r w:rsidRPr="00CB32B1">
        <w:t xml:space="preserve">. This </w:t>
      </w:r>
      <w:r w:rsidR="0086250F" w:rsidRPr="00CB32B1">
        <w:t xml:space="preserve">report </w:t>
      </w:r>
      <w:r w:rsidRPr="00CB32B1">
        <w:t xml:space="preserve">is </w:t>
      </w:r>
      <w:r w:rsidR="0086250F" w:rsidRPr="00CB32B1">
        <w:t>not</w:t>
      </w:r>
      <w:r w:rsidRPr="00CB32B1">
        <w:t xml:space="preserve"> a discussion on the ‘rights’ or ‘wrongs’ of homebirth.</w:t>
      </w:r>
    </w:p>
    <w:p w:rsidR="00D55052" w:rsidRPr="00CB32B1" w:rsidRDefault="00D55052" w:rsidP="00056AD9">
      <w:pPr>
        <w:pStyle w:val="Majorheading"/>
        <w:rPr>
          <w:iCs/>
          <w:sz w:val="32"/>
          <w:szCs w:val="36"/>
        </w:rPr>
      </w:pPr>
      <w:r w:rsidRPr="00CB32B1">
        <w:rPr>
          <w:iCs/>
          <w:sz w:val="32"/>
          <w:szCs w:val="36"/>
        </w:rPr>
        <w:t>Professional indemnity insurance is available for all other maternity service providers – its absence for PPMs affects access and workforce</w:t>
      </w:r>
    </w:p>
    <w:p w:rsidR="00D55052" w:rsidRPr="00CB32B1" w:rsidRDefault="00D55052" w:rsidP="00056AD9">
      <w:pPr>
        <w:pStyle w:val="PwCNormal"/>
        <w:keepNext/>
        <w:keepLines/>
      </w:pPr>
      <w:r w:rsidRPr="00CB32B1">
        <w:t>One of the most critical issues identified in</w:t>
      </w:r>
      <w:r w:rsidR="0086250F" w:rsidRPr="00CB32B1">
        <w:t xml:space="preserve"> the</w:t>
      </w:r>
      <w:r w:rsidRPr="00CB32B1">
        <w:t xml:space="preserve"> literature and by those consulted is the av</w:t>
      </w:r>
      <w:r w:rsidR="00E7362B">
        <w:t>ailability of, and access to professional indemnity insurance</w:t>
      </w:r>
      <w:r w:rsidRPr="00CB32B1">
        <w:t xml:space="preserve"> products. Since 2001 PPMs have been unable to obtain PII for intrapartum care as a result of the collapse or exit from the market of a number of commercial insurers, and through inadequate policy or subsidised support (relative to other maternity service providers). From 2010, two PII products have become available for PPMs but only for antenatal and postnatal care, one being Government underwritten.</w:t>
      </w:r>
    </w:p>
    <w:p w:rsidR="00D55052" w:rsidRPr="00CB32B1" w:rsidRDefault="00D55052" w:rsidP="00D55052">
      <w:pPr>
        <w:pStyle w:val="PwCNormal"/>
      </w:pPr>
      <w:r w:rsidRPr="00CB32B1">
        <w:t xml:space="preserve">There have been multiple impacts from the absence of a PII product for PPMs providing intrapartum care in the home. It has created significant challenges for women </w:t>
      </w:r>
      <w:r w:rsidR="000A7B59" w:rsidRPr="00CB32B1">
        <w:t>who want to give birth at home,</w:t>
      </w:r>
      <w:r w:rsidRPr="00CB32B1">
        <w:rPr>
          <w:vertAlign w:val="superscript"/>
        </w:rPr>
        <w:footnoteReference w:id="5"/>
      </w:r>
      <w:r w:rsidRPr="00583586">
        <w:rPr>
          <w:vertAlign w:val="superscript"/>
        </w:rPr>
        <w:t>,</w:t>
      </w:r>
      <w:r w:rsidR="00583586">
        <w:rPr>
          <w:vertAlign w:val="superscript"/>
        </w:rPr>
        <w:t xml:space="preserve"> </w:t>
      </w:r>
      <w:r w:rsidRPr="00CB32B1">
        <w:rPr>
          <w:vertAlign w:val="superscript"/>
        </w:rPr>
        <w:footnoteReference w:id="6"/>
      </w:r>
      <w:r w:rsidRPr="00CB32B1">
        <w:t xml:space="preserve"> and </w:t>
      </w:r>
      <w:r w:rsidR="00572CA7">
        <w:t>consultations reflect</w:t>
      </w:r>
      <w:r w:rsidR="002E30ED">
        <w:t>ed</w:t>
      </w:r>
      <w:r w:rsidR="00572CA7">
        <w:t xml:space="preserve"> </w:t>
      </w:r>
      <w:r w:rsidR="00E7362B">
        <w:t xml:space="preserve">that in part, it has </w:t>
      </w:r>
      <w:r w:rsidR="00572CA7">
        <w:t>the</w:t>
      </w:r>
      <w:r w:rsidRPr="00CB32B1">
        <w:t xml:space="preserve"> reduced </w:t>
      </w:r>
      <w:r w:rsidR="00E7362B">
        <w:t xml:space="preserve">the </w:t>
      </w:r>
      <w:r w:rsidRPr="00CB32B1">
        <w:t xml:space="preserve">number of midwives who work in private practice. This translates to limited access to safe and appropriate homebirth for Australian women. At present it is estimated that there are no more than 200 PPMs in practice (at least 57 were confirmed through a survey undertaken with this report). For those that have continued to practise, they do so at their own financial risk and should an adverse outcome occur or a legal claim arise, the usual sources of compensation or recourse </w:t>
      </w:r>
      <w:r w:rsidR="00C4456B" w:rsidRPr="00CB32B1">
        <w:t xml:space="preserve">for service users </w:t>
      </w:r>
      <w:r w:rsidR="006C0A91">
        <w:t xml:space="preserve">are not </w:t>
      </w:r>
      <w:r w:rsidRPr="00CB32B1">
        <w:t>available.</w:t>
      </w:r>
      <w:r w:rsidR="006C0A91" w:rsidRPr="00CB32B1">
        <w:rPr>
          <w:rStyle w:val="FootnoteReference"/>
        </w:rPr>
        <w:footnoteReference w:id="7"/>
      </w:r>
    </w:p>
    <w:p w:rsidR="00D55052" w:rsidRPr="00CB32B1" w:rsidRDefault="00D55052" w:rsidP="00D55052">
      <w:pPr>
        <w:pStyle w:val="PwCNormal"/>
      </w:pPr>
      <w:r w:rsidRPr="00CB32B1">
        <w:t xml:space="preserve">This issue is compounded through the National Law requirement for compulsory </w:t>
      </w:r>
      <w:r w:rsidR="00E25231">
        <w:t>PII</w:t>
      </w:r>
      <w:r w:rsidRPr="00CB32B1">
        <w:t xml:space="preserve"> as a condition for registration for those who intend to practise. Without commercial PII produc</w:t>
      </w:r>
      <w:r w:rsidR="00E7362B">
        <w:t>ts available, the National Law has c</w:t>
      </w:r>
      <w:r w:rsidRPr="00CB32B1">
        <w:t>reated a situation where PPMs who wished to provide homebirths were at risk of being legally unable to practise privately as a registered midwife. At present there is an exemption from holding PII until July 2015 for PPMs. This exemption, although assisting PPMs in the short term, is not a long term solution.</w:t>
      </w:r>
    </w:p>
    <w:p w:rsidR="00D55052" w:rsidRPr="00CB32B1" w:rsidRDefault="00D55052" w:rsidP="00D55052">
      <w:pPr>
        <w:pStyle w:val="Majorheading"/>
        <w:rPr>
          <w:iCs/>
          <w:sz w:val="32"/>
          <w:szCs w:val="36"/>
        </w:rPr>
      </w:pPr>
      <w:r w:rsidRPr="00CB32B1">
        <w:rPr>
          <w:iCs/>
          <w:sz w:val="32"/>
          <w:szCs w:val="36"/>
        </w:rPr>
        <w:t xml:space="preserve">Australia compares poorly to other </w:t>
      </w:r>
      <w:r w:rsidR="00496AD4">
        <w:rPr>
          <w:iCs/>
          <w:sz w:val="32"/>
          <w:szCs w:val="36"/>
        </w:rPr>
        <w:t>international jurisdiction</w:t>
      </w:r>
      <w:r w:rsidRPr="00CB32B1">
        <w:rPr>
          <w:iCs/>
          <w:sz w:val="32"/>
          <w:szCs w:val="36"/>
        </w:rPr>
        <w:t>s in access,</w:t>
      </w:r>
      <w:r w:rsidR="00C4456B" w:rsidRPr="00CB32B1">
        <w:rPr>
          <w:iCs/>
          <w:sz w:val="32"/>
          <w:szCs w:val="36"/>
        </w:rPr>
        <w:t xml:space="preserve"> data and consistency of practi</w:t>
      </w:r>
      <w:r w:rsidR="00CB32B1">
        <w:rPr>
          <w:iCs/>
          <w:sz w:val="32"/>
          <w:szCs w:val="36"/>
        </w:rPr>
        <w:t>c</w:t>
      </w:r>
      <w:r w:rsidRPr="00CB32B1">
        <w:rPr>
          <w:iCs/>
          <w:sz w:val="32"/>
          <w:szCs w:val="36"/>
        </w:rPr>
        <w:t>e</w:t>
      </w:r>
    </w:p>
    <w:p w:rsidR="00313A61" w:rsidRPr="00CB32B1" w:rsidRDefault="00D55052" w:rsidP="00D55052">
      <w:pPr>
        <w:pStyle w:val="PwCNormal"/>
        <w:numPr>
          <w:ilvl w:val="0"/>
          <w:numId w:val="0"/>
        </w:numPr>
      </w:pPr>
      <w:r w:rsidRPr="00CB32B1">
        <w:t xml:space="preserve">Australia has a relatively low proportion of homebirths compared to other </w:t>
      </w:r>
      <w:r w:rsidR="00E7362B">
        <w:t xml:space="preserve">international </w:t>
      </w:r>
      <w:r w:rsidRPr="00CB32B1">
        <w:t xml:space="preserve">jurisdictions reviewed for this report (see </w:t>
      </w:r>
      <w:r w:rsidR="009129A6" w:rsidRPr="00CB32B1">
        <w:fldChar w:fldCharType="begin"/>
      </w:r>
      <w:r w:rsidR="00EB2051" w:rsidRPr="00CB32B1">
        <w:instrText xml:space="preserve"> REF _Ref361223487 \h </w:instrText>
      </w:r>
      <w:r w:rsidR="009129A6" w:rsidRPr="00CB32B1">
        <w:fldChar w:fldCharType="separate"/>
      </w:r>
      <w:r w:rsidR="008816B4" w:rsidRPr="00CB32B1">
        <w:t xml:space="preserve">Figure </w:t>
      </w:r>
      <w:r w:rsidR="008816B4">
        <w:rPr>
          <w:noProof/>
        </w:rPr>
        <w:t>1</w:t>
      </w:r>
      <w:r w:rsidR="009129A6" w:rsidRPr="00CB32B1">
        <w:fldChar w:fldCharType="end"/>
      </w:r>
      <w:r w:rsidRPr="00CB32B1">
        <w:t>). The reasons behind the variations between the</w:t>
      </w:r>
      <w:r w:rsidR="006C0A91">
        <w:t xml:space="preserve"> jurisdictions </w:t>
      </w:r>
      <w:r w:rsidRPr="00CB32B1">
        <w:t xml:space="preserve">are complex and have been explored </w:t>
      </w:r>
      <w:r w:rsidR="0086250F" w:rsidRPr="00CB32B1">
        <w:t xml:space="preserve">only partly through </w:t>
      </w:r>
      <w:r w:rsidRPr="00CB32B1">
        <w:t xml:space="preserve">this report. However, for all jurisdictions reviewed, </w:t>
      </w:r>
      <w:r w:rsidR="00CB32B1">
        <w:t xml:space="preserve">except Australia, </w:t>
      </w:r>
      <w:r w:rsidRPr="00CB32B1">
        <w:t>a PII product for PPMs providing in</w:t>
      </w:r>
      <w:r w:rsidR="006C0A91">
        <w:t xml:space="preserve">trapartum care at home has been </w:t>
      </w:r>
      <w:r w:rsidRPr="00CB32B1">
        <w:t>developed.</w:t>
      </w:r>
      <w:r w:rsidRPr="00CB32B1">
        <w:rPr>
          <w:rStyle w:val="FootnoteReference"/>
        </w:rPr>
        <w:footnoteReference w:id="8"/>
      </w:r>
    </w:p>
    <w:p w:rsidR="00A572D9" w:rsidRPr="00CB32B1" w:rsidRDefault="00A572D9" w:rsidP="00A572D9">
      <w:pPr>
        <w:pStyle w:val="NumericCaption"/>
        <w:tabs>
          <w:tab w:val="clear" w:pos="1008"/>
          <w:tab w:val="left" w:pos="630"/>
        </w:tabs>
      </w:pPr>
      <w:bookmarkStart w:id="4" w:name="_Ref361223487"/>
      <w:r w:rsidRPr="00CB32B1">
        <w:t xml:space="preserve">Figure </w:t>
      </w:r>
      <w:r w:rsidR="009129A6">
        <w:fldChar w:fldCharType="begin"/>
      </w:r>
      <w:r w:rsidR="00DF5BC2">
        <w:instrText xml:space="preserve"> SEQ Figure \* ARABIC </w:instrText>
      </w:r>
      <w:r w:rsidR="009129A6">
        <w:fldChar w:fldCharType="separate"/>
      </w:r>
      <w:r w:rsidR="008816B4">
        <w:rPr>
          <w:noProof/>
        </w:rPr>
        <w:t>1</w:t>
      </w:r>
      <w:r w:rsidR="009129A6">
        <w:fldChar w:fldCharType="end"/>
      </w:r>
      <w:bookmarkEnd w:id="4"/>
      <w:r w:rsidRPr="00CB32B1">
        <w:t>:</w:t>
      </w:r>
      <w:r w:rsidRPr="00CB32B1">
        <w:tab/>
        <w:t xml:space="preserve">Comparison of homebirths </w:t>
      </w:r>
      <w:r w:rsidR="006C0A91">
        <w:t xml:space="preserve">as a </w:t>
      </w:r>
      <w:r w:rsidRPr="00CB32B1">
        <w:t>percentage of a total of births per jurisdiction (Australia, province of Ontario and the Netherlands)</w:t>
      </w:r>
    </w:p>
    <w:p w:rsidR="002925CE" w:rsidRPr="00CB32B1" w:rsidRDefault="001E2724" w:rsidP="00056AD9">
      <w:pPr>
        <w:pStyle w:val="PwCNormal"/>
        <w:numPr>
          <w:ilvl w:val="0"/>
          <w:numId w:val="0"/>
        </w:numPr>
        <w:jc w:val="center"/>
      </w:pPr>
      <w:r w:rsidRPr="001E2724">
        <w:rPr>
          <w:noProof/>
          <w:lang w:val="en-US"/>
        </w:rPr>
        <w:drawing>
          <wp:inline distT="0" distB="0" distL="0" distR="0">
            <wp:extent cx="4327389" cy="2361537"/>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38026" cy="2367342"/>
                    </a:xfrm>
                    <a:prstGeom prst="rect">
                      <a:avLst/>
                    </a:prstGeom>
                    <a:noFill/>
                    <a:ln>
                      <a:noFill/>
                    </a:ln>
                  </pic:spPr>
                </pic:pic>
              </a:graphicData>
            </a:graphic>
          </wp:inline>
        </w:drawing>
      </w:r>
    </w:p>
    <w:p w:rsidR="00D55052" w:rsidRPr="00CB32B1" w:rsidRDefault="00D00E5D" w:rsidP="00D00E5D">
      <w:pPr>
        <w:pStyle w:val="NumericSources"/>
        <w:rPr>
          <w:rFonts w:asciiTheme="majorHAnsi" w:hAnsiTheme="majorHAnsi"/>
        </w:rPr>
      </w:pPr>
      <w:r w:rsidRPr="00CB32B1">
        <w:rPr>
          <w:rFonts w:asciiTheme="majorHAnsi" w:hAnsiTheme="majorHAnsi"/>
          <w:b/>
        </w:rPr>
        <w:t>Note:</w:t>
      </w:r>
      <w:r w:rsidRPr="00CB32B1">
        <w:rPr>
          <w:rFonts w:asciiTheme="majorHAnsi" w:hAnsiTheme="majorHAnsi"/>
        </w:rPr>
        <w:t xml:space="preserve"> Information on the percentage of homebirths as a total of all births recorded was not publicly available for England</w:t>
      </w:r>
      <w:r w:rsidR="00E7362B">
        <w:rPr>
          <w:rFonts w:asciiTheme="majorHAnsi" w:hAnsiTheme="majorHAnsi"/>
        </w:rPr>
        <w:t xml:space="preserve"> </w:t>
      </w:r>
      <w:r w:rsidRPr="00CB32B1">
        <w:rPr>
          <w:rFonts w:asciiTheme="majorHAnsi" w:hAnsiTheme="majorHAnsi"/>
        </w:rPr>
        <w:t>and New Zealand and therefore has been excluded from the table above.</w:t>
      </w:r>
      <w:r w:rsidRPr="00CB32B1">
        <w:rPr>
          <w:rFonts w:asciiTheme="majorHAnsi" w:hAnsiTheme="majorHAnsi"/>
        </w:rPr>
        <w:br/>
      </w:r>
      <w:r w:rsidRPr="00CB32B1">
        <w:rPr>
          <w:rFonts w:asciiTheme="majorHAnsi" w:hAnsiTheme="majorHAnsi"/>
          <w:b/>
        </w:rPr>
        <w:t>Source:</w:t>
      </w:r>
      <w:r w:rsidRPr="00CB32B1">
        <w:rPr>
          <w:rFonts w:asciiTheme="majorHAnsi" w:hAnsiTheme="majorHAnsi"/>
        </w:rPr>
        <w:t xml:space="preserve"> A</w:t>
      </w:r>
      <w:r w:rsidR="00386E96">
        <w:rPr>
          <w:rFonts w:asciiTheme="majorHAnsi" w:hAnsiTheme="majorHAnsi"/>
        </w:rPr>
        <w:t>ustralian Institute of Health and Welfare</w:t>
      </w:r>
      <w:r w:rsidRPr="00CB32B1">
        <w:rPr>
          <w:rFonts w:asciiTheme="majorHAnsi" w:hAnsiTheme="majorHAnsi"/>
        </w:rPr>
        <w:t xml:space="preserve"> 200</w:t>
      </w:r>
      <w:r w:rsidR="00F94B0D">
        <w:rPr>
          <w:rFonts w:asciiTheme="majorHAnsi" w:hAnsiTheme="majorHAnsi"/>
        </w:rPr>
        <w:t>4</w:t>
      </w:r>
      <w:r w:rsidR="001A57CA">
        <w:rPr>
          <w:rFonts w:asciiTheme="majorHAnsi" w:hAnsiTheme="majorHAnsi"/>
        </w:rPr>
        <w:t>b</w:t>
      </w:r>
      <w:r w:rsidR="00E7362B">
        <w:rPr>
          <w:rFonts w:asciiTheme="majorHAnsi" w:hAnsiTheme="majorHAnsi"/>
        </w:rPr>
        <w:t>-</w:t>
      </w:r>
      <w:r w:rsidR="00F94B0D">
        <w:rPr>
          <w:rFonts w:asciiTheme="majorHAnsi" w:hAnsiTheme="majorHAnsi"/>
        </w:rPr>
        <w:t xml:space="preserve"> 2013</w:t>
      </w:r>
      <w:r w:rsidRPr="00CB32B1">
        <w:rPr>
          <w:rFonts w:asciiTheme="majorHAnsi" w:hAnsiTheme="majorHAnsi"/>
        </w:rPr>
        <w:t>; Commonwealth of Australia</w:t>
      </w:r>
      <w:r w:rsidR="000C29FB" w:rsidRPr="00CB32B1">
        <w:rPr>
          <w:rFonts w:asciiTheme="majorHAnsi" w:hAnsiTheme="majorHAnsi"/>
        </w:rPr>
        <w:t xml:space="preserve"> 2008b</w:t>
      </w:r>
      <w:r w:rsidRPr="00CB32B1">
        <w:rPr>
          <w:rFonts w:asciiTheme="majorHAnsi" w:hAnsiTheme="majorHAnsi"/>
        </w:rPr>
        <w:t>; Stat</w:t>
      </w:r>
      <w:r w:rsidR="00472B36" w:rsidRPr="00CB32B1">
        <w:rPr>
          <w:rFonts w:asciiTheme="majorHAnsi" w:hAnsiTheme="majorHAnsi"/>
        </w:rPr>
        <w:t>istics Netherlands 2013</w:t>
      </w:r>
      <w:r w:rsidRPr="00CB32B1">
        <w:rPr>
          <w:rFonts w:asciiTheme="majorHAnsi" w:hAnsiTheme="majorHAnsi"/>
        </w:rPr>
        <w:t xml:space="preserve">; </w:t>
      </w:r>
      <w:r w:rsidR="000C29FB" w:rsidRPr="00386E96">
        <w:rPr>
          <w:rFonts w:asciiTheme="majorHAnsi" w:hAnsiTheme="majorHAnsi"/>
        </w:rPr>
        <w:t>Statistics Canada 2009</w:t>
      </w:r>
      <w:r w:rsidR="00386E96" w:rsidRPr="00386E96">
        <w:rPr>
          <w:rFonts w:asciiTheme="majorHAnsi" w:hAnsiTheme="majorHAnsi"/>
        </w:rPr>
        <w:t>, 2013</w:t>
      </w:r>
      <w:r w:rsidRPr="00386E96">
        <w:rPr>
          <w:rFonts w:asciiTheme="majorHAnsi" w:hAnsiTheme="majorHAnsi"/>
        </w:rPr>
        <w:t>.</w:t>
      </w:r>
    </w:p>
    <w:p w:rsidR="00D00E5D" w:rsidRPr="00CB32B1" w:rsidRDefault="00E7362B" w:rsidP="00192F0B">
      <w:pPr>
        <w:pStyle w:val="PwCNormal"/>
        <w:numPr>
          <w:ilvl w:val="0"/>
          <w:numId w:val="0"/>
        </w:numPr>
      </w:pPr>
      <w:r>
        <w:t xml:space="preserve">Each of the </w:t>
      </w:r>
      <w:r w:rsidR="00D00E5D" w:rsidRPr="00CB32B1">
        <w:t xml:space="preserve">international jurisdictions analysed (England, province of Ontario, the Netherlands and New Zealand) are able, through different insurance operator models, to provide PII products for either sole or group midwifery practices. The operator models and the products offered are outlined in </w:t>
      </w:r>
      <w:r w:rsidR="009129A6" w:rsidRPr="00CB32B1">
        <w:fldChar w:fldCharType="begin"/>
      </w:r>
      <w:r w:rsidR="00EB2051" w:rsidRPr="00CB32B1">
        <w:instrText xml:space="preserve"> REF _Ref361223495 \h </w:instrText>
      </w:r>
      <w:r w:rsidR="009129A6" w:rsidRPr="00CB32B1">
        <w:fldChar w:fldCharType="separate"/>
      </w:r>
      <w:r w:rsidR="008816B4" w:rsidRPr="00CB32B1">
        <w:t xml:space="preserve">Figure </w:t>
      </w:r>
      <w:r w:rsidR="008816B4">
        <w:rPr>
          <w:noProof/>
        </w:rPr>
        <w:t>2</w:t>
      </w:r>
      <w:r w:rsidR="009129A6" w:rsidRPr="00CB32B1">
        <w:fldChar w:fldCharType="end"/>
      </w:r>
      <w:r w:rsidR="00D00E5D" w:rsidRPr="00CB32B1">
        <w:t>.</w:t>
      </w:r>
    </w:p>
    <w:p w:rsidR="00A572D9" w:rsidRPr="00CB32B1" w:rsidRDefault="00A572D9" w:rsidP="00A572D9">
      <w:pPr>
        <w:pStyle w:val="NumericCaption"/>
      </w:pPr>
      <w:bookmarkStart w:id="5" w:name="_Ref361223495"/>
      <w:r w:rsidRPr="00CB32B1">
        <w:t xml:space="preserve">Figure </w:t>
      </w:r>
      <w:r w:rsidR="009129A6">
        <w:fldChar w:fldCharType="begin"/>
      </w:r>
      <w:r w:rsidR="00DF5BC2">
        <w:instrText xml:space="preserve"> SEQ Figure \* ARABIC </w:instrText>
      </w:r>
      <w:r w:rsidR="009129A6">
        <w:fldChar w:fldCharType="separate"/>
      </w:r>
      <w:r w:rsidR="008816B4">
        <w:rPr>
          <w:noProof/>
        </w:rPr>
        <w:t>2</w:t>
      </w:r>
      <w:r w:rsidR="009129A6">
        <w:fldChar w:fldCharType="end"/>
      </w:r>
      <w:bookmarkEnd w:id="5"/>
      <w:r w:rsidRPr="00CB32B1">
        <w:t xml:space="preserve">: Midwifery insurance operator models for different practice by </w:t>
      </w:r>
      <w:r w:rsidR="00496AD4">
        <w:t>jurisdiction</w:t>
      </w:r>
    </w:p>
    <w:p w:rsidR="00D00E5D" w:rsidRPr="00CB32B1" w:rsidRDefault="00056AD9" w:rsidP="00056AD9">
      <w:pPr>
        <w:pStyle w:val="PwCNormal"/>
        <w:numPr>
          <w:ilvl w:val="0"/>
          <w:numId w:val="0"/>
        </w:numPr>
        <w:jc w:val="center"/>
      </w:pPr>
      <w:r w:rsidRPr="00CB32B1">
        <w:rPr>
          <w:noProof/>
          <w:lang w:val="en-US"/>
        </w:rPr>
        <w:drawing>
          <wp:inline distT="0" distB="0" distL="0" distR="0">
            <wp:extent cx="5070535" cy="2487741"/>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srcRect/>
                    <a:stretch>
                      <a:fillRect/>
                    </a:stretch>
                  </pic:blipFill>
                  <pic:spPr bwMode="auto">
                    <a:xfrm>
                      <a:off x="0" y="0"/>
                      <a:ext cx="5068922" cy="2486949"/>
                    </a:xfrm>
                    <a:prstGeom prst="rect">
                      <a:avLst/>
                    </a:prstGeom>
                    <a:noFill/>
                    <a:ln w="9525">
                      <a:noFill/>
                      <a:miter lim="800000"/>
                      <a:headEnd/>
                      <a:tailEnd/>
                    </a:ln>
                  </pic:spPr>
                </pic:pic>
              </a:graphicData>
            </a:graphic>
          </wp:inline>
        </w:drawing>
      </w:r>
    </w:p>
    <w:p w:rsidR="00B15BDA" w:rsidRPr="00CB32B1" w:rsidRDefault="00B15BDA" w:rsidP="00B15BDA">
      <w:pPr>
        <w:pStyle w:val="PwCNormal"/>
      </w:pPr>
      <w:r w:rsidRPr="00CB32B1">
        <w:t>The features of each jurisdiction’s PII model were found to be a product of both the history of PPM practice and the environment in which midwifery practice occurs in that jurisdiction. For example, in England</w:t>
      </w:r>
      <w:r w:rsidR="00E7362B">
        <w:t>,</w:t>
      </w:r>
      <w:r w:rsidRPr="00CB32B1">
        <w:t xml:space="preserve"> the financial impact for insurers of the relatively small number of independent midwives was overcome through </w:t>
      </w:r>
      <w:r w:rsidR="00E7362B">
        <w:t xml:space="preserve">insuring </w:t>
      </w:r>
      <w:r w:rsidRPr="00CB32B1">
        <w:t>a group practice, support mechanisms for independent midwives, and a strong and cooperative relationship between health professions and insurers.</w:t>
      </w:r>
      <w:r w:rsidRPr="00CB32B1">
        <w:rPr>
          <w:rStyle w:val="FootnoteReference"/>
        </w:rPr>
        <w:footnoteReference w:id="9"/>
      </w:r>
      <w:r w:rsidRPr="00CB32B1">
        <w:t xml:space="preserve"> Alternatively, for the province of Ontario</w:t>
      </w:r>
      <w:r w:rsidR="00E7362B">
        <w:t>,</w:t>
      </w:r>
      <w:r w:rsidRPr="00CB32B1">
        <w:t xml:space="preserve"> the midwifery market </w:t>
      </w:r>
      <w:r w:rsidR="001F0D7C" w:rsidRPr="00CB32B1">
        <w:t>that</w:t>
      </w:r>
      <w:r w:rsidRPr="00CB32B1">
        <w:t xml:space="preserve"> insurers operate within is relatively larger than the markets within the other jurisdictions, as all midwives are deemed independent and must hold insurance. Registration requirements in the province of Ontario also include the completion of a certain number of homebirths and access arrangements with appropriate health services. Further, there is a strong relationship between the professional </w:t>
      </w:r>
      <w:r w:rsidR="002E30ED">
        <w:t>association</w:t>
      </w:r>
      <w:r w:rsidRPr="00CB32B1">
        <w:t xml:space="preserve"> and insurers, and </w:t>
      </w:r>
      <w:r w:rsidR="001F0D7C" w:rsidRPr="00CB32B1">
        <w:t>significant</w:t>
      </w:r>
      <w:r w:rsidRPr="00CB32B1">
        <w:t xml:space="preserve"> government support.</w:t>
      </w:r>
    </w:p>
    <w:p w:rsidR="00B15BDA" w:rsidRPr="00CB32B1" w:rsidRDefault="00B15BDA" w:rsidP="00B15BDA">
      <w:pPr>
        <w:pStyle w:val="PwCNormal"/>
      </w:pPr>
      <w:r w:rsidRPr="00CB32B1">
        <w:t xml:space="preserve">None of the models adopted in each of the jurisdictions were found to be the same, nor were the factors or enablers supporting the development of the </w:t>
      </w:r>
      <w:r w:rsidR="00E7362B">
        <w:t xml:space="preserve">particular </w:t>
      </w:r>
      <w:r w:rsidRPr="00CB32B1">
        <w:t>model</w:t>
      </w:r>
      <w:r w:rsidR="00E7362B">
        <w:t xml:space="preserve"> applied</w:t>
      </w:r>
      <w:r w:rsidRPr="00CB32B1">
        <w:t xml:space="preserve">. While no model could be applied directly to the Australian environment, we believe that </w:t>
      </w:r>
      <w:r w:rsidR="001F0D7C" w:rsidRPr="00CB32B1">
        <w:t xml:space="preserve">each model provides findings and lessons that are relevant </w:t>
      </w:r>
      <w:r w:rsidRPr="00CB32B1">
        <w:t>for PPMs in Australia.</w:t>
      </w:r>
    </w:p>
    <w:p w:rsidR="00B15BDA" w:rsidRPr="00CB32B1" w:rsidRDefault="00B15BDA" w:rsidP="00B15BDA">
      <w:pPr>
        <w:pStyle w:val="Majorheading"/>
        <w:rPr>
          <w:iCs/>
          <w:sz w:val="32"/>
          <w:szCs w:val="36"/>
        </w:rPr>
      </w:pPr>
      <w:r w:rsidRPr="00CB32B1">
        <w:rPr>
          <w:iCs/>
          <w:sz w:val="32"/>
          <w:szCs w:val="36"/>
        </w:rPr>
        <w:t>The key findings centre on issues with the communication of PPM practice and the inherent risks of maternity services</w:t>
      </w:r>
    </w:p>
    <w:p w:rsidR="00B15BDA" w:rsidRPr="00CB32B1" w:rsidRDefault="00B15BDA" w:rsidP="00B15BDA">
      <w:pPr>
        <w:pStyle w:val="PwCNormal"/>
      </w:pPr>
      <w:r w:rsidRPr="00CB32B1">
        <w:t xml:space="preserve">The </w:t>
      </w:r>
      <w:r w:rsidR="00D76345">
        <w:t>project</w:t>
      </w:r>
      <w:r w:rsidRPr="00CB32B1">
        <w:t xml:space="preserve"> focused on understanding what factors within the current Australian market preclude PII being provided. Within the predominant ‘for profit’ insurance market in Australia, product providers </w:t>
      </w:r>
      <w:r w:rsidR="001F0D7C" w:rsidRPr="00CB32B1">
        <w:t xml:space="preserve">generally </w:t>
      </w:r>
      <w:r w:rsidRPr="00CB32B1">
        <w:t xml:space="preserve">assess the insured market’s </w:t>
      </w:r>
      <w:r w:rsidRPr="00CB32B1">
        <w:rPr>
          <w:b/>
          <w:color w:val="DC6900" w:themeColor="text2"/>
        </w:rPr>
        <w:t>scale</w:t>
      </w:r>
      <w:r w:rsidRPr="00CB32B1">
        <w:t xml:space="preserve">, </w:t>
      </w:r>
      <w:r w:rsidRPr="00CB32B1">
        <w:rPr>
          <w:b/>
          <w:color w:val="DC6900" w:themeColor="text2"/>
        </w:rPr>
        <w:t>probability</w:t>
      </w:r>
      <w:r w:rsidRPr="00CB32B1">
        <w:t xml:space="preserve"> of a claim (its likelihood and timing), and the </w:t>
      </w:r>
      <w:r w:rsidRPr="00CB32B1">
        <w:rPr>
          <w:b/>
          <w:color w:val="DC6900" w:themeColor="text2"/>
        </w:rPr>
        <w:t>quantum</w:t>
      </w:r>
      <w:r w:rsidRPr="00CB32B1">
        <w:t xml:space="preserve"> of the claim and any other payout.</w:t>
      </w:r>
    </w:p>
    <w:p w:rsidR="00B15BDA" w:rsidRPr="00CB32B1" w:rsidRDefault="00B15BDA" w:rsidP="00B15BDA">
      <w:pPr>
        <w:pStyle w:val="PwCNormal"/>
      </w:pPr>
      <w:r w:rsidRPr="00CB32B1">
        <w:t xml:space="preserve">From the research </w:t>
      </w:r>
      <w:r w:rsidR="0005107B">
        <w:t>undertaken,</w:t>
      </w:r>
      <w:r w:rsidRPr="00CB32B1">
        <w:t xml:space="preserve"> two key areas were identified from which six findings were grouped. The importance of identifying the areas that preclude PII for intrapartum care for PPMs providing care within the home is not to dissuade the practice of PPMs. Instead, it seeks to provide the available evidence on practice and provide a number of considerations for future action that can be taken.</w:t>
      </w:r>
    </w:p>
    <w:p w:rsidR="00B15BDA" w:rsidRPr="00CB32B1" w:rsidRDefault="00B15BDA" w:rsidP="003718B5">
      <w:pPr>
        <w:pStyle w:val="Majorheading"/>
      </w:pPr>
      <w:r w:rsidRPr="00CB32B1">
        <w:t>Communication of practice</w:t>
      </w:r>
      <w:r w:rsidR="006E176A" w:rsidRPr="00CB32B1">
        <w:t xml:space="preserve"> and available data</w:t>
      </w:r>
    </w:p>
    <w:p w:rsidR="00CB32B1" w:rsidRPr="005A16C9" w:rsidRDefault="00CB32B1" w:rsidP="00CB32B1">
      <w:pPr>
        <w:pStyle w:val="PwCNormal"/>
        <w:rPr>
          <w:lang w:val="en-GB"/>
        </w:rPr>
      </w:pPr>
      <w:r w:rsidRPr="005A16C9">
        <w:rPr>
          <w:lang w:val="en-GB"/>
        </w:rPr>
        <w:t>International literature demonstrates that for low</w:t>
      </w:r>
      <w:r w:rsidR="0005107B">
        <w:rPr>
          <w:lang w:val="en-GB"/>
        </w:rPr>
        <w:t>-</w:t>
      </w:r>
      <w:r w:rsidRPr="005A16C9">
        <w:rPr>
          <w:lang w:val="en-GB"/>
        </w:rPr>
        <w:t xml:space="preserve">risk women and babies, the outcomes for women having a homebirth are usually the same </w:t>
      </w:r>
      <w:r>
        <w:rPr>
          <w:lang w:val="en-GB"/>
        </w:rPr>
        <w:t>as</w:t>
      </w:r>
      <w:r w:rsidRPr="005A16C9">
        <w:rPr>
          <w:lang w:val="en-GB"/>
        </w:rPr>
        <w:t xml:space="preserve"> those experienced in other health settings</w:t>
      </w:r>
      <w:r>
        <w:rPr>
          <w:lang w:val="en-GB"/>
        </w:rPr>
        <w:t>. S</w:t>
      </w:r>
      <w:r w:rsidRPr="005A16C9">
        <w:rPr>
          <w:lang w:val="en-GB"/>
        </w:rPr>
        <w:t>ome women assessed as high</w:t>
      </w:r>
      <w:r w:rsidR="008341BC">
        <w:rPr>
          <w:lang w:val="en-GB"/>
        </w:rPr>
        <w:t>-</w:t>
      </w:r>
      <w:r w:rsidRPr="005A16C9">
        <w:rPr>
          <w:lang w:val="en-GB"/>
        </w:rPr>
        <w:t xml:space="preserve">risk </w:t>
      </w:r>
      <w:r>
        <w:rPr>
          <w:lang w:val="en-GB"/>
        </w:rPr>
        <w:t xml:space="preserve">appear to </w:t>
      </w:r>
      <w:r w:rsidRPr="005A16C9">
        <w:rPr>
          <w:lang w:val="en-GB"/>
        </w:rPr>
        <w:t xml:space="preserve">have poorer outcomes. </w:t>
      </w:r>
      <w:r>
        <w:rPr>
          <w:lang w:val="en-GB"/>
        </w:rPr>
        <w:t xml:space="preserve">However, overall, there are </w:t>
      </w:r>
      <w:r w:rsidRPr="005A16C9">
        <w:rPr>
          <w:lang w:val="en-GB"/>
        </w:rPr>
        <w:t xml:space="preserve">limitations in available data </w:t>
      </w:r>
      <w:r>
        <w:rPr>
          <w:lang w:val="en-GB"/>
        </w:rPr>
        <w:t>and</w:t>
      </w:r>
      <w:r w:rsidRPr="005A16C9">
        <w:rPr>
          <w:lang w:val="en-GB"/>
        </w:rPr>
        <w:t xml:space="preserve"> the literature is generally </w:t>
      </w:r>
      <w:r w:rsidR="0005107B">
        <w:rPr>
          <w:lang w:val="en-GB"/>
        </w:rPr>
        <w:t xml:space="preserve">inconclusive. </w:t>
      </w:r>
      <w:r>
        <w:rPr>
          <w:lang w:val="en-GB"/>
        </w:rPr>
        <w:t>A</w:t>
      </w:r>
      <w:r w:rsidRPr="005A16C9">
        <w:rPr>
          <w:lang w:val="en-GB"/>
        </w:rPr>
        <w:t xml:space="preserve">s a result, </w:t>
      </w:r>
      <w:r>
        <w:rPr>
          <w:lang w:val="en-GB"/>
        </w:rPr>
        <w:t xml:space="preserve">the field is open to </w:t>
      </w:r>
      <w:r w:rsidRPr="005A16C9">
        <w:rPr>
          <w:lang w:val="en-GB"/>
        </w:rPr>
        <w:t>claim and counter claim</w:t>
      </w:r>
      <w:r>
        <w:rPr>
          <w:lang w:val="en-GB"/>
        </w:rPr>
        <w:t>, with a</w:t>
      </w:r>
      <w:r w:rsidRPr="005A16C9">
        <w:rPr>
          <w:lang w:val="en-GB"/>
        </w:rPr>
        <w:t>ttention</w:t>
      </w:r>
      <w:r>
        <w:rPr>
          <w:lang w:val="en-GB"/>
        </w:rPr>
        <w:t xml:space="preserve"> drawn to</w:t>
      </w:r>
      <w:r w:rsidRPr="005A16C9">
        <w:rPr>
          <w:lang w:val="en-GB"/>
        </w:rPr>
        <w:t xml:space="preserve"> the outcomes of these studies, rather than </w:t>
      </w:r>
      <w:r>
        <w:rPr>
          <w:lang w:val="en-GB"/>
        </w:rPr>
        <w:t>to</w:t>
      </w:r>
      <w:r w:rsidRPr="005A16C9">
        <w:rPr>
          <w:lang w:val="en-GB"/>
        </w:rPr>
        <w:t xml:space="preserve"> their </w:t>
      </w:r>
      <w:r>
        <w:rPr>
          <w:lang w:val="en-GB"/>
        </w:rPr>
        <w:t xml:space="preserve">inadequacies </w:t>
      </w:r>
      <w:r w:rsidRPr="005A16C9">
        <w:rPr>
          <w:lang w:val="en-GB"/>
        </w:rPr>
        <w:t>or lack of data</w:t>
      </w:r>
      <w:r>
        <w:rPr>
          <w:lang w:val="en-GB"/>
        </w:rPr>
        <w:t xml:space="preserve">. This </w:t>
      </w:r>
      <w:r w:rsidRPr="005A16C9">
        <w:rPr>
          <w:lang w:val="en-GB"/>
        </w:rPr>
        <w:t xml:space="preserve">appears to have impacted on the confidence or certainty </w:t>
      </w:r>
      <w:r>
        <w:rPr>
          <w:lang w:val="en-GB"/>
        </w:rPr>
        <w:t>of</w:t>
      </w:r>
      <w:r w:rsidRPr="005A16C9">
        <w:rPr>
          <w:lang w:val="en-GB"/>
        </w:rPr>
        <w:t xml:space="preserve"> the insurance market on </w:t>
      </w:r>
      <w:r>
        <w:rPr>
          <w:lang w:val="en-GB"/>
        </w:rPr>
        <w:t xml:space="preserve">the real risk of </w:t>
      </w:r>
      <w:r w:rsidRPr="005A16C9">
        <w:rPr>
          <w:lang w:val="en-GB"/>
        </w:rPr>
        <w:t>PPM practice within the home.</w:t>
      </w:r>
    </w:p>
    <w:p w:rsidR="00B15BDA" w:rsidRPr="00CB32B1" w:rsidRDefault="00B15BDA" w:rsidP="00B15BDA">
      <w:pPr>
        <w:pStyle w:val="PwCNormal"/>
      </w:pPr>
      <w:r w:rsidRPr="00CB32B1">
        <w:t xml:space="preserve">It is evident that at present there are data limitations that affect the ability for insurers in Australia to sufficiently assess the risk profile of Australian PPMs. The evidence is complex given that there are real and perceived variations in practice and risk management frameworks, combined with insufficient availability of quality data relating to PPM practice, and an evidence base of the causal factors in outcome or claims. The </w:t>
      </w:r>
      <w:r w:rsidR="00EF2935">
        <w:t>three specific</w:t>
      </w:r>
      <w:r w:rsidRPr="00CB32B1">
        <w:t xml:space="preserve"> findings are:</w:t>
      </w:r>
    </w:p>
    <w:p w:rsidR="00B15BDA" w:rsidRPr="00CB32B1" w:rsidRDefault="00B15BDA" w:rsidP="000A6A97">
      <w:pPr>
        <w:pStyle w:val="Minorheading"/>
        <w:ind w:left="562" w:hanging="562"/>
      </w:pPr>
      <w:r w:rsidRPr="00CB32B1">
        <w:t>1</w:t>
      </w:r>
      <w:r w:rsidRPr="00CB32B1">
        <w:tab/>
        <w:t>Practice</w:t>
      </w:r>
      <w:r w:rsidR="001F0D7C" w:rsidRPr="00CB32B1">
        <w:t xml:space="preserve"> of PPMs</w:t>
      </w:r>
    </w:p>
    <w:p w:rsidR="00B15BDA" w:rsidRPr="00CB32B1" w:rsidRDefault="00B15BDA" w:rsidP="000A6A97">
      <w:pPr>
        <w:pStyle w:val="PwCNormal"/>
        <w:keepNext/>
        <w:keepLines/>
      </w:pPr>
      <w:r w:rsidRPr="00CB32B1">
        <w:t>Through the research</w:t>
      </w:r>
      <w:r w:rsidR="00D76345">
        <w:t xml:space="preserve"> completed</w:t>
      </w:r>
      <w:r w:rsidRPr="00CB32B1">
        <w:t xml:space="preserve">, insurers appear unclear on who would be insured, how they would practise, and what services would be provided. This is the result of an absence of, or unclear definitions relating to PPM practice as well as variation in the level of support and supervision provided to PPMs. Further variation between </w:t>
      </w:r>
      <w:r w:rsidR="00E7362B">
        <w:t xml:space="preserve">both </w:t>
      </w:r>
      <w:r w:rsidRPr="00CB32B1">
        <w:t>practice models (</w:t>
      </w:r>
      <w:r w:rsidR="002E30ED">
        <w:t>such as</w:t>
      </w:r>
      <w:r w:rsidRPr="00CB32B1">
        <w:t xml:space="preserve"> group or sole practitioner)</w:t>
      </w:r>
      <w:r w:rsidR="00E7362B">
        <w:t>,</w:t>
      </w:r>
      <w:r w:rsidRPr="00CB32B1">
        <w:t xml:space="preserve"> as well as national, state and territory quality and safety frameworks </w:t>
      </w:r>
      <w:r w:rsidR="00E7362B">
        <w:t xml:space="preserve">exists. This </w:t>
      </w:r>
      <w:r w:rsidRPr="00CB32B1">
        <w:t>mean</w:t>
      </w:r>
      <w:r w:rsidR="00E7362B">
        <w:t>s</w:t>
      </w:r>
      <w:r w:rsidRPr="00CB32B1">
        <w:t xml:space="preserve"> that any insurance product developed at present would need to accommodate</w:t>
      </w:r>
      <w:r w:rsidR="00572CA7">
        <w:t xml:space="preserve"> </w:t>
      </w:r>
      <w:r w:rsidR="00E7362B">
        <w:t xml:space="preserve">not only </w:t>
      </w:r>
      <w:r w:rsidR="00572CA7">
        <w:t>individual</w:t>
      </w:r>
      <w:r w:rsidRPr="00CB32B1">
        <w:t xml:space="preserve"> PPMs practising </w:t>
      </w:r>
      <w:r w:rsidR="002E30ED">
        <w:t>with different scopes of practice</w:t>
      </w:r>
      <w:r w:rsidRPr="00CB32B1">
        <w:t xml:space="preserve"> that may have different risk profiles, </w:t>
      </w:r>
      <w:r w:rsidR="00E7362B">
        <w:t xml:space="preserve">but also those practising </w:t>
      </w:r>
      <w:r w:rsidR="005A16C9" w:rsidRPr="00CB32B1">
        <w:t>within</w:t>
      </w:r>
      <w:r w:rsidRPr="00CB32B1">
        <w:t xml:space="preserve"> different </w:t>
      </w:r>
      <w:r w:rsidR="00E7362B">
        <w:t>states and territories</w:t>
      </w:r>
      <w:r w:rsidRPr="00CB32B1">
        <w:t>.</w:t>
      </w:r>
    </w:p>
    <w:p w:rsidR="00B15BDA" w:rsidRPr="00CB32B1" w:rsidRDefault="00B15BDA" w:rsidP="00B15BDA">
      <w:pPr>
        <w:pStyle w:val="Minorheading"/>
        <w:ind w:left="562" w:hanging="562"/>
      </w:pPr>
      <w:r w:rsidRPr="00CB32B1">
        <w:t>2</w:t>
      </w:r>
      <w:r w:rsidRPr="00CB32B1">
        <w:tab/>
        <w:t>Data quality</w:t>
      </w:r>
      <w:r w:rsidR="001F0D7C" w:rsidRPr="00CB32B1">
        <w:t xml:space="preserve"> supporting PPMs practising</w:t>
      </w:r>
    </w:p>
    <w:p w:rsidR="00B15BDA" w:rsidRPr="00CB32B1" w:rsidRDefault="00B15BDA" w:rsidP="00B15BDA">
      <w:pPr>
        <w:pStyle w:val="PwCNormal"/>
      </w:pPr>
      <w:r w:rsidRPr="00CB32B1">
        <w:t>The availability and quality of data are currently insufficient to confidently understand the extent of PPM practice and the associated risk. Data are important to provide an evidence base for insurers to set premiums</w:t>
      </w:r>
      <w:r w:rsidR="00C4456B" w:rsidRPr="00CB32B1">
        <w:t>, particularly in e</w:t>
      </w:r>
      <w:r w:rsidRPr="00CB32B1">
        <w:t>stablishing the scale, probability and quantum of a claim</w:t>
      </w:r>
      <w:r w:rsidR="00C4456B" w:rsidRPr="00CB32B1">
        <w:t>. The availability and reporting of key data should include</w:t>
      </w:r>
      <w:r w:rsidRPr="00CB32B1">
        <w:t>:</w:t>
      </w:r>
    </w:p>
    <w:p w:rsidR="00B15BDA" w:rsidRPr="00CB32B1" w:rsidRDefault="00EF2935" w:rsidP="00B15BDA">
      <w:pPr>
        <w:pStyle w:val="ListBullet"/>
      </w:pPr>
      <w:r>
        <w:t>t</w:t>
      </w:r>
      <w:r w:rsidR="00B15BDA" w:rsidRPr="00CB32B1">
        <w:t xml:space="preserve">he number of PPMs </w:t>
      </w:r>
      <w:r w:rsidR="00B15BDA" w:rsidRPr="00CB32B1">
        <w:rPr>
          <w:b/>
          <w:color w:val="DC6900" w:themeColor="text2"/>
        </w:rPr>
        <w:t>(scale)</w:t>
      </w:r>
    </w:p>
    <w:p w:rsidR="00B15BDA" w:rsidRPr="00CB32B1" w:rsidRDefault="00EF2935" w:rsidP="00B15BDA">
      <w:pPr>
        <w:pStyle w:val="ListBullet"/>
      </w:pPr>
      <w:r>
        <w:t>t</w:t>
      </w:r>
      <w:r w:rsidR="00B15BDA" w:rsidRPr="00CB32B1">
        <w:t xml:space="preserve">he number and likelihood of incidences </w:t>
      </w:r>
      <w:r w:rsidR="00B15BDA" w:rsidRPr="00CB32B1">
        <w:rPr>
          <w:b/>
          <w:color w:val="DC6900" w:themeColor="text2"/>
        </w:rPr>
        <w:t xml:space="preserve">(probability) </w:t>
      </w:r>
      <w:r w:rsidR="00B15BDA" w:rsidRPr="00CB32B1">
        <w:t>– the number of homebirths, adverse outcomes and situational factors (</w:t>
      </w:r>
      <w:r w:rsidR="00854DEF" w:rsidRPr="00CB32B1">
        <w:t>eg</w:t>
      </w:r>
      <w:r w:rsidR="00B15BDA" w:rsidRPr="00CB32B1">
        <w:t xml:space="preserve"> risk profile of women, geography, transfers from home to health services)</w:t>
      </w:r>
    </w:p>
    <w:p w:rsidR="00B15BDA" w:rsidRPr="00CB32B1" w:rsidRDefault="00EF2935" w:rsidP="00B15BDA">
      <w:pPr>
        <w:pStyle w:val="ListBullet"/>
      </w:pPr>
      <w:r>
        <w:t>t</w:t>
      </w:r>
      <w:r w:rsidR="00B15BDA" w:rsidRPr="00CB32B1">
        <w:t xml:space="preserve">he number and quantum of claims </w:t>
      </w:r>
      <w:r w:rsidR="00B15BDA" w:rsidRPr="00CB32B1">
        <w:rPr>
          <w:b/>
          <w:color w:val="DC6900" w:themeColor="text2"/>
        </w:rPr>
        <w:t>(quantum)</w:t>
      </w:r>
      <w:r w:rsidR="00B15BDA" w:rsidRPr="00CB32B1">
        <w:t>.</w:t>
      </w:r>
    </w:p>
    <w:p w:rsidR="00B15BDA" w:rsidRPr="00CB32B1" w:rsidRDefault="00B15BDA" w:rsidP="00B15BDA">
      <w:pPr>
        <w:pStyle w:val="PwCNormal"/>
      </w:pPr>
      <w:r w:rsidRPr="00CB32B1">
        <w:t>From what data are available it can be established that there is a relatively small PPM workforce supporting births within the home, which make up only 0.3% of all births.</w:t>
      </w:r>
      <w:r w:rsidRPr="00CB32B1">
        <w:rPr>
          <w:rStyle w:val="FootnoteReference"/>
        </w:rPr>
        <w:footnoteReference w:id="10"/>
      </w:r>
      <w:r w:rsidRPr="00CB32B1">
        <w:t xml:space="preserve"> </w:t>
      </w:r>
      <w:r w:rsidR="00C4456B" w:rsidRPr="00CB32B1">
        <w:t>Consultations</w:t>
      </w:r>
      <w:r w:rsidR="00EF2935">
        <w:t xml:space="preserve"> linked </w:t>
      </w:r>
      <w:r w:rsidRPr="00CB32B1">
        <w:t>the difficulties of practising</w:t>
      </w:r>
      <w:r w:rsidR="00C4456B" w:rsidRPr="00CB32B1">
        <w:t xml:space="preserve"> </w:t>
      </w:r>
      <w:r w:rsidRPr="00CB32B1">
        <w:t xml:space="preserve">not only </w:t>
      </w:r>
      <w:r w:rsidR="00C4456B" w:rsidRPr="00CB32B1">
        <w:t xml:space="preserve">to </w:t>
      </w:r>
      <w:r w:rsidRPr="00CB32B1">
        <w:t xml:space="preserve">obtaining insurance, but also </w:t>
      </w:r>
      <w:r w:rsidR="00C4456B" w:rsidRPr="00CB32B1">
        <w:t xml:space="preserve">in </w:t>
      </w:r>
      <w:r w:rsidR="0096023D">
        <w:t>establishing</w:t>
      </w:r>
      <w:r w:rsidR="00C4456B" w:rsidRPr="00CB32B1">
        <w:t xml:space="preserve"> </w:t>
      </w:r>
      <w:r w:rsidRPr="00CB32B1">
        <w:t>collaborative partnerships with other health professionals and services.</w:t>
      </w:r>
    </w:p>
    <w:p w:rsidR="00B15BDA" w:rsidRPr="00CB32B1" w:rsidRDefault="00C4456B" w:rsidP="00B15BDA">
      <w:pPr>
        <w:pStyle w:val="PwCNormal"/>
      </w:pPr>
      <w:r w:rsidRPr="00CB32B1">
        <w:t>C</w:t>
      </w:r>
      <w:r w:rsidR="00B15BDA" w:rsidRPr="00CB32B1">
        <w:t>laim</w:t>
      </w:r>
      <w:r w:rsidRPr="00CB32B1">
        <w:t>s</w:t>
      </w:r>
      <w:r w:rsidR="00B15BDA" w:rsidRPr="00CB32B1">
        <w:t xml:space="preserve"> data w</w:t>
      </w:r>
      <w:r w:rsidRPr="00CB32B1">
        <w:t>as</w:t>
      </w:r>
      <w:r w:rsidR="00B15BDA" w:rsidRPr="00CB32B1">
        <w:t xml:space="preserve"> difficult to obtain in Australia as a result of </w:t>
      </w:r>
      <w:r w:rsidRPr="00CB32B1">
        <w:t>i</w:t>
      </w:r>
      <w:r w:rsidR="00B15BDA" w:rsidRPr="00CB32B1">
        <w:t xml:space="preserve">t being no longer recorded or held, </w:t>
      </w:r>
      <w:r w:rsidR="0096023D">
        <w:t xml:space="preserve">it being </w:t>
      </w:r>
      <w:r w:rsidR="00B15BDA" w:rsidRPr="00CB32B1">
        <w:t>commercially sensitive</w:t>
      </w:r>
      <w:r w:rsidR="0096023D">
        <w:t>,</w:t>
      </w:r>
      <w:r w:rsidR="00B15BDA" w:rsidRPr="00CB32B1">
        <w:t xml:space="preserve"> or </w:t>
      </w:r>
      <w:r w:rsidR="0096023D">
        <w:t xml:space="preserve">insurers </w:t>
      </w:r>
      <w:r w:rsidR="00B15BDA" w:rsidRPr="00CB32B1">
        <w:t xml:space="preserve">being unable </w:t>
      </w:r>
      <w:r w:rsidR="0096023D">
        <w:t xml:space="preserve">or unwilling </w:t>
      </w:r>
      <w:r w:rsidR="00B15BDA" w:rsidRPr="00CB32B1">
        <w:t>to disclose</w:t>
      </w:r>
      <w:r w:rsidRPr="00CB32B1">
        <w:t>. D</w:t>
      </w:r>
      <w:r w:rsidR="00B15BDA" w:rsidRPr="00CB32B1">
        <w:t xml:space="preserve">ata available from </w:t>
      </w:r>
      <w:r w:rsidR="00ED0243">
        <w:t>an</w:t>
      </w:r>
      <w:r w:rsidR="00B15BDA" w:rsidRPr="00CB32B1">
        <w:t xml:space="preserve"> international jurisdiction demonstrated a relatively low number of claims in relation to homebirth</w:t>
      </w:r>
      <w:r w:rsidR="00ED0243">
        <w:t>:</w:t>
      </w:r>
      <w:r w:rsidR="00B15BDA" w:rsidRPr="00CB32B1">
        <w:t xml:space="preserve"> in the province of Ontario between 2003 and 2010</w:t>
      </w:r>
      <w:r w:rsidR="00ED0243">
        <w:t>,</w:t>
      </w:r>
      <w:r w:rsidR="00B15BDA" w:rsidRPr="00CB32B1">
        <w:t xml:space="preserve"> only two out of 15,119 homebirths resulted in a claim.</w:t>
      </w:r>
    </w:p>
    <w:p w:rsidR="00B15BDA" w:rsidRPr="00CB32B1" w:rsidRDefault="00B15BDA" w:rsidP="00B15BDA">
      <w:pPr>
        <w:pStyle w:val="Minorheading"/>
        <w:ind w:left="562" w:hanging="562"/>
      </w:pPr>
      <w:r w:rsidRPr="00CB32B1">
        <w:t>3</w:t>
      </w:r>
      <w:r w:rsidRPr="00CB32B1">
        <w:tab/>
        <w:t>Data relationships</w:t>
      </w:r>
    </w:p>
    <w:p w:rsidR="00B15BDA" w:rsidRPr="00CB32B1" w:rsidRDefault="00B15BDA" w:rsidP="00B15BDA">
      <w:pPr>
        <w:pStyle w:val="PwCNormal"/>
      </w:pPr>
      <w:r w:rsidRPr="00CB32B1">
        <w:t>Similarly, the relationship between incidence and claims does not appear to be well understood. Available data substitutes such as tribunal and court information are insufficient to provide a true picture of the risk associated with PPM practice.</w:t>
      </w:r>
    </w:p>
    <w:p w:rsidR="00B15BDA" w:rsidRPr="00CB32B1" w:rsidRDefault="00B15BDA" w:rsidP="00B15BDA">
      <w:pPr>
        <w:pStyle w:val="Majorheading"/>
      </w:pPr>
      <w:r w:rsidRPr="00CB32B1">
        <w:t>Inherent risks with the provision of maternity services</w:t>
      </w:r>
    </w:p>
    <w:p w:rsidR="00CB32B1" w:rsidRPr="005A16C9" w:rsidRDefault="00CB32B1" w:rsidP="00CB32B1">
      <w:pPr>
        <w:pStyle w:val="PwCNormal"/>
        <w:rPr>
          <w:lang w:val="en-GB"/>
        </w:rPr>
      </w:pPr>
      <w:r w:rsidRPr="005A16C9">
        <w:rPr>
          <w:lang w:val="en-GB"/>
        </w:rPr>
        <w:t xml:space="preserve">It is well evidenced that there are </w:t>
      </w:r>
      <w:r>
        <w:rPr>
          <w:lang w:val="en-GB"/>
        </w:rPr>
        <w:t xml:space="preserve">relatively higher </w:t>
      </w:r>
      <w:r w:rsidRPr="005A16C9">
        <w:rPr>
          <w:lang w:val="en-GB"/>
        </w:rPr>
        <w:t xml:space="preserve">inherent risks of an adverse outcome within maternity services (including obstetric and midwifery care) than </w:t>
      </w:r>
      <w:r>
        <w:rPr>
          <w:lang w:val="en-GB"/>
        </w:rPr>
        <w:t xml:space="preserve">for most </w:t>
      </w:r>
      <w:r w:rsidRPr="005A16C9">
        <w:rPr>
          <w:lang w:val="en-GB"/>
        </w:rPr>
        <w:t xml:space="preserve">other health professions. As a maternity service provider, PPMs deliver services that have some expected risk. However, given a </w:t>
      </w:r>
      <w:r w:rsidR="0096023D">
        <w:rPr>
          <w:lang w:val="en-GB"/>
        </w:rPr>
        <w:t>reduced</w:t>
      </w:r>
      <w:r w:rsidRPr="005A16C9">
        <w:rPr>
          <w:lang w:val="en-GB"/>
        </w:rPr>
        <w:t xml:space="preserve"> range of practice and scope, their risk profile </w:t>
      </w:r>
      <w:r w:rsidR="0096023D">
        <w:rPr>
          <w:lang w:val="en-GB"/>
        </w:rPr>
        <w:t xml:space="preserve">is accepted to be </w:t>
      </w:r>
      <w:r w:rsidRPr="005A16C9">
        <w:rPr>
          <w:lang w:val="en-GB"/>
        </w:rPr>
        <w:t>lower than other providers, such as obstetricians. Despite this</w:t>
      </w:r>
      <w:r>
        <w:rPr>
          <w:lang w:val="en-GB"/>
        </w:rPr>
        <w:t>,</w:t>
      </w:r>
      <w:r w:rsidRPr="005A16C9">
        <w:rPr>
          <w:lang w:val="en-GB"/>
        </w:rPr>
        <w:t xml:space="preserve"> often the risk profiles of </w:t>
      </w:r>
      <w:r>
        <w:rPr>
          <w:lang w:val="en-GB"/>
        </w:rPr>
        <w:t xml:space="preserve">each of these </w:t>
      </w:r>
      <w:r w:rsidRPr="005A16C9">
        <w:rPr>
          <w:lang w:val="en-GB"/>
        </w:rPr>
        <w:t xml:space="preserve">maternity service providers are </w:t>
      </w:r>
      <w:r>
        <w:rPr>
          <w:lang w:val="en-GB"/>
        </w:rPr>
        <w:t xml:space="preserve">not well separated and/or </w:t>
      </w:r>
      <w:r w:rsidRPr="005A16C9">
        <w:rPr>
          <w:lang w:val="en-GB"/>
        </w:rPr>
        <w:t>conflated.</w:t>
      </w:r>
    </w:p>
    <w:p w:rsidR="00B15BDA" w:rsidRPr="00CB32B1" w:rsidRDefault="00B15BDA" w:rsidP="00B15BDA">
      <w:pPr>
        <w:pStyle w:val="PwCNormal"/>
      </w:pPr>
      <w:r w:rsidRPr="00CB32B1">
        <w:t>The combination of inherent risk and a small PPM workforce appears to limit the market and results in</w:t>
      </w:r>
      <w:r w:rsidR="0096023D">
        <w:t xml:space="preserve"> limitations to insurance offerings</w:t>
      </w:r>
      <w:r w:rsidRPr="00CB32B1">
        <w:t>. In line with the drivers of a premium for a PII product (scale, probability and quantum), this challenge was grouped, again, into three findings:</w:t>
      </w:r>
    </w:p>
    <w:p w:rsidR="00B15BDA" w:rsidRPr="00CB32B1" w:rsidRDefault="002E30ED" w:rsidP="00B15BDA">
      <w:pPr>
        <w:pStyle w:val="Minorheading"/>
        <w:ind w:left="562" w:hanging="562"/>
      </w:pPr>
      <w:r>
        <w:t>4</w:t>
      </w:r>
      <w:r>
        <w:tab/>
      </w:r>
      <w:r w:rsidR="00B15BDA" w:rsidRPr="00CB32B1">
        <w:t>Scale</w:t>
      </w:r>
      <w:r w:rsidR="001F0D7C" w:rsidRPr="00CB32B1">
        <w:t xml:space="preserve"> of practi</w:t>
      </w:r>
      <w:r w:rsidR="00CB32B1">
        <w:t>c</w:t>
      </w:r>
      <w:r w:rsidR="001F0D7C" w:rsidRPr="00CB32B1">
        <w:t>e</w:t>
      </w:r>
    </w:p>
    <w:p w:rsidR="00B15BDA" w:rsidRPr="00CB32B1" w:rsidRDefault="00B15BDA" w:rsidP="00B15BDA">
      <w:pPr>
        <w:pStyle w:val="PwCNormal"/>
      </w:pPr>
      <w:r w:rsidRPr="00CB32B1">
        <w:t xml:space="preserve">The scale of practice has been mentioned in other reviews and in consultations for this report. The number and volume of PPMs practising is not likely, in the short to medium term, to </w:t>
      </w:r>
      <w:r w:rsidR="0096023D">
        <w:t xml:space="preserve">alone, </w:t>
      </w:r>
      <w:r w:rsidRPr="00CB32B1">
        <w:t>be sufficient for commercial insurers to provide a financially viable product.</w:t>
      </w:r>
    </w:p>
    <w:p w:rsidR="00B15BDA" w:rsidRPr="00CB32B1" w:rsidRDefault="002E30ED" w:rsidP="002E30ED">
      <w:pPr>
        <w:pStyle w:val="Minorheading"/>
        <w:ind w:left="567" w:hanging="567"/>
      </w:pPr>
      <w:r>
        <w:t>5</w:t>
      </w:r>
      <w:r>
        <w:tab/>
      </w:r>
      <w:r w:rsidR="00B15BDA" w:rsidRPr="00CB32B1">
        <w:t>Inherent risks</w:t>
      </w:r>
      <w:r w:rsidR="001F0D7C" w:rsidRPr="00CB32B1">
        <w:t xml:space="preserve"> associated with PPMs as maternity service providers</w:t>
      </w:r>
    </w:p>
    <w:p w:rsidR="00B15BDA" w:rsidRPr="00CB32B1" w:rsidRDefault="00B15BDA" w:rsidP="00D94002">
      <w:pPr>
        <w:pStyle w:val="PwCNormal"/>
      </w:pPr>
      <w:r w:rsidRPr="00CB32B1">
        <w:t>As maternity service providers,</w:t>
      </w:r>
      <w:r w:rsidR="00CB32B1">
        <w:t xml:space="preserve"> </w:t>
      </w:r>
      <w:r w:rsidR="00C4456B" w:rsidRPr="00CB32B1">
        <w:t>PPMs</w:t>
      </w:r>
      <w:r w:rsidR="00CB32B1">
        <w:t xml:space="preserve"> (as do obstetricians)</w:t>
      </w:r>
      <w:r w:rsidR="0096023D">
        <w:t xml:space="preserve"> </w:t>
      </w:r>
      <w:r w:rsidR="00C4456B" w:rsidRPr="00CB32B1">
        <w:t>have a</w:t>
      </w:r>
      <w:r w:rsidRPr="00CB32B1">
        <w:t xml:space="preserve"> relatively higher inherent risk </w:t>
      </w:r>
      <w:r w:rsidR="00C4456B" w:rsidRPr="00CB32B1">
        <w:t>of an adverse outcome</w:t>
      </w:r>
      <w:r w:rsidRPr="00CB32B1">
        <w:t xml:space="preserve">, compared to other health service providers. </w:t>
      </w:r>
      <w:r w:rsidR="00D94002">
        <w:t>In Australia t</w:t>
      </w:r>
      <w:r w:rsidRPr="00CB32B1">
        <w:t>his is a barrier in the development of a PII product for intrapartum care, when insurers are assessing the potential of a claim</w:t>
      </w:r>
      <w:r w:rsidR="007733ED">
        <w:t xml:space="preserve"> </w:t>
      </w:r>
      <w:r w:rsidRPr="00CB32B1">
        <w:t>arising.</w:t>
      </w:r>
      <w:r w:rsidR="00D94002">
        <w:t xml:space="preserve"> </w:t>
      </w:r>
      <w:r w:rsidRPr="00CB32B1">
        <w:t>Building on this, the challenge is that, due to the absence of data, PPMs have often been coupled with other maternity service providers, such as obstetricians, who have a higher risk profile due to their greater and more clinically complex scope of practice.</w:t>
      </w:r>
    </w:p>
    <w:p w:rsidR="00B15BDA" w:rsidRPr="00CB32B1" w:rsidRDefault="00B15BDA" w:rsidP="00B15BDA">
      <w:pPr>
        <w:pStyle w:val="PwCNormal"/>
      </w:pPr>
      <w:r w:rsidRPr="00CB32B1">
        <w:t>To overcome this inherent risk, other health professionals in Australia providing maternity services have had government assistance. For example, obstetricians in Australia have Commonwealth Government support to make risk premiums affordable and accessible. The provision of this for PPMs has, at present, been limited.</w:t>
      </w:r>
    </w:p>
    <w:p w:rsidR="00B15BDA" w:rsidRPr="00CB32B1" w:rsidRDefault="002E30ED" w:rsidP="00B428DB">
      <w:pPr>
        <w:pStyle w:val="Minorheading"/>
        <w:ind w:left="562" w:hanging="562"/>
      </w:pPr>
      <w:r>
        <w:t>6</w:t>
      </w:r>
      <w:r w:rsidR="00B428DB" w:rsidRPr="00CB32B1">
        <w:tab/>
      </w:r>
      <w:r w:rsidR="00B15BDA" w:rsidRPr="00CB32B1">
        <w:t>High expected value of claims</w:t>
      </w:r>
      <w:r w:rsidR="001F0D7C" w:rsidRPr="00CB32B1">
        <w:t xml:space="preserve"> from adverse outcomes</w:t>
      </w:r>
    </w:p>
    <w:p w:rsidR="00B15BDA" w:rsidRPr="00CB32B1" w:rsidRDefault="00B15BDA" w:rsidP="00D94002">
      <w:pPr>
        <w:pStyle w:val="PwCNormal"/>
      </w:pPr>
      <w:r w:rsidRPr="00CB32B1">
        <w:t xml:space="preserve">Claims raised for maternity services can be relatively significant as they relate to critical life events and potential long term disability. The quantum is considered to be relatively high for intrapartum care </w:t>
      </w:r>
      <w:r w:rsidR="00CB32B1">
        <w:t>provided by</w:t>
      </w:r>
      <w:r w:rsidRPr="00CB32B1">
        <w:t xml:space="preserve"> PPMs as a result of the large claims for the life of the baby, the long lag time between an incident and the claim arising, the legal and associated costs and some precedents set in relatively recent times. Again, in the absence of substantive PPM data, information often is linked to obstetric cases such as </w:t>
      </w:r>
      <w:r w:rsidRPr="00D94002">
        <w:rPr>
          <w:i/>
        </w:rPr>
        <w:t xml:space="preserve">Simpson v Diamond </w:t>
      </w:r>
      <w:r w:rsidRPr="00CB32B1">
        <w:t>in which a significant claim for both damages and long term care occurred.</w:t>
      </w:r>
    </w:p>
    <w:p w:rsidR="00B15BDA" w:rsidRPr="00CB32B1" w:rsidRDefault="00B15BDA" w:rsidP="00576739">
      <w:pPr>
        <w:pStyle w:val="Majorheading"/>
        <w:rPr>
          <w:iCs/>
          <w:sz w:val="32"/>
          <w:szCs w:val="36"/>
        </w:rPr>
      </w:pPr>
      <w:r w:rsidRPr="00CB32B1">
        <w:rPr>
          <w:iCs/>
          <w:sz w:val="32"/>
          <w:szCs w:val="36"/>
        </w:rPr>
        <w:t>Considerations for the future provision of PII for PPMs</w:t>
      </w:r>
    </w:p>
    <w:p w:rsidR="00B15BDA" w:rsidRPr="00CB32B1" w:rsidRDefault="00B15BDA" w:rsidP="00B15BDA">
      <w:pPr>
        <w:pStyle w:val="PwCNormal"/>
      </w:pPr>
      <w:r w:rsidRPr="00CB32B1">
        <w:t xml:space="preserve">Based on the evidence, in Australia and internationally, eight actions were identified that could assist in an insurance product being developed and </w:t>
      </w:r>
      <w:r w:rsidR="001F0D7C" w:rsidRPr="00CB32B1">
        <w:t>these action</w:t>
      </w:r>
      <w:r w:rsidR="0096023D">
        <w:t>s</w:t>
      </w:r>
      <w:r w:rsidR="001F0D7C" w:rsidRPr="00CB32B1">
        <w:t xml:space="preserve"> </w:t>
      </w:r>
      <w:r w:rsidRPr="00CB32B1">
        <w:t xml:space="preserve">should be </w:t>
      </w:r>
      <w:r w:rsidR="001F0D7C" w:rsidRPr="00CB32B1">
        <w:t>the subject of further consideration</w:t>
      </w:r>
      <w:r w:rsidRPr="00CB32B1">
        <w:t xml:space="preserve">. These </w:t>
      </w:r>
      <w:r w:rsidR="001F0D7C" w:rsidRPr="00CB32B1">
        <w:t xml:space="preserve">actions </w:t>
      </w:r>
      <w:r w:rsidRPr="00CB32B1">
        <w:t>address the key findings identified in literature relating to uncertainty in practice and the inherent limitations</w:t>
      </w:r>
      <w:r w:rsidR="00CB32B1">
        <w:t>,</w:t>
      </w:r>
      <w:r w:rsidRPr="00CB32B1">
        <w:t xml:space="preserve"> </w:t>
      </w:r>
      <w:r w:rsidR="001F0D7C" w:rsidRPr="00CB32B1">
        <w:t>which</w:t>
      </w:r>
      <w:r w:rsidRPr="00CB32B1">
        <w:t xml:space="preserve"> were identified. As </w:t>
      </w:r>
      <w:r w:rsidR="009129A6" w:rsidRPr="00CB32B1">
        <w:fldChar w:fldCharType="begin"/>
      </w:r>
      <w:r w:rsidR="00EB2051" w:rsidRPr="00CB32B1">
        <w:instrText xml:space="preserve"> REF _Ref361223503 \h </w:instrText>
      </w:r>
      <w:r w:rsidR="009129A6" w:rsidRPr="00CB32B1">
        <w:fldChar w:fldCharType="separate"/>
      </w:r>
      <w:r w:rsidR="008816B4" w:rsidRPr="00CB32B1">
        <w:t xml:space="preserve">Figure </w:t>
      </w:r>
      <w:r w:rsidR="008816B4">
        <w:rPr>
          <w:noProof/>
        </w:rPr>
        <w:t>3</w:t>
      </w:r>
      <w:r w:rsidR="009129A6" w:rsidRPr="00CB32B1">
        <w:fldChar w:fldCharType="end"/>
      </w:r>
      <w:r w:rsidRPr="00CB32B1">
        <w:t xml:space="preserve"> shows, each of these involves not only PPMs, but other key stakeholders including government agencies, insurers, health services, as well as </w:t>
      </w:r>
      <w:r w:rsidR="00E25231">
        <w:t>college</w:t>
      </w:r>
      <w:r w:rsidRPr="00CB32B1">
        <w:t>s, associations and support groups. It is therefore evident that support and commitment is required from the maternity services sector more broadly.</w:t>
      </w:r>
    </w:p>
    <w:p w:rsidR="00A572D9" w:rsidRPr="00CB32B1" w:rsidRDefault="00A572D9" w:rsidP="00A572D9">
      <w:pPr>
        <w:pStyle w:val="NumericCaption"/>
      </w:pPr>
      <w:bookmarkStart w:id="6" w:name="_Ref361223503"/>
      <w:r w:rsidRPr="00CB32B1">
        <w:t xml:space="preserve">Figure </w:t>
      </w:r>
      <w:r w:rsidR="009129A6">
        <w:fldChar w:fldCharType="begin"/>
      </w:r>
      <w:r w:rsidR="00DF5BC2">
        <w:instrText xml:space="preserve"> SEQ Figure \* ARABIC </w:instrText>
      </w:r>
      <w:r w:rsidR="009129A6">
        <w:fldChar w:fldCharType="separate"/>
      </w:r>
      <w:r w:rsidR="008816B4">
        <w:rPr>
          <w:noProof/>
        </w:rPr>
        <w:t>3</w:t>
      </w:r>
      <w:r w:rsidR="009129A6">
        <w:fldChar w:fldCharType="end"/>
      </w:r>
      <w:bookmarkEnd w:id="6"/>
      <w:r w:rsidRPr="00CB32B1">
        <w:t>: Interrelationship of options for consideration</w:t>
      </w:r>
    </w:p>
    <w:p w:rsidR="000A6A97" w:rsidRPr="00CB32B1" w:rsidRDefault="00C4456B" w:rsidP="000A6A97">
      <w:pPr>
        <w:pStyle w:val="PwCNormal"/>
      </w:pPr>
      <w:r w:rsidRPr="00CB32B1">
        <w:rPr>
          <w:noProof/>
          <w:lang w:val="en-US"/>
        </w:rPr>
        <w:drawing>
          <wp:inline distT="0" distB="0" distL="0" distR="0">
            <wp:extent cx="5758815" cy="3320451"/>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srcRect/>
                    <a:stretch>
                      <a:fillRect/>
                    </a:stretch>
                  </pic:blipFill>
                  <pic:spPr bwMode="auto">
                    <a:xfrm>
                      <a:off x="0" y="0"/>
                      <a:ext cx="5758815" cy="3320451"/>
                    </a:xfrm>
                    <a:prstGeom prst="rect">
                      <a:avLst/>
                    </a:prstGeom>
                    <a:noFill/>
                    <a:ln w="9525">
                      <a:noFill/>
                      <a:miter lim="800000"/>
                      <a:headEnd/>
                      <a:tailEnd/>
                    </a:ln>
                  </pic:spPr>
                </pic:pic>
              </a:graphicData>
            </a:graphic>
          </wp:inline>
        </w:drawing>
      </w:r>
    </w:p>
    <w:p w:rsidR="00B15BDA" w:rsidRPr="00CB32B1" w:rsidRDefault="00B15BDA" w:rsidP="00CA3667">
      <w:pPr>
        <w:pStyle w:val="Minorheading"/>
        <w:ind w:left="562" w:hanging="562"/>
      </w:pPr>
      <w:r w:rsidRPr="00CB32B1">
        <w:t>1</w:t>
      </w:r>
      <w:r w:rsidRPr="00CB32B1">
        <w:tab/>
        <w:t>Specific registration of PPMs</w:t>
      </w:r>
    </w:p>
    <w:p w:rsidR="00B15BDA" w:rsidRPr="00CB32B1" w:rsidRDefault="00B15BDA" w:rsidP="00B15BDA">
      <w:pPr>
        <w:pStyle w:val="PwCNormal"/>
      </w:pPr>
      <w:r w:rsidRPr="00CB32B1">
        <w:t xml:space="preserve">Consideration </w:t>
      </w:r>
      <w:r w:rsidR="002E30ED">
        <w:t>cou</w:t>
      </w:r>
      <w:r w:rsidRPr="00CB32B1">
        <w:t>ld be made of the requirement for PPMs providing homebirth to be registered as a separate sub-class</w:t>
      </w:r>
      <w:r w:rsidR="00F51FC2">
        <w:t xml:space="preserve"> of midwives</w:t>
      </w:r>
      <w:r w:rsidR="00F51FC2" w:rsidRPr="00F51FC2">
        <w:t>,</w:t>
      </w:r>
      <w:r w:rsidRPr="00F51FC2">
        <w:t xml:space="preserve"> or </w:t>
      </w:r>
      <w:r w:rsidR="00F51FC2" w:rsidRPr="00F51FC2">
        <w:t xml:space="preserve">alternatively either </w:t>
      </w:r>
      <w:r w:rsidRPr="00F51FC2">
        <w:t xml:space="preserve">as an eligible midwife, or </w:t>
      </w:r>
      <w:r w:rsidR="00F51FC2" w:rsidRPr="00F51FC2">
        <w:t xml:space="preserve">is </w:t>
      </w:r>
      <w:r w:rsidRPr="00F51FC2">
        <w:t xml:space="preserve">required to </w:t>
      </w:r>
      <w:r w:rsidR="00F51FC2" w:rsidRPr="00F51FC2">
        <w:t>p</w:t>
      </w:r>
      <w:r w:rsidRPr="00F51FC2">
        <w:t xml:space="preserve">ractise </w:t>
      </w:r>
      <w:r w:rsidR="00661921">
        <w:t xml:space="preserve">in a professionally networked supportive model of practice in </w:t>
      </w:r>
      <w:r w:rsidR="0096023D">
        <w:t xml:space="preserve">order </w:t>
      </w:r>
      <w:r w:rsidRPr="00CB32B1">
        <w:t>to access PII. This may assist in some of the definitional, support and supervision frameworks and risk assessment</w:t>
      </w:r>
      <w:r w:rsidR="0096023D">
        <w:t>s issues identified with current</w:t>
      </w:r>
      <w:r w:rsidRPr="00CB32B1">
        <w:t xml:space="preserve"> PPM practice.</w:t>
      </w:r>
    </w:p>
    <w:p w:rsidR="00B15BDA" w:rsidRPr="00CB32B1" w:rsidRDefault="00B15BDA" w:rsidP="00CA3667">
      <w:pPr>
        <w:pStyle w:val="Minorheading"/>
        <w:ind w:left="562" w:hanging="562"/>
      </w:pPr>
      <w:r w:rsidRPr="00CB32B1">
        <w:t>2</w:t>
      </w:r>
      <w:r w:rsidRPr="00CB32B1">
        <w:tab/>
        <w:t>PPM practice models</w:t>
      </w:r>
    </w:p>
    <w:p w:rsidR="00B15BDA" w:rsidRPr="00CB32B1" w:rsidRDefault="00B15BDA" w:rsidP="00B15BDA">
      <w:pPr>
        <w:pStyle w:val="PwCNormal"/>
      </w:pPr>
      <w:r w:rsidRPr="00CB32B1">
        <w:t xml:space="preserve">Consideration should be given to different options for private midwifery practice, </w:t>
      </w:r>
      <w:r w:rsidR="003A7B3C" w:rsidRPr="00CB32B1">
        <w:t>such as</w:t>
      </w:r>
      <w:r w:rsidRPr="00CB32B1">
        <w:t xml:space="preserve"> partnership or group legal entities. This may assist in overcoming the scale of practice as well as the risk profile of practice through supportive arrangements.</w:t>
      </w:r>
    </w:p>
    <w:p w:rsidR="00B15BDA" w:rsidRPr="00CB32B1" w:rsidRDefault="00B15BDA" w:rsidP="00CA3667">
      <w:pPr>
        <w:pStyle w:val="Minorheading"/>
        <w:ind w:left="562" w:hanging="562"/>
      </w:pPr>
      <w:r w:rsidRPr="00CB32B1">
        <w:t>3</w:t>
      </w:r>
      <w:r w:rsidRPr="00CB32B1">
        <w:tab/>
        <w:t>Frameworks for care</w:t>
      </w:r>
    </w:p>
    <w:p w:rsidR="00B15BDA" w:rsidRPr="00CB32B1" w:rsidRDefault="00140698" w:rsidP="00B15BDA">
      <w:pPr>
        <w:pStyle w:val="PwCNormal"/>
      </w:pPr>
      <w:r>
        <w:t>The d</w:t>
      </w:r>
      <w:r w:rsidR="00B15BDA" w:rsidRPr="00CB32B1">
        <w:t>evelopment of consistent national safety and quality (including risk assessment) framework</w:t>
      </w:r>
      <w:r>
        <w:t>s</w:t>
      </w:r>
      <w:r w:rsidR="00B15BDA" w:rsidRPr="00CB32B1">
        <w:t xml:space="preserve"> for homebirth should be considered, as well as support models for PPMs that address compliance, complaints and the capability to meet the framework requirements. This would have the intent of providing not only clarification over practice but improve the supportive arrangements for PPMs.</w:t>
      </w:r>
    </w:p>
    <w:p w:rsidR="00B15BDA" w:rsidRPr="00CB32B1" w:rsidRDefault="00B15BDA" w:rsidP="00CA3667">
      <w:pPr>
        <w:pStyle w:val="Minorheading"/>
        <w:ind w:left="562" w:hanging="562"/>
      </w:pPr>
      <w:r w:rsidRPr="00CB32B1">
        <w:t>4</w:t>
      </w:r>
      <w:r w:rsidRPr="00CB32B1">
        <w:tab/>
        <w:t>Data reporting requirements</w:t>
      </w:r>
    </w:p>
    <w:p w:rsidR="00B15BDA" w:rsidRPr="00CB32B1" w:rsidRDefault="00B15BDA" w:rsidP="00B15BDA">
      <w:pPr>
        <w:pStyle w:val="PwCNormal"/>
      </w:pPr>
      <w:r w:rsidRPr="00CB32B1">
        <w:t xml:space="preserve">At the centre of </w:t>
      </w:r>
      <w:r w:rsidR="006959C5">
        <w:t>this</w:t>
      </w:r>
      <w:r w:rsidRPr="00CB32B1">
        <w:t xml:space="preserve"> issue of PII for PPMs </w:t>
      </w:r>
      <w:r w:rsidR="006959C5">
        <w:t>appears to be</w:t>
      </w:r>
      <w:r w:rsidRPr="00CB32B1">
        <w:t xml:space="preserve"> the clarity, quality and understanding of data on PPM</w:t>
      </w:r>
      <w:r w:rsidR="00D70C2E">
        <w:t xml:space="preserve"> </w:t>
      </w:r>
      <w:r w:rsidRPr="00CB32B1">
        <w:t>practice. Improvements to data quality and collection</w:t>
      </w:r>
      <w:r w:rsidR="003A7B3C" w:rsidRPr="00CB32B1">
        <w:t xml:space="preserve"> including an increased level of specific PPM and homebirth data that are collected consistently</w:t>
      </w:r>
      <w:r w:rsidRPr="00CB32B1">
        <w:t xml:space="preserve"> </w:t>
      </w:r>
      <w:r w:rsidR="003A7B3C" w:rsidRPr="00CB32B1">
        <w:t xml:space="preserve">should be considered. So to </w:t>
      </w:r>
      <w:r w:rsidR="00D70C2E">
        <w:t>should the feasibility and cost-</w:t>
      </w:r>
      <w:r w:rsidR="003A7B3C" w:rsidRPr="00CB32B1">
        <w:t xml:space="preserve">benefit </w:t>
      </w:r>
      <w:r w:rsidRPr="00CB32B1">
        <w:t xml:space="preserve">of doing so, </w:t>
      </w:r>
      <w:r w:rsidR="003A7B3C" w:rsidRPr="00CB32B1">
        <w:t>given the size and impact of the cohort</w:t>
      </w:r>
      <w:r w:rsidRPr="00CB32B1">
        <w:t>.</w:t>
      </w:r>
      <w:r w:rsidR="003A7B3C" w:rsidRPr="00CB32B1">
        <w:t xml:space="preserve"> The role of alternative or substitutable data should also be considered along with an understanding of its limitations.</w:t>
      </w:r>
    </w:p>
    <w:p w:rsidR="00B15BDA" w:rsidRPr="00CB32B1" w:rsidRDefault="00B15BDA" w:rsidP="00CA3667">
      <w:pPr>
        <w:pStyle w:val="Minorheading"/>
        <w:ind w:left="562" w:hanging="562"/>
      </w:pPr>
      <w:r w:rsidRPr="00CB32B1">
        <w:t>5</w:t>
      </w:r>
      <w:r w:rsidRPr="00CB32B1">
        <w:tab/>
        <w:t>Strengthen ties between insurers and the industry</w:t>
      </w:r>
    </w:p>
    <w:p w:rsidR="00B15BDA" w:rsidRPr="00CB32B1" w:rsidRDefault="00B15BDA" w:rsidP="00B15BDA">
      <w:pPr>
        <w:pStyle w:val="PwCNormal"/>
      </w:pPr>
      <w:r w:rsidRPr="00CB32B1">
        <w:t xml:space="preserve">A key factor identified in each international jurisdiction was the importance of relationships between insurers and the industry. While relationships exist, particularly with one insurer, consideration should be given to encouraging stronger relationships between not only insurers, but also the NMBA, midwifery and medical practitioner representatives. This is seen to be beneficial not only for moving PII for PPM forward, but also to encourage optimal maternity service provision more </w:t>
      </w:r>
      <w:r w:rsidR="003A7B3C" w:rsidRPr="00CB32B1">
        <w:t>sustainab</w:t>
      </w:r>
      <w:r w:rsidRPr="00CB32B1">
        <w:t>ly into the</w:t>
      </w:r>
      <w:r w:rsidR="00D70C2E">
        <w:t xml:space="preserve"> </w:t>
      </w:r>
      <w:r w:rsidRPr="00CB32B1">
        <w:t>future.</w:t>
      </w:r>
    </w:p>
    <w:p w:rsidR="00B15BDA" w:rsidRPr="00CB32B1" w:rsidRDefault="00B15BDA" w:rsidP="00CA3667">
      <w:pPr>
        <w:pStyle w:val="Minorheading"/>
        <w:ind w:left="562" w:hanging="562"/>
      </w:pPr>
      <w:r w:rsidRPr="00CB32B1">
        <w:t>6</w:t>
      </w:r>
      <w:r w:rsidRPr="00CB32B1">
        <w:tab/>
        <w:t>Alternate insurance models</w:t>
      </w:r>
    </w:p>
    <w:p w:rsidR="00B15BDA" w:rsidRPr="00CB32B1" w:rsidRDefault="0096023D" w:rsidP="00B15BDA">
      <w:pPr>
        <w:pStyle w:val="PwCNormal"/>
      </w:pPr>
      <w:r>
        <w:t>As</w:t>
      </w:r>
      <w:r w:rsidR="00B15BDA" w:rsidRPr="00CB32B1">
        <w:t xml:space="preserve"> other </w:t>
      </w:r>
      <w:r w:rsidR="00CB32B1">
        <w:t xml:space="preserve">international </w:t>
      </w:r>
      <w:r w:rsidR="00B15BDA" w:rsidRPr="00CB32B1">
        <w:t>jurisdictions highlighted, there are a number of insurance models that exist. Part of the challenge in Australia at present is that the model adopted is focused on profit and yet it is available for a very small number of providers. This appears to make it commercially unviable. Support through a government subsidy, not-for-profit (NFP) or alternate models along with enabling factors seen internationally for the provision of PII, may assist in the development of a solution.</w:t>
      </w:r>
    </w:p>
    <w:p w:rsidR="00B15BDA" w:rsidRPr="00CB32B1" w:rsidRDefault="00B15BDA" w:rsidP="00CA3667">
      <w:pPr>
        <w:pStyle w:val="Minorheading"/>
        <w:ind w:left="562" w:hanging="562"/>
      </w:pPr>
      <w:r w:rsidRPr="00CB32B1">
        <w:t>7</w:t>
      </w:r>
      <w:r w:rsidRPr="00CB32B1">
        <w:tab/>
        <w:t>Enhance collaborative partnerships</w:t>
      </w:r>
    </w:p>
    <w:p w:rsidR="00B15BDA" w:rsidRPr="00CB32B1" w:rsidRDefault="00B15BDA" w:rsidP="00B15BDA">
      <w:pPr>
        <w:pStyle w:val="PwCNormal"/>
      </w:pPr>
      <w:r w:rsidRPr="00CB32B1">
        <w:t xml:space="preserve">Collaborative partnerships have been consistently identified in consultations and literature as important to assist in achieving the best outcomes for women and babies. There should be a focus on identifying factors that prohibit effective collaboration between PPMs and health services. Improving access to health services so that there are effective pathways for consultation, referral and collaboration and support </w:t>
      </w:r>
      <w:r w:rsidR="0096023D">
        <w:t>for PPMs to provide safe care, c</w:t>
      </w:r>
      <w:r w:rsidRPr="00CB32B1">
        <w:t>ould reduce the risk profile of PPMs for insurance purposes.</w:t>
      </w:r>
    </w:p>
    <w:p w:rsidR="00B15BDA" w:rsidRPr="00CB32B1" w:rsidRDefault="00B15BDA" w:rsidP="00CA3667">
      <w:pPr>
        <w:pStyle w:val="Minorheading"/>
        <w:ind w:left="562" w:hanging="562"/>
      </w:pPr>
      <w:r w:rsidRPr="00CB32B1">
        <w:t>8</w:t>
      </w:r>
      <w:r w:rsidRPr="00CB32B1">
        <w:tab/>
        <w:t>Impact of broader health policies</w:t>
      </w:r>
    </w:p>
    <w:p w:rsidR="00B15BDA" w:rsidRPr="00CB32B1" w:rsidRDefault="00B15BDA" w:rsidP="00B15BDA">
      <w:pPr>
        <w:pStyle w:val="PwCNormal"/>
      </w:pPr>
      <w:r w:rsidRPr="00CB32B1">
        <w:t xml:space="preserve">Consideration should be given to the impact of policies, particularly enablers that will support the provision of PII for PPMs. These include for example, the impact of the </w:t>
      </w:r>
      <w:r w:rsidR="0096023D">
        <w:t>DisabilityCare Australia</w:t>
      </w:r>
      <w:r w:rsidRPr="00CB32B1">
        <w:t>, a cap on claims, the role of Medicare Locals and the potential for co-payment models.</w:t>
      </w:r>
    </w:p>
    <w:p w:rsidR="00B15BDA" w:rsidRPr="00CB32B1" w:rsidRDefault="00B15BDA" w:rsidP="00CA3667">
      <w:pPr>
        <w:pStyle w:val="Majorheading"/>
        <w:rPr>
          <w:iCs/>
          <w:sz w:val="32"/>
          <w:szCs w:val="36"/>
        </w:rPr>
      </w:pPr>
      <w:r w:rsidRPr="00CB32B1">
        <w:rPr>
          <w:iCs/>
          <w:sz w:val="32"/>
          <w:szCs w:val="36"/>
        </w:rPr>
        <w:t>Looking to the future</w:t>
      </w:r>
    </w:p>
    <w:p w:rsidR="00B15BDA" w:rsidRPr="00CB32B1" w:rsidRDefault="00B15BDA" w:rsidP="00B15BDA">
      <w:pPr>
        <w:pStyle w:val="PwCNormal"/>
      </w:pPr>
      <w:r w:rsidRPr="00CB32B1">
        <w:t>These findings are interrelated, a</w:t>
      </w:r>
      <w:r w:rsidR="001F0D7C" w:rsidRPr="00CB32B1">
        <w:t>re</w:t>
      </w:r>
      <w:r w:rsidRPr="00CB32B1">
        <w:t xml:space="preserve"> link</w:t>
      </w:r>
      <w:r w:rsidR="001F0D7C" w:rsidRPr="00CB32B1">
        <w:t>ed</w:t>
      </w:r>
      <w:r w:rsidRPr="00CB32B1">
        <w:t xml:space="preserve"> to various components of the broader context of PPM practice and involve multiple stakeholders. In developing these considerations, it was noted that, in some form, each consideration has been identified in previous reviews and reports. </w:t>
      </w:r>
    </w:p>
    <w:p w:rsidR="00B15BDA" w:rsidRPr="00CB32B1" w:rsidRDefault="001F0D7C" w:rsidP="00B15BDA">
      <w:pPr>
        <w:pStyle w:val="PwCNormal"/>
      </w:pPr>
      <w:r w:rsidRPr="00CB32B1">
        <w:t>As a result, a</w:t>
      </w:r>
      <w:r w:rsidR="00B15BDA" w:rsidRPr="00CB32B1">
        <w:t xml:space="preserve"> recommendation is that a number of health professionals, appropriate authorities and consumers need to be better engaged and committed to resolving these matters in the </w:t>
      </w:r>
      <w:r w:rsidR="00CA3667" w:rsidRPr="00CB32B1">
        <w:t>interests of safety and choice.</w:t>
      </w:r>
    </w:p>
    <w:p w:rsidR="00583586" w:rsidRDefault="00B15BDA" w:rsidP="009D3C33">
      <w:pPr>
        <w:pStyle w:val="PwCNormal"/>
        <w:numPr>
          <w:ilvl w:val="0"/>
          <w:numId w:val="0"/>
        </w:numPr>
      </w:pPr>
      <w:r w:rsidRPr="00CB32B1">
        <w:t>In its role, the NMBA could be instrumental in assisting the development of a partnership in which key stakeholders are engaged to collectively work together to develop the best model in the Australian context for PPM practice. From international review</w:t>
      </w:r>
      <w:r w:rsidR="0096023D">
        <w:t xml:space="preserve"> completed</w:t>
      </w:r>
      <w:r w:rsidRPr="00CB32B1">
        <w:t xml:space="preserve">, commitment by each group including government agencies, professional associations, </w:t>
      </w:r>
      <w:r w:rsidR="0096023D">
        <w:t xml:space="preserve">Colleges, </w:t>
      </w:r>
      <w:r w:rsidRPr="00CB32B1">
        <w:t>insurance bodies and regulators was found to be the most effective way in which indemnity insurance could be developed for PPMs to support choice for those women who wish to give birth at home.</w:t>
      </w:r>
    </w:p>
    <w:p w:rsidR="00192F0B" w:rsidRPr="00583586" w:rsidRDefault="00192F0B" w:rsidP="00583586">
      <w:pPr>
        <w:sectPr w:rsidR="00192F0B" w:rsidRPr="00583586" w:rsidSect="008920E1">
          <w:pgSz w:w="11907" w:h="16840" w:code="9"/>
          <w:pgMar w:top="1699" w:right="1138" w:bottom="1699" w:left="1138" w:header="677" w:footer="677" w:gutter="562"/>
          <w:pgNumType w:fmt="lowerRoman"/>
          <w:cols w:space="227"/>
          <w:titlePg/>
          <w:docGrid w:linePitch="360"/>
        </w:sectPr>
      </w:pPr>
    </w:p>
    <w:p w:rsidR="008816B4" w:rsidRDefault="00336BAA" w:rsidP="003A1A33">
      <w:pPr>
        <w:pStyle w:val="TOCtitle"/>
        <w:rPr>
          <w:noProof/>
        </w:rPr>
      </w:pPr>
      <w:r w:rsidRPr="00CB32B1">
        <w:br w:type="column"/>
      </w:r>
      <w:r w:rsidR="003A1A33" w:rsidRPr="00CB32B1">
        <w:t>Conten</w:t>
      </w:r>
      <w:bookmarkStart w:id="7" w:name="TOC"/>
      <w:bookmarkEnd w:id="7"/>
      <w:r w:rsidR="003A1A33" w:rsidRPr="00CB32B1">
        <w:t>ts</w:t>
      </w:r>
      <w:r w:rsidR="009129A6" w:rsidRPr="009129A6">
        <w:rPr>
          <w:szCs w:val="20"/>
        </w:rPr>
        <w:fldChar w:fldCharType="begin"/>
      </w:r>
      <w:r w:rsidRPr="00CB32B1">
        <w:instrText xml:space="preserve"> TOC \t "Heading 1,1,Heading 2,2,Heading 4,4,Preface Title,</w:instrText>
      </w:r>
      <w:r w:rsidR="009E1A11" w:rsidRPr="00CB32B1">
        <w:instrText>1</w:instrText>
      </w:r>
      <w:r w:rsidRPr="00CB32B1">
        <w:instrText>,</w:instrText>
      </w:r>
      <w:r w:rsidR="00BC1BE6" w:rsidRPr="00CB32B1">
        <w:instrText>Heading 6,6,</w:instrText>
      </w:r>
      <w:r w:rsidRPr="00CB32B1">
        <w:instrText>Appendices title,</w:instrText>
      </w:r>
      <w:r w:rsidR="00C25FEF" w:rsidRPr="00CB32B1">
        <w:instrText>5</w:instrText>
      </w:r>
      <w:r w:rsidRPr="00CB32B1">
        <w:instrText xml:space="preserve">" </w:instrText>
      </w:r>
      <w:r w:rsidR="009129A6" w:rsidRPr="009129A6">
        <w:rPr>
          <w:szCs w:val="20"/>
        </w:rPr>
        <w:fldChar w:fldCharType="separate"/>
      </w:r>
    </w:p>
    <w:p w:rsidR="008816B4" w:rsidRDefault="008816B4">
      <w:pPr>
        <w:pStyle w:val="TOC1"/>
        <w:rPr>
          <w:rFonts w:asciiTheme="minorHAnsi" w:eastAsiaTheme="minorEastAsia" w:hAnsiTheme="minorHAnsi" w:cstheme="minorBidi"/>
          <w:snapToGrid/>
          <w:sz w:val="22"/>
          <w:szCs w:val="22"/>
          <w:lang w:eastAsia="en-AU"/>
        </w:rPr>
      </w:pPr>
      <w:r>
        <w:t>Abbreviations</w:t>
      </w:r>
      <w:r>
        <w:tab/>
      </w:r>
      <w:r w:rsidR="009129A6">
        <w:fldChar w:fldCharType="begin"/>
      </w:r>
      <w:r>
        <w:instrText xml:space="preserve"> PAGEREF _Toc362975037 \h </w:instrText>
      </w:r>
      <w:r w:rsidR="009129A6">
        <w:fldChar w:fldCharType="separate"/>
      </w:r>
      <w:r>
        <w:t>i</w:t>
      </w:r>
      <w:r w:rsidR="009129A6">
        <w:fldChar w:fldCharType="end"/>
      </w:r>
    </w:p>
    <w:p w:rsidR="008816B4" w:rsidRDefault="008816B4">
      <w:pPr>
        <w:pStyle w:val="TOC1"/>
        <w:rPr>
          <w:rFonts w:asciiTheme="minorHAnsi" w:eastAsiaTheme="minorEastAsia" w:hAnsiTheme="minorHAnsi" w:cstheme="minorBidi"/>
          <w:snapToGrid/>
          <w:sz w:val="22"/>
          <w:szCs w:val="22"/>
          <w:lang w:eastAsia="en-AU"/>
        </w:rPr>
      </w:pPr>
      <w:r>
        <w:t>Disclaimer</w:t>
      </w:r>
      <w:r>
        <w:tab/>
      </w:r>
      <w:r w:rsidR="009129A6">
        <w:fldChar w:fldCharType="begin"/>
      </w:r>
      <w:r>
        <w:instrText xml:space="preserve"> PAGEREF _Toc362975038 \h </w:instrText>
      </w:r>
      <w:r w:rsidR="009129A6">
        <w:fldChar w:fldCharType="separate"/>
      </w:r>
      <w:r>
        <w:t>iv</w:t>
      </w:r>
      <w:r w:rsidR="009129A6">
        <w:fldChar w:fldCharType="end"/>
      </w:r>
    </w:p>
    <w:p w:rsidR="008816B4" w:rsidRDefault="008816B4">
      <w:pPr>
        <w:pStyle w:val="TOC1"/>
        <w:rPr>
          <w:rFonts w:asciiTheme="minorHAnsi" w:eastAsiaTheme="minorEastAsia" w:hAnsiTheme="minorHAnsi" w:cstheme="minorBidi"/>
          <w:snapToGrid/>
          <w:sz w:val="22"/>
          <w:szCs w:val="22"/>
          <w:lang w:eastAsia="en-AU"/>
        </w:rPr>
      </w:pPr>
      <w:r>
        <w:t>Summary</w:t>
      </w:r>
      <w:r>
        <w:tab/>
      </w:r>
      <w:r w:rsidR="009129A6">
        <w:fldChar w:fldCharType="begin"/>
      </w:r>
      <w:r>
        <w:instrText xml:space="preserve"> PAGEREF _Toc362975039 \h </w:instrText>
      </w:r>
      <w:r w:rsidR="009129A6">
        <w:fldChar w:fldCharType="separate"/>
      </w:r>
      <w:r>
        <w:t>v</w:t>
      </w:r>
      <w:r w:rsidR="009129A6">
        <w:fldChar w:fldCharType="end"/>
      </w:r>
    </w:p>
    <w:p w:rsidR="008816B4" w:rsidRDefault="008816B4">
      <w:pPr>
        <w:pStyle w:val="TOC2"/>
        <w:rPr>
          <w:rFonts w:asciiTheme="minorHAnsi" w:eastAsiaTheme="minorEastAsia" w:hAnsiTheme="minorHAnsi" w:cstheme="minorBidi"/>
          <w:snapToGrid/>
          <w:sz w:val="22"/>
          <w:szCs w:val="22"/>
          <w:lang w:eastAsia="en-AU"/>
        </w:rPr>
      </w:pPr>
      <w:r>
        <w:t>1</w:t>
      </w:r>
      <w:r>
        <w:rPr>
          <w:rFonts w:asciiTheme="minorHAnsi" w:eastAsiaTheme="minorEastAsia" w:hAnsiTheme="minorHAnsi" w:cstheme="minorBidi"/>
          <w:snapToGrid/>
          <w:sz w:val="22"/>
          <w:szCs w:val="22"/>
          <w:lang w:eastAsia="en-AU"/>
        </w:rPr>
        <w:tab/>
      </w:r>
      <w:r>
        <w:t>Introduction</w:t>
      </w:r>
      <w:r>
        <w:tab/>
      </w:r>
      <w:r w:rsidR="009129A6">
        <w:fldChar w:fldCharType="begin"/>
      </w:r>
      <w:r>
        <w:instrText xml:space="preserve"> PAGEREF _Toc362975040 \h </w:instrText>
      </w:r>
      <w:r w:rsidR="009129A6">
        <w:fldChar w:fldCharType="separate"/>
      </w:r>
      <w:r>
        <w:t>16</w:t>
      </w:r>
      <w:r w:rsidR="009129A6">
        <w:fldChar w:fldCharType="end"/>
      </w:r>
    </w:p>
    <w:p w:rsidR="008816B4" w:rsidRDefault="008816B4">
      <w:pPr>
        <w:pStyle w:val="TOC6"/>
        <w:rPr>
          <w:rFonts w:asciiTheme="minorHAnsi" w:eastAsiaTheme="minorEastAsia" w:hAnsiTheme="minorHAnsi" w:cstheme="minorBidi"/>
          <w:snapToGrid/>
          <w:sz w:val="22"/>
          <w:szCs w:val="22"/>
          <w:lang w:eastAsia="en-AU"/>
        </w:rPr>
      </w:pPr>
      <w:r>
        <w:t>1.1</w:t>
      </w:r>
      <w:r>
        <w:rPr>
          <w:rFonts w:asciiTheme="minorHAnsi" w:eastAsiaTheme="minorEastAsia" w:hAnsiTheme="minorHAnsi" w:cstheme="minorBidi"/>
          <w:snapToGrid/>
          <w:sz w:val="22"/>
          <w:szCs w:val="22"/>
          <w:lang w:eastAsia="en-AU"/>
        </w:rPr>
        <w:tab/>
      </w:r>
      <w:r>
        <w:t>Background</w:t>
      </w:r>
      <w:r>
        <w:tab/>
      </w:r>
      <w:r w:rsidR="009129A6">
        <w:fldChar w:fldCharType="begin"/>
      </w:r>
      <w:r>
        <w:instrText xml:space="preserve"> PAGEREF _Toc362975041 \h </w:instrText>
      </w:r>
      <w:r w:rsidR="009129A6">
        <w:fldChar w:fldCharType="separate"/>
      </w:r>
      <w:r>
        <w:t>16</w:t>
      </w:r>
      <w:r w:rsidR="009129A6">
        <w:fldChar w:fldCharType="end"/>
      </w:r>
    </w:p>
    <w:p w:rsidR="008816B4" w:rsidRDefault="008816B4">
      <w:pPr>
        <w:pStyle w:val="TOC6"/>
        <w:rPr>
          <w:rFonts w:asciiTheme="minorHAnsi" w:eastAsiaTheme="minorEastAsia" w:hAnsiTheme="minorHAnsi" w:cstheme="minorBidi"/>
          <w:snapToGrid/>
          <w:sz w:val="22"/>
          <w:szCs w:val="22"/>
          <w:lang w:eastAsia="en-AU"/>
        </w:rPr>
      </w:pPr>
      <w:r>
        <w:t>1.2</w:t>
      </w:r>
      <w:r>
        <w:rPr>
          <w:rFonts w:asciiTheme="minorHAnsi" w:eastAsiaTheme="minorEastAsia" w:hAnsiTheme="minorHAnsi" w:cstheme="minorBidi"/>
          <w:snapToGrid/>
          <w:sz w:val="22"/>
          <w:szCs w:val="22"/>
          <w:lang w:eastAsia="en-AU"/>
        </w:rPr>
        <w:tab/>
      </w:r>
      <w:r>
        <w:t>Scope of the report</w:t>
      </w:r>
      <w:r>
        <w:tab/>
      </w:r>
      <w:r w:rsidR="009129A6">
        <w:fldChar w:fldCharType="begin"/>
      </w:r>
      <w:r>
        <w:instrText xml:space="preserve"> PAGEREF _Toc362975042 \h </w:instrText>
      </w:r>
      <w:r w:rsidR="009129A6">
        <w:fldChar w:fldCharType="separate"/>
      </w:r>
      <w:r>
        <w:t>16</w:t>
      </w:r>
      <w:r w:rsidR="009129A6">
        <w:fldChar w:fldCharType="end"/>
      </w:r>
    </w:p>
    <w:p w:rsidR="008816B4" w:rsidRDefault="008816B4">
      <w:pPr>
        <w:pStyle w:val="TOC6"/>
        <w:rPr>
          <w:rFonts w:asciiTheme="minorHAnsi" w:eastAsiaTheme="minorEastAsia" w:hAnsiTheme="minorHAnsi" w:cstheme="minorBidi"/>
          <w:snapToGrid/>
          <w:sz w:val="22"/>
          <w:szCs w:val="22"/>
          <w:lang w:eastAsia="en-AU"/>
        </w:rPr>
      </w:pPr>
      <w:r>
        <w:t>1.3</w:t>
      </w:r>
      <w:r>
        <w:rPr>
          <w:rFonts w:asciiTheme="minorHAnsi" w:eastAsiaTheme="minorEastAsia" w:hAnsiTheme="minorHAnsi" w:cstheme="minorBidi"/>
          <w:snapToGrid/>
          <w:sz w:val="22"/>
          <w:szCs w:val="22"/>
          <w:lang w:eastAsia="en-AU"/>
        </w:rPr>
        <w:tab/>
      </w:r>
      <w:r>
        <w:t>Methodology</w:t>
      </w:r>
      <w:r>
        <w:tab/>
      </w:r>
      <w:r w:rsidR="009129A6">
        <w:fldChar w:fldCharType="begin"/>
      </w:r>
      <w:r>
        <w:instrText xml:space="preserve"> PAGEREF _Toc362975043 \h </w:instrText>
      </w:r>
      <w:r w:rsidR="009129A6">
        <w:fldChar w:fldCharType="separate"/>
      </w:r>
      <w:r>
        <w:t>17</w:t>
      </w:r>
      <w:r w:rsidR="009129A6">
        <w:fldChar w:fldCharType="end"/>
      </w:r>
    </w:p>
    <w:p w:rsidR="008816B4" w:rsidRDefault="008816B4">
      <w:pPr>
        <w:pStyle w:val="TOC6"/>
        <w:rPr>
          <w:rFonts w:asciiTheme="minorHAnsi" w:eastAsiaTheme="minorEastAsia" w:hAnsiTheme="minorHAnsi" w:cstheme="minorBidi"/>
          <w:snapToGrid/>
          <w:sz w:val="22"/>
          <w:szCs w:val="22"/>
          <w:lang w:eastAsia="en-AU"/>
        </w:rPr>
      </w:pPr>
      <w:r>
        <w:t>1.4</w:t>
      </w:r>
      <w:r>
        <w:rPr>
          <w:rFonts w:asciiTheme="minorHAnsi" w:eastAsiaTheme="minorEastAsia" w:hAnsiTheme="minorHAnsi" w:cstheme="minorBidi"/>
          <w:snapToGrid/>
          <w:sz w:val="22"/>
          <w:szCs w:val="22"/>
          <w:lang w:eastAsia="en-AU"/>
        </w:rPr>
        <w:tab/>
      </w:r>
      <w:r>
        <w:t>Structure of this report</w:t>
      </w:r>
      <w:r>
        <w:tab/>
      </w:r>
      <w:r w:rsidR="009129A6">
        <w:fldChar w:fldCharType="begin"/>
      </w:r>
      <w:r>
        <w:instrText xml:space="preserve"> PAGEREF _Toc362975044 \h </w:instrText>
      </w:r>
      <w:r w:rsidR="009129A6">
        <w:fldChar w:fldCharType="separate"/>
      </w:r>
      <w:r>
        <w:t>18</w:t>
      </w:r>
      <w:r w:rsidR="009129A6">
        <w:fldChar w:fldCharType="end"/>
      </w:r>
    </w:p>
    <w:p w:rsidR="008816B4" w:rsidRDefault="008816B4">
      <w:pPr>
        <w:pStyle w:val="TOC2"/>
        <w:rPr>
          <w:rFonts w:asciiTheme="minorHAnsi" w:eastAsiaTheme="minorEastAsia" w:hAnsiTheme="minorHAnsi" w:cstheme="minorBidi"/>
          <w:snapToGrid/>
          <w:sz w:val="22"/>
          <w:szCs w:val="22"/>
          <w:lang w:eastAsia="en-AU"/>
        </w:rPr>
      </w:pPr>
      <w:r>
        <w:t>2</w:t>
      </w:r>
      <w:r>
        <w:rPr>
          <w:rFonts w:asciiTheme="minorHAnsi" w:eastAsiaTheme="minorEastAsia" w:hAnsiTheme="minorHAnsi" w:cstheme="minorBidi"/>
          <w:snapToGrid/>
          <w:sz w:val="22"/>
          <w:szCs w:val="22"/>
          <w:lang w:eastAsia="en-AU"/>
        </w:rPr>
        <w:tab/>
      </w:r>
      <w:r>
        <w:t>Professional indemnity insurance for PPMs</w:t>
      </w:r>
      <w:r>
        <w:tab/>
      </w:r>
      <w:r w:rsidR="009129A6">
        <w:fldChar w:fldCharType="begin"/>
      </w:r>
      <w:r>
        <w:instrText xml:space="preserve"> PAGEREF _Toc362975045 \h </w:instrText>
      </w:r>
      <w:r w:rsidR="009129A6">
        <w:fldChar w:fldCharType="separate"/>
      </w:r>
      <w:r>
        <w:t>19</w:t>
      </w:r>
      <w:r w:rsidR="009129A6">
        <w:fldChar w:fldCharType="end"/>
      </w:r>
    </w:p>
    <w:p w:rsidR="008816B4" w:rsidRDefault="008816B4">
      <w:pPr>
        <w:pStyle w:val="TOC6"/>
        <w:rPr>
          <w:rFonts w:asciiTheme="minorHAnsi" w:eastAsiaTheme="minorEastAsia" w:hAnsiTheme="minorHAnsi" w:cstheme="minorBidi"/>
          <w:snapToGrid/>
          <w:sz w:val="22"/>
          <w:szCs w:val="22"/>
          <w:lang w:eastAsia="en-AU"/>
        </w:rPr>
      </w:pPr>
      <w:r>
        <w:t>2.1</w:t>
      </w:r>
      <w:r>
        <w:rPr>
          <w:rFonts w:asciiTheme="minorHAnsi" w:eastAsiaTheme="minorEastAsia" w:hAnsiTheme="minorHAnsi" w:cstheme="minorBidi"/>
          <w:snapToGrid/>
          <w:sz w:val="22"/>
          <w:szCs w:val="22"/>
          <w:lang w:eastAsia="en-AU"/>
        </w:rPr>
        <w:tab/>
      </w:r>
      <w:r>
        <w:t>Professional indemnity insurance defined</w:t>
      </w:r>
      <w:r>
        <w:tab/>
      </w:r>
      <w:r w:rsidR="009129A6">
        <w:fldChar w:fldCharType="begin"/>
      </w:r>
      <w:r>
        <w:instrText xml:space="preserve"> PAGEREF _Toc362975046 \h </w:instrText>
      </w:r>
      <w:r w:rsidR="009129A6">
        <w:fldChar w:fldCharType="separate"/>
      </w:r>
      <w:r>
        <w:t>19</w:t>
      </w:r>
      <w:r w:rsidR="009129A6">
        <w:fldChar w:fldCharType="end"/>
      </w:r>
    </w:p>
    <w:p w:rsidR="008816B4" w:rsidRDefault="008816B4">
      <w:pPr>
        <w:pStyle w:val="TOC6"/>
        <w:rPr>
          <w:rFonts w:asciiTheme="minorHAnsi" w:eastAsiaTheme="minorEastAsia" w:hAnsiTheme="minorHAnsi" w:cstheme="minorBidi"/>
          <w:snapToGrid/>
          <w:sz w:val="22"/>
          <w:szCs w:val="22"/>
          <w:lang w:eastAsia="en-AU"/>
        </w:rPr>
      </w:pPr>
      <w:r>
        <w:t>2.2</w:t>
      </w:r>
      <w:r>
        <w:rPr>
          <w:rFonts w:asciiTheme="minorHAnsi" w:eastAsiaTheme="minorEastAsia" w:hAnsiTheme="minorHAnsi" w:cstheme="minorBidi"/>
          <w:snapToGrid/>
          <w:sz w:val="22"/>
          <w:szCs w:val="22"/>
          <w:lang w:eastAsia="en-AU"/>
        </w:rPr>
        <w:tab/>
      </w:r>
      <w:r>
        <w:t>History of professional indemnity insurance</w:t>
      </w:r>
      <w:r>
        <w:tab/>
      </w:r>
      <w:r w:rsidR="009129A6">
        <w:fldChar w:fldCharType="begin"/>
      </w:r>
      <w:r>
        <w:instrText xml:space="preserve"> PAGEREF _Toc362975047 \h </w:instrText>
      </w:r>
      <w:r w:rsidR="009129A6">
        <w:fldChar w:fldCharType="separate"/>
      </w:r>
      <w:r>
        <w:t>19</w:t>
      </w:r>
      <w:r w:rsidR="009129A6">
        <w:fldChar w:fldCharType="end"/>
      </w:r>
    </w:p>
    <w:p w:rsidR="008816B4" w:rsidRDefault="008816B4">
      <w:pPr>
        <w:pStyle w:val="TOC6"/>
        <w:rPr>
          <w:rFonts w:asciiTheme="minorHAnsi" w:eastAsiaTheme="minorEastAsia" w:hAnsiTheme="minorHAnsi" w:cstheme="minorBidi"/>
          <w:snapToGrid/>
          <w:sz w:val="22"/>
          <w:szCs w:val="22"/>
          <w:lang w:eastAsia="en-AU"/>
        </w:rPr>
      </w:pPr>
      <w:r>
        <w:t>2.3</w:t>
      </w:r>
      <w:r>
        <w:rPr>
          <w:rFonts w:asciiTheme="minorHAnsi" w:eastAsiaTheme="minorEastAsia" w:hAnsiTheme="minorHAnsi" w:cstheme="minorBidi"/>
          <w:snapToGrid/>
          <w:sz w:val="22"/>
          <w:szCs w:val="22"/>
          <w:lang w:eastAsia="en-AU"/>
        </w:rPr>
        <w:tab/>
      </w:r>
      <w:r>
        <w:t>Professional indemnity insurance for privately practising midwives</w:t>
      </w:r>
      <w:r>
        <w:tab/>
      </w:r>
      <w:r w:rsidR="009129A6">
        <w:fldChar w:fldCharType="begin"/>
      </w:r>
      <w:r>
        <w:instrText xml:space="preserve"> PAGEREF _Toc362975048 \h </w:instrText>
      </w:r>
      <w:r w:rsidR="009129A6">
        <w:fldChar w:fldCharType="separate"/>
      </w:r>
      <w:r>
        <w:t>23</w:t>
      </w:r>
      <w:r w:rsidR="009129A6">
        <w:fldChar w:fldCharType="end"/>
      </w:r>
    </w:p>
    <w:p w:rsidR="008816B4" w:rsidRDefault="008816B4">
      <w:pPr>
        <w:pStyle w:val="TOC2"/>
        <w:rPr>
          <w:rFonts w:asciiTheme="minorHAnsi" w:eastAsiaTheme="minorEastAsia" w:hAnsiTheme="minorHAnsi" w:cstheme="minorBidi"/>
          <w:snapToGrid/>
          <w:sz w:val="22"/>
          <w:szCs w:val="22"/>
          <w:lang w:eastAsia="en-AU"/>
        </w:rPr>
      </w:pPr>
      <w:r>
        <w:t>3</w:t>
      </w:r>
      <w:r>
        <w:rPr>
          <w:rFonts w:asciiTheme="minorHAnsi" w:eastAsiaTheme="minorEastAsia" w:hAnsiTheme="minorHAnsi" w:cstheme="minorBidi"/>
          <w:snapToGrid/>
          <w:sz w:val="22"/>
          <w:szCs w:val="22"/>
          <w:lang w:eastAsia="en-AU"/>
        </w:rPr>
        <w:tab/>
      </w:r>
      <w:r>
        <w:t>Key findings</w:t>
      </w:r>
      <w:r>
        <w:tab/>
      </w:r>
      <w:r w:rsidR="009129A6">
        <w:fldChar w:fldCharType="begin"/>
      </w:r>
      <w:r>
        <w:instrText xml:space="preserve"> PAGEREF _Toc362975049 \h </w:instrText>
      </w:r>
      <w:r w:rsidR="009129A6">
        <w:fldChar w:fldCharType="separate"/>
      </w:r>
      <w:r>
        <w:t>27</w:t>
      </w:r>
      <w:r w:rsidR="009129A6">
        <w:fldChar w:fldCharType="end"/>
      </w:r>
    </w:p>
    <w:p w:rsidR="008816B4" w:rsidRDefault="008816B4">
      <w:pPr>
        <w:pStyle w:val="TOC6"/>
        <w:rPr>
          <w:rFonts w:asciiTheme="minorHAnsi" w:eastAsiaTheme="minorEastAsia" w:hAnsiTheme="minorHAnsi" w:cstheme="minorBidi"/>
          <w:snapToGrid/>
          <w:sz w:val="22"/>
          <w:szCs w:val="22"/>
          <w:lang w:eastAsia="en-AU"/>
        </w:rPr>
      </w:pPr>
      <w:r>
        <w:t>3.1</w:t>
      </w:r>
      <w:r>
        <w:rPr>
          <w:rFonts w:asciiTheme="minorHAnsi" w:eastAsiaTheme="minorEastAsia" w:hAnsiTheme="minorHAnsi" w:cstheme="minorBidi"/>
          <w:snapToGrid/>
          <w:sz w:val="22"/>
          <w:szCs w:val="22"/>
          <w:lang w:eastAsia="en-AU"/>
        </w:rPr>
        <w:tab/>
      </w:r>
      <w:r>
        <w:t>Profitability drivers for insurers</w:t>
      </w:r>
      <w:r>
        <w:tab/>
      </w:r>
      <w:r w:rsidR="009129A6">
        <w:fldChar w:fldCharType="begin"/>
      </w:r>
      <w:r>
        <w:instrText xml:space="preserve"> PAGEREF _Toc362975050 \h </w:instrText>
      </w:r>
      <w:r w:rsidR="009129A6">
        <w:fldChar w:fldCharType="separate"/>
      </w:r>
      <w:r>
        <w:t>27</w:t>
      </w:r>
      <w:r w:rsidR="009129A6">
        <w:fldChar w:fldCharType="end"/>
      </w:r>
    </w:p>
    <w:p w:rsidR="008816B4" w:rsidRDefault="008816B4">
      <w:pPr>
        <w:pStyle w:val="TOC6"/>
        <w:rPr>
          <w:rFonts w:asciiTheme="minorHAnsi" w:eastAsiaTheme="minorEastAsia" w:hAnsiTheme="minorHAnsi" w:cstheme="minorBidi"/>
          <w:snapToGrid/>
          <w:sz w:val="22"/>
          <w:szCs w:val="22"/>
          <w:lang w:eastAsia="en-AU"/>
        </w:rPr>
      </w:pPr>
      <w:r>
        <w:t>3.2</w:t>
      </w:r>
      <w:r>
        <w:rPr>
          <w:rFonts w:asciiTheme="minorHAnsi" w:eastAsiaTheme="minorEastAsia" w:hAnsiTheme="minorHAnsi" w:cstheme="minorBidi"/>
          <w:snapToGrid/>
          <w:sz w:val="22"/>
          <w:szCs w:val="22"/>
          <w:lang w:eastAsia="en-AU"/>
        </w:rPr>
        <w:tab/>
      </w:r>
      <w:r>
        <w:t>Overarching findings</w:t>
      </w:r>
      <w:r>
        <w:tab/>
      </w:r>
      <w:r w:rsidR="009129A6">
        <w:fldChar w:fldCharType="begin"/>
      </w:r>
      <w:r>
        <w:instrText xml:space="preserve"> PAGEREF _Toc362975051 \h </w:instrText>
      </w:r>
      <w:r w:rsidR="009129A6">
        <w:fldChar w:fldCharType="separate"/>
      </w:r>
      <w:r>
        <w:t>28</w:t>
      </w:r>
      <w:r w:rsidR="009129A6">
        <w:fldChar w:fldCharType="end"/>
      </w:r>
    </w:p>
    <w:p w:rsidR="008816B4" w:rsidRDefault="008816B4">
      <w:pPr>
        <w:pStyle w:val="TOC6"/>
        <w:rPr>
          <w:rFonts w:asciiTheme="minorHAnsi" w:eastAsiaTheme="minorEastAsia" w:hAnsiTheme="minorHAnsi" w:cstheme="minorBidi"/>
          <w:snapToGrid/>
          <w:sz w:val="22"/>
          <w:szCs w:val="22"/>
          <w:lang w:eastAsia="en-AU"/>
        </w:rPr>
      </w:pPr>
      <w:r>
        <w:t>3.3</w:t>
      </w:r>
      <w:r>
        <w:rPr>
          <w:rFonts w:asciiTheme="minorHAnsi" w:eastAsiaTheme="minorEastAsia" w:hAnsiTheme="minorHAnsi" w:cstheme="minorBidi"/>
          <w:snapToGrid/>
          <w:sz w:val="22"/>
          <w:szCs w:val="22"/>
          <w:lang w:eastAsia="en-AU"/>
        </w:rPr>
        <w:tab/>
      </w:r>
      <w:r>
        <w:t>Communication of practice and available data</w:t>
      </w:r>
      <w:r>
        <w:tab/>
      </w:r>
      <w:r w:rsidR="009129A6">
        <w:fldChar w:fldCharType="begin"/>
      </w:r>
      <w:r>
        <w:instrText xml:space="preserve"> PAGEREF _Toc362975052 \h </w:instrText>
      </w:r>
      <w:r w:rsidR="009129A6">
        <w:fldChar w:fldCharType="separate"/>
      </w:r>
      <w:r>
        <w:t>29</w:t>
      </w:r>
      <w:r w:rsidR="009129A6">
        <w:fldChar w:fldCharType="end"/>
      </w:r>
    </w:p>
    <w:p w:rsidR="008816B4" w:rsidRDefault="008816B4">
      <w:pPr>
        <w:pStyle w:val="TOC6"/>
        <w:rPr>
          <w:rFonts w:asciiTheme="minorHAnsi" w:eastAsiaTheme="minorEastAsia" w:hAnsiTheme="minorHAnsi" w:cstheme="minorBidi"/>
          <w:snapToGrid/>
          <w:sz w:val="22"/>
          <w:szCs w:val="22"/>
          <w:lang w:eastAsia="en-AU"/>
        </w:rPr>
      </w:pPr>
      <w:r>
        <w:t>3.4</w:t>
      </w:r>
      <w:r>
        <w:rPr>
          <w:rFonts w:asciiTheme="minorHAnsi" w:eastAsiaTheme="minorEastAsia" w:hAnsiTheme="minorHAnsi" w:cstheme="minorBidi"/>
          <w:snapToGrid/>
          <w:sz w:val="22"/>
          <w:szCs w:val="22"/>
          <w:lang w:eastAsia="en-AU"/>
        </w:rPr>
        <w:tab/>
      </w:r>
      <w:r>
        <w:t>Inherent risks within maternity services</w:t>
      </w:r>
      <w:r>
        <w:tab/>
      </w:r>
      <w:r w:rsidR="009129A6">
        <w:fldChar w:fldCharType="begin"/>
      </w:r>
      <w:r>
        <w:instrText xml:space="preserve"> PAGEREF _Toc362975053 \h </w:instrText>
      </w:r>
      <w:r w:rsidR="009129A6">
        <w:fldChar w:fldCharType="separate"/>
      </w:r>
      <w:r>
        <w:t>52</w:t>
      </w:r>
      <w:r w:rsidR="009129A6">
        <w:fldChar w:fldCharType="end"/>
      </w:r>
    </w:p>
    <w:p w:rsidR="008816B4" w:rsidRDefault="008816B4">
      <w:pPr>
        <w:pStyle w:val="TOC2"/>
        <w:rPr>
          <w:rFonts w:asciiTheme="minorHAnsi" w:eastAsiaTheme="minorEastAsia" w:hAnsiTheme="minorHAnsi" w:cstheme="minorBidi"/>
          <w:snapToGrid/>
          <w:sz w:val="22"/>
          <w:szCs w:val="22"/>
          <w:lang w:eastAsia="en-AU"/>
        </w:rPr>
      </w:pPr>
      <w:r>
        <w:t>4</w:t>
      </w:r>
      <w:r>
        <w:rPr>
          <w:rFonts w:asciiTheme="minorHAnsi" w:eastAsiaTheme="minorEastAsia" w:hAnsiTheme="minorHAnsi" w:cstheme="minorBidi"/>
          <w:snapToGrid/>
          <w:sz w:val="22"/>
          <w:szCs w:val="22"/>
          <w:lang w:eastAsia="en-AU"/>
        </w:rPr>
        <w:tab/>
      </w:r>
      <w:r>
        <w:t>International insights</w:t>
      </w:r>
      <w:r>
        <w:tab/>
      </w:r>
      <w:r w:rsidR="009129A6">
        <w:fldChar w:fldCharType="begin"/>
      </w:r>
      <w:r>
        <w:instrText xml:space="preserve"> PAGEREF _Toc362975054 \h </w:instrText>
      </w:r>
      <w:r w:rsidR="009129A6">
        <w:fldChar w:fldCharType="separate"/>
      </w:r>
      <w:r>
        <w:t>58</w:t>
      </w:r>
      <w:r w:rsidR="009129A6">
        <w:fldChar w:fldCharType="end"/>
      </w:r>
    </w:p>
    <w:p w:rsidR="008816B4" w:rsidRDefault="008816B4">
      <w:pPr>
        <w:pStyle w:val="TOC6"/>
        <w:rPr>
          <w:rFonts w:asciiTheme="minorHAnsi" w:eastAsiaTheme="minorEastAsia" w:hAnsiTheme="minorHAnsi" w:cstheme="minorBidi"/>
          <w:snapToGrid/>
          <w:sz w:val="22"/>
          <w:szCs w:val="22"/>
          <w:lang w:eastAsia="en-AU"/>
        </w:rPr>
      </w:pPr>
      <w:r>
        <w:t>4.1</w:t>
      </w:r>
      <w:r>
        <w:rPr>
          <w:rFonts w:asciiTheme="minorHAnsi" w:eastAsiaTheme="minorEastAsia" w:hAnsiTheme="minorHAnsi" w:cstheme="minorBidi"/>
          <w:snapToGrid/>
          <w:sz w:val="22"/>
          <w:szCs w:val="22"/>
          <w:lang w:eastAsia="en-AU"/>
        </w:rPr>
        <w:tab/>
      </w:r>
      <w:r>
        <w:t>Introduction</w:t>
      </w:r>
      <w:r>
        <w:tab/>
      </w:r>
      <w:r w:rsidR="009129A6">
        <w:fldChar w:fldCharType="begin"/>
      </w:r>
      <w:r>
        <w:instrText xml:space="preserve"> PAGEREF _Toc362975055 \h </w:instrText>
      </w:r>
      <w:r w:rsidR="009129A6">
        <w:fldChar w:fldCharType="separate"/>
      </w:r>
      <w:r>
        <w:t>58</w:t>
      </w:r>
      <w:r w:rsidR="009129A6">
        <w:fldChar w:fldCharType="end"/>
      </w:r>
    </w:p>
    <w:p w:rsidR="008816B4" w:rsidRDefault="008816B4">
      <w:pPr>
        <w:pStyle w:val="TOC6"/>
        <w:rPr>
          <w:rFonts w:asciiTheme="minorHAnsi" w:eastAsiaTheme="minorEastAsia" w:hAnsiTheme="minorHAnsi" w:cstheme="minorBidi"/>
          <w:snapToGrid/>
          <w:sz w:val="22"/>
          <w:szCs w:val="22"/>
          <w:lang w:eastAsia="en-AU"/>
        </w:rPr>
      </w:pPr>
      <w:r>
        <w:t>4.2</w:t>
      </w:r>
      <w:r>
        <w:rPr>
          <w:rFonts w:asciiTheme="minorHAnsi" w:eastAsiaTheme="minorEastAsia" w:hAnsiTheme="minorHAnsi" w:cstheme="minorBidi"/>
          <w:snapToGrid/>
          <w:sz w:val="22"/>
          <w:szCs w:val="22"/>
          <w:lang w:eastAsia="en-AU"/>
        </w:rPr>
        <w:tab/>
      </w:r>
      <w:r>
        <w:t>England, United Kingdom</w:t>
      </w:r>
      <w:r>
        <w:tab/>
      </w:r>
      <w:r w:rsidR="009129A6">
        <w:fldChar w:fldCharType="begin"/>
      </w:r>
      <w:r>
        <w:instrText xml:space="preserve"> PAGEREF _Toc362975056 \h </w:instrText>
      </w:r>
      <w:r w:rsidR="009129A6">
        <w:fldChar w:fldCharType="separate"/>
      </w:r>
      <w:r>
        <w:t>60</w:t>
      </w:r>
      <w:r w:rsidR="009129A6">
        <w:fldChar w:fldCharType="end"/>
      </w:r>
    </w:p>
    <w:p w:rsidR="008816B4" w:rsidRDefault="008816B4">
      <w:pPr>
        <w:pStyle w:val="TOC6"/>
        <w:rPr>
          <w:rFonts w:asciiTheme="minorHAnsi" w:eastAsiaTheme="minorEastAsia" w:hAnsiTheme="minorHAnsi" w:cstheme="minorBidi"/>
          <w:snapToGrid/>
          <w:sz w:val="22"/>
          <w:szCs w:val="22"/>
          <w:lang w:eastAsia="en-AU"/>
        </w:rPr>
      </w:pPr>
      <w:r>
        <w:t>4.3</w:t>
      </w:r>
      <w:r>
        <w:rPr>
          <w:rFonts w:asciiTheme="minorHAnsi" w:eastAsiaTheme="minorEastAsia" w:hAnsiTheme="minorHAnsi" w:cstheme="minorBidi"/>
          <w:snapToGrid/>
          <w:sz w:val="22"/>
          <w:szCs w:val="22"/>
          <w:lang w:eastAsia="en-AU"/>
        </w:rPr>
        <w:tab/>
      </w:r>
      <w:r>
        <w:t>The province of Ontario, Canada</w:t>
      </w:r>
      <w:r>
        <w:tab/>
      </w:r>
      <w:r w:rsidR="009129A6">
        <w:fldChar w:fldCharType="begin"/>
      </w:r>
      <w:r>
        <w:instrText xml:space="preserve"> PAGEREF _Toc362975057 \h </w:instrText>
      </w:r>
      <w:r w:rsidR="009129A6">
        <w:fldChar w:fldCharType="separate"/>
      </w:r>
      <w:r>
        <w:t>67</w:t>
      </w:r>
      <w:r w:rsidR="009129A6">
        <w:fldChar w:fldCharType="end"/>
      </w:r>
    </w:p>
    <w:p w:rsidR="008816B4" w:rsidRDefault="008816B4">
      <w:pPr>
        <w:pStyle w:val="TOC6"/>
        <w:rPr>
          <w:rFonts w:asciiTheme="minorHAnsi" w:eastAsiaTheme="minorEastAsia" w:hAnsiTheme="minorHAnsi" w:cstheme="minorBidi"/>
          <w:snapToGrid/>
          <w:sz w:val="22"/>
          <w:szCs w:val="22"/>
          <w:lang w:eastAsia="en-AU"/>
        </w:rPr>
      </w:pPr>
      <w:r>
        <w:t>4.4</w:t>
      </w:r>
      <w:r>
        <w:rPr>
          <w:rFonts w:asciiTheme="minorHAnsi" w:eastAsiaTheme="minorEastAsia" w:hAnsiTheme="minorHAnsi" w:cstheme="minorBidi"/>
          <w:snapToGrid/>
          <w:sz w:val="22"/>
          <w:szCs w:val="22"/>
          <w:lang w:eastAsia="en-AU"/>
        </w:rPr>
        <w:tab/>
      </w:r>
      <w:r>
        <w:t>The Netherlands</w:t>
      </w:r>
      <w:r>
        <w:tab/>
      </w:r>
      <w:r w:rsidR="009129A6">
        <w:fldChar w:fldCharType="begin"/>
      </w:r>
      <w:r>
        <w:instrText xml:space="preserve"> PAGEREF _Toc362975058 \h </w:instrText>
      </w:r>
      <w:r w:rsidR="009129A6">
        <w:fldChar w:fldCharType="separate"/>
      </w:r>
      <w:r>
        <w:t>73</w:t>
      </w:r>
      <w:r w:rsidR="009129A6">
        <w:fldChar w:fldCharType="end"/>
      </w:r>
    </w:p>
    <w:p w:rsidR="008816B4" w:rsidRDefault="008816B4">
      <w:pPr>
        <w:pStyle w:val="TOC6"/>
        <w:rPr>
          <w:rFonts w:asciiTheme="minorHAnsi" w:eastAsiaTheme="minorEastAsia" w:hAnsiTheme="minorHAnsi" w:cstheme="minorBidi"/>
          <w:snapToGrid/>
          <w:sz w:val="22"/>
          <w:szCs w:val="22"/>
          <w:lang w:eastAsia="en-AU"/>
        </w:rPr>
      </w:pPr>
      <w:r>
        <w:t>4.5</w:t>
      </w:r>
      <w:r>
        <w:rPr>
          <w:rFonts w:asciiTheme="minorHAnsi" w:eastAsiaTheme="minorEastAsia" w:hAnsiTheme="minorHAnsi" w:cstheme="minorBidi"/>
          <w:snapToGrid/>
          <w:sz w:val="22"/>
          <w:szCs w:val="22"/>
          <w:lang w:eastAsia="en-AU"/>
        </w:rPr>
        <w:tab/>
      </w:r>
      <w:r>
        <w:t>New Zealand</w:t>
      </w:r>
      <w:r>
        <w:tab/>
      </w:r>
      <w:r w:rsidR="009129A6">
        <w:fldChar w:fldCharType="begin"/>
      </w:r>
      <w:r>
        <w:instrText xml:space="preserve"> PAGEREF _Toc362975059 \h </w:instrText>
      </w:r>
      <w:r w:rsidR="009129A6">
        <w:fldChar w:fldCharType="separate"/>
      </w:r>
      <w:r>
        <w:t>80</w:t>
      </w:r>
      <w:r w:rsidR="009129A6">
        <w:fldChar w:fldCharType="end"/>
      </w:r>
    </w:p>
    <w:p w:rsidR="008816B4" w:rsidRDefault="008816B4">
      <w:pPr>
        <w:pStyle w:val="TOC6"/>
        <w:rPr>
          <w:rFonts w:asciiTheme="minorHAnsi" w:eastAsiaTheme="minorEastAsia" w:hAnsiTheme="minorHAnsi" w:cstheme="minorBidi"/>
          <w:snapToGrid/>
          <w:sz w:val="22"/>
          <w:szCs w:val="22"/>
          <w:lang w:eastAsia="en-AU"/>
        </w:rPr>
      </w:pPr>
      <w:r>
        <w:t>4.6</w:t>
      </w:r>
      <w:r>
        <w:rPr>
          <w:rFonts w:asciiTheme="minorHAnsi" w:eastAsiaTheme="minorEastAsia" w:hAnsiTheme="minorHAnsi" w:cstheme="minorBidi"/>
          <w:snapToGrid/>
          <w:sz w:val="22"/>
          <w:szCs w:val="22"/>
          <w:lang w:eastAsia="en-AU"/>
        </w:rPr>
        <w:tab/>
      </w:r>
      <w:r>
        <w:t>Summary of findings and lessons learnt</w:t>
      </w:r>
      <w:r>
        <w:tab/>
      </w:r>
      <w:r w:rsidR="009129A6">
        <w:fldChar w:fldCharType="begin"/>
      </w:r>
      <w:r>
        <w:instrText xml:space="preserve"> PAGEREF _Toc362975060 \h </w:instrText>
      </w:r>
      <w:r w:rsidR="009129A6">
        <w:fldChar w:fldCharType="separate"/>
      </w:r>
      <w:r>
        <w:t>84</w:t>
      </w:r>
      <w:r w:rsidR="009129A6">
        <w:fldChar w:fldCharType="end"/>
      </w:r>
    </w:p>
    <w:p w:rsidR="008816B4" w:rsidRDefault="008816B4">
      <w:pPr>
        <w:pStyle w:val="TOC2"/>
        <w:rPr>
          <w:rFonts w:asciiTheme="minorHAnsi" w:eastAsiaTheme="minorEastAsia" w:hAnsiTheme="minorHAnsi" w:cstheme="minorBidi"/>
          <w:snapToGrid/>
          <w:sz w:val="22"/>
          <w:szCs w:val="22"/>
          <w:lang w:eastAsia="en-AU"/>
        </w:rPr>
      </w:pPr>
      <w:r>
        <w:t>5</w:t>
      </w:r>
      <w:r>
        <w:rPr>
          <w:rFonts w:asciiTheme="minorHAnsi" w:eastAsiaTheme="minorEastAsia" w:hAnsiTheme="minorHAnsi" w:cstheme="minorBidi"/>
          <w:snapToGrid/>
          <w:sz w:val="22"/>
          <w:szCs w:val="22"/>
          <w:lang w:eastAsia="en-AU"/>
        </w:rPr>
        <w:tab/>
      </w:r>
      <w:r>
        <w:t>Considerations and next steps</w:t>
      </w:r>
      <w:r>
        <w:tab/>
      </w:r>
      <w:r w:rsidR="009129A6">
        <w:fldChar w:fldCharType="begin"/>
      </w:r>
      <w:r>
        <w:instrText xml:space="preserve"> PAGEREF _Toc362975061 \h </w:instrText>
      </w:r>
      <w:r w:rsidR="009129A6">
        <w:fldChar w:fldCharType="separate"/>
      </w:r>
      <w:r>
        <w:t>88</w:t>
      </w:r>
      <w:r w:rsidR="009129A6">
        <w:fldChar w:fldCharType="end"/>
      </w:r>
    </w:p>
    <w:p w:rsidR="008816B4" w:rsidRDefault="008816B4">
      <w:pPr>
        <w:pStyle w:val="TOC6"/>
        <w:rPr>
          <w:rFonts w:asciiTheme="minorHAnsi" w:eastAsiaTheme="minorEastAsia" w:hAnsiTheme="minorHAnsi" w:cstheme="minorBidi"/>
          <w:snapToGrid/>
          <w:sz w:val="22"/>
          <w:szCs w:val="22"/>
          <w:lang w:eastAsia="en-AU"/>
        </w:rPr>
      </w:pPr>
      <w:r>
        <w:t>5.1</w:t>
      </w:r>
      <w:r>
        <w:rPr>
          <w:rFonts w:asciiTheme="minorHAnsi" w:eastAsiaTheme="minorEastAsia" w:hAnsiTheme="minorHAnsi" w:cstheme="minorBidi"/>
          <w:snapToGrid/>
          <w:sz w:val="22"/>
          <w:szCs w:val="22"/>
          <w:lang w:eastAsia="en-AU"/>
        </w:rPr>
        <w:tab/>
      </w:r>
      <w:r>
        <w:t>Future directions</w:t>
      </w:r>
      <w:r>
        <w:tab/>
      </w:r>
      <w:r w:rsidR="009129A6">
        <w:fldChar w:fldCharType="begin"/>
      </w:r>
      <w:r>
        <w:instrText xml:space="preserve"> PAGEREF _Toc362975062 \h </w:instrText>
      </w:r>
      <w:r w:rsidR="009129A6">
        <w:fldChar w:fldCharType="separate"/>
      </w:r>
      <w:r>
        <w:t>88</w:t>
      </w:r>
      <w:r w:rsidR="009129A6">
        <w:fldChar w:fldCharType="end"/>
      </w:r>
    </w:p>
    <w:p w:rsidR="008816B4" w:rsidRDefault="008816B4">
      <w:pPr>
        <w:pStyle w:val="TOC6"/>
        <w:rPr>
          <w:rFonts w:asciiTheme="minorHAnsi" w:eastAsiaTheme="minorEastAsia" w:hAnsiTheme="minorHAnsi" w:cstheme="minorBidi"/>
          <w:snapToGrid/>
          <w:sz w:val="22"/>
          <w:szCs w:val="22"/>
          <w:lang w:eastAsia="en-AU"/>
        </w:rPr>
      </w:pPr>
      <w:r>
        <w:t>5.2</w:t>
      </w:r>
      <w:r>
        <w:rPr>
          <w:rFonts w:asciiTheme="minorHAnsi" w:eastAsiaTheme="minorEastAsia" w:hAnsiTheme="minorHAnsi" w:cstheme="minorBidi"/>
          <w:snapToGrid/>
          <w:sz w:val="22"/>
          <w:szCs w:val="22"/>
          <w:lang w:eastAsia="en-AU"/>
        </w:rPr>
        <w:tab/>
      </w:r>
      <w:r>
        <w:t>Considerations</w:t>
      </w:r>
      <w:r>
        <w:tab/>
      </w:r>
      <w:r w:rsidR="009129A6">
        <w:fldChar w:fldCharType="begin"/>
      </w:r>
      <w:r>
        <w:instrText xml:space="preserve"> PAGEREF _Toc362975063 \h </w:instrText>
      </w:r>
      <w:r w:rsidR="009129A6">
        <w:fldChar w:fldCharType="separate"/>
      </w:r>
      <w:r>
        <w:t>90</w:t>
      </w:r>
      <w:r w:rsidR="009129A6">
        <w:fldChar w:fldCharType="end"/>
      </w:r>
    </w:p>
    <w:p w:rsidR="008816B4" w:rsidRDefault="008816B4">
      <w:pPr>
        <w:pStyle w:val="TOC5"/>
        <w:rPr>
          <w:rFonts w:asciiTheme="minorHAnsi" w:eastAsiaTheme="minorEastAsia" w:hAnsiTheme="minorHAnsi" w:cstheme="minorBidi"/>
          <w:b w:val="0"/>
          <w:snapToGrid/>
          <w:sz w:val="22"/>
          <w:szCs w:val="22"/>
          <w:lang w:eastAsia="en-AU"/>
        </w:rPr>
      </w:pPr>
      <w:r>
        <w:t>Appendices</w:t>
      </w:r>
      <w:r>
        <w:tab/>
      </w:r>
      <w:r w:rsidR="009129A6">
        <w:fldChar w:fldCharType="begin"/>
      </w:r>
      <w:r>
        <w:instrText xml:space="preserve"> PAGEREF _Toc362975064 \h </w:instrText>
      </w:r>
      <w:r w:rsidR="009129A6">
        <w:fldChar w:fldCharType="separate"/>
      </w:r>
      <w:r>
        <w:t>105</w:t>
      </w:r>
      <w:r w:rsidR="009129A6">
        <w:fldChar w:fldCharType="end"/>
      </w:r>
    </w:p>
    <w:p w:rsidR="008816B4" w:rsidRDefault="008816B4">
      <w:pPr>
        <w:pStyle w:val="TOC4"/>
        <w:rPr>
          <w:rFonts w:asciiTheme="minorHAnsi" w:eastAsiaTheme="minorEastAsia" w:hAnsiTheme="minorHAnsi" w:cstheme="minorBidi"/>
          <w:snapToGrid/>
          <w:sz w:val="22"/>
          <w:szCs w:val="22"/>
          <w:lang w:eastAsia="en-AU"/>
        </w:rPr>
      </w:pPr>
      <w:r>
        <w:t>Appendix A</w:t>
      </w:r>
      <w:r>
        <w:rPr>
          <w:rFonts w:asciiTheme="minorHAnsi" w:eastAsiaTheme="minorEastAsia" w:hAnsiTheme="minorHAnsi" w:cstheme="minorBidi"/>
          <w:snapToGrid/>
          <w:sz w:val="22"/>
          <w:szCs w:val="22"/>
          <w:lang w:eastAsia="en-AU"/>
        </w:rPr>
        <w:tab/>
      </w:r>
      <w:r>
        <w:t>Glossary</w:t>
      </w:r>
      <w:r>
        <w:tab/>
      </w:r>
      <w:r w:rsidR="009129A6">
        <w:fldChar w:fldCharType="begin"/>
      </w:r>
      <w:r>
        <w:instrText xml:space="preserve"> PAGEREF _Toc362975065 \h </w:instrText>
      </w:r>
      <w:r w:rsidR="009129A6">
        <w:fldChar w:fldCharType="separate"/>
      </w:r>
      <w:r>
        <w:t>106</w:t>
      </w:r>
      <w:r w:rsidR="009129A6">
        <w:fldChar w:fldCharType="end"/>
      </w:r>
    </w:p>
    <w:p w:rsidR="008816B4" w:rsidRDefault="008816B4">
      <w:pPr>
        <w:pStyle w:val="TOC4"/>
        <w:rPr>
          <w:rFonts w:asciiTheme="minorHAnsi" w:eastAsiaTheme="minorEastAsia" w:hAnsiTheme="minorHAnsi" w:cstheme="minorBidi"/>
          <w:snapToGrid/>
          <w:sz w:val="22"/>
          <w:szCs w:val="22"/>
          <w:lang w:eastAsia="en-AU"/>
        </w:rPr>
      </w:pPr>
      <w:r>
        <w:t>Appendix B</w:t>
      </w:r>
      <w:r>
        <w:rPr>
          <w:rFonts w:asciiTheme="minorHAnsi" w:eastAsiaTheme="minorEastAsia" w:hAnsiTheme="minorHAnsi" w:cstheme="minorBidi"/>
          <w:snapToGrid/>
          <w:sz w:val="22"/>
          <w:szCs w:val="22"/>
          <w:lang w:eastAsia="en-AU"/>
        </w:rPr>
        <w:tab/>
      </w:r>
      <w:r>
        <w:t>Bibliography</w:t>
      </w:r>
      <w:r>
        <w:tab/>
      </w:r>
      <w:r w:rsidR="009129A6">
        <w:fldChar w:fldCharType="begin"/>
      </w:r>
      <w:r>
        <w:instrText xml:space="preserve"> PAGEREF _Toc362975066 \h </w:instrText>
      </w:r>
      <w:r w:rsidR="009129A6">
        <w:fldChar w:fldCharType="separate"/>
      </w:r>
      <w:r>
        <w:t>110</w:t>
      </w:r>
      <w:r w:rsidR="009129A6">
        <w:fldChar w:fldCharType="end"/>
      </w:r>
    </w:p>
    <w:p w:rsidR="008816B4" w:rsidRDefault="008816B4">
      <w:pPr>
        <w:pStyle w:val="TOC4"/>
        <w:rPr>
          <w:rFonts w:asciiTheme="minorHAnsi" w:eastAsiaTheme="minorEastAsia" w:hAnsiTheme="minorHAnsi" w:cstheme="minorBidi"/>
          <w:snapToGrid/>
          <w:sz w:val="22"/>
          <w:szCs w:val="22"/>
          <w:lang w:eastAsia="en-AU"/>
        </w:rPr>
      </w:pPr>
      <w:r>
        <w:t>Appendix C</w:t>
      </w:r>
      <w:r>
        <w:rPr>
          <w:rFonts w:asciiTheme="minorHAnsi" w:eastAsiaTheme="minorEastAsia" w:hAnsiTheme="minorHAnsi" w:cstheme="minorBidi"/>
          <w:snapToGrid/>
          <w:sz w:val="22"/>
          <w:szCs w:val="22"/>
          <w:lang w:eastAsia="en-AU"/>
        </w:rPr>
        <w:tab/>
      </w:r>
      <w:r>
        <w:t>Stakeholder consultation</w:t>
      </w:r>
      <w:r>
        <w:tab/>
      </w:r>
      <w:r w:rsidR="009129A6">
        <w:fldChar w:fldCharType="begin"/>
      </w:r>
      <w:r>
        <w:instrText xml:space="preserve"> PAGEREF _Toc362975067 \h </w:instrText>
      </w:r>
      <w:r w:rsidR="009129A6">
        <w:fldChar w:fldCharType="separate"/>
      </w:r>
      <w:r>
        <w:t>121</w:t>
      </w:r>
      <w:r w:rsidR="009129A6">
        <w:fldChar w:fldCharType="end"/>
      </w:r>
    </w:p>
    <w:p w:rsidR="008816B4" w:rsidRDefault="008816B4">
      <w:pPr>
        <w:pStyle w:val="TOC4"/>
        <w:rPr>
          <w:rFonts w:asciiTheme="minorHAnsi" w:eastAsiaTheme="minorEastAsia" w:hAnsiTheme="minorHAnsi" w:cstheme="minorBidi"/>
          <w:snapToGrid/>
          <w:sz w:val="22"/>
          <w:szCs w:val="22"/>
          <w:lang w:eastAsia="en-AU"/>
        </w:rPr>
      </w:pPr>
      <w:r>
        <w:t>Appendix D</w:t>
      </w:r>
      <w:r>
        <w:rPr>
          <w:rFonts w:asciiTheme="minorHAnsi" w:eastAsiaTheme="minorEastAsia" w:hAnsiTheme="minorHAnsi" w:cstheme="minorBidi"/>
          <w:snapToGrid/>
          <w:sz w:val="22"/>
          <w:szCs w:val="22"/>
          <w:lang w:eastAsia="en-AU"/>
        </w:rPr>
        <w:tab/>
      </w:r>
      <w:r>
        <w:t>Definitions</w:t>
      </w:r>
      <w:r>
        <w:tab/>
      </w:r>
      <w:r w:rsidR="009129A6">
        <w:fldChar w:fldCharType="begin"/>
      </w:r>
      <w:r>
        <w:instrText xml:space="preserve"> PAGEREF _Toc362975068 \h </w:instrText>
      </w:r>
      <w:r w:rsidR="009129A6">
        <w:fldChar w:fldCharType="separate"/>
      </w:r>
      <w:r>
        <w:t>124</w:t>
      </w:r>
      <w:r w:rsidR="009129A6">
        <w:fldChar w:fldCharType="end"/>
      </w:r>
    </w:p>
    <w:p w:rsidR="008816B4" w:rsidRDefault="008816B4">
      <w:pPr>
        <w:pStyle w:val="TOC4"/>
        <w:rPr>
          <w:rFonts w:asciiTheme="minorHAnsi" w:eastAsiaTheme="minorEastAsia" w:hAnsiTheme="minorHAnsi" w:cstheme="minorBidi"/>
          <w:snapToGrid/>
          <w:sz w:val="22"/>
          <w:szCs w:val="22"/>
          <w:lang w:eastAsia="en-AU"/>
        </w:rPr>
      </w:pPr>
      <w:r>
        <w:t>Appendix E</w:t>
      </w:r>
      <w:r>
        <w:rPr>
          <w:rFonts w:asciiTheme="minorHAnsi" w:eastAsiaTheme="minorEastAsia" w:hAnsiTheme="minorHAnsi" w:cstheme="minorBidi"/>
          <w:snapToGrid/>
          <w:sz w:val="22"/>
          <w:szCs w:val="22"/>
          <w:lang w:eastAsia="en-AU"/>
        </w:rPr>
        <w:tab/>
      </w:r>
      <w:r>
        <w:t>Access to health services and collaborative partnerships</w:t>
      </w:r>
      <w:r>
        <w:tab/>
      </w:r>
      <w:r w:rsidR="009129A6">
        <w:fldChar w:fldCharType="begin"/>
      </w:r>
      <w:r>
        <w:instrText xml:space="preserve"> PAGEREF _Toc362975069 \h </w:instrText>
      </w:r>
      <w:r w:rsidR="009129A6">
        <w:fldChar w:fldCharType="separate"/>
      </w:r>
      <w:r>
        <w:t>127</w:t>
      </w:r>
      <w:r w:rsidR="009129A6">
        <w:fldChar w:fldCharType="end"/>
      </w:r>
    </w:p>
    <w:p w:rsidR="008816B4" w:rsidRDefault="008816B4">
      <w:pPr>
        <w:pStyle w:val="TOC4"/>
        <w:rPr>
          <w:rFonts w:asciiTheme="minorHAnsi" w:eastAsiaTheme="minorEastAsia" w:hAnsiTheme="minorHAnsi" w:cstheme="minorBidi"/>
          <w:snapToGrid/>
          <w:sz w:val="22"/>
          <w:szCs w:val="22"/>
          <w:lang w:eastAsia="en-AU"/>
        </w:rPr>
      </w:pPr>
      <w:r>
        <w:t>Appendix F</w:t>
      </w:r>
      <w:r>
        <w:rPr>
          <w:rFonts w:asciiTheme="minorHAnsi" w:eastAsiaTheme="minorEastAsia" w:hAnsiTheme="minorHAnsi" w:cstheme="minorBidi"/>
          <w:snapToGrid/>
          <w:sz w:val="22"/>
          <w:szCs w:val="22"/>
          <w:lang w:eastAsia="en-AU"/>
        </w:rPr>
        <w:tab/>
      </w:r>
      <w:r>
        <w:t>Risk and quality frameworks</w:t>
      </w:r>
      <w:r>
        <w:tab/>
      </w:r>
      <w:r w:rsidR="009129A6">
        <w:fldChar w:fldCharType="begin"/>
      </w:r>
      <w:r>
        <w:instrText xml:space="preserve"> PAGEREF _Toc362975070 \h </w:instrText>
      </w:r>
      <w:r w:rsidR="009129A6">
        <w:fldChar w:fldCharType="separate"/>
      </w:r>
      <w:r>
        <w:t>133</w:t>
      </w:r>
      <w:r w:rsidR="009129A6">
        <w:fldChar w:fldCharType="end"/>
      </w:r>
    </w:p>
    <w:p w:rsidR="008816B4" w:rsidRDefault="008816B4">
      <w:pPr>
        <w:pStyle w:val="TOC4"/>
        <w:rPr>
          <w:rFonts w:asciiTheme="minorHAnsi" w:eastAsiaTheme="minorEastAsia" w:hAnsiTheme="minorHAnsi" w:cstheme="minorBidi"/>
          <w:snapToGrid/>
          <w:sz w:val="22"/>
          <w:szCs w:val="22"/>
          <w:lang w:eastAsia="en-AU"/>
        </w:rPr>
      </w:pPr>
      <w:r>
        <w:t>Appendix G</w:t>
      </w:r>
      <w:r>
        <w:rPr>
          <w:rFonts w:asciiTheme="minorHAnsi" w:eastAsiaTheme="minorEastAsia" w:hAnsiTheme="minorHAnsi" w:cstheme="minorBidi"/>
          <w:snapToGrid/>
          <w:sz w:val="22"/>
          <w:szCs w:val="22"/>
          <w:lang w:eastAsia="en-AU"/>
        </w:rPr>
        <w:tab/>
      </w:r>
      <w:r>
        <w:t>Publicly funded homebirth schemes</w:t>
      </w:r>
      <w:r>
        <w:tab/>
      </w:r>
      <w:r w:rsidR="009129A6">
        <w:fldChar w:fldCharType="begin"/>
      </w:r>
      <w:r>
        <w:instrText xml:space="preserve"> PAGEREF _Toc362975071 \h </w:instrText>
      </w:r>
      <w:r w:rsidR="009129A6">
        <w:fldChar w:fldCharType="separate"/>
      </w:r>
      <w:r>
        <w:t>134</w:t>
      </w:r>
      <w:r w:rsidR="009129A6">
        <w:fldChar w:fldCharType="end"/>
      </w:r>
    </w:p>
    <w:p w:rsidR="008816B4" w:rsidRDefault="008816B4">
      <w:pPr>
        <w:pStyle w:val="TOC4"/>
        <w:rPr>
          <w:rFonts w:asciiTheme="minorHAnsi" w:eastAsiaTheme="minorEastAsia" w:hAnsiTheme="minorHAnsi" w:cstheme="minorBidi"/>
          <w:snapToGrid/>
          <w:sz w:val="22"/>
          <w:szCs w:val="22"/>
          <w:lang w:eastAsia="en-AU"/>
        </w:rPr>
      </w:pPr>
      <w:r>
        <w:t>Appendix H</w:t>
      </w:r>
      <w:r>
        <w:rPr>
          <w:rFonts w:asciiTheme="minorHAnsi" w:eastAsiaTheme="minorEastAsia" w:hAnsiTheme="minorHAnsi" w:cstheme="minorBidi"/>
          <w:snapToGrid/>
          <w:sz w:val="22"/>
          <w:szCs w:val="22"/>
          <w:lang w:eastAsia="en-AU"/>
        </w:rPr>
        <w:tab/>
      </w:r>
      <w:r>
        <w:t>Benchmarking of risk frameworks</w:t>
      </w:r>
      <w:r>
        <w:tab/>
      </w:r>
      <w:r w:rsidR="009129A6">
        <w:fldChar w:fldCharType="begin"/>
      </w:r>
      <w:r>
        <w:instrText xml:space="preserve"> PAGEREF _Toc362975072 \h </w:instrText>
      </w:r>
      <w:r w:rsidR="009129A6">
        <w:fldChar w:fldCharType="separate"/>
      </w:r>
      <w:r>
        <w:t>136</w:t>
      </w:r>
      <w:r w:rsidR="009129A6">
        <w:fldChar w:fldCharType="end"/>
      </w:r>
    </w:p>
    <w:p w:rsidR="008816B4" w:rsidRDefault="008816B4">
      <w:pPr>
        <w:pStyle w:val="TOC4"/>
        <w:rPr>
          <w:rFonts w:asciiTheme="minorHAnsi" w:eastAsiaTheme="minorEastAsia" w:hAnsiTheme="minorHAnsi" w:cstheme="minorBidi"/>
          <w:snapToGrid/>
          <w:sz w:val="22"/>
          <w:szCs w:val="22"/>
          <w:lang w:eastAsia="en-AU"/>
        </w:rPr>
      </w:pPr>
      <w:r>
        <w:t>Appendix I</w:t>
      </w:r>
      <w:r>
        <w:rPr>
          <w:rFonts w:asciiTheme="minorHAnsi" w:eastAsiaTheme="minorEastAsia" w:hAnsiTheme="minorHAnsi" w:cstheme="minorBidi"/>
          <w:snapToGrid/>
          <w:sz w:val="22"/>
          <w:szCs w:val="22"/>
          <w:lang w:eastAsia="en-AU"/>
        </w:rPr>
        <w:tab/>
      </w:r>
      <w:r>
        <w:t>Discipline and legislation of Health Practitioners</w:t>
      </w:r>
      <w:r>
        <w:tab/>
      </w:r>
      <w:r w:rsidR="009129A6">
        <w:fldChar w:fldCharType="begin"/>
      </w:r>
      <w:r>
        <w:instrText xml:space="preserve"> PAGEREF _Toc362975073 \h </w:instrText>
      </w:r>
      <w:r w:rsidR="009129A6">
        <w:fldChar w:fldCharType="separate"/>
      </w:r>
      <w:r>
        <w:t>140</w:t>
      </w:r>
      <w:r w:rsidR="009129A6">
        <w:fldChar w:fldCharType="end"/>
      </w:r>
    </w:p>
    <w:p w:rsidR="008816B4" w:rsidRDefault="008816B4">
      <w:pPr>
        <w:pStyle w:val="TOC4"/>
        <w:rPr>
          <w:rFonts w:asciiTheme="minorHAnsi" w:eastAsiaTheme="minorEastAsia" w:hAnsiTheme="minorHAnsi" w:cstheme="minorBidi"/>
          <w:snapToGrid/>
          <w:sz w:val="22"/>
          <w:szCs w:val="22"/>
          <w:lang w:eastAsia="en-AU"/>
        </w:rPr>
      </w:pPr>
      <w:r>
        <w:t>Appendix J</w:t>
      </w:r>
      <w:r>
        <w:rPr>
          <w:rFonts w:asciiTheme="minorHAnsi" w:eastAsiaTheme="minorEastAsia" w:hAnsiTheme="minorHAnsi" w:cstheme="minorBidi"/>
          <w:snapToGrid/>
          <w:sz w:val="22"/>
          <w:szCs w:val="22"/>
          <w:lang w:eastAsia="en-AU"/>
        </w:rPr>
        <w:tab/>
      </w:r>
      <w:r>
        <w:t>Data quality</w:t>
      </w:r>
      <w:r>
        <w:tab/>
      </w:r>
      <w:r w:rsidR="009129A6">
        <w:fldChar w:fldCharType="begin"/>
      </w:r>
      <w:r>
        <w:instrText xml:space="preserve"> PAGEREF _Toc362975074 \h </w:instrText>
      </w:r>
      <w:r w:rsidR="009129A6">
        <w:fldChar w:fldCharType="separate"/>
      </w:r>
      <w:r>
        <w:t>141</w:t>
      </w:r>
      <w:r w:rsidR="009129A6">
        <w:fldChar w:fldCharType="end"/>
      </w:r>
    </w:p>
    <w:p w:rsidR="008816B4" w:rsidRDefault="008816B4">
      <w:pPr>
        <w:pStyle w:val="TOC4"/>
        <w:rPr>
          <w:rFonts w:asciiTheme="minorHAnsi" w:eastAsiaTheme="minorEastAsia" w:hAnsiTheme="minorHAnsi" w:cstheme="minorBidi"/>
          <w:snapToGrid/>
          <w:sz w:val="22"/>
          <w:szCs w:val="22"/>
          <w:lang w:eastAsia="en-AU"/>
        </w:rPr>
      </w:pPr>
      <w:r>
        <w:t>Appendix K</w:t>
      </w:r>
      <w:r>
        <w:rPr>
          <w:rFonts w:asciiTheme="minorHAnsi" w:eastAsiaTheme="minorEastAsia" w:hAnsiTheme="minorHAnsi" w:cstheme="minorBidi"/>
          <w:snapToGrid/>
          <w:sz w:val="22"/>
          <w:szCs w:val="22"/>
          <w:lang w:eastAsia="en-AU"/>
        </w:rPr>
        <w:tab/>
      </w:r>
      <w:r>
        <w:t>Research on PPM practice internationally</w:t>
      </w:r>
      <w:r>
        <w:tab/>
      </w:r>
      <w:r w:rsidR="009129A6">
        <w:fldChar w:fldCharType="begin"/>
      </w:r>
      <w:r>
        <w:instrText xml:space="preserve"> PAGEREF _Toc362975075 \h </w:instrText>
      </w:r>
      <w:r w:rsidR="009129A6">
        <w:fldChar w:fldCharType="separate"/>
      </w:r>
      <w:r>
        <w:t>176</w:t>
      </w:r>
      <w:r w:rsidR="009129A6">
        <w:fldChar w:fldCharType="end"/>
      </w:r>
    </w:p>
    <w:p w:rsidR="00336BAA" w:rsidRPr="00CB32B1" w:rsidRDefault="009129A6" w:rsidP="005075FD">
      <w:pPr>
        <w:pStyle w:val="StyleTOC1Right015cm"/>
        <w:rPr>
          <w:noProof w:val="0"/>
        </w:rPr>
      </w:pPr>
      <w:r w:rsidRPr="00CB32B1">
        <w:rPr>
          <w:noProof w:val="0"/>
        </w:rPr>
        <w:fldChar w:fldCharType="end"/>
      </w:r>
    </w:p>
    <w:p w:rsidR="003A1A33" w:rsidRPr="00CB32B1" w:rsidRDefault="003A1A33" w:rsidP="005075FD">
      <w:pPr>
        <w:pStyle w:val="StyleTOC1Right015cm"/>
        <w:rPr>
          <w:noProof w:val="0"/>
        </w:rPr>
        <w:sectPr w:rsidR="003A1A33" w:rsidRPr="00CB32B1" w:rsidSect="00684EB4">
          <w:headerReference w:type="even" r:id="rId31"/>
          <w:headerReference w:type="default" r:id="rId32"/>
          <w:footerReference w:type="even" r:id="rId33"/>
          <w:footerReference w:type="default" r:id="rId34"/>
          <w:headerReference w:type="first" r:id="rId35"/>
          <w:footerReference w:type="first" r:id="rId36"/>
          <w:type w:val="oddPage"/>
          <w:pgSz w:w="11907" w:h="16840" w:code="9"/>
          <w:pgMar w:top="1418" w:right="1134" w:bottom="1701" w:left="1134" w:header="680" w:footer="680" w:gutter="567"/>
          <w:pgNumType w:fmt="lowerRoman"/>
          <w:cols w:num="2" w:space="1134" w:equalWidth="0">
            <w:col w:w="4534" w:space="2"/>
            <w:col w:w="4536"/>
          </w:cols>
          <w:titlePg/>
          <w:docGrid w:linePitch="286"/>
        </w:sectPr>
      </w:pPr>
    </w:p>
    <w:p w:rsidR="005075FD" w:rsidRPr="00CB32B1" w:rsidRDefault="005075FD" w:rsidP="005075FD">
      <w:pPr>
        <w:pStyle w:val="FirstPagePanelFrame"/>
        <w:framePr w:wrap="notBeside"/>
        <w:rPr>
          <w:lang w:val="en-AU"/>
        </w:rPr>
      </w:pPr>
    </w:p>
    <w:p w:rsidR="00C0598A" w:rsidRPr="00CB32B1" w:rsidRDefault="009365BE" w:rsidP="00C0598A">
      <w:pPr>
        <w:pStyle w:val="Heading2"/>
      </w:pPr>
      <w:bookmarkStart w:id="8" w:name="_Toc362975040"/>
      <w:r w:rsidRPr="00CB32B1">
        <w:t>Introduction</w:t>
      </w:r>
      <w:bookmarkEnd w:id="8"/>
    </w:p>
    <w:p w:rsidR="00C0598A" w:rsidRPr="00CB32B1" w:rsidRDefault="009365BE" w:rsidP="00C0598A">
      <w:pPr>
        <w:pStyle w:val="Heading6"/>
      </w:pPr>
      <w:bookmarkStart w:id="9" w:name="_Toc362975041"/>
      <w:r w:rsidRPr="00CB32B1">
        <w:t>Background</w:t>
      </w:r>
      <w:bookmarkEnd w:id="9"/>
    </w:p>
    <w:p w:rsidR="00A05298" w:rsidRPr="00CB32B1" w:rsidRDefault="00A05298" w:rsidP="00A05298">
      <w:pPr>
        <w:pStyle w:val="PwCNormal"/>
      </w:pPr>
      <w:r w:rsidRPr="00CB32B1">
        <w:t>Privately practising midwives (PPMs) are defined by the Nursing and Midwifery B</w:t>
      </w:r>
      <w:r w:rsidR="003F57AE">
        <w:t xml:space="preserve">oard of Australia (NMBA) </w:t>
      </w:r>
      <w:r w:rsidRPr="00CB32B1">
        <w:t>as health professionals who practise within the midwifery profession in the capacity of a sole practitioner, within a partnership or collective, or employed by a company owned solely by the midwife or practising midwives.</w:t>
      </w:r>
      <w:r w:rsidR="003F57AE">
        <w:rPr>
          <w:rStyle w:val="FootnoteReference"/>
        </w:rPr>
        <w:footnoteReference w:id="11"/>
      </w:r>
    </w:p>
    <w:p w:rsidR="00A05298" w:rsidRPr="00CB32B1" w:rsidRDefault="00A05298" w:rsidP="00A05298">
      <w:pPr>
        <w:pStyle w:val="PwCNormal"/>
      </w:pPr>
      <w:r w:rsidRPr="00CB32B1">
        <w:t xml:space="preserve">As private or self-employed health practitioners, </w:t>
      </w:r>
      <w:r w:rsidR="00727D37">
        <w:t>PPMs</w:t>
      </w:r>
      <w:r w:rsidRPr="00CB32B1">
        <w:t xml:space="preserve"> are not covered by vicarious liability, a common avenue of indemnity cover that is available to employees of health services. Under vicarious liability an employer is made liable for a tort, or civil wrong, including any negligent act committed by an employee in the course of their employment</w:t>
      </w:r>
      <w:r w:rsidR="000A7B59" w:rsidRPr="00CB32B1">
        <w:t>.</w:t>
      </w:r>
      <w:r w:rsidRPr="00CB32B1">
        <w:rPr>
          <w:rStyle w:val="FootnoteReference"/>
        </w:rPr>
        <w:footnoteReference w:id="12"/>
      </w:r>
    </w:p>
    <w:p w:rsidR="00D35847" w:rsidRPr="00CB32B1" w:rsidRDefault="00A05298" w:rsidP="00A05298">
      <w:pPr>
        <w:pStyle w:val="PwCNormal"/>
        <w:numPr>
          <w:ilvl w:val="0"/>
          <w:numId w:val="0"/>
        </w:numPr>
      </w:pPr>
      <w:r w:rsidRPr="00CB32B1">
        <w:t xml:space="preserve">From 1 July 2010, under section 129 of the </w:t>
      </w:r>
      <w:r w:rsidRPr="003F57AE">
        <w:rPr>
          <w:i/>
        </w:rPr>
        <w:t>Health Practitioner Regulation National Law</w:t>
      </w:r>
      <w:r w:rsidRPr="00CB32B1">
        <w:t xml:space="preserve"> (National Law), all health prof</w:t>
      </w:r>
      <w:r w:rsidR="003F57AE">
        <w:t>essionals are required to hold professional i</w:t>
      </w:r>
      <w:r w:rsidRPr="00CB32B1">
        <w:t xml:space="preserve">ndemnity </w:t>
      </w:r>
      <w:r w:rsidR="003F57AE">
        <w:t>i</w:t>
      </w:r>
      <w:r w:rsidRPr="00CB32B1">
        <w:t>nsurance (PII) prior to practising in their respective profession. For the majority of health professionals who are employed by a health service, this requirement is met through the insurance arrangement their employer holds. For all other health practitioners who practise independently (including PPMs), individual PII products are required to be purchased.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478"/>
        <w:gridCol w:w="349"/>
        <w:gridCol w:w="2461"/>
      </w:tblGrid>
      <w:tr w:rsidR="00A05298" w:rsidRPr="00CB32B1" w:rsidTr="00A05298">
        <w:tc>
          <w:tcPr>
            <w:tcW w:w="6478" w:type="dxa"/>
          </w:tcPr>
          <w:p w:rsidR="00A05298" w:rsidRPr="00CB32B1" w:rsidRDefault="00A05298" w:rsidP="00A05298">
            <w:pPr>
              <w:pStyle w:val="TableTextNormal"/>
            </w:pPr>
            <w:r w:rsidRPr="00CB32B1">
              <w:t>PII is a form of liability insurance necessary to indemnify health practitioners for financial loss arising fr</w:t>
            </w:r>
            <w:r w:rsidR="005311C7" w:rsidRPr="00CB32B1">
              <w:t>om claims brought against them.</w:t>
            </w:r>
            <w:r w:rsidR="005311C7" w:rsidRPr="00CB32B1">
              <w:rPr>
                <w:rStyle w:val="FootnoteReference"/>
              </w:rPr>
              <w:footnoteReference w:id="13"/>
            </w:r>
            <w:r w:rsidRPr="00CB32B1">
              <w:t xml:space="preserve"> At the time of this report, two commercial </w:t>
            </w:r>
            <w:r w:rsidR="00E25231">
              <w:t>PII</w:t>
            </w:r>
            <w:r w:rsidRPr="00CB32B1">
              <w:t xml:space="preserve"> products exist in the insurance market for </w:t>
            </w:r>
            <w:r w:rsidR="00727D37">
              <w:t>PPMs</w:t>
            </w:r>
            <w:r w:rsidRPr="00CB32B1">
              <w:t>. Importantly, as both products do not provide indemnity cover for PPMs providing intrapartum care (the birthing stage of pregnancy) PPMs are unable to meet the National Law requirements while undertaking intrapartum care. Without a resolution to this issue, an exemption from the National Law has been applied to PPMs until July 2015.</w:t>
            </w:r>
          </w:p>
        </w:tc>
        <w:tc>
          <w:tcPr>
            <w:tcW w:w="349" w:type="dxa"/>
          </w:tcPr>
          <w:p w:rsidR="00A05298" w:rsidRPr="00CB32B1" w:rsidRDefault="00A05298" w:rsidP="00A05298">
            <w:pPr>
              <w:pStyle w:val="TableTextNormal"/>
            </w:pPr>
          </w:p>
        </w:tc>
        <w:tc>
          <w:tcPr>
            <w:tcW w:w="2461" w:type="dxa"/>
            <w:shd w:val="clear" w:color="auto" w:fill="DC6900" w:themeFill="text2"/>
            <w:vAlign w:val="center"/>
          </w:tcPr>
          <w:p w:rsidR="00A05298" w:rsidRPr="00856F39" w:rsidRDefault="00A05298" w:rsidP="00A05298">
            <w:pPr>
              <w:pStyle w:val="TableTextNormal"/>
              <w:rPr>
                <w:b/>
                <w:i/>
                <w:color w:val="FFFFFF" w:themeColor="background1"/>
              </w:rPr>
            </w:pPr>
            <w:r w:rsidRPr="00856F39">
              <w:rPr>
                <w:b/>
                <w:i/>
                <w:color w:val="FFFFFF" w:themeColor="background1"/>
              </w:rPr>
              <w:t>“No adequate and reliable data is available to develop an accurate risk profile for privately practising midwives who provide birthing services”</w:t>
            </w:r>
          </w:p>
          <w:p w:rsidR="00A05298" w:rsidRPr="00CB32B1" w:rsidRDefault="00A05298" w:rsidP="0083432B">
            <w:pPr>
              <w:pStyle w:val="TableTextNormal"/>
              <w:spacing w:before="40" w:after="40"/>
              <w:jc w:val="right"/>
              <w:rPr>
                <w:i/>
                <w:sz w:val="16"/>
                <w:szCs w:val="16"/>
              </w:rPr>
            </w:pPr>
            <w:r w:rsidRPr="00CB32B1">
              <w:rPr>
                <w:i/>
                <w:color w:val="FFFFFF" w:themeColor="background1"/>
                <w:sz w:val="16"/>
                <w:szCs w:val="16"/>
              </w:rPr>
              <w:t>(Commonwealth of Australia, 2008</w:t>
            </w:r>
            <w:r w:rsidR="00B5348A" w:rsidRPr="00CB32B1">
              <w:rPr>
                <w:i/>
                <w:color w:val="FFFFFF" w:themeColor="background1"/>
                <w:sz w:val="16"/>
                <w:szCs w:val="16"/>
              </w:rPr>
              <w:t>a</w:t>
            </w:r>
            <w:r w:rsidRPr="00CB32B1">
              <w:rPr>
                <w:i/>
                <w:color w:val="FFFFFF" w:themeColor="background1"/>
                <w:sz w:val="16"/>
                <w:szCs w:val="16"/>
              </w:rPr>
              <w:t>)</w:t>
            </w:r>
          </w:p>
        </w:tc>
      </w:tr>
      <w:tr w:rsidR="00A05298" w:rsidRPr="00CB32B1" w:rsidTr="00A05298">
        <w:trPr>
          <w:trHeight w:hRule="exact" w:val="86"/>
        </w:trPr>
        <w:tc>
          <w:tcPr>
            <w:tcW w:w="6478" w:type="dxa"/>
          </w:tcPr>
          <w:p w:rsidR="00A05298" w:rsidRPr="00CB32B1" w:rsidRDefault="00A05298" w:rsidP="00A05298">
            <w:pPr>
              <w:pStyle w:val="TableTextNormal"/>
            </w:pPr>
          </w:p>
        </w:tc>
        <w:tc>
          <w:tcPr>
            <w:tcW w:w="349" w:type="dxa"/>
            <w:shd w:val="clear" w:color="auto" w:fill="DC6900" w:themeFill="text2"/>
          </w:tcPr>
          <w:p w:rsidR="00A05298" w:rsidRPr="00CB32B1" w:rsidRDefault="00A05298" w:rsidP="00A05298">
            <w:pPr>
              <w:pStyle w:val="TableTextNormal"/>
            </w:pPr>
          </w:p>
        </w:tc>
        <w:tc>
          <w:tcPr>
            <w:tcW w:w="2461" w:type="dxa"/>
          </w:tcPr>
          <w:p w:rsidR="00A05298" w:rsidRPr="00CB32B1" w:rsidRDefault="00A05298" w:rsidP="00A05298">
            <w:pPr>
              <w:pStyle w:val="TableTextNormal"/>
            </w:pPr>
          </w:p>
        </w:tc>
      </w:tr>
    </w:tbl>
    <w:p w:rsidR="00A05298" w:rsidRPr="00CB32B1" w:rsidRDefault="005311C7" w:rsidP="00A05298">
      <w:pPr>
        <w:pStyle w:val="PwCNormal"/>
        <w:numPr>
          <w:ilvl w:val="0"/>
          <w:numId w:val="0"/>
        </w:numPr>
        <w:spacing w:before="240"/>
      </w:pPr>
      <w:r w:rsidRPr="00CB32B1">
        <w:t>Commonwealth Government reviews</w:t>
      </w:r>
      <w:r w:rsidRPr="00CB32B1">
        <w:rPr>
          <w:rStyle w:val="FootnoteReference"/>
        </w:rPr>
        <w:footnoteReference w:id="14"/>
      </w:r>
      <w:r w:rsidR="00A05298" w:rsidRPr="00CB32B1">
        <w:t xml:space="preserve"> and other subsequent publications, including the recent NMBA public submission into PPM quantum of cover, have all sought resolution of the problems arising from the lack of PII for PPMs providing intrapartum care.</w:t>
      </w:r>
    </w:p>
    <w:p w:rsidR="005311C7" w:rsidRPr="00CB32B1" w:rsidRDefault="005311C7" w:rsidP="005311C7">
      <w:pPr>
        <w:pStyle w:val="Heading6"/>
      </w:pPr>
      <w:bookmarkStart w:id="10" w:name="_Toc362975042"/>
      <w:r w:rsidRPr="00CB32B1">
        <w:t>Scope of the report</w:t>
      </w:r>
      <w:bookmarkEnd w:id="10"/>
    </w:p>
    <w:p w:rsidR="005311C7" w:rsidRPr="00CB32B1" w:rsidRDefault="005311C7" w:rsidP="005311C7">
      <w:pPr>
        <w:pStyle w:val="PwCNormal"/>
      </w:pPr>
      <w:r w:rsidRPr="00CB32B1">
        <w:t xml:space="preserve">PricewaterhouseCoopers (PwC) was commissioned by NMBA, through the Australian Health Practitioner Regulation Agency (AHPRA), to undertake research into the provision of </w:t>
      </w:r>
      <w:r w:rsidR="003F57AE">
        <w:t>professional indemnity insurance for privately practising midwives</w:t>
      </w:r>
      <w:r w:rsidRPr="00CB32B1">
        <w:t xml:space="preserve"> in Australia and to complete a national and selective international review of PII arrangements and claims.</w:t>
      </w:r>
    </w:p>
    <w:p w:rsidR="005311C7" w:rsidRPr="00CB32B1" w:rsidRDefault="005311C7" w:rsidP="00B37C35">
      <w:pPr>
        <w:pStyle w:val="PwCNormal"/>
        <w:keepNext/>
        <w:keepLines/>
      </w:pPr>
      <w:r w:rsidRPr="00CB32B1">
        <w:t xml:space="preserve">The project scope was to outline the current context in which </w:t>
      </w:r>
      <w:r w:rsidR="00727D37">
        <w:t>PPMs</w:t>
      </w:r>
      <w:r w:rsidRPr="00CB32B1">
        <w:t xml:space="preserve"> operate nationally and internationally in terms of the:</w:t>
      </w:r>
    </w:p>
    <w:p w:rsidR="005311C7" w:rsidRPr="00CB32B1" w:rsidRDefault="00856F39" w:rsidP="00B37C35">
      <w:pPr>
        <w:pStyle w:val="ListBullet"/>
        <w:keepNext/>
        <w:keepLines/>
      </w:pPr>
      <w:r>
        <w:t>e</w:t>
      </w:r>
      <w:r w:rsidR="005311C7" w:rsidRPr="00CB32B1">
        <w:t>nvironment in which PPMs practise</w:t>
      </w:r>
    </w:p>
    <w:p w:rsidR="005311C7" w:rsidRPr="00CB32B1" w:rsidRDefault="00856F39" w:rsidP="00D02A17">
      <w:pPr>
        <w:pStyle w:val="ListBullet"/>
      </w:pPr>
      <w:r>
        <w:t>i</w:t>
      </w:r>
      <w:r w:rsidR="005311C7" w:rsidRPr="00CB32B1">
        <w:t>nsurance market, including the products and quantum of cover available</w:t>
      </w:r>
    </w:p>
    <w:p w:rsidR="005311C7" w:rsidRPr="00CB32B1" w:rsidRDefault="00856F39" w:rsidP="00D02A17">
      <w:pPr>
        <w:pStyle w:val="ListBullet"/>
      </w:pPr>
      <w:r>
        <w:t>c</w:t>
      </w:r>
      <w:r w:rsidR="005311C7" w:rsidRPr="00CB32B1">
        <w:t>laims and tribunal cases brought against PPMs</w:t>
      </w:r>
    </w:p>
    <w:p w:rsidR="005311C7" w:rsidRPr="00CB32B1" w:rsidRDefault="00856F39" w:rsidP="00D02A17">
      <w:pPr>
        <w:pStyle w:val="ListBullet"/>
      </w:pPr>
      <w:r>
        <w:t>o</w:t>
      </w:r>
      <w:r w:rsidR="005311C7" w:rsidRPr="00CB32B1">
        <w:t>utcomes for women and babies through homebirths.</w:t>
      </w:r>
    </w:p>
    <w:p w:rsidR="005311C7" w:rsidRPr="00CB32B1" w:rsidRDefault="005311C7" w:rsidP="005311C7">
      <w:pPr>
        <w:pStyle w:val="PwCNormal"/>
      </w:pPr>
      <w:r w:rsidRPr="00CB32B1">
        <w:t>To complete the scope, a number of documents have been produced including:</w:t>
      </w:r>
    </w:p>
    <w:p w:rsidR="005311C7" w:rsidRPr="00CB32B1" w:rsidRDefault="005311C7" w:rsidP="00D02A17">
      <w:pPr>
        <w:pStyle w:val="ListBullet"/>
      </w:pPr>
      <w:r w:rsidRPr="00CB32B1">
        <w:rPr>
          <w:b/>
          <w:color w:val="DC6900" w:themeColor="text2"/>
        </w:rPr>
        <w:t>Data report:</w:t>
      </w:r>
      <w:r w:rsidRPr="00CB32B1">
        <w:t xml:space="preserve"> contains information on insurance products and quantum of cover of existing products as well as national and international claims, tribunal and court data</w:t>
      </w:r>
    </w:p>
    <w:p w:rsidR="005311C7" w:rsidRPr="00CB32B1" w:rsidRDefault="005311C7" w:rsidP="00D02A17">
      <w:pPr>
        <w:pStyle w:val="ListBullet"/>
      </w:pPr>
      <w:r w:rsidRPr="00CB32B1">
        <w:rPr>
          <w:b/>
          <w:color w:val="DC6900" w:themeColor="text2"/>
        </w:rPr>
        <w:t>Medicare report:</w:t>
      </w:r>
      <w:r w:rsidRPr="00CB32B1">
        <w:t xml:space="preserve"> contains information on Medicare Australia items that have been accessed by eligible midwives including an identification of key trends</w:t>
      </w:r>
    </w:p>
    <w:p w:rsidR="005311C7" w:rsidRPr="00CB32B1" w:rsidRDefault="005311C7" w:rsidP="00D02A17">
      <w:pPr>
        <w:pStyle w:val="ListBullet"/>
      </w:pPr>
      <w:r w:rsidRPr="00CB32B1">
        <w:rPr>
          <w:b/>
          <w:color w:val="DC6900" w:themeColor="text2"/>
        </w:rPr>
        <w:t>Final report:</w:t>
      </w:r>
      <w:r w:rsidRPr="00CB32B1">
        <w:t xml:space="preserve"> this report, the intent of which is to provide an understanding of the environment in which </w:t>
      </w:r>
      <w:r w:rsidR="00856F39">
        <w:t>PPMs</w:t>
      </w:r>
      <w:r w:rsidRPr="00CB32B1">
        <w:t xml:space="preserve"> practice that precludes the development of PII for PPMs for intrapartum care. This includes findings on outcomes from homebirths by </w:t>
      </w:r>
      <w:r w:rsidR="00727D37">
        <w:t>PPMs</w:t>
      </w:r>
      <w:r w:rsidRPr="00CB32B1">
        <w:t xml:space="preserve"> as well as findings from international PII arrangements.</w:t>
      </w:r>
    </w:p>
    <w:p w:rsidR="005311C7" w:rsidRPr="00CB32B1" w:rsidRDefault="005311C7" w:rsidP="005311C7">
      <w:pPr>
        <w:pStyle w:val="PwCNormal"/>
      </w:pPr>
      <w:r w:rsidRPr="00CB32B1">
        <w:t xml:space="preserve">In analysing the various issues described above, key findings and </w:t>
      </w:r>
      <w:r w:rsidR="005A16C9" w:rsidRPr="00CB32B1">
        <w:t>transferable</w:t>
      </w:r>
      <w:r w:rsidRPr="00CB32B1">
        <w:t xml:space="preserve"> lessons relating to the provision of PII products for PPMs were identified. The intent of this Report is to describe the role of PPMs, as well as gaps in risk or policy, and highlight areas of opportunity</w:t>
      </w:r>
      <w:r w:rsidR="003F57AE">
        <w:t xml:space="preserve"> and considerations for the NMBA to assist </w:t>
      </w:r>
      <w:r w:rsidRPr="00CB32B1">
        <w:t xml:space="preserve">the NMBA with future decision-making in relation to the exemption of PPMs from the National Law. </w:t>
      </w:r>
    </w:p>
    <w:p w:rsidR="005311C7" w:rsidRPr="00CB32B1" w:rsidRDefault="005311C7" w:rsidP="001D39C3">
      <w:pPr>
        <w:pStyle w:val="Heading6"/>
      </w:pPr>
      <w:bookmarkStart w:id="11" w:name="_Toc362975043"/>
      <w:r w:rsidRPr="00CB32B1">
        <w:t>Methodology</w:t>
      </w:r>
      <w:bookmarkEnd w:id="11"/>
    </w:p>
    <w:p w:rsidR="005311C7" w:rsidRPr="00CB32B1" w:rsidRDefault="005311C7" w:rsidP="005311C7">
      <w:pPr>
        <w:pStyle w:val="PwCNormal"/>
      </w:pPr>
      <w:r w:rsidRPr="00CB32B1">
        <w:t>This final report and its finding are based on a collection of evidence-based research made available either through public sources, or provided by stakeholders both nationally and internationally.</w:t>
      </w:r>
    </w:p>
    <w:p w:rsidR="005311C7" w:rsidRPr="00CB32B1" w:rsidRDefault="005311C7" w:rsidP="001D39C3">
      <w:pPr>
        <w:pStyle w:val="Majorheading"/>
      </w:pPr>
      <w:r w:rsidRPr="00CB32B1">
        <w:t>Stakeholder engagement</w:t>
      </w:r>
    </w:p>
    <w:p w:rsidR="005311C7" w:rsidRPr="00CB32B1" w:rsidRDefault="005311C7" w:rsidP="005311C7">
      <w:pPr>
        <w:pStyle w:val="PwCNormal"/>
      </w:pPr>
      <w:r w:rsidRPr="00CB32B1">
        <w:t xml:space="preserve">To obtain evidence for this report, wide consultations were conducted under the direction of the Policy Committee (PC) of the NMBA. Stakeholders consulted included both national and international representatives from government agencies, professional associations, </w:t>
      </w:r>
      <w:r w:rsidR="003F57AE">
        <w:t xml:space="preserve">Colleges, </w:t>
      </w:r>
      <w:r w:rsidRPr="00CB32B1">
        <w:t xml:space="preserve">academic institutions, consumer groups, regulators, insurers and practitioners. PwC would like to acknowledge and thank the organisations and individuals consulted (see </w:t>
      </w:r>
      <w:r w:rsidR="001864A9" w:rsidRPr="00CB32B1">
        <w:t>Appendix C</w:t>
      </w:r>
      <w:r w:rsidRPr="00CB32B1">
        <w:t>) for their valuable time and information.</w:t>
      </w:r>
    </w:p>
    <w:p w:rsidR="005311C7" w:rsidRPr="00CB32B1" w:rsidRDefault="005311C7" w:rsidP="001D39C3">
      <w:pPr>
        <w:pStyle w:val="Majorheading"/>
      </w:pPr>
      <w:r w:rsidRPr="00CB32B1">
        <w:t>Data collection and literature scan</w:t>
      </w:r>
    </w:p>
    <w:p w:rsidR="005311C7" w:rsidRPr="00CB32B1" w:rsidRDefault="005311C7" w:rsidP="005311C7">
      <w:pPr>
        <w:pStyle w:val="PwCNormal"/>
      </w:pPr>
      <w:r w:rsidRPr="00CB32B1">
        <w:t xml:space="preserve">Where there were gaps in data, information was collected and supplemented with independent data requests and primary data collection from a variety of sources including </w:t>
      </w:r>
      <w:r w:rsidR="00727D37">
        <w:t>PPMs</w:t>
      </w:r>
      <w:r w:rsidRPr="00CB32B1">
        <w:t>, insurers and tribunals. The data collected include:</w:t>
      </w:r>
    </w:p>
    <w:p w:rsidR="005311C7" w:rsidRPr="00CB32B1" w:rsidRDefault="005311C7" w:rsidP="001D39C3">
      <w:pPr>
        <w:pStyle w:val="ListBullet"/>
      </w:pPr>
      <w:r w:rsidRPr="00CB32B1">
        <w:rPr>
          <w:b/>
          <w:color w:val="DC6900" w:themeColor="text2"/>
        </w:rPr>
        <w:t>Claims:</w:t>
      </w:r>
      <w:r w:rsidRPr="00CB32B1">
        <w:t xml:space="preserve"> </w:t>
      </w:r>
      <w:r w:rsidR="00BB4673">
        <w:t>d</w:t>
      </w:r>
      <w:r w:rsidRPr="00CB32B1">
        <w:t>ata were requested from insurers that were known to have either offered o</w:t>
      </w:r>
      <w:r w:rsidR="00BB4673">
        <w:t>r currently provide PII product</w:t>
      </w:r>
      <w:r w:rsidRPr="00CB32B1">
        <w:t xml:space="preserve">s for PPMs in Australia and within </w:t>
      </w:r>
      <w:r w:rsidR="003F57AE">
        <w:t xml:space="preserve">the </w:t>
      </w:r>
      <w:r w:rsidRPr="00CB32B1">
        <w:t xml:space="preserve">four selected </w:t>
      </w:r>
      <w:r w:rsidR="003F57AE">
        <w:t xml:space="preserve">international </w:t>
      </w:r>
      <w:r w:rsidRPr="00CB32B1">
        <w:t>jurisdictions. Further consultations were held with representatives from insurance companies contacted to clarify</w:t>
      </w:r>
      <w:r w:rsidR="001B7232">
        <w:t xml:space="preserve"> </w:t>
      </w:r>
      <w:r w:rsidR="001D39C3" w:rsidRPr="00CB32B1">
        <w:t>findings</w:t>
      </w:r>
    </w:p>
    <w:p w:rsidR="005311C7" w:rsidRPr="00CB32B1" w:rsidRDefault="005311C7" w:rsidP="001D39C3">
      <w:pPr>
        <w:pStyle w:val="ListBullet"/>
      </w:pPr>
      <w:r w:rsidRPr="00CB32B1">
        <w:rPr>
          <w:b/>
          <w:color w:val="DC6900" w:themeColor="text2"/>
        </w:rPr>
        <w:t>Tribunals:</w:t>
      </w:r>
      <w:r w:rsidRPr="00CB32B1">
        <w:t xml:space="preserve"> </w:t>
      </w:r>
      <w:r w:rsidR="00BB4673">
        <w:t>d</w:t>
      </w:r>
      <w:r w:rsidRPr="00CB32B1">
        <w:t>ata were requested from representatives within state-based AHPRA offices, and relevant tribunals within</w:t>
      </w:r>
      <w:r w:rsidR="003F57AE">
        <w:t xml:space="preserve"> the</w:t>
      </w:r>
      <w:r w:rsidRPr="00CB32B1">
        <w:t xml:space="preserve"> four selected </w:t>
      </w:r>
      <w:r w:rsidR="003F57AE">
        <w:t xml:space="preserve">international </w:t>
      </w:r>
      <w:r w:rsidRPr="00CB32B1">
        <w:t>jurisdictions. Information was subsequently collated and analysed by PwC. Where necessary, further consultation</w:t>
      </w:r>
      <w:r w:rsidR="001D39C3" w:rsidRPr="00CB32B1">
        <w:t>s were held to clarify findings</w:t>
      </w:r>
    </w:p>
    <w:p w:rsidR="005311C7" w:rsidRPr="00CB32B1" w:rsidRDefault="005311C7" w:rsidP="001D39C3">
      <w:pPr>
        <w:pStyle w:val="ListBullet"/>
      </w:pPr>
      <w:r w:rsidRPr="00CB32B1">
        <w:rPr>
          <w:b/>
          <w:color w:val="DC6900" w:themeColor="text2"/>
        </w:rPr>
        <w:t>Courts:</w:t>
      </w:r>
      <w:r w:rsidRPr="00CB32B1">
        <w:t xml:space="preserve"> </w:t>
      </w:r>
      <w:r w:rsidR="001B7232">
        <w:t>d</w:t>
      </w:r>
      <w:r w:rsidRPr="00CB32B1">
        <w:t>ata were obtained through com</w:t>
      </w:r>
      <w:r w:rsidR="001D39C3" w:rsidRPr="00CB32B1">
        <w:t>pleting legal database searches</w:t>
      </w:r>
    </w:p>
    <w:p w:rsidR="005311C7" w:rsidRPr="00CB32B1" w:rsidRDefault="005311C7" w:rsidP="001D39C3">
      <w:pPr>
        <w:pStyle w:val="ListBullet"/>
      </w:pPr>
      <w:r w:rsidRPr="00CB32B1">
        <w:rPr>
          <w:b/>
          <w:color w:val="DC6900" w:themeColor="text2"/>
        </w:rPr>
        <w:t>Other information:</w:t>
      </w:r>
      <w:r w:rsidRPr="00CB32B1">
        <w:t xml:space="preserve"> </w:t>
      </w:r>
      <w:r w:rsidR="001B7232">
        <w:t>a</w:t>
      </w:r>
      <w:r w:rsidRPr="00CB32B1">
        <w:t>dditional information was collected to support the key findings presented within this report. Examples of sources from where data were obtained include the Australian Bureau of Statistics (ABS), the Australian Institute of Health and Welfare (AIHW) and the AIHW National Perinatal Epidemiology and Statistics Unit (NPESU).</w:t>
      </w:r>
    </w:p>
    <w:p w:rsidR="005311C7" w:rsidRPr="00CB32B1" w:rsidRDefault="005311C7" w:rsidP="005311C7">
      <w:pPr>
        <w:pStyle w:val="PwCNormal"/>
      </w:pPr>
      <w:r w:rsidRPr="00CB32B1">
        <w:t>In some cases public data were not available, or were not sufficient for the purposes of this report. In these cases either primary data collection was performed by PwC (</w:t>
      </w:r>
      <w:r w:rsidR="00854DEF" w:rsidRPr="00CB32B1">
        <w:t>eg</w:t>
      </w:r>
      <w:r w:rsidRPr="00CB32B1">
        <w:t xml:space="preserve"> through a survey), or other data sources (</w:t>
      </w:r>
      <w:r w:rsidR="00854DEF" w:rsidRPr="00CB32B1">
        <w:t>eg</w:t>
      </w:r>
      <w:r w:rsidRPr="00CB32B1">
        <w:t xml:space="preserve"> insurers, tribunals) were provided with requests for information.</w:t>
      </w:r>
    </w:p>
    <w:p w:rsidR="005311C7" w:rsidRPr="00CB32B1" w:rsidRDefault="005311C7" w:rsidP="001D39C3">
      <w:pPr>
        <w:pStyle w:val="Minorheading"/>
      </w:pPr>
      <w:r w:rsidRPr="00CB32B1">
        <w:t>Literature scan</w:t>
      </w:r>
    </w:p>
    <w:p w:rsidR="005311C7" w:rsidRPr="00CB32B1" w:rsidRDefault="005311C7" w:rsidP="005311C7">
      <w:pPr>
        <w:pStyle w:val="PwCNormal"/>
      </w:pPr>
      <w:r w:rsidRPr="00CB32B1">
        <w:t>The report seeks to</w:t>
      </w:r>
      <w:r w:rsidR="00103A9E">
        <w:t xml:space="preserve"> provide evidence through publicl</w:t>
      </w:r>
      <w:r w:rsidR="00103A9E" w:rsidRPr="00CB32B1">
        <w:t>y</w:t>
      </w:r>
      <w:r w:rsidRPr="00CB32B1">
        <w:t xml:space="preserve"> available information where possible. Our findings from this literature that relate to PII, and more specifically the outcomes from homebirth as requested in the scope of the project, have been specifically presented in the discussion in Chapter 3</w:t>
      </w:r>
      <w:r w:rsidR="00633A49">
        <w:t xml:space="preserve"> and Appendix J</w:t>
      </w:r>
      <w:r w:rsidRPr="00CB32B1">
        <w:t xml:space="preserve">. While PwC has not performed a comprehensive or academic-level review on the quality or reputation of the articles, authors or organisations that contributed to the scanned literature, the intent is that this evidence adds to the discussion, particularly to the issue of data quality, assisting in highlighting relevant considerations for assessing the risk profile of PPMs. </w:t>
      </w:r>
    </w:p>
    <w:p w:rsidR="005311C7" w:rsidRPr="00CB32B1" w:rsidRDefault="005311C7" w:rsidP="001D39C3">
      <w:pPr>
        <w:pStyle w:val="Heading6"/>
      </w:pPr>
      <w:bookmarkStart w:id="12" w:name="_Toc362975044"/>
      <w:r w:rsidRPr="00CB32B1">
        <w:t>Structure of this report</w:t>
      </w:r>
      <w:bookmarkEnd w:id="12"/>
    </w:p>
    <w:p w:rsidR="005311C7" w:rsidRPr="00CB32B1" w:rsidRDefault="005311C7" w:rsidP="005311C7">
      <w:pPr>
        <w:pStyle w:val="PwCNormal"/>
      </w:pPr>
      <w:r w:rsidRPr="00CB32B1">
        <w:t>This report is structured to provide the following information:</w:t>
      </w:r>
    </w:p>
    <w:p w:rsidR="005311C7" w:rsidRPr="00CB32B1" w:rsidRDefault="005311C7" w:rsidP="001D39C3">
      <w:pPr>
        <w:pStyle w:val="ListBullet"/>
      </w:pPr>
      <w:r w:rsidRPr="00CB32B1">
        <w:rPr>
          <w:b/>
          <w:color w:val="DC6900" w:themeColor="text2"/>
        </w:rPr>
        <w:t>Chapter 2: PII for PP</w:t>
      </w:r>
      <w:r w:rsidR="00633A49">
        <w:rPr>
          <w:b/>
          <w:color w:val="DC6900" w:themeColor="text2"/>
        </w:rPr>
        <w:t>M:</w:t>
      </w:r>
      <w:r w:rsidRPr="00CB32B1">
        <w:t xml:space="preserve"> This chapter provides the history and context of the PII industry broadly and as it specifically relates to PPMs with reference to significant events that have shaped the current state of the market. The history of PII for PPMs is also discussed, with an outline and comparis</w:t>
      </w:r>
      <w:r w:rsidR="001D39C3" w:rsidRPr="00CB32B1">
        <w:t>on of current product offerings</w:t>
      </w:r>
    </w:p>
    <w:p w:rsidR="005311C7" w:rsidRPr="00CB32B1" w:rsidRDefault="005311C7" w:rsidP="001D39C3">
      <w:pPr>
        <w:pStyle w:val="ListBullet"/>
      </w:pPr>
      <w:r w:rsidRPr="00CB32B1">
        <w:rPr>
          <w:b/>
          <w:color w:val="DC6900" w:themeColor="text2"/>
        </w:rPr>
        <w:t>Chapter 3: Impact of the PPM practice on PII product offerings</w:t>
      </w:r>
      <w:r w:rsidR="00633A49">
        <w:rPr>
          <w:b/>
          <w:color w:val="DC6900" w:themeColor="text2"/>
        </w:rPr>
        <w:t>:</w:t>
      </w:r>
      <w:r w:rsidRPr="00CB32B1">
        <w:t xml:space="preserve"> This chapter discusses the interrelationship between PII and PPMs. It outlines findings on the current factors within PPM practice and their operating environment that precludes a PII product by</w:t>
      </w:r>
      <w:r w:rsidR="00103A9E">
        <w:t xml:space="preserve"> </w:t>
      </w:r>
      <w:r w:rsidRPr="00CB32B1">
        <w:t>outlining:</w:t>
      </w:r>
    </w:p>
    <w:p w:rsidR="005311C7" w:rsidRPr="00CB32B1" w:rsidRDefault="00103A9E" w:rsidP="001D39C3">
      <w:pPr>
        <w:pStyle w:val="ListBullet2"/>
      </w:pPr>
      <w:r>
        <w:t>t</w:t>
      </w:r>
      <w:r w:rsidR="005311C7" w:rsidRPr="00CB32B1">
        <w:t>he ‘premium equation’ and the requirements of commercial insurers to develop a profitable product that is affordable to PPMs</w:t>
      </w:r>
    </w:p>
    <w:p w:rsidR="005311C7" w:rsidRPr="00CB32B1" w:rsidRDefault="00103A9E" w:rsidP="001D39C3">
      <w:pPr>
        <w:pStyle w:val="ListBullet2"/>
      </w:pPr>
      <w:r>
        <w:t>s</w:t>
      </w:r>
      <w:r w:rsidR="005311C7" w:rsidRPr="00CB32B1">
        <w:t xml:space="preserve">ix key findings relating to two key areas – the communication of practice and </w:t>
      </w:r>
      <w:r w:rsidR="00633A49">
        <w:t xml:space="preserve">available data, and </w:t>
      </w:r>
      <w:r w:rsidR="005311C7" w:rsidRPr="00CB32B1">
        <w:t>the inherent limitations in PPM practice that to varying degrees impact at present upon</w:t>
      </w:r>
      <w:r>
        <w:t xml:space="preserve"> PII for PPM</w:t>
      </w:r>
      <w:r w:rsidR="00705CE0" w:rsidRPr="00CB32B1">
        <w:t>s</w:t>
      </w:r>
      <w:r>
        <w:t>’</w:t>
      </w:r>
      <w:r w:rsidR="00705CE0" w:rsidRPr="00CB32B1">
        <w:t xml:space="preserve"> intrapartum care</w:t>
      </w:r>
    </w:p>
    <w:p w:rsidR="005311C7" w:rsidRPr="00CB32B1" w:rsidRDefault="005311C7" w:rsidP="001D39C3">
      <w:pPr>
        <w:pStyle w:val="ListBullet"/>
      </w:pPr>
      <w:r w:rsidRPr="00CB32B1">
        <w:rPr>
          <w:b/>
          <w:color w:val="DC6900" w:themeColor="text2"/>
        </w:rPr>
        <w:t xml:space="preserve">Chapter 4: Practice of homebirths internationally and </w:t>
      </w:r>
      <w:r w:rsidR="005A16C9" w:rsidRPr="00CB32B1">
        <w:rPr>
          <w:b/>
          <w:color w:val="DC6900" w:themeColor="text2"/>
        </w:rPr>
        <w:t>transferable</w:t>
      </w:r>
      <w:r w:rsidRPr="00CB32B1">
        <w:rPr>
          <w:b/>
          <w:color w:val="DC6900" w:themeColor="text2"/>
        </w:rPr>
        <w:t xml:space="preserve"> lessons</w:t>
      </w:r>
      <w:r w:rsidR="00633A49">
        <w:rPr>
          <w:b/>
          <w:color w:val="DC6900" w:themeColor="text2"/>
        </w:rPr>
        <w:t>:</w:t>
      </w:r>
      <w:r w:rsidRPr="00CB32B1">
        <w:t xml:space="preserve"> This chapter outlines the practice of PPM and PII arrangements with a selection of international case studies, England in the United Kingdom, the province of Ontario in Canada, the Netherlands and New Zealand, highlighting lessons that</w:t>
      </w:r>
      <w:r w:rsidR="001D39C3" w:rsidRPr="00CB32B1">
        <w:t xml:space="preserve"> are </w:t>
      </w:r>
      <w:r w:rsidR="005A16C9" w:rsidRPr="00CB32B1">
        <w:t>transferable</w:t>
      </w:r>
      <w:r w:rsidR="001D39C3" w:rsidRPr="00CB32B1">
        <w:t xml:space="preserve"> to Australia</w:t>
      </w:r>
    </w:p>
    <w:p w:rsidR="005311C7" w:rsidRPr="00CB32B1" w:rsidRDefault="005311C7" w:rsidP="001D39C3">
      <w:pPr>
        <w:pStyle w:val="ListBullet"/>
      </w:pPr>
      <w:r w:rsidRPr="00CB32B1">
        <w:rPr>
          <w:b/>
          <w:color w:val="DC6900" w:themeColor="text2"/>
        </w:rPr>
        <w:t>Chapter 5: Considerations and next steps</w:t>
      </w:r>
      <w:r w:rsidR="00633A49">
        <w:rPr>
          <w:b/>
          <w:color w:val="DC6900" w:themeColor="text2"/>
        </w:rPr>
        <w:t>:</w:t>
      </w:r>
      <w:r w:rsidRPr="00CB32B1">
        <w:t xml:space="preserve"> Based on our findings, this chapter provides the NMBA with considerations for reso</w:t>
      </w:r>
      <w:r w:rsidR="001D39C3" w:rsidRPr="00CB32B1">
        <w:t>lving the issue of PII for PPMs</w:t>
      </w:r>
    </w:p>
    <w:p w:rsidR="00A05298" w:rsidRPr="00CB32B1" w:rsidRDefault="005311C7" w:rsidP="001D39C3">
      <w:pPr>
        <w:pStyle w:val="ListBullet"/>
      </w:pPr>
      <w:r w:rsidRPr="00CB32B1">
        <w:rPr>
          <w:b/>
          <w:color w:val="DC6900" w:themeColor="text2"/>
        </w:rPr>
        <w:t>Appendices</w:t>
      </w:r>
      <w:r w:rsidR="00633A49">
        <w:rPr>
          <w:b/>
          <w:color w:val="DC6900" w:themeColor="text2"/>
        </w:rPr>
        <w:t>:</w:t>
      </w:r>
      <w:r w:rsidRPr="00CB32B1">
        <w:t xml:space="preserve"> A range of appendices provide further detail and information relating to the body of the report.</w:t>
      </w:r>
    </w:p>
    <w:p w:rsidR="00A05298" w:rsidRPr="00CB32B1" w:rsidRDefault="00A05298" w:rsidP="00506338">
      <w:pPr>
        <w:pStyle w:val="FirstPagePanelFrame"/>
        <w:framePr w:wrap="notBeside"/>
        <w:rPr>
          <w:lang w:val="en-AU"/>
        </w:rPr>
      </w:pPr>
    </w:p>
    <w:p w:rsidR="00506338" w:rsidRPr="00CB32B1" w:rsidRDefault="00506338" w:rsidP="00506338">
      <w:pPr>
        <w:pStyle w:val="Heading2"/>
      </w:pPr>
      <w:bookmarkStart w:id="13" w:name="_Toc362975045"/>
      <w:r w:rsidRPr="00CB32B1">
        <w:t xml:space="preserve">Professional indemnity insurance for </w:t>
      </w:r>
      <w:r w:rsidR="00B24A6C" w:rsidRPr="00CB32B1">
        <w:t>PPMs</w:t>
      </w:r>
      <w:bookmarkEnd w:id="13"/>
    </w:p>
    <w:p w:rsidR="0023401D" w:rsidRPr="00CB32B1" w:rsidRDefault="0023401D" w:rsidP="0023401D">
      <w:pPr>
        <w:pStyle w:val="PwCNormal"/>
      </w:pPr>
      <w:r w:rsidRPr="00CB32B1">
        <w:t xml:space="preserve">The following section describes the historical factors that have affected the insurance market for </w:t>
      </w:r>
      <w:r w:rsidR="00633A49">
        <w:t>privately practising midwives</w:t>
      </w:r>
      <w:r w:rsidRPr="00CB32B1">
        <w:t xml:space="preserve"> in Australia. P</w:t>
      </w:r>
      <w:r w:rsidR="00633A49">
        <w:t>rofessional indemnity insurance</w:t>
      </w:r>
      <w:r w:rsidRPr="00CB32B1">
        <w:t xml:space="preserve"> products were withdrawn from the market for independently practising maternity service providers. When PII products were reintroduced, these excluded intrapartum care for PPMs. At the same time the Commonwealth Government PII scheme for obstetricians was not offered to midwives in private practi</w:t>
      </w:r>
      <w:r w:rsidR="00452B94">
        <w:t>c</w:t>
      </w:r>
      <w:r w:rsidRPr="00CB32B1">
        <w:t>e.</w:t>
      </w:r>
    </w:p>
    <w:p w:rsidR="0023401D" w:rsidRPr="00CB32B1" w:rsidRDefault="0023401D" w:rsidP="0023401D">
      <w:pPr>
        <w:pStyle w:val="Heading6"/>
      </w:pPr>
      <w:bookmarkStart w:id="14" w:name="_Toc362975046"/>
      <w:r w:rsidRPr="00CB32B1">
        <w:t>P</w:t>
      </w:r>
      <w:r w:rsidR="00633A49">
        <w:t xml:space="preserve">rofessional indemnity insurance </w:t>
      </w:r>
      <w:r w:rsidRPr="00CB32B1">
        <w:t>defined</w:t>
      </w:r>
      <w:bookmarkEnd w:id="14"/>
    </w:p>
    <w:p w:rsidR="0023401D" w:rsidRPr="00CB32B1" w:rsidRDefault="00E25231" w:rsidP="0023401D">
      <w:pPr>
        <w:pStyle w:val="PwCNormal"/>
      </w:pPr>
      <w:r>
        <w:t>P</w:t>
      </w:r>
      <w:r w:rsidR="00633A49">
        <w:t>rofessional indemnity insurance</w:t>
      </w:r>
      <w:r w:rsidR="0023401D" w:rsidRPr="00CB32B1">
        <w:t xml:space="preserve"> is a form of liability insurance necessary to indemnify health practitioners or institutions for financial loss arising from actions brought against them as a result of the performance of their professional duties.</w:t>
      </w:r>
      <w:r w:rsidR="0023401D" w:rsidRPr="00CB32B1">
        <w:rPr>
          <w:rStyle w:val="FootnoteReference"/>
        </w:rPr>
        <w:footnoteReference w:id="15"/>
      </w:r>
      <w:r w:rsidR="0023401D" w:rsidRPr="00CB32B1">
        <w:t xml:space="preserve"> Negligence is an example of an action (or lack of action) where a duty of care is believed to have been breached, directly resulting in adverse outcomes. As a result, those affected may seek payments for damages and losses suffered due to a problem with a service, if it could have been reasonably foreseen. Compensation is designed to reinstate the person/s affected to their position should the adverse event not have arisen.</w:t>
      </w:r>
    </w:p>
    <w:p w:rsidR="0023401D" w:rsidRPr="00CB32B1" w:rsidRDefault="0023401D" w:rsidP="0023401D">
      <w:pPr>
        <w:pStyle w:val="PwCNormal"/>
      </w:pPr>
      <w:r w:rsidRPr="00CB32B1">
        <w:t xml:space="preserve">Under the National Law, all health professionals are required to hold </w:t>
      </w:r>
      <w:r w:rsidR="00E25231">
        <w:t>PII</w:t>
      </w:r>
      <w:r w:rsidRPr="00CB32B1">
        <w:t xml:space="preserve"> prior to practising. Individuals employed by health services may not be required to purchase separate PII cover. This is because the insurance products held by health services generally cover negligent actions of the institution and of its employees (through vicarious liability). This cover is obtained either through commercial insurers, or in the case of public State and Territory services, through self-insurance arrangements including Treasury Managed Funds (TMFs).</w:t>
      </w:r>
    </w:p>
    <w:p w:rsidR="0023401D" w:rsidRPr="00CB32B1" w:rsidRDefault="0023401D" w:rsidP="0023401D">
      <w:pPr>
        <w:pStyle w:val="PwCNormal"/>
      </w:pPr>
      <w:r w:rsidRPr="00CB32B1">
        <w:t xml:space="preserve">In contrast, those health professionals that are not covered by, or do not have employers, need to purchase individual PII products from commercial insurers to meet National Law requirements. As </w:t>
      </w:r>
      <w:r w:rsidR="00727D37">
        <w:t>PPMs</w:t>
      </w:r>
      <w:r w:rsidRPr="00CB32B1">
        <w:t xml:space="preserve"> fall into this cohort, the focus of this report is on those insurance products and the regulatory system in which they function.</w:t>
      </w:r>
    </w:p>
    <w:p w:rsidR="0023401D" w:rsidRPr="00CB32B1" w:rsidRDefault="00633A49" w:rsidP="0023401D">
      <w:pPr>
        <w:pStyle w:val="Heading6"/>
      </w:pPr>
      <w:bookmarkStart w:id="15" w:name="_Toc362975047"/>
      <w:r>
        <w:t>History of professional indemnity insurance</w:t>
      </w:r>
      <w:bookmarkEnd w:id="15"/>
    </w:p>
    <w:p w:rsidR="0023401D" w:rsidRPr="00CB32B1" w:rsidRDefault="0023401D" w:rsidP="0023401D">
      <w:pPr>
        <w:pStyle w:val="PwCNormal"/>
      </w:pPr>
      <w:r w:rsidRPr="00CB32B1">
        <w:t xml:space="preserve">The history of current </w:t>
      </w:r>
      <w:r w:rsidR="00E25231">
        <w:t>PII</w:t>
      </w:r>
      <w:r w:rsidRPr="00CB32B1">
        <w:t xml:space="preserve"> products on offer to PPMs provides important context for understanding the evidence upon which previous reforms were based and points to potential areas for future changes. Inherent deficiencies identified in the structure and operations of past indemnity providers and the subsequent collapse of the market in 2001 have been identified by stakeholders as pivotal in shaping the current industry.</w:t>
      </w:r>
    </w:p>
    <w:p w:rsidR="0023401D" w:rsidRPr="00CB32B1" w:rsidRDefault="0023401D" w:rsidP="00B24A6C">
      <w:pPr>
        <w:pStyle w:val="PwCNormal"/>
      </w:pPr>
      <w:r w:rsidRPr="00CB32B1">
        <w:t>In short, the industry has transitioned from an unregu</w:t>
      </w:r>
      <w:r w:rsidR="00802358">
        <w:t>lated market with discretionary-</w:t>
      </w:r>
      <w:r w:rsidRPr="00CB32B1">
        <w:t xml:space="preserve">based product fees and benefits, to one with a relatively stronger regulatory framework. As a result, the market became better managed providing greater certainty and protections for the public and their ability to have claims paid out. Conversely, it also appears that this has led to companies being more conscious of risk and potential market opportunities. This appears to have led to a greater emphasis being placed on commercial decisions having a direct impact on access of PII for PPMs for intrapartum care. An outline of the key events shaping this history is provided in </w:t>
      </w:r>
      <w:r w:rsidR="009129A6" w:rsidRPr="00CB32B1">
        <w:fldChar w:fldCharType="begin"/>
      </w:r>
      <w:r w:rsidR="00EB2051" w:rsidRPr="00CB32B1">
        <w:instrText xml:space="preserve"> REF _Ref361223511 \h </w:instrText>
      </w:r>
      <w:r w:rsidR="009129A6" w:rsidRPr="00CB32B1">
        <w:fldChar w:fldCharType="separate"/>
      </w:r>
      <w:r w:rsidR="008816B4" w:rsidRPr="00CB32B1">
        <w:t xml:space="preserve">Figure </w:t>
      </w:r>
      <w:r w:rsidR="008816B4">
        <w:rPr>
          <w:noProof/>
        </w:rPr>
        <w:t>4</w:t>
      </w:r>
      <w:r w:rsidR="009129A6" w:rsidRPr="00CB32B1">
        <w:fldChar w:fldCharType="end"/>
      </w:r>
      <w:r w:rsidRPr="00CB32B1">
        <w:t>.</w:t>
      </w:r>
    </w:p>
    <w:p w:rsidR="00A572D9" w:rsidRPr="00CB32B1" w:rsidRDefault="00A572D9" w:rsidP="00270634">
      <w:pPr>
        <w:pStyle w:val="NumericCaption"/>
      </w:pPr>
      <w:bookmarkStart w:id="16" w:name="_Ref361223511"/>
      <w:r w:rsidRPr="00CB32B1">
        <w:t xml:space="preserve">Figure </w:t>
      </w:r>
      <w:r w:rsidR="009129A6">
        <w:fldChar w:fldCharType="begin"/>
      </w:r>
      <w:r w:rsidR="00DF5BC2">
        <w:instrText xml:space="preserve"> SEQ Figure \* ARABIC </w:instrText>
      </w:r>
      <w:r w:rsidR="009129A6">
        <w:fldChar w:fldCharType="separate"/>
      </w:r>
      <w:r w:rsidR="008816B4">
        <w:rPr>
          <w:noProof/>
        </w:rPr>
        <w:t>4</w:t>
      </w:r>
      <w:r w:rsidR="009129A6">
        <w:fldChar w:fldCharType="end"/>
      </w:r>
      <w:bookmarkEnd w:id="16"/>
      <w:r w:rsidRPr="00CB32B1">
        <w:t>: Key events in the PII industry within Australia</w:t>
      </w:r>
    </w:p>
    <w:p w:rsidR="00F21B45" w:rsidRPr="00CB32B1" w:rsidRDefault="003A7B3C" w:rsidP="00217A84">
      <w:pPr>
        <w:pStyle w:val="PwCNormal"/>
      </w:pPr>
      <w:r w:rsidRPr="00CB32B1">
        <w:rPr>
          <w:noProof/>
          <w:lang w:val="en-US"/>
        </w:rPr>
        <w:drawing>
          <wp:inline distT="0" distB="0" distL="0" distR="0">
            <wp:extent cx="5760720" cy="3391205"/>
            <wp:effectExtent l="1905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srcRect/>
                    <a:stretch>
                      <a:fillRect/>
                    </a:stretch>
                  </pic:blipFill>
                  <pic:spPr bwMode="auto">
                    <a:xfrm>
                      <a:off x="0" y="0"/>
                      <a:ext cx="5760720" cy="3391205"/>
                    </a:xfrm>
                    <a:prstGeom prst="rect">
                      <a:avLst/>
                    </a:prstGeom>
                    <a:noFill/>
                    <a:ln w="9525">
                      <a:noFill/>
                      <a:miter lim="800000"/>
                      <a:headEnd/>
                      <a:tailEnd/>
                    </a:ln>
                  </pic:spPr>
                </pic:pic>
              </a:graphicData>
            </a:graphic>
          </wp:inline>
        </w:drawing>
      </w:r>
    </w:p>
    <w:p w:rsidR="0023401D" w:rsidRPr="00CB32B1" w:rsidRDefault="0023401D" w:rsidP="0023401D">
      <w:pPr>
        <w:pStyle w:val="Majorheading"/>
      </w:pPr>
      <w:r w:rsidRPr="00CB32B1">
        <w:t>Early years: Medical Defence Organisations – unregulated and unstable</w:t>
      </w:r>
    </w:p>
    <w:p w:rsidR="0023401D" w:rsidRPr="00CB32B1" w:rsidRDefault="0023401D" w:rsidP="0023401D">
      <w:pPr>
        <w:pStyle w:val="PwCNormal"/>
      </w:pPr>
      <w:r w:rsidRPr="00CB32B1">
        <w:t>The industry has evolved from when the first Medical Defence Organisation (MDO) was established in 1893.</w:t>
      </w:r>
      <w:r w:rsidRPr="00CB32B1">
        <w:rPr>
          <w:rStyle w:val="FootnoteReference"/>
        </w:rPr>
        <w:footnoteReference w:id="16"/>
      </w:r>
      <w:r w:rsidRPr="00CB32B1">
        <w:t xml:space="preserve"> As the increasing incidence and size of claims</w:t>
      </w:r>
      <w:r w:rsidR="00802358">
        <w:t xml:space="preserve"> </w:t>
      </w:r>
      <w:r w:rsidRPr="00CB32B1">
        <w:t xml:space="preserve">made in Australia shifted over time, weaknesses in the market were exposed particularly in MDO operations and their products. While from research </w:t>
      </w:r>
      <w:r w:rsidR="00802358">
        <w:t>undertaken</w:t>
      </w:r>
      <w:r w:rsidRPr="00CB32B1">
        <w:t xml:space="preserve"> it is apparent that MDOs did not provide PPMs with PII products, the impact of MDO operations influenced and shaped the PII market, and its subsequent collapse affected the offering of PII for PPMs.</w:t>
      </w:r>
    </w:p>
    <w:p w:rsidR="0023401D" w:rsidRPr="00CB32B1" w:rsidRDefault="0023401D" w:rsidP="0023401D">
      <w:pPr>
        <w:pStyle w:val="Minorheading"/>
      </w:pPr>
      <w:r w:rsidRPr="00CB32B1">
        <w:t>Regulation</w:t>
      </w:r>
    </w:p>
    <w:p w:rsidR="0023401D" w:rsidRPr="00CB32B1" w:rsidRDefault="0023401D" w:rsidP="0023401D">
      <w:pPr>
        <w:pStyle w:val="PwCNormal"/>
      </w:pPr>
      <w:r w:rsidRPr="00CB32B1">
        <w:t xml:space="preserve">Initially, by providing discretionary products, MDOs were not classified as insurance companies and therefore were not required to adhere to the requirements of regulatory prudential bodies or legislation including the </w:t>
      </w:r>
      <w:r w:rsidRPr="00633A49">
        <w:rPr>
          <w:i/>
        </w:rPr>
        <w:t>Insurance Act 1973</w:t>
      </w:r>
      <w:r w:rsidRPr="00CB32B1">
        <w:t>.</w:t>
      </w:r>
      <w:r w:rsidR="00802358" w:rsidRPr="00CB32B1">
        <w:rPr>
          <w:rStyle w:val="FootnoteReference"/>
        </w:rPr>
        <w:footnoteReference w:id="17"/>
      </w:r>
      <w:r w:rsidRPr="00CB32B1">
        <w:t xml:space="preserve"> Without regulation, there was no oversight of the financial management of the organisations or the adequacy of the products offered, and government bodies at the time had limited power to influence their practises.</w:t>
      </w:r>
    </w:p>
    <w:p w:rsidR="0023401D" w:rsidRPr="00CB32B1" w:rsidRDefault="0023401D" w:rsidP="0023401D">
      <w:pPr>
        <w:pStyle w:val="Minorheading"/>
      </w:pPr>
      <w:r w:rsidRPr="00CB32B1">
        <w:t>Products</w:t>
      </w:r>
    </w:p>
    <w:p w:rsidR="0023401D" w:rsidRPr="00CB32B1" w:rsidRDefault="0023401D" w:rsidP="0023401D">
      <w:pPr>
        <w:pStyle w:val="PwCNormal"/>
      </w:pPr>
      <w:r w:rsidRPr="00CB32B1">
        <w:t>Without insurance in its more commercial form, there was little protection for members against premium rises or calls (in which additional subscriptions were charged) by MDOs for additional funds. This occurred consistently in the early 2000s. In terms of payments, health professionals had no contractual right to be indemnified by MDOs meaning that MDOs retained discretion over any payments made.</w:t>
      </w:r>
      <w:r w:rsidRPr="00CB32B1">
        <w:rPr>
          <w:rStyle w:val="FootnoteReference"/>
        </w:rPr>
        <w:footnoteReference w:id="18"/>
      </w:r>
    </w:p>
    <w:p w:rsidR="0023401D" w:rsidRPr="00CB32B1" w:rsidRDefault="0023401D" w:rsidP="0023401D">
      <w:pPr>
        <w:pStyle w:val="PwCNormal"/>
      </w:pPr>
      <w:r w:rsidRPr="00CB32B1">
        <w:t>Uncertainty about the sufficiency of funds collected by MDOs was exacerbated by cross-subsidisation and claims-incurred</w:t>
      </w:r>
      <w:r w:rsidR="006314E0" w:rsidRPr="00CB32B1">
        <w:rPr>
          <w:rStyle w:val="FootnoteReference"/>
        </w:rPr>
        <w:footnoteReference w:id="19"/>
      </w:r>
      <w:r w:rsidRPr="00CB32B1">
        <w:t xml:space="preserve"> products.</w:t>
      </w:r>
      <w:r w:rsidR="00802358" w:rsidRPr="00802358">
        <w:rPr>
          <w:rStyle w:val="FootnoteReference"/>
        </w:rPr>
        <w:t xml:space="preserve"> </w:t>
      </w:r>
      <w:r w:rsidRPr="00CB32B1">
        <w:t>Until the mid 1980s, cross-subsidisation between professions occurred, as all members in an MDO paid the same subscription regardless of their risk or profession.</w:t>
      </w:r>
      <w:r w:rsidRPr="00CB32B1">
        <w:rPr>
          <w:rStyle w:val="FootnoteReference"/>
        </w:rPr>
        <w:footnoteReference w:id="20"/>
      </w:r>
      <w:r w:rsidRPr="00CB32B1">
        <w:t xml:space="preserve"> Provisioning for future payments, where the timing and extent of the payments to be made was </w:t>
      </w:r>
      <w:r w:rsidR="00802358" w:rsidRPr="00CB32B1">
        <w:t>unknown</w:t>
      </w:r>
      <w:r w:rsidR="00A63354">
        <w:t>,</w:t>
      </w:r>
      <w:r w:rsidRPr="00CB32B1">
        <w:t xml:space="preserve"> meant that current members subsidised previous members for potential claims. The result was that in 1994, it was believed that the industry had unfunded liabilities of approximately $240 million.</w:t>
      </w:r>
      <w:r w:rsidRPr="00CB32B1">
        <w:rPr>
          <w:rStyle w:val="FootnoteReference"/>
        </w:rPr>
        <w:footnoteReference w:id="21"/>
      </w:r>
      <w:r w:rsidRPr="00CB32B1">
        <w:t xml:space="preserve"> </w:t>
      </w:r>
    </w:p>
    <w:p w:rsidR="0023401D" w:rsidRPr="00CB32B1" w:rsidRDefault="0023401D" w:rsidP="0023401D">
      <w:pPr>
        <w:pStyle w:val="Majorheading"/>
      </w:pPr>
      <w:r w:rsidRPr="00CB32B1">
        <w:t>The ‘claims crisis’ and legislative reforms</w:t>
      </w:r>
    </w:p>
    <w:p w:rsidR="0023401D" w:rsidRPr="00CB32B1" w:rsidRDefault="0023401D" w:rsidP="0023401D">
      <w:pPr>
        <w:pStyle w:val="PwCNormal"/>
      </w:pPr>
      <w:r w:rsidRPr="00CB32B1">
        <w:t>In 1991 the Commonwealth Government commissioned a review into indemnity arrangements. This was driven by multiple factors including:</w:t>
      </w:r>
    </w:p>
    <w:p w:rsidR="0023401D" w:rsidRPr="00CB32B1" w:rsidRDefault="00802358" w:rsidP="0023401D">
      <w:pPr>
        <w:pStyle w:val="ListBullet"/>
      </w:pPr>
      <w:r>
        <w:t>i</w:t>
      </w:r>
      <w:r w:rsidR="0023401D" w:rsidRPr="00CB32B1">
        <w:t>ncreased scrutiny over MDOs and the adequacy of their products and financial management</w:t>
      </w:r>
    </w:p>
    <w:p w:rsidR="0023401D" w:rsidRPr="00CB32B1" w:rsidRDefault="00802358" w:rsidP="0023401D">
      <w:pPr>
        <w:pStyle w:val="ListBullet"/>
      </w:pPr>
      <w:r>
        <w:t>t</w:t>
      </w:r>
      <w:r w:rsidR="0023401D" w:rsidRPr="00CB32B1">
        <w:t>he funding of liabilities from claims-incurred cover products</w:t>
      </w:r>
    </w:p>
    <w:p w:rsidR="0023401D" w:rsidRPr="00CB32B1" w:rsidRDefault="00802358" w:rsidP="0023401D">
      <w:pPr>
        <w:pStyle w:val="ListBullet"/>
      </w:pPr>
      <w:r>
        <w:t>p</w:t>
      </w:r>
      <w:r w:rsidR="0023401D" w:rsidRPr="00CB32B1">
        <w:t>erceived lack of transparency of the industry</w:t>
      </w:r>
    </w:p>
    <w:p w:rsidR="00506338" w:rsidRPr="00CB32B1" w:rsidRDefault="00802358" w:rsidP="0023401D">
      <w:pPr>
        <w:pStyle w:val="ListBullet"/>
      </w:pPr>
      <w:r>
        <w:t>a</w:t>
      </w:r>
      <w:r w:rsidR="0023401D" w:rsidRPr="00CB32B1">
        <w:t xml:space="preserve"> ‘claims crisis’ in which it was perceived that there was an increasing number of claims.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680"/>
        <w:gridCol w:w="342"/>
        <w:gridCol w:w="3266"/>
      </w:tblGrid>
      <w:tr w:rsidR="0093392E" w:rsidRPr="00CB32B1" w:rsidTr="0093392E">
        <w:tc>
          <w:tcPr>
            <w:tcW w:w="5680" w:type="dxa"/>
          </w:tcPr>
          <w:p w:rsidR="0093392E" w:rsidRPr="00CB32B1" w:rsidRDefault="006314E0" w:rsidP="0093392E">
            <w:pPr>
              <w:pStyle w:val="Minorheading"/>
            </w:pPr>
            <w:r>
              <w:t xml:space="preserve">The Tito </w:t>
            </w:r>
            <w:r w:rsidR="0093392E" w:rsidRPr="00CB32B1">
              <w:t>report</w:t>
            </w:r>
          </w:p>
          <w:p w:rsidR="0093392E" w:rsidRPr="00CB32B1" w:rsidRDefault="0093392E" w:rsidP="0093392E">
            <w:pPr>
              <w:pStyle w:val="TableTextNormal"/>
            </w:pPr>
            <w:r w:rsidRPr="00CB32B1">
              <w:t xml:space="preserve">Released in November 1995, </w:t>
            </w:r>
            <w:r w:rsidRPr="00A63354">
              <w:rPr>
                <w:i/>
              </w:rPr>
              <w:t>The Review of the Professional Indemnity Arrangements for Health Care Professionals</w:t>
            </w:r>
            <w:r w:rsidRPr="00CB32B1">
              <w:t xml:space="preserve">, or the ‘Tito report’, was the first key investigation into the indemnity industry. </w:t>
            </w:r>
          </w:p>
          <w:p w:rsidR="0093392E" w:rsidRPr="00CB32B1" w:rsidRDefault="0093392E" w:rsidP="0093392E">
            <w:pPr>
              <w:pStyle w:val="TableTextNormal"/>
            </w:pPr>
            <w:r w:rsidRPr="00CB32B1">
              <w:t xml:space="preserve">While some MDOs followed recommendations within the report </w:t>
            </w:r>
            <w:r w:rsidR="000B7161" w:rsidRPr="00CB32B1">
              <w:t>(</w:t>
            </w:r>
            <w:r w:rsidRPr="00CB32B1">
              <w:t>for example, moved to claims-made</w:t>
            </w:r>
            <w:r w:rsidRPr="00CB32B1">
              <w:rPr>
                <w:rStyle w:val="FootnoteReference"/>
              </w:rPr>
              <w:footnoteReference w:id="22"/>
            </w:r>
            <w:r w:rsidRPr="00CB32B1">
              <w:t xml:space="preserve"> cover in 1997</w:t>
            </w:r>
            <w:r w:rsidR="000B7161" w:rsidRPr="00CB32B1">
              <w:t>)</w:t>
            </w:r>
            <w:r w:rsidRPr="00CB32B1">
              <w:t>, the majority continued to increase premiums or require members to pay additional levies. This was to improve their funds pool that had been depleted from sluggish global market conditions and a perceived “explosion of medical negligence litigation” during the late 1990s and 2000s.</w:t>
            </w:r>
            <w:r w:rsidRPr="00CB32B1">
              <w:rPr>
                <w:rStyle w:val="FootnoteReference"/>
              </w:rPr>
              <w:footnoteReference w:id="23"/>
            </w:r>
          </w:p>
          <w:p w:rsidR="0093392E" w:rsidRPr="00CB32B1" w:rsidRDefault="000B7161" w:rsidP="000B7161">
            <w:pPr>
              <w:pStyle w:val="TableTextNormal"/>
            </w:pPr>
            <w:r w:rsidRPr="00CB32B1">
              <w:t xml:space="preserve">While many recommendations were subsequently employed through legislative reforms following the 2001 insurance market ‘collapse’, several remain outstanding today. An example of relevant key recommendations or commentary to the current issue of PII for PPM is outlined in </w:t>
            </w:r>
            <w:r w:rsidR="009129A6" w:rsidRPr="00CB32B1">
              <w:fldChar w:fldCharType="begin"/>
            </w:r>
            <w:r w:rsidRPr="00CB32B1">
              <w:instrText xml:space="preserve"> REF _Ref361223686 \h </w:instrText>
            </w:r>
            <w:r w:rsidR="009129A6" w:rsidRPr="00CB32B1">
              <w:fldChar w:fldCharType="separate"/>
            </w:r>
            <w:r w:rsidR="008816B4" w:rsidRPr="00CB32B1">
              <w:t xml:space="preserve">Table </w:t>
            </w:r>
            <w:r w:rsidR="008816B4">
              <w:rPr>
                <w:noProof/>
              </w:rPr>
              <w:t>1</w:t>
            </w:r>
            <w:r w:rsidR="009129A6" w:rsidRPr="00CB32B1">
              <w:fldChar w:fldCharType="end"/>
            </w:r>
            <w:r w:rsidRPr="00CB32B1">
              <w:t>.</w:t>
            </w:r>
          </w:p>
        </w:tc>
        <w:tc>
          <w:tcPr>
            <w:tcW w:w="342" w:type="dxa"/>
          </w:tcPr>
          <w:p w:rsidR="0093392E" w:rsidRPr="00CB32B1" w:rsidRDefault="0093392E" w:rsidP="0093392E">
            <w:pPr>
              <w:pStyle w:val="TableTextNormal"/>
            </w:pPr>
          </w:p>
        </w:tc>
        <w:tc>
          <w:tcPr>
            <w:tcW w:w="3266" w:type="dxa"/>
            <w:shd w:val="clear" w:color="auto" w:fill="DC6900" w:themeFill="text2"/>
            <w:vAlign w:val="center"/>
          </w:tcPr>
          <w:p w:rsidR="0093392E" w:rsidRPr="00802358" w:rsidRDefault="0093392E" w:rsidP="0093392E">
            <w:pPr>
              <w:pStyle w:val="TableTextNormal"/>
              <w:rPr>
                <w:b/>
                <w:i/>
                <w:color w:val="FFFFFF" w:themeColor="background1"/>
              </w:rPr>
            </w:pPr>
            <w:r w:rsidRPr="00802358">
              <w:rPr>
                <w:b/>
                <w:i/>
                <w:color w:val="FFFFFF" w:themeColor="background1"/>
              </w:rPr>
              <w:t>“I don’t think the medical community or the political groups involved at the time could see far enough ahead to realise that Fiona [Tito] was trying to provide answers to a problem that was bigger than we all realised at that time… the medical litigation crisis that we’re facing now [in 2002] would be a lot different if a number of the recommendations that she’d made earlier in the piece had been taken more seriously.”</w:t>
            </w:r>
          </w:p>
          <w:p w:rsidR="0093392E" w:rsidRPr="00CB32B1" w:rsidRDefault="0093392E" w:rsidP="0083432B">
            <w:pPr>
              <w:pStyle w:val="TableTextNormal"/>
              <w:spacing w:before="40" w:after="40"/>
              <w:jc w:val="right"/>
              <w:rPr>
                <w:i/>
                <w:sz w:val="16"/>
                <w:szCs w:val="16"/>
              </w:rPr>
            </w:pPr>
            <w:r w:rsidRPr="00CB32B1">
              <w:rPr>
                <w:i/>
                <w:color w:val="FFFFFF" w:themeColor="background1"/>
                <w:sz w:val="16"/>
                <w:szCs w:val="16"/>
              </w:rPr>
              <w:t xml:space="preserve">Prof Bruce Barraclough, </w:t>
            </w:r>
            <w:r w:rsidR="000B7161" w:rsidRPr="00CB32B1">
              <w:rPr>
                <w:i/>
                <w:color w:val="FFFFFF" w:themeColor="background1"/>
                <w:sz w:val="16"/>
                <w:szCs w:val="16"/>
              </w:rPr>
              <w:t xml:space="preserve">Previous </w:t>
            </w:r>
            <w:r w:rsidRPr="00CB32B1">
              <w:rPr>
                <w:i/>
                <w:color w:val="FFFFFF" w:themeColor="background1"/>
                <w:sz w:val="16"/>
                <w:szCs w:val="16"/>
              </w:rPr>
              <w:t>Chair, Australian Council for Sa</w:t>
            </w:r>
            <w:r w:rsidR="000B7161" w:rsidRPr="00CB32B1">
              <w:rPr>
                <w:i/>
                <w:color w:val="FFFFFF" w:themeColor="background1"/>
                <w:sz w:val="16"/>
                <w:szCs w:val="16"/>
              </w:rPr>
              <w:t xml:space="preserve">fety and Quality in Health Care </w:t>
            </w:r>
            <w:r w:rsidRPr="00CB32B1">
              <w:rPr>
                <w:i/>
                <w:color w:val="FFFFFF" w:themeColor="background1"/>
                <w:sz w:val="16"/>
                <w:szCs w:val="16"/>
              </w:rPr>
              <w:t>(Australian Doctor, 2002)</w:t>
            </w:r>
          </w:p>
        </w:tc>
      </w:tr>
      <w:tr w:rsidR="0093392E" w:rsidRPr="00CB32B1" w:rsidTr="0093392E">
        <w:trPr>
          <w:trHeight w:hRule="exact" w:val="86"/>
        </w:trPr>
        <w:tc>
          <w:tcPr>
            <w:tcW w:w="5680" w:type="dxa"/>
          </w:tcPr>
          <w:p w:rsidR="0093392E" w:rsidRPr="00CB32B1" w:rsidRDefault="0093392E" w:rsidP="0093392E">
            <w:pPr>
              <w:pStyle w:val="TableTextNormal"/>
            </w:pPr>
          </w:p>
        </w:tc>
        <w:tc>
          <w:tcPr>
            <w:tcW w:w="342" w:type="dxa"/>
            <w:shd w:val="clear" w:color="auto" w:fill="DC6900" w:themeFill="text2"/>
          </w:tcPr>
          <w:p w:rsidR="0093392E" w:rsidRPr="00CB32B1" w:rsidRDefault="0093392E" w:rsidP="0093392E">
            <w:pPr>
              <w:pStyle w:val="TableTextNormal"/>
            </w:pPr>
          </w:p>
        </w:tc>
        <w:tc>
          <w:tcPr>
            <w:tcW w:w="3266" w:type="dxa"/>
          </w:tcPr>
          <w:p w:rsidR="0093392E" w:rsidRPr="00CB32B1" w:rsidRDefault="0093392E" w:rsidP="0093392E">
            <w:pPr>
              <w:pStyle w:val="TableTextNormal"/>
            </w:pPr>
          </w:p>
        </w:tc>
      </w:tr>
    </w:tbl>
    <w:p w:rsidR="003026CA" w:rsidRPr="00CB32B1" w:rsidRDefault="003026CA" w:rsidP="007020BB">
      <w:pPr>
        <w:pStyle w:val="Caption"/>
      </w:pPr>
      <w:bookmarkStart w:id="17" w:name="_Ref361223686"/>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1</w:t>
      </w:r>
      <w:r w:rsidR="009129A6" w:rsidRPr="00CB32B1">
        <w:fldChar w:fldCharType="end"/>
      </w:r>
      <w:bookmarkEnd w:id="17"/>
      <w:r w:rsidRPr="00CB32B1">
        <w:t>:</w:t>
      </w:r>
      <w:r w:rsidRPr="00CB32B1">
        <w:tab/>
        <w:t>Recommendations from the Tito Report of relevance to this report</w:t>
      </w:r>
    </w:p>
    <w:tbl>
      <w:tblPr>
        <w:tblStyle w:val="PwCTableStyle1"/>
        <w:tblW w:w="0" w:type="auto"/>
        <w:tblLayout w:type="fixed"/>
        <w:tblLook w:val="04A0"/>
      </w:tblPr>
      <w:tblGrid>
        <w:gridCol w:w="1211"/>
        <w:gridCol w:w="8077"/>
      </w:tblGrid>
      <w:tr w:rsidR="003026CA" w:rsidRPr="00CB32B1" w:rsidTr="003B21A7">
        <w:trPr>
          <w:cnfStyle w:val="100000000000"/>
        </w:trPr>
        <w:tc>
          <w:tcPr>
            <w:cnfStyle w:val="001000000000"/>
            <w:tcW w:w="1211" w:type="dxa"/>
            <w:shd w:val="clear" w:color="auto" w:fill="DC6900" w:themeFill="text2"/>
            <w:vAlign w:val="center"/>
          </w:tcPr>
          <w:p w:rsidR="003026CA" w:rsidRPr="00CB32B1" w:rsidRDefault="003026CA" w:rsidP="007020BB">
            <w:pPr>
              <w:pStyle w:val="TableColumnHeadingNormal"/>
            </w:pPr>
            <w:r w:rsidRPr="00CB32B1">
              <w:t>Number</w:t>
            </w:r>
          </w:p>
        </w:tc>
        <w:tc>
          <w:tcPr>
            <w:tcW w:w="8077" w:type="dxa"/>
            <w:shd w:val="clear" w:color="auto" w:fill="DC6900" w:themeFill="text2"/>
            <w:vAlign w:val="center"/>
          </w:tcPr>
          <w:p w:rsidR="003026CA" w:rsidRPr="00CB32B1" w:rsidRDefault="003026CA" w:rsidP="007020BB">
            <w:pPr>
              <w:pStyle w:val="TableColumnHeadingNormal"/>
              <w:cnfStyle w:val="100000000000"/>
            </w:pPr>
            <w:r w:rsidRPr="00CB32B1">
              <w:t>Description</w:t>
            </w:r>
          </w:p>
        </w:tc>
      </w:tr>
      <w:tr w:rsidR="003026CA" w:rsidRPr="00CB32B1" w:rsidTr="003026CA">
        <w:tc>
          <w:tcPr>
            <w:cnfStyle w:val="001000000000"/>
            <w:tcW w:w="1211" w:type="dxa"/>
          </w:tcPr>
          <w:p w:rsidR="003026CA" w:rsidRPr="00CB32B1" w:rsidRDefault="003026CA" w:rsidP="007020BB">
            <w:pPr>
              <w:pStyle w:val="TableTextNormal"/>
              <w:keepNext/>
              <w:keepLines/>
            </w:pPr>
            <w:r w:rsidRPr="00CB32B1">
              <w:t>128, 133</w:t>
            </w:r>
          </w:p>
        </w:tc>
        <w:tc>
          <w:tcPr>
            <w:tcW w:w="8077" w:type="dxa"/>
          </w:tcPr>
          <w:p w:rsidR="003026CA" w:rsidRPr="00CB32B1" w:rsidRDefault="003026CA" w:rsidP="007020BB">
            <w:pPr>
              <w:pStyle w:val="TableTextNormal"/>
              <w:keepNext/>
              <w:keepLines/>
              <w:cnfStyle w:val="000000000000"/>
            </w:pPr>
            <w:r w:rsidRPr="00CB32B1">
              <w:t>Adequate PII required for all health professionals</w:t>
            </w:r>
          </w:p>
        </w:tc>
      </w:tr>
      <w:tr w:rsidR="003026CA" w:rsidRPr="00CB32B1" w:rsidTr="003026CA">
        <w:tc>
          <w:tcPr>
            <w:cnfStyle w:val="001000000000"/>
            <w:tcW w:w="1211" w:type="dxa"/>
          </w:tcPr>
          <w:p w:rsidR="003026CA" w:rsidRPr="00CB32B1" w:rsidRDefault="003026CA" w:rsidP="003026CA">
            <w:pPr>
              <w:pStyle w:val="TableTextNormal"/>
            </w:pPr>
            <w:r w:rsidRPr="00CB32B1">
              <w:t>130</w:t>
            </w:r>
          </w:p>
        </w:tc>
        <w:tc>
          <w:tcPr>
            <w:tcW w:w="8077" w:type="dxa"/>
          </w:tcPr>
          <w:p w:rsidR="003026CA" w:rsidRPr="00CB32B1" w:rsidRDefault="003026CA" w:rsidP="003026CA">
            <w:pPr>
              <w:pStyle w:val="TableTextNormal"/>
              <w:cnfStyle w:val="000000000000"/>
            </w:pPr>
            <w:r w:rsidRPr="00CB32B1">
              <w:t>Contractual as opposed to discretionary PII required</w:t>
            </w:r>
          </w:p>
        </w:tc>
      </w:tr>
      <w:tr w:rsidR="003026CA" w:rsidRPr="00CB32B1" w:rsidTr="003026CA">
        <w:tc>
          <w:tcPr>
            <w:cnfStyle w:val="001000000000"/>
            <w:tcW w:w="1211" w:type="dxa"/>
          </w:tcPr>
          <w:p w:rsidR="003026CA" w:rsidRPr="00CB32B1" w:rsidRDefault="003026CA" w:rsidP="003026CA">
            <w:pPr>
              <w:pStyle w:val="TableTextNormal"/>
            </w:pPr>
            <w:r w:rsidRPr="00CB32B1">
              <w:t>136</w:t>
            </w:r>
          </w:p>
        </w:tc>
        <w:tc>
          <w:tcPr>
            <w:tcW w:w="8077" w:type="dxa"/>
          </w:tcPr>
          <w:p w:rsidR="003026CA" w:rsidRPr="00CB32B1" w:rsidRDefault="003026CA" w:rsidP="003026CA">
            <w:pPr>
              <w:pStyle w:val="TableTextNormal"/>
              <w:cnfStyle w:val="000000000000"/>
            </w:pPr>
            <w:r w:rsidRPr="00CB32B1">
              <w:t>All health professional and health care business indemnity cover be uncapped</w:t>
            </w:r>
          </w:p>
        </w:tc>
      </w:tr>
      <w:tr w:rsidR="003026CA" w:rsidRPr="00CB32B1" w:rsidTr="003026CA">
        <w:tc>
          <w:tcPr>
            <w:cnfStyle w:val="001000000000"/>
            <w:tcW w:w="1211" w:type="dxa"/>
          </w:tcPr>
          <w:p w:rsidR="003026CA" w:rsidRPr="00CB32B1" w:rsidRDefault="003026CA" w:rsidP="003026CA">
            <w:pPr>
              <w:pStyle w:val="TableTextNormal"/>
            </w:pPr>
            <w:r w:rsidRPr="00CB32B1">
              <w:t>137</w:t>
            </w:r>
          </w:p>
        </w:tc>
        <w:tc>
          <w:tcPr>
            <w:tcW w:w="8077" w:type="dxa"/>
          </w:tcPr>
          <w:p w:rsidR="003026CA" w:rsidRPr="00CB32B1" w:rsidRDefault="003026CA" w:rsidP="003026CA">
            <w:pPr>
              <w:pStyle w:val="TableTextNormal"/>
              <w:cnfStyle w:val="000000000000"/>
            </w:pPr>
            <w:r w:rsidRPr="00CB32B1">
              <w:t>PII cover be on a claims-incurred basis</w:t>
            </w:r>
            <w:r w:rsidRPr="00CB32B1">
              <w:rPr>
                <w:rStyle w:val="FootnoteReference"/>
              </w:rPr>
              <w:footnoteReference w:id="24"/>
            </w:r>
          </w:p>
        </w:tc>
      </w:tr>
      <w:tr w:rsidR="003026CA" w:rsidRPr="00CB32B1" w:rsidTr="003026CA">
        <w:tc>
          <w:tcPr>
            <w:cnfStyle w:val="001000000000"/>
            <w:tcW w:w="1211" w:type="dxa"/>
          </w:tcPr>
          <w:p w:rsidR="003026CA" w:rsidRPr="00CB32B1" w:rsidRDefault="003026CA" w:rsidP="003026CA">
            <w:pPr>
              <w:pStyle w:val="TableTextNormal"/>
            </w:pPr>
            <w:r w:rsidRPr="00CB32B1">
              <w:t>150</w:t>
            </w:r>
          </w:p>
        </w:tc>
        <w:tc>
          <w:tcPr>
            <w:tcW w:w="8077" w:type="dxa"/>
          </w:tcPr>
          <w:p w:rsidR="003026CA" w:rsidRPr="00CB32B1" w:rsidRDefault="003026CA" w:rsidP="003026CA">
            <w:pPr>
              <w:pStyle w:val="TableTextNormal"/>
              <w:cnfStyle w:val="000000000000"/>
            </w:pPr>
            <w:r w:rsidRPr="00CB32B1">
              <w:t>The concept of a mutual insurance mechanism to a health care sector (including individual health professional groups) that consider commercial insurance too costly, and self-insurance too risky</w:t>
            </w:r>
          </w:p>
        </w:tc>
      </w:tr>
    </w:tbl>
    <w:p w:rsidR="0023401D" w:rsidRPr="00CB32B1" w:rsidRDefault="003026CA" w:rsidP="003026CA">
      <w:pPr>
        <w:pStyle w:val="Sources"/>
      </w:pPr>
      <w:r w:rsidRPr="00CB32B1">
        <w:rPr>
          <w:b/>
        </w:rPr>
        <w:t>Source:</w:t>
      </w:r>
      <w:r w:rsidRPr="00CB32B1">
        <w:t xml:space="preserve"> Commonwealth of Australia, 1995.</w:t>
      </w:r>
    </w:p>
    <w:p w:rsidR="005E3796" w:rsidRPr="00CB32B1" w:rsidRDefault="005E3796" w:rsidP="00B37C35">
      <w:pPr>
        <w:pStyle w:val="Minorheading"/>
      </w:pPr>
      <w:r w:rsidRPr="00CB32B1">
        <w:t>The perfect storm – the collapse of an unregulated market</w:t>
      </w:r>
    </w:p>
    <w:p w:rsidR="005E3796" w:rsidRPr="00CB32B1" w:rsidRDefault="005E3796" w:rsidP="00B37C35">
      <w:pPr>
        <w:pStyle w:val="PwCNormal"/>
        <w:keepNext/>
        <w:keepLines/>
      </w:pPr>
      <w:r w:rsidRPr="00CB32B1">
        <w:t xml:space="preserve">The perfect storm arose in 2001 with the liquidation of HIH Insurance, Australia’s second largest insurance company. As the major reinsurer of United Medical Protection Ltd (UMP), one of the largest PII insurers in Australia (with 60% coverage at its height), the liquidation of HIH Insurance led to a $30 million write off for UMP. This, coupled with an estimated $455 million of </w:t>
      </w:r>
      <w:r w:rsidR="006314E0">
        <w:t>incurred but not raised (</w:t>
      </w:r>
      <w:r w:rsidRPr="00CB32B1">
        <w:t>IBNR</w:t>
      </w:r>
      <w:r w:rsidR="006314E0">
        <w:t>)</w:t>
      </w:r>
      <w:r w:rsidR="006314E0" w:rsidRPr="006314E0">
        <w:rPr>
          <w:rStyle w:val="FootnoteReference"/>
        </w:rPr>
        <w:t xml:space="preserve"> </w:t>
      </w:r>
      <w:r w:rsidR="006314E0" w:rsidRPr="00CB32B1">
        <w:rPr>
          <w:rStyle w:val="FootnoteReference"/>
        </w:rPr>
        <w:footnoteReference w:id="25"/>
      </w:r>
      <w:r w:rsidRPr="00CB32B1">
        <w:t xml:space="preserve"> claims, led to UMP’s own liquidation in April 2002. The liquidation highlighted the system as being “unsustainable” due to insufficient premium collections required to meet rising claims.</w:t>
      </w:r>
      <w:r w:rsidRPr="00CB32B1">
        <w:rPr>
          <w:rStyle w:val="FootnoteReference"/>
        </w:rPr>
        <w:footnoteReference w:id="26"/>
      </w:r>
    </w:p>
    <w:p w:rsidR="005E3796" w:rsidRPr="00CB32B1" w:rsidRDefault="005E3796" w:rsidP="005E3796">
      <w:pPr>
        <w:pStyle w:val="PwCNormal"/>
      </w:pPr>
      <w:r w:rsidRPr="00CB32B1">
        <w:t xml:space="preserve">The </w:t>
      </w:r>
      <w:r w:rsidR="00A63354">
        <w:t xml:space="preserve">Commonwealth </w:t>
      </w:r>
      <w:r w:rsidRPr="00CB32B1">
        <w:t xml:space="preserve">Government responded in 2002 by implementing a suite of reforms. </w:t>
      </w:r>
      <w:r w:rsidR="005555E0">
        <w:t>Reforms with specific impact for</w:t>
      </w:r>
      <w:r w:rsidRPr="00CB32B1">
        <w:t xml:space="preserve"> PII for PPMs </w:t>
      </w:r>
      <w:r w:rsidR="005555E0">
        <w:t>were</w:t>
      </w:r>
      <w:r w:rsidRPr="00CB32B1">
        <w:t xml:space="preserve"> the passing of the </w:t>
      </w:r>
      <w:r w:rsidRPr="00A63354">
        <w:rPr>
          <w:i/>
        </w:rPr>
        <w:t>Medical Indemnity Act 2002</w:t>
      </w:r>
      <w:r w:rsidRPr="00CB32B1">
        <w:t xml:space="preserve"> and the </w:t>
      </w:r>
      <w:r w:rsidRPr="00A63354">
        <w:rPr>
          <w:i/>
        </w:rPr>
        <w:t>Medical Indemnity (Prudential Supervision and Product Standards) Act 2003</w:t>
      </w:r>
      <w:r w:rsidRPr="00CB32B1">
        <w:t xml:space="preserve"> which were important steps towards:</w:t>
      </w:r>
    </w:p>
    <w:p w:rsidR="005E3796" w:rsidRPr="00CB32B1" w:rsidRDefault="005555E0" w:rsidP="005E3796">
      <w:pPr>
        <w:pStyle w:val="ListBullet"/>
      </w:pPr>
      <w:r>
        <w:rPr>
          <w:b/>
          <w:color w:val="DC6900" w:themeColor="text2"/>
        </w:rPr>
        <w:t>e</w:t>
      </w:r>
      <w:r w:rsidR="005E3796" w:rsidRPr="00CB32B1">
        <w:rPr>
          <w:b/>
          <w:color w:val="DC6900" w:themeColor="text2"/>
        </w:rPr>
        <w:t>stablishing a prudential structure</w:t>
      </w:r>
      <w:r w:rsidR="005E3796" w:rsidRPr="00CB32B1">
        <w:t xml:space="preserve"> to the PII industry including requiring insurers to hold minimum capital requirements and sufficient resources to pay claims</w:t>
      </w:r>
    </w:p>
    <w:p w:rsidR="005E3796" w:rsidRPr="00CB32B1" w:rsidRDefault="005555E0" w:rsidP="005E3796">
      <w:pPr>
        <w:pStyle w:val="ListBullet"/>
      </w:pPr>
      <w:r>
        <w:rPr>
          <w:b/>
          <w:color w:val="DC6900" w:themeColor="text2"/>
        </w:rPr>
        <w:t>r</w:t>
      </w:r>
      <w:r w:rsidR="005E3796" w:rsidRPr="00CB32B1">
        <w:rPr>
          <w:b/>
          <w:color w:val="DC6900" w:themeColor="text2"/>
        </w:rPr>
        <w:t>equiring authorised general insurers</w:t>
      </w:r>
      <w:r w:rsidR="005E3796" w:rsidRPr="00CB32B1">
        <w:t xml:space="preserve"> under the Insurance Act 1973</w:t>
      </w:r>
    </w:p>
    <w:p w:rsidR="005E3796" w:rsidRPr="00CB32B1" w:rsidRDefault="005555E0" w:rsidP="005E3796">
      <w:pPr>
        <w:pStyle w:val="ListBullet"/>
      </w:pPr>
      <w:r>
        <w:rPr>
          <w:b/>
          <w:color w:val="DC6900" w:themeColor="text2"/>
        </w:rPr>
        <w:t>i</w:t>
      </w:r>
      <w:r w:rsidR="005E3796" w:rsidRPr="00CB32B1">
        <w:rPr>
          <w:b/>
          <w:color w:val="DC6900" w:themeColor="text2"/>
        </w:rPr>
        <w:t>ncreasing regulation</w:t>
      </w:r>
      <w:r w:rsidR="005E3796" w:rsidRPr="00CB32B1">
        <w:t xml:space="preserve"> of indemnity products</w:t>
      </w:r>
    </w:p>
    <w:p w:rsidR="005E3796" w:rsidRPr="00CB32B1" w:rsidRDefault="005555E0" w:rsidP="005E3796">
      <w:pPr>
        <w:pStyle w:val="ListBullet"/>
      </w:pPr>
      <w:r>
        <w:rPr>
          <w:b/>
          <w:color w:val="DC6900" w:themeColor="text2"/>
        </w:rPr>
        <w:t>e</w:t>
      </w:r>
      <w:r w:rsidR="005E3796" w:rsidRPr="00CB32B1">
        <w:rPr>
          <w:b/>
          <w:color w:val="DC6900" w:themeColor="text2"/>
        </w:rPr>
        <w:t>stablishing contractual arrangements</w:t>
      </w:r>
      <w:r w:rsidR="005E3796" w:rsidRPr="00CB32B1">
        <w:t xml:space="preserve"> between the insurer and product holder.</w:t>
      </w:r>
      <w:r w:rsidR="005E3796" w:rsidRPr="00CB32B1">
        <w:rPr>
          <w:rStyle w:val="FootnoteReference"/>
        </w:rPr>
        <w:footnoteReference w:id="27"/>
      </w:r>
    </w:p>
    <w:p w:rsidR="005E3796" w:rsidRPr="00CB32B1" w:rsidRDefault="005E3796" w:rsidP="007020BB">
      <w:pPr>
        <w:pStyle w:val="Heading6"/>
      </w:pPr>
      <w:bookmarkStart w:id="18" w:name="_Toc362975048"/>
      <w:r w:rsidRPr="00CB32B1">
        <w:t>P</w:t>
      </w:r>
      <w:r w:rsidR="00A63354">
        <w:t>rofessional indemnity insurance for privately practising midwives</w:t>
      </w:r>
      <w:bookmarkEnd w:id="18"/>
    </w:p>
    <w:p w:rsidR="005E3796" w:rsidRPr="00CB32B1" w:rsidRDefault="005E3796" w:rsidP="007020BB">
      <w:pPr>
        <w:pStyle w:val="PwCNormal"/>
        <w:keepNext/>
        <w:keepLines/>
      </w:pPr>
      <w:r w:rsidRPr="00CB32B1">
        <w:t>Obtaining specific information on the history of PII for PPMs has been challenging. This is due to a range of factors:</w:t>
      </w:r>
    </w:p>
    <w:p w:rsidR="005E3796" w:rsidRPr="00CB32B1" w:rsidRDefault="005E3796" w:rsidP="005E3796">
      <w:pPr>
        <w:pStyle w:val="ListBullet"/>
      </w:pPr>
      <w:r w:rsidRPr="00CB32B1">
        <w:t>There has been limited research and literature completed on the topic of PII for PPMs in Australia, possibly because the industry is relatively small compared with other health professionals</w:t>
      </w:r>
    </w:p>
    <w:p w:rsidR="005E3796" w:rsidRPr="00CB32B1" w:rsidRDefault="005E3796" w:rsidP="005E3796">
      <w:pPr>
        <w:pStyle w:val="ListBullet"/>
      </w:pPr>
      <w:r w:rsidRPr="00CB32B1">
        <w:t>The collection of meaningful data at the level of the PPM is limited because the numbers are small and not recorded separately on the NMBA register of midwives</w:t>
      </w:r>
    </w:p>
    <w:p w:rsidR="005E3796" w:rsidRPr="00CB32B1" w:rsidRDefault="005E3796" w:rsidP="005E3796">
      <w:pPr>
        <w:pStyle w:val="ListBullet"/>
      </w:pPr>
      <w:r w:rsidRPr="00CB32B1">
        <w:t>Insurance agencies and brokers have changed ownership, names and structure (</w:t>
      </w:r>
      <w:r w:rsidR="00854DEF" w:rsidRPr="00CB32B1">
        <w:t>eg</w:t>
      </w:r>
      <w:r w:rsidRPr="00CB32B1">
        <w:t xml:space="preserve"> merged, liquidated) over time or do not currently exist. As a result, identifying and consulting with agencies has been challenging</w:t>
      </w:r>
    </w:p>
    <w:p w:rsidR="005E3796" w:rsidRPr="00CB32B1" w:rsidRDefault="005E3796" w:rsidP="005E3796">
      <w:pPr>
        <w:pStyle w:val="ListBullet"/>
      </w:pPr>
      <w:r w:rsidRPr="00CB32B1">
        <w:t>Insurers have been unable and/or unwilling to share product and claims information due to the commercial nature of the information.</w:t>
      </w:r>
    </w:p>
    <w:p w:rsidR="005E3796" w:rsidRPr="00CB32B1" w:rsidRDefault="00A63354" w:rsidP="005E3796">
      <w:pPr>
        <w:pStyle w:val="Majorheading"/>
      </w:pPr>
      <w:r>
        <w:t xml:space="preserve">History of professional indemnity insurance </w:t>
      </w:r>
      <w:r w:rsidR="005E3796" w:rsidRPr="00CB32B1">
        <w:t>for PPMs</w:t>
      </w:r>
    </w:p>
    <w:p w:rsidR="005E3796" w:rsidRPr="00CB32B1" w:rsidRDefault="005E3796" w:rsidP="005E3796">
      <w:pPr>
        <w:pStyle w:val="Minorheading"/>
      </w:pPr>
      <w:r w:rsidRPr="00CB32B1">
        <w:t>Products offered pre-2001</w:t>
      </w:r>
    </w:p>
    <w:p w:rsidR="005E3796" w:rsidRPr="00CB32B1" w:rsidRDefault="005E3796" w:rsidP="005E3796">
      <w:pPr>
        <w:pStyle w:val="PwCNormal"/>
      </w:pPr>
      <w:r w:rsidRPr="00CB32B1">
        <w:t>From the available literature and consultations with insurance agencies and brokers, it appears that PII was available to PPMs up until 2001 through brokers acting for professional nursing and midwifery associations. While the full number of insurers could not be ascertained, those insurance agencies thought to be providing products included:</w:t>
      </w:r>
      <w:r w:rsidRPr="00CB32B1">
        <w:rPr>
          <w:rStyle w:val="FootnoteReference"/>
        </w:rPr>
        <w:footnoteReference w:id="28"/>
      </w:r>
    </w:p>
    <w:p w:rsidR="005E3796" w:rsidRPr="00CB32B1" w:rsidRDefault="005E3796" w:rsidP="005E3796">
      <w:pPr>
        <w:pStyle w:val="ListBullet"/>
      </w:pPr>
      <w:r w:rsidRPr="00CB32B1">
        <w:rPr>
          <w:b/>
          <w:color w:val="DC6900" w:themeColor="text2"/>
        </w:rPr>
        <w:t>St Paul Insurance:</w:t>
      </w:r>
      <w:r w:rsidRPr="00CB32B1">
        <w:t xml:space="preserve"> </w:t>
      </w:r>
      <w:r w:rsidR="003718B5" w:rsidRPr="00CB32B1">
        <w:t>P</w:t>
      </w:r>
      <w:r w:rsidRPr="00CB32B1">
        <w:t>rovided to members of the Victorian and Tasmanian Branches of the Australian Nursing Federation (ANF)</w:t>
      </w:r>
    </w:p>
    <w:p w:rsidR="005E3796" w:rsidRPr="00CB32B1" w:rsidRDefault="005E3796" w:rsidP="005E3796">
      <w:pPr>
        <w:pStyle w:val="ListBullet"/>
      </w:pPr>
      <w:r w:rsidRPr="00CB32B1">
        <w:rPr>
          <w:b/>
          <w:color w:val="DC6900" w:themeColor="text2"/>
        </w:rPr>
        <w:t>Guild Insurance:</w:t>
      </w:r>
      <w:r w:rsidRPr="00CB32B1">
        <w:t xml:space="preserve"> </w:t>
      </w:r>
      <w:r w:rsidR="003718B5" w:rsidRPr="00CB32B1">
        <w:t>P</w:t>
      </w:r>
      <w:r w:rsidRPr="00CB32B1">
        <w:t>rovided to the Aus</w:t>
      </w:r>
      <w:r w:rsidR="00BD262D">
        <w:t xml:space="preserve">tralian College of Midwives </w:t>
      </w:r>
      <w:r w:rsidRPr="00CB32B1">
        <w:t>(ACM)</w:t>
      </w:r>
      <w:r w:rsidR="003718B5" w:rsidRPr="00CB32B1">
        <w:t xml:space="preserve"> members</w:t>
      </w:r>
      <w:r w:rsidRPr="00CB32B1">
        <w:t>.</w:t>
      </w:r>
      <w:r w:rsidRPr="00CB32B1">
        <w:rPr>
          <w:rStyle w:val="FootnoteReference"/>
        </w:rPr>
        <w:footnoteReference w:id="29"/>
      </w:r>
    </w:p>
    <w:p w:rsidR="005E3796" w:rsidRPr="00CB32B1" w:rsidRDefault="005E3796" w:rsidP="005E3796">
      <w:pPr>
        <w:pStyle w:val="PwCNormal"/>
      </w:pPr>
      <w:r w:rsidRPr="00CB32B1">
        <w:t>There were a number of insurance brokers that also facilitated insurance including:</w:t>
      </w:r>
    </w:p>
    <w:p w:rsidR="005E3796" w:rsidRPr="00CB32B1" w:rsidRDefault="005E3796" w:rsidP="005E3796">
      <w:pPr>
        <w:pStyle w:val="ListBullet"/>
      </w:pPr>
      <w:r w:rsidRPr="00CB32B1">
        <w:rPr>
          <w:b/>
          <w:color w:val="DC6900" w:themeColor="text2"/>
        </w:rPr>
        <w:t>Sawtell &amp; Salisbury:</w:t>
      </w:r>
      <w:r w:rsidRPr="00CB32B1">
        <w:t xml:space="preserve"> A Queensland-based broker</w:t>
      </w:r>
      <w:r w:rsidRPr="00CB32B1">
        <w:rPr>
          <w:rStyle w:val="FootnoteReference"/>
        </w:rPr>
        <w:footnoteReference w:id="30"/>
      </w:r>
    </w:p>
    <w:p w:rsidR="005E3796" w:rsidRPr="00CB32B1" w:rsidRDefault="005E3796" w:rsidP="005E3796">
      <w:pPr>
        <w:pStyle w:val="ListBullet"/>
      </w:pPr>
      <w:r w:rsidRPr="00CB32B1">
        <w:rPr>
          <w:b/>
          <w:color w:val="DC6900" w:themeColor="text2"/>
        </w:rPr>
        <w:t>Marshall Brokers:</w:t>
      </w:r>
      <w:r w:rsidRPr="00CB32B1">
        <w:t xml:space="preserve"> A Victoria-based broker</w:t>
      </w:r>
      <w:r w:rsidRPr="00CB32B1">
        <w:rPr>
          <w:rStyle w:val="FootnoteReference"/>
        </w:rPr>
        <w:footnoteReference w:id="31"/>
      </w:r>
    </w:p>
    <w:p w:rsidR="005E3796" w:rsidRPr="00CB32B1" w:rsidRDefault="005E3796" w:rsidP="005E3796">
      <w:pPr>
        <w:pStyle w:val="ListBullet"/>
      </w:pPr>
      <w:r w:rsidRPr="00CB32B1">
        <w:rPr>
          <w:b/>
          <w:color w:val="DC6900" w:themeColor="text2"/>
        </w:rPr>
        <w:t>Hope Island Insurance Brokers:</w:t>
      </w:r>
      <w:r w:rsidRPr="00CB32B1">
        <w:t xml:space="preserve"> A Queensland-based broker.</w:t>
      </w:r>
      <w:r w:rsidRPr="00CB32B1">
        <w:rPr>
          <w:rStyle w:val="FootnoteReference"/>
        </w:rPr>
        <w:footnoteReference w:id="32"/>
      </w:r>
    </w:p>
    <w:p w:rsidR="005E3796" w:rsidRPr="00CB32B1" w:rsidRDefault="005E3796" w:rsidP="005E3796">
      <w:pPr>
        <w:pStyle w:val="PwCNormal"/>
      </w:pPr>
      <w:r w:rsidRPr="00CB32B1">
        <w:t xml:space="preserve">The cover available at the time appears to have been financially affordable to </w:t>
      </w:r>
      <w:r w:rsidR="003718B5" w:rsidRPr="00CB32B1">
        <w:t>PPMs</w:t>
      </w:r>
      <w:r w:rsidRPr="00CB32B1">
        <w:t>. As an example, the product offered through Hope Island Insurance Brokers provided cover from $1 million to $5 million for $450–850 per year on a claims-made basis (with a $500 excess/claim).</w:t>
      </w:r>
      <w:r w:rsidRPr="00CB32B1">
        <w:rPr>
          <w:rStyle w:val="FootnoteReference"/>
        </w:rPr>
        <w:footnoteReference w:id="33"/>
      </w:r>
    </w:p>
    <w:p w:rsidR="005E3796" w:rsidRPr="00CB32B1" w:rsidRDefault="005E3796" w:rsidP="005E3796">
      <w:pPr>
        <w:pStyle w:val="Minorheading"/>
      </w:pPr>
      <w:r w:rsidRPr="00CB32B1">
        <w:t xml:space="preserve">Insurers leaving the market – </w:t>
      </w:r>
      <w:r w:rsidR="00B37C35" w:rsidRPr="00CB32B1">
        <w:t xml:space="preserve">Assessing </w:t>
      </w:r>
      <w:r w:rsidRPr="00CB32B1">
        <w:t>midwifery as maternity services</w:t>
      </w:r>
    </w:p>
    <w:p w:rsidR="005E3796" w:rsidRPr="00CB32B1" w:rsidRDefault="005E3796" w:rsidP="005E3796">
      <w:pPr>
        <w:pStyle w:val="PwCNormal"/>
      </w:pPr>
      <w:r w:rsidRPr="00CB32B1">
        <w:t xml:space="preserve">In 2001 Guild Insurance and St Paul’s Insurance exited the market. By March 2002, no commercial </w:t>
      </w:r>
      <w:r w:rsidR="00E25231">
        <w:t>PII</w:t>
      </w:r>
      <w:r w:rsidRPr="00CB32B1">
        <w:t xml:space="preserve"> product was available for </w:t>
      </w:r>
      <w:r w:rsidR="00727D37">
        <w:t>PPMs</w:t>
      </w:r>
      <w:r w:rsidRPr="00CB32B1">
        <w:t>, resulting in an exit of PPMs from the profession.</w:t>
      </w:r>
      <w:r w:rsidR="000B7161" w:rsidRPr="00CB32B1">
        <w:rPr>
          <w:rStyle w:val="FootnoteReference"/>
          <w:rFonts w:eastAsia="Georgia"/>
        </w:rPr>
        <w:footnoteReference w:id="34"/>
      </w:r>
    </w:p>
    <w:p w:rsidR="0023401D" w:rsidRPr="00CB32B1" w:rsidRDefault="005E3796" w:rsidP="005E3796">
      <w:pPr>
        <w:pStyle w:val="PwCNormal"/>
        <w:numPr>
          <w:ilvl w:val="0"/>
          <w:numId w:val="0"/>
        </w:numPr>
      </w:pPr>
      <w:r w:rsidRPr="00CB32B1">
        <w:t>The decline in the availability of insurance products has been linked to a perception of the high</w:t>
      </w:r>
      <w:r w:rsidR="008341BC">
        <w:t>-</w:t>
      </w:r>
      <w:r w:rsidRPr="00CB32B1">
        <w:t>risk profile of PPM practice.</w:t>
      </w:r>
      <w:r w:rsidRPr="00CB32B1">
        <w:rPr>
          <w:rStyle w:val="FootnoteReference"/>
        </w:rPr>
        <w:footnoteReference w:id="35"/>
      </w:r>
      <w:r w:rsidRPr="00CB32B1">
        <w:t xml:space="preserve"> This can be attributed in part to midwifery services being bundled together with other high claim maternity services such as obstetrics (see box</w:t>
      </w:r>
      <w:r w:rsidR="00B24A6C" w:rsidRPr="00CB32B1">
        <w:t xml:space="preserve"> </w:t>
      </w:r>
      <w:r w:rsidR="00BD262D">
        <w:t>below</w:t>
      </w:r>
      <w:r w:rsidRPr="00CB32B1">
        <w:t>).</w:t>
      </w:r>
    </w:p>
    <w:tbl>
      <w:tblPr>
        <w:tblStyle w:val="TableGrid"/>
        <w:tblW w:w="0" w:type="auto"/>
        <w:tblBorders>
          <w:top w:val="single" w:sz="8" w:space="0" w:color="DC6900" w:themeColor="text2"/>
          <w:left w:val="single" w:sz="8" w:space="0" w:color="DC6900" w:themeColor="text2"/>
          <w:bottom w:val="single" w:sz="8" w:space="0" w:color="DC6900" w:themeColor="text2"/>
          <w:right w:val="single" w:sz="8" w:space="0" w:color="DC6900" w:themeColor="text2"/>
          <w:insideH w:val="single" w:sz="8" w:space="0" w:color="DC6900" w:themeColor="text2"/>
          <w:insideV w:val="single" w:sz="8" w:space="0" w:color="DC6900" w:themeColor="text2"/>
        </w:tblBorders>
        <w:tblLook w:val="04A0"/>
      </w:tblPr>
      <w:tblGrid>
        <w:gridCol w:w="9285"/>
      </w:tblGrid>
      <w:tr w:rsidR="00BD1CF6" w:rsidRPr="00CB32B1" w:rsidTr="00BD1CF6">
        <w:tc>
          <w:tcPr>
            <w:tcW w:w="9288" w:type="dxa"/>
          </w:tcPr>
          <w:p w:rsidR="00BD1CF6" w:rsidRPr="00CB32B1" w:rsidRDefault="00BD1CF6" w:rsidP="003718B5">
            <w:pPr>
              <w:pStyle w:val="Minorheading2"/>
              <w:spacing w:before="40"/>
            </w:pPr>
            <w:r w:rsidRPr="00CB32B1">
              <w:t>Simpson v Diamond &amp; Anor</w:t>
            </w:r>
          </w:p>
          <w:p w:rsidR="00BD1CF6" w:rsidRPr="00CB32B1" w:rsidRDefault="005A16C9" w:rsidP="004E4BE9">
            <w:pPr>
              <w:pStyle w:val="TableTextNormal"/>
              <w:rPr>
                <w:sz w:val="17"/>
                <w:szCs w:val="17"/>
              </w:rPr>
            </w:pPr>
            <w:r w:rsidRPr="00CB32B1">
              <w:rPr>
                <w:sz w:val="17"/>
                <w:szCs w:val="17"/>
              </w:rPr>
              <w:t>Colander</w:t>
            </w:r>
            <w:r w:rsidR="00BD1CF6" w:rsidRPr="00CB32B1">
              <w:rPr>
                <w:sz w:val="17"/>
                <w:szCs w:val="17"/>
              </w:rPr>
              <w:t xml:space="preserve"> Simpson sought damages from the obstetrician (Diamond) who delivered her in July 1979, and the private hospital in which she was born. Ms Simpson, who has cerebral palsy, claimed that a competent doctor would have been able to deliver her without complications and uninjured by forceps. It was claimed that the cerebral palsy resulted from the methods Diamond used during the deliver that led to hypoxia and injury to her brain.</w:t>
            </w:r>
          </w:p>
          <w:p w:rsidR="00BD1CF6" w:rsidRPr="00CB32B1" w:rsidRDefault="00BD1CF6" w:rsidP="004E4BE9">
            <w:pPr>
              <w:pStyle w:val="TableTextNormal"/>
              <w:rPr>
                <w:sz w:val="17"/>
                <w:szCs w:val="17"/>
              </w:rPr>
            </w:pPr>
            <w:r w:rsidRPr="00CB32B1">
              <w:rPr>
                <w:sz w:val="17"/>
                <w:szCs w:val="17"/>
              </w:rPr>
              <w:t>In November 2001, the NSW Supreme Court awarded Ms Simpson $13 million (which was reduced to $11 million on appeal). The amount awarded was determined by:</w:t>
            </w:r>
          </w:p>
          <w:p w:rsidR="00BD1CF6" w:rsidRPr="00CB32B1" w:rsidRDefault="00BD1CF6" w:rsidP="004E4BE9">
            <w:pPr>
              <w:pStyle w:val="TableBullet1Normal"/>
              <w:rPr>
                <w:sz w:val="17"/>
                <w:szCs w:val="17"/>
              </w:rPr>
            </w:pPr>
            <w:r w:rsidRPr="00CB32B1">
              <w:rPr>
                <w:b/>
                <w:color w:val="DC6900" w:themeColor="text2"/>
                <w:sz w:val="17"/>
                <w:szCs w:val="17"/>
              </w:rPr>
              <w:t>Future attendant care</w:t>
            </w:r>
            <w:r w:rsidRPr="00CB32B1">
              <w:rPr>
                <w:sz w:val="17"/>
                <w:szCs w:val="17"/>
              </w:rPr>
              <w:t>: Fees to “put the plaintiff in the same position as if she had not been injured by the defendant’s negligence” (Whealy J), based on her life expectancy</w:t>
            </w:r>
          </w:p>
          <w:p w:rsidR="00BD1CF6" w:rsidRPr="00CB32B1" w:rsidRDefault="00BD1CF6" w:rsidP="004E4BE9">
            <w:pPr>
              <w:pStyle w:val="TableBullet1Normal"/>
              <w:rPr>
                <w:sz w:val="17"/>
                <w:szCs w:val="17"/>
              </w:rPr>
            </w:pPr>
            <w:r w:rsidRPr="00CB32B1">
              <w:rPr>
                <w:b/>
                <w:color w:val="DC6900" w:themeColor="text2"/>
                <w:sz w:val="17"/>
                <w:szCs w:val="17"/>
              </w:rPr>
              <w:t>Damages</w:t>
            </w:r>
            <w:r w:rsidRPr="00CB32B1">
              <w:rPr>
                <w:sz w:val="17"/>
                <w:szCs w:val="17"/>
              </w:rPr>
              <w:t>: with interest from birth to judgment due to Simpson being unable to “enjoy life to the full as normal able bodied people do” (Whealy J).</w:t>
            </w:r>
          </w:p>
          <w:p w:rsidR="00BD1CF6" w:rsidRPr="00CB32B1" w:rsidRDefault="00BD1CF6" w:rsidP="004E4BE9">
            <w:pPr>
              <w:pStyle w:val="TableTextNormal"/>
              <w:rPr>
                <w:sz w:val="17"/>
                <w:szCs w:val="17"/>
              </w:rPr>
            </w:pPr>
            <w:r w:rsidRPr="00CB32B1">
              <w:rPr>
                <w:sz w:val="17"/>
                <w:szCs w:val="17"/>
              </w:rPr>
              <w:t>While relating to obstetrics as opposed to midwifery, this case had implications across the maternity services sector. The material damages awarded and length of elapsed time between event and claim became a concern for insurers.</w:t>
            </w:r>
          </w:p>
          <w:p w:rsidR="00BD1CF6" w:rsidRPr="00CB32B1" w:rsidRDefault="00BD1CF6" w:rsidP="00A63354">
            <w:pPr>
              <w:pStyle w:val="Sources"/>
              <w:spacing w:after="40"/>
            </w:pPr>
            <w:r w:rsidRPr="00CB32B1">
              <w:rPr>
                <w:b/>
              </w:rPr>
              <w:t>Source:</w:t>
            </w:r>
            <w:r w:rsidRPr="00CB32B1">
              <w:t xml:space="preserve"> Allens</w:t>
            </w:r>
            <w:r w:rsidR="00A63354">
              <w:t>, 2001.</w:t>
            </w:r>
          </w:p>
        </w:tc>
      </w:tr>
    </w:tbl>
    <w:p w:rsidR="000B11C1" w:rsidRPr="00CB32B1" w:rsidRDefault="000B11C1" w:rsidP="000B11C1">
      <w:pPr>
        <w:pStyle w:val="Minorheading"/>
      </w:pPr>
      <w:r w:rsidRPr="00CB32B1">
        <w:t>PPM practice in indemnity crisis</w:t>
      </w:r>
    </w:p>
    <w:p w:rsidR="000B11C1" w:rsidRPr="00CB32B1" w:rsidRDefault="000B11C1" w:rsidP="000B11C1">
      <w:pPr>
        <w:pStyle w:val="PwCNormal"/>
      </w:pPr>
      <w:r w:rsidRPr="00CB32B1">
        <w:t xml:space="preserve">Professional associations, including the ACM and ANF branches, were unsuccessful in securing insurance for </w:t>
      </w:r>
      <w:r w:rsidR="00727D37">
        <w:t>PPMs</w:t>
      </w:r>
      <w:r w:rsidRPr="00CB32B1">
        <w:t xml:space="preserve"> following the exit of Guild Insurance and St Paul Insurance. Insurers either declined to insure midwives or offered premiums that were not financially viable for PPMs.</w:t>
      </w:r>
      <w:r w:rsidRPr="00CB32B1">
        <w:rPr>
          <w:rStyle w:val="FootnoteReference"/>
        </w:rPr>
        <w:footnoteReference w:id="36"/>
      </w:r>
      <w:r w:rsidRPr="00CB32B1">
        <w:t xml:space="preserve"> For example, some agencies managed to secure insurance through a Lloyds of London underwriter, where in at least one case the premium was inflated to at least five times that of the original policy.</w:t>
      </w:r>
      <w:r w:rsidRPr="00CB32B1">
        <w:rPr>
          <w:rStyle w:val="FootnoteReference"/>
        </w:rPr>
        <w:footnoteReference w:id="37"/>
      </w:r>
    </w:p>
    <w:p w:rsidR="000B11C1" w:rsidRPr="00CB32B1" w:rsidRDefault="000B11C1" w:rsidP="000B11C1">
      <w:pPr>
        <w:pStyle w:val="PwCNormal"/>
      </w:pPr>
      <w:r w:rsidRPr="00CB32B1">
        <w:t xml:space="preserve">In 2010, the National Law was instituted which led to compulsory </w:t>
      </w:r>
      <w:r w:rsidR="00E25231">
        <w:t>PII</w:t>
      </w:r>
      <w:r w:rsidRPr="00CB32B1">
        <w:t xml:space="preserve"> as a condition for registration. Without commercial PII products available, the National Law held PPMs at risk of being legally unable to practise privately as registered midwifes.</w:t>
      </w:r>
    </w:p>
    <w:p w:rsidR="000B11C1" w:rsidRPr="00CB32B1" w:rsidRDefault="000B11C1" w:rsidP="000B11C1">
      <w:pPr>
        <w:pStyle w:val="Majorheading"/>
      </w:pPr>
      <w:r w:rsidRPr="00CB32B1">
        <w:t>Current product offering – MIGA and IMGA insurance</w:t>
      </w:r>
    </w:p>
    <w:p w:rsidR="000B11C1" w:rsidRPr="00CB32B1" w:rsidRDefault="000B11C1" w:rsidP="000B11C1">
      <w:pPr>
        <w:pStyle w:val="PwCNormal"/>
      </w:pPr>
      <w:r w:rsidRPr="00CB32B1">
        <w:t>Prior to the National Law, the issue of PII for PPMs was identified in 2008 within the Commonwealth Govern</w:t>
      </w:r>
      <w:r w:rsidR="007020BB" w:rsidRPr="00CB32B1">
        <w:t>ment Maternity Services Review.</w:t>
      </w:r>
      <w:r w:rsidR="000718F9">
        <w:t xml:space="preserve"> </w:t>
      </w:r>
      <w:r w:rsidRPr="00CB32B1">
        <w:t>The review recommended that:</w:t>
      </w:r>
    </w:p>
    <w:p w:rsidR="000B11C1" w:rsidRPr="00CB32B1" w:rsidRDefault="000B11C1" w:rsidP="006E176A">
      <w:pPr>
        <w:pStyle w:val="Indent1"/>
        <w:rPr>
          <w:i/>
          <w:color w:val="DC6900" w:themeColor="text2"/>
        </w:rPr>
      </w:pPr>
      <w:r w:rsidRPr="00CB32B1">
        <w:rPr>
          <w:i/>
          <w:color w:val="DC6900" w:themeColor="text2"/>
        </w:rPr>
        <w:t>“consideration be given to Commonwealth support to ensure that suitable professional indemnity insurance is available for appropriately qualified and skilled midwives.”</w:t>
      </w:r>
      <w:r w:rsidRPr="00CB32B1">
        <w:rPr>
          <w:rStyle w:val="FootnoteReference"/>
          <w:rFonts w:eastAsia="Georgia"/>
          <w:i/>
          <w:color w:val="DC6900" w:themeColor="text2"/>
        </w:rPr>
        <w:footnoteReference w:id="38"/>
      </w:r>
    </w:p>
    <w:p w:rsidR="000B11C1" w:rsidRPr="00CB32B1" w:rsidRDefault="000B11C1" w:rsidP="000B11C1">
      <w:pPr>
        <w:pStyle w:val="PwCNormal"/>
        <w:numPr>
          <w:ilvl w:val="0"/>
          <w:numId w:val="0"/>
        </w:numPr>
      </w:pPr>
      <w:r w:rsidRPr="00CB32B1">
        <w:t xml:space="preserve">Subsequently, the Commonwealth issued a tender for </w:t>
      </w:r>
      <w:r w:rsidR="003718B5" w:rsidRPr="00CB32B1">
        <w:t>PII</w:t>
      </w:r>
      <w:r w:rsidRPr="00CB32B1">
        <w:t xml:space="preserve"> (excluding intrapartum care), which w</w:t>
      </w:r>
      <w:r w:rsidR="0072404D" w:rsidRPr="00CB32B1">
        <w:t>as awarded to the insurer MIGA.</w:t>
      </w:r>
      <w:r w:rsidR="0072404D" w:rsidRPr="00CB32B1">
        <w:rPr>
          <w:rFonts w:eastAsia="Georgia"/>
          <w:vertAlign w:val="superscript"/>
        </w:rPr>
        <w:footnoteReference w:id="39"/>
      </w:r>
      <w:r w:rsidRPr="00CB32B1">
        <w:t xml:space="preserve"> Following this, another commercial insurer, IMGA, entered the market. While both provide PII for PPMs, the products differ, as outlined in </w:t>
      </w:r>
      <w:r w:rsidR="009129A6" w:rsidRPr="00CB32B1">
        <w:fldChar w:fldCharType="begin"/>
      </w:r>
      <w:r w:rsidR="00EB2051" w:rsidRPr="00CB32B1">
        <w:instrText xml:space="preserve"> REF _Ref361223695 \h </w:instrText>
      </w:r>
      <w:r w:rsidR="009129A6" w:rsidRPr="00CB32B1">
        <w:fldChar w:fldCharType="separate"/>
      </w:r>
      <w:r w:rsidR="008816B4" w:rsidRPr="00CB32B1">
        <w:t xml:space="preserve">Table </w:t>
      </w:r>
      <w:r w:rsidR="008816B4">
        <w:rPr>
          <w:noProof/>
        </w:rPr>
        <w:t>2</w:t>
      </w:r>
      <w:r w:rsidR="009129A6" w:rsidRPr="00CB32B1">
        <w:fldChar w:fldCharType="end"/>
      </w:r>
      <w:r w:rsidRPr="00CB32B1">
        <w:t>.</w:t>
      </w:r>
    </w:p>
    <w:p w:rsidR="0023401D" w:rsidRPr="00CB32B1" w:rsidRDefault="000B11C1" w:rsidP="000B11C1">
      <w:pPr>
        <w:pStyle w:val="Caption"/>
      </w:pPr>
      <w:bookmarkStart w:id="19" w:name="_Ref361223695"/>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2</w:t>
      </w:r>
      <w:r w:rsidR="009129A6" w:rsidRPr="00CB32B1">
        <w:fldChar w:fldCharType="end"/>
      </w:r>
      <w:bookmarkEnd w:id="19"/>
      <w:r w:rsidR="007E78CA" w:rsidRPr="00CB32B1">
        <w:t>:</w:t>
      </w:r>
      <w:r w:rsidR="007E78CA" w:rsidRPr="00CB32B1">
        <w:tab/>
      </w:r>
      <w:r w:rsidRPr="00CB32B1">
        <w:t>Insurance products in Australia</w:t>
      </w:r>
    </w:p>
    <w:tbl>
      <w:tblPr>
        <w:tblStyle w:val="PwCTableStyle1"/>
        <w:tblW w:w="9292" w:type="dxa"/>
        <w:tblLayout w:type="fixed"/>
        <w:tblLook w:val="04A0"/>
      </w:tblPr>
      <w:tblGrid>
        <w:gridCol w:w="2188"/>
        <w:gridCol w:w="1916"/>
        <w:gridCol w:w="1917"/>
        <w:gridCol w:w="3271"/>
      </w:tblGrid>
      <w:tr w:rsidR="0072404D" w:rsidRPr="00CB32B1" w:rsidTr="003B21A7">
        <w:trPr>
          <w:cnfStyle w:val="100000000000"/>
          <w:trHeight w:val="270"/>
        </w:trPr>
        <w:tc>
          <w:tcPr>
            <w:cnfStyle w:val="001000000000"/>
            <w:tcW w:w="2188" w:type="dxa"/>
            <w:shd w:val="clear" w:color="auto" w:fill="DC6900" w:themeFill="text2"/>
            <w:vAlign w:val="center"/>
            <w:hideMark/>
          </w:tcPr>
          <w:p w:rsidR="0072404D" w:rsidRPr="00CB32B1" w:rsidRDefault="0072404D" w:rsidP="003B21A7">
            <w:pPr>
              <w:pStyle w:val="TableColumnHeadingNormal"/>
            </w:pPr>
            <w:r w:rsidRPr="00CB32B1">
              <w:t xml:space="preserve">Insurer </w:t>
            </w:r>
          </w:p>
        </w:tc>
        <w:tc>
          <w:tcPr>
            <w:tcW w:w="3833" w:type="dxa"/>
            <w:gridSpan w:val="2"/>
            <w:shd w:val="clear" w:color="auto" w:fill="DC6900" w:themeFill="text2"/>
            <w:vAlign w:val="center"/>
            <w:hideMark/>
          </w:tcPr>
          <w:p w:rsidR="0072404D" w:rsidRPr="00CB32B1" w:rsidRDefault="0072404D" w:rsidP="003B21A7">
            <w:pPr>
              <w:pStyle w:val="TableColumnHeadingNormal"/>
              <w:cnfStyle w:val="100000000000"/>
            </w:pPr>
            <w:r w:rsidRPr="00CB32B1">
              <w:t>MIGA</w:t>
            </w:r>
          </w:p>
        </w:tc>
        <w:tc>
          <w:tcPr>
            <w:tcW w:w="3271" w:type="dxa"/>
            <w:shd w:val="clear" w:color="auto" w:fill="DC6900" w:themeFill="text2"/>
            <w:vAlign w:val="center"/>
            <w:hideMark/>
          </w:tcPr>
          <w:p w:rsidR="0072404D" w:rsidRPr="00CB32B1" w:rsidRDefault="0072404D" w:rsidP="003B21A7">
            <w:pPr>
              <w:pStyle w:val="TableColumnHeadingNormal"/>
              <w:cnfStyle w:val="100000000000"/>
            </w:pPr>
            <w:r w:rsidRPr="00CB32B1">
              <w:t>IMGA</w:t>
            </w:r>
          </w:p>
        </w:tc>
      </w:tr>
      <w:tr w:rsidR="0072404D" w:rsidRPr="00CB32B1" w:rsidTr="0072404D">
        <w:trPr>
          <w:trHeight w:val="408"/>
        </w:trPr>
        <w:tc>
          <w:tcPr>
            <w:cnfStyle w:val="001000000000"/>
            <w:tcW w:w="2188" w:type="dxa"/>
            <w:hideMark/>
          </w:tcPr>
          <w:p w:rsidR="0072404D" w:rsidRPr="00CB32B1" w:rsidRDefault="00B24A6C" w:rsidP="0072404D">
            <w:pPr>
              <w:pStyle w:val="TableTextNormalBold"/>
            </w:pPr>
            <w:r w:rsidRPr="00CB32B1">
              <w:t>Product type</w:t>
            </w:r>
            <w:r w:rsidR="0072404D" w:rsidRPr="00CB32B1">
              <w:t>:</w:t>
            </w:r>
          </w:p>
        </w:tc>
        <w:tc>
          <w:tcPr>
            <w:tcW w:w="3833" w:type="dxa"/>
            <w:gridSpan w:val="2"/>
            <w:hideMark/>
          </w:tcPr>
          <w:p w:rsidR="0072404D" w:rsidRPr="00CB32B1" w:rsidRDefault="0072404D" w:rsidP="0072404D">
            <w:pPr>
              <w:pStyle w:val="TableBullet1Normal"/>
              <w:cnfStyle w:val="000000000000"/>
            </w:pPr>
            <w:r w:rsidRPr="00CB32B1">
              <w:t>Federal government underwritten.</w:t>
            </w:r>
          </w:p>
        </w:tc>
        <w:tc>
          <w:tcPr>
            <w:tcW w:w="3271" w:type="dxa"/>
            <w:hideMark/>
          </w:tcPr>
          <w:p w:rsidR="0072404D" w:rsidRPr="00CB32B1" w:rsidRDefault="0072404D" w:rsidP="0072404D">
            <w:pPr>
              <w:pStyle w:val="TableBullet1Normal"/>
              <w:cnfStyle w:val="000000000000"/>
            </w:pPr>
            <w:r w:rsidRPr="00CB32B1">
              <w:t>Commercial product.</w:t>
            </w:r>
          </w:p>
        </w:tc>
      </w:tr>
      <w:tr w:rsidR="0072404D" w:rsidRPr="00CB32B1" w:rsidTr="0072404D">
        <w:trPr>
          <w:trHeight w:val="270"/>
        </w:trPr>
        <w:tc>
          <w:tcPr>
            <w:cnfStyle w:val="001000000000"/>
            <w:tcW w:w="2188" w:type="dxa"/>
            <w:hideMark/>
          </w:tcPr>
          <w:p w:rsidR="0072404D" w:rsidRPr="00CB32B1" w:rsidRDefault="0072404D" w:rsidP="0072404D">
            <w:pPr>
              <w:pStyle w:val="TableTextNormalBold"/>
            </w:pPr>
            <w:r w:rsidRPr="00CB32B1">
              <w:t xml:space="preserve">Insurer’s product name: </w:t>
            </w:r>
          </w:p>
        </w:tc>
        <w:tc>
          <w:tcPr>
            <w:tcW w:w="1916" w:type="dxa"/>
            <w:hideMark/>
          </w:tcPr>
          <w:p w:rsidR="0072404D" w:rsidRPr="00CB32B1" w:rsidRDefault="0072404D" w:rsidP="0072404D">
            <w:pPr>
              <w:pStyle w:val="TableTextNormal"/>
              <w:cnfStyle w:val="000000000000"/>
            </w:pPr>
            <w:r w:rsidRPr="00CB32B1">
              <w:t>Category A</w:t>
            </w:r>
          </w:p>
          <w:p w:rsidR="0072404D" w:rsidRPr="00CB32B1" w:rsidRDefault="0072404D" w:rsidP="00DA207E">
            <w:pPr>
              <w:pStyle w:val="TableTextNormal"/>
              <w:cnfStyle w:val="000000000000"/>
            </w:pPr>
            <w:r w:rsidRPr="00CB32B1">
              <w:t>(if provide intrapartum care)</w:t>
            </w:r>
          </w:p>
        </w:tc>
        <w:tc>
          <w:tcPr>
            <w:tcW w:w="1917" w:type="dxa"/>
            <w:hideMark/>
          </w:tcPr>
          <w:p w:rsidR="0072404D" w:rsidRPr="00CB32B1" w:rsidRDefault="0072404D" w:rsidP="0072404D">
            <w:pPr>
              <w:pStyle w:val="TableTextNormal"/>
              <w:cnfStyle w:val="000000000000"/>
            </w:pPr>
            <w:r w:rsidRPr="00CB32B1">
              <w:t>Category B</w:t>
            </w:r>
          </w:p>
          <w:p w:rsidR="0072404D" w:rsidRPr="00CB32B1" w:rsidRDefault="0072404D" w:rsidP="0072404D">
            <w:pPr>
              <w:pStyle w:val="TableTextNormal"/>
              <w:cnfStyle w:val="000000000000"/>
            </w:pPr>
            <w:r w:rsidRPr="00CB32B1">
              <w:t>(if provide no intrapartum care)</w:t>
            </w:r>
          </w:p>
        </w:tc>
        <w:tc>
          <w:tcPr>
            <w:tcW w:w="3271" w:type="dxa"/>
            <w:hideMark/>
          </w:tcPr>
          <w:p w:rsidR="0072404D" w:rsidRPr="00CB32B1" w:rsidRDefault="0072404D" w:rsidP="0072404D">
            <w:pPr>
              <w:pStyle w:val="TableTextNormal"/>
              <w:cnfStyle w:val="000000000000"/>
            </w:pPr>
            <w:r w:rsidRPr="00CB32B1">
              <w:t xml:space="preserve">Category A </w:t>
            </w:r>
          </w:p>
          <w:p w:rsidR="0072404D" w:rsidRPr="00CB32B1" w:rsidRDefault="0072404D" w:rsidP="0072404D">
            <w:pPr>
              <w:pStyle w:val="TableTextNormal"/>
              <w:cnfStyle w:val="000000000000"/>
            </w:pPr>
            <w:r w:rsidRPr="00CB32B1">
              <w:t>(The provision of antenatal and po</w:t>
            </w:r>
            <w:r w:rsidR="00DA207E">
              <w:t>stnatal and education services)</w:t>
            </w:r>
          </w:p>
        </w:tc>
      </w:tr>
      <w:tr w:rsidR="0072404D" w:rsidRPr="00CB32B1" w:rsidTr="0072404D">
        <w:trPr>
          <w:trHeight w:val="270"/>
        </w:trPr>
        <w:tc>
          <w:tcPr>
            <w:cnfStyle w:val="001000000000"/>
            <w:tcW w:w="2188" w:type="dxa"/>
            <w:hideMark/>
          </w:tcPr>
          <w:p w:rsidR="0072404D" w:rsidRPr="00CB32B1" w:rsidRDefault="0072404D" w:rsidP="0072404D">
            <w:pPr>
              <w:pStyle w:val="TableTextNormalBold"/>
            </w:pPr>
            <w:r w:rsidRPr="00CB32B1">
              <w:t>Annual premium</w:t>
            </w:r>
          </w:p>
        </w:tc>
        <w:tc>
          <w:tcPr>
            <w:tcW w:w="1916" w:type="dxa"/>
            <w:hideMark/>
          </w:tcPr>
          <w:p w:rsidR="0072404D" w:rsidRPr="00CB32B1" w:rsidRDefault="00DA207E" w:rsidP="0072404D">
            <w:pPr>
              <w:pStyle w:val="TableBullet1Normal"/>
              <w:cnfStyle w:val="000000000000"/>
            </w:pPr>
            <w:r>
              <w:t>$7,500</w:t>
            </w:r>
          </w:p>
        </w:tc>
        <w:tc>
          <w:tcPr>
            <w:tcW w:w="1917" w:type="dxa"/>
            <w:hideMark/>
          </w:tcPr>
          <w:p w:rsidR="0072404D" w:rsidRPr="00CB32B1" w:rsidRDefault="00DA207E" w:rsidP="0072404D">
            <w:pPr>
              <w:pStyle w:val="TableBullet1Normal"/>
              <w:cnfStyle w:val="000000000000"/>
            </w:pPr>
            <w:r>
              <w:t>$3,400</w:t>
            </w:r>
          </w:p>
        </w:tc>
        <w:tc>
          <w:tcPr>
            <w:tcW w:w="3271" w:type="dxa"/>
            <w:hideMark/>
          </w:tcPr>
          <w:p w:rsidR="0072404D" w:rsidRPr="00CB32B1" w:rsidRDefault="00DA207E" w:rsidP="0072404D">
            <w:pPr>
              <w:pStyle w:val="TableBullet1Normal"/>
              <w:cnfStyle w:val="000000000000"/>
            </w:pPr>
            <w:r>
              <w:t>$1,405 – $2,315</w:t>
            </w:r>
          </w:p>
        </w:tc>
      </w:tr>
      <w:tr w:rsidR="0072404D" w:rsidRPr="00CB32B1" w:rsidTr="0072404D">
        <w:trPr>
          <w:trHeight w:val="270"/>
        </w:trPr>
        <w:tc>
          <w:tcPr>
            <w:cnfStyle w:val="001000000000"/>
            <w:tcW w:w="2188" w:type="dxa"/>
            <w:hideMark/>
          </w:tcPr>
          <w:p w:rsidR="0072404D" w:rsidRPr="00CB32B1" w:rsidRDefault="0072404D" w:rsidP="0072404D">
            <w:pPr>
              <w:pStyle w:val="TableTextNormalBold"/>
            </w:pPr>
            <w:r w:rsidRPr="00CB32B1">
              <w:t>Calculation of premium</w:t>
            </w:r>
          </w:p>
        </w:tc>
        <w:tc>
          <w:tcPr>
            <w:tcW w:w="1916" w:type="dxa"/>
            <w:hideMark/>
          </w:tcPr>
          <w:p w:rsidR="0072404D" w:rsidRPr="00CB32B1" w:rsidRDefault="0072404D" w:rsidP="003718B5">
            <w:pPr>
              <w:pStyle w:val="TableBullet1Normal"/>
              <w:cnfStyle w:val="000000000000"/>
            </w:pPr>
            <w:r w:rsidRPr="00CB32B1">
              <w:t>Caseload*</w:t>
            </w:r>
          </w:p>
        </w:tc>
        <w:tc>
          <w:tcPr>
            <w:tcW w:w="1917" w:type="dxa"/>
            <w:hideMark/>
          </w:tcPr>
          <w:p w:rsidR="0072404D" w:rsidRPr="00CB32B1" w:rsidRDefault="0072404D" w:rsidP="003718B5">
            <w:pPr>
              <w:pStyle w:val="TableBullet1Normal"/>
              <w:cnfStyle w:val="000000000000"/>
            </w:pPr>
            <w:r w:rsidRPr="00CB32B1">
              <w:t>Caseload*</w:t>
            </w:r>
          </w:p>
        </w:tc>
        <w:tc>
          <w:tcPr>
            <w:tcW w:w="3271" w:type="dxa"/>
            <w:hideMark/>
          </w:tcPr>
          <w:p w:rsidR="0072404D" w:rsidRPr="00CB32B1" w:rsidRDefault="0072404D" w:rsidP="0072404D">
            <w:pPr>
              <w:pStyle w:val="TableBullet1Normal"/>
              <w:cnfStyle w:val="000000000000"/>
            </w:pPr>
            <w:r w:rsidRPr="00CB32B1">
              <w:t>Level of indemnity required</w:t>
            </w:r>
          </w:p>
          <w:p w:rsidR="0072404D" w:rsidRPr="00CB32B1" w:rsidRDefault="00DA207E" w:rsidP="0072404D">
            <w:pPr>
              <w:pStyle w:val="TableBullet1Normal"/>
              <w:cnfStyle w:val="000000000000"/>
            </w:pPr>
            <w:r>
              <w:t>Membership in the ACM</w:t>
            </w:r>
          </w:p>
        </w:tc>
      </w:tr>
      <w:tr w:rsidR="0072404D" w:rsidRPr="00CB32B1" w:rsidTr="0072404D">
        <w:trPr>
          <w:trHeight w:val="270"/>
        </w:trPr>
        <w:tc>
          <w:tcPr>
            <w:cnfStyle w:val="001000000000"/>
            <w:tcW w:w="2188" w:type="dxa"/>
            <w:hideMark/>
          </w:tcPr>
          <w:p w:rsidR="0072404D" w:rsidRPr="00CB32B1" w:rsidRDefault="0072404D" w:rsidP="0072404D">
            <w:pPr>
              <w:pStyle w:val="TableTextNormalBold"/>
            </w:pPr>
            <w:r w:rsidRPr="00CB32B1">
              <w:t xml:space="preserve">Run off cover </w:t>
            </w:r>
          </w:p>
        </w:tc>
        <w:tc>
          <w:tcPr>
            <w:tcW w:w="1916" w:type="dxa"/>
            <w:hideMark/>
          </w:tcPr>
          <w:p w:rsidR="0072404D" w:rsidRPr="00CB32B1" w:rsidRDefault="00DA207E" w:rsidP="0072404D">
            <w:pPr>
              <w:pStyle w:val="TableBullet1Normal"/>
              <w:cnfStyle w:val="000000000000"/>
            </w:pPr>
            <w:r>
              <w:t>Yes</w:t>
            </w:r>
          </w:p>
        </w:tc>
        <w:tc>
          <w:tcPr>
            <w:tcW w:w="1917" w:type="dxa"/>
            <w:hideMark/>
          </w:tcPr>
          <w:p w:rsidR="0072404D" w:rsidRPr="00CB32B1" w:rsidRDefault="00DA207E" w:rsidP="0072404D">
            <w:pPr>
              <w:pStyle w:val="TableBullet1Normal"/>
              <w:cnfStyle w:val="000000000000"/>
            </w:pPr>
            <w:r>
              <w:t>Yes</w:t>
            </w:r>
          </w:p>
        </w:tc>
        <w:tc>
          <w:tcPr>
            <w:tcW w:w="3271" w:type="dxa"/>
            <w:hideMark/>
          </w:tcPr>
          <w:p w:rsidR="0072404D" w:rsidRPr="00CB32B1" w:rsidRDefault="0072404D" w:rsidP="0072404D">
            <w:pPr>
              <w:pStyle w:val="TableBullet1Normal"/>
              <w:cnfStyle w:val="000000000000"/>
            </w:pPr>
            <w:r w:rsidRPr="00CB32B1">
              <w:t xml:space="preserve">No </w:t>
            </w:r>
          </w:p>
          <w:p w:rsidR="0072404D" w:rsidRPr="00CB32B1" w:rsidRDefault="00DA207E" w:rsidP="0072404D">
            <w:pPr>
              <w:pStyle w:val="TableBullet1Normal"/>
              <w:cnfStyle w:val="000000000000"/>
            </w:pPr>
            <w:r>
              <w:t>“claims-made and notified”</w:t>
            </w:r>
          </w:p>
        </w:tc>
      </w:tr>
      <w:tr w:rsidR="0072404D" w:rsidRPr="00CB32B1" w:rsidTr="0072404D">
        <w:trPr>
          <w:trHeight w:val="270"/>
        </w:trPr>
        <w:tc>
          <w:tcPr>
            <w:cnfStyle w:val="001000000000"/>
            <w:tcW w:w="2188" w:type="dxa"/>
            <w:hideMark/>
          </w:tcPr>
          <w:p w:rsidR="0072404D" w:rsidRPr="00CB32B1" w:rsidRDefault="0072404D" w:rsidP="0072404D">
            <w:pPr>
              <w:pStyle w:val="TableTextNormalBold"/>
            </w:pPr>
            <w:r w:rsidRPr="00CB32B1">
              <w:t xml:space="preserve">Excess </w:t>
            </w:r>
          </w:p>
        </w:tc>
        <w:tc>
          <w:tcPr>
            <w:tcW w:w="1916" w:type="dxa"/>
            <w:hideMark/>
          </w:tcPr>
          <w:p w:rsidR="0072404D" w:rsidRPr="00CB32B1" w:rsidRDefault="00DA207E" w:rsidP="0072404D">
            <w:pPr>
              <w:pStyle w:val="TableBullet1Normal"/>
              <w:cnfStyle w:val="000000000000"/>
            </w:pPr>
            <w:r>
              <w:t>No</w:t>
            </w:r>
          </w:p>
        </w:tc>
        <w:tc>
          <w:tcPr>
            <w:tcW w:w="1917" w:type="dxa"/>
            <w:hideMark/>
          </w:tcPr>
          <w:p w:rsidR="0072404D" w:rsidRPr="00CB32B1" w:rsidRDefault="00DA207E" w:rsidP="0072404D">
            <w:pPr>
              <w:pStyle w:val="TableBullet1Normal"/>
              <w:cnfStyle w:val="000000000000"/>
            </w:pPr>
            <w:r>
              <w:t>No</w:t>
            </w:r>
          </w:p>
        </w:tc>
        <w:tc>
          <w:tcPr>
            <w:tcW w:w="3271" w:type="dxa"/>
            <w:hideMark/>
          </w:tcPr>
          <w:p w:rsidR="0072404D" w:rsidRPr="00CB32B1" w:rsidRDefault="0072404D" w:rsidP="0072404D">
            <w:pPr>
              <w:pStyle w:val="TableBullet1Normal"/>
              <w:cnfStyle w:val="000000000000"/>
            </w:pPr>
            <w:r w:rsidRPr="00CB32B1">
              <w:t>Yes</w:t>
            </w:r>
          </w:p>
          <w:p w:rsidR="0072404D" w:rsidRPr="00CB32B1" w:rsidRDefault="00DA207E" w:rsidP="0072404D">
            <w:pPr>
              <w:pStyle w:val="TableBullet1Normal"/>
              <w:cnfStyle w:val="000000000000"/>
            </w:pPr>
            <w:r>
              <w:t>$2,500</w:t>
            </w:r>
          </w:p>
        </w:tc>
      </w:tr>
      <w:tr w:rsidR="0072404D" w:rsidRPr="00CB32B1" w:rsidTr="0072404D">
        <w:trPr>
          <w:trHeight w:val="270"/>
        </w:trPr>
        <w:tc>
          <w:tcPr>
            <w:cnfStyle w:val="001000000000"/>
            <w:tcW w:w="2188" w:type="dxa"/>
            <w:hideMark/>
          </w:tcPr>
          <w:p w:rsidR="0072404D" w:rsidRPr="00CB32B1" w:rsidRDefault="0072404D" w:rsidP="0072404D">
            <w:pPr>
              <w:pStyle w:val="TableTextNormalBold"/>
            </w:pPr>
            <w:r w:rsidRPr="00CB32B1">
              <w:t xml:space="preserve">Quantum of cover </w:t>
            </w:r>
          </w:p>
        </w:tc>
        <w:tc>
          <w:tcPr>
            <w:tcW w:w="1916" w:type="dxa"/>
            <w:hideMark/>
          </w:tcPr>
          <w:p w:rsidR="0072404D" w:rsidRPr="00CB32B1" w:rsidRDefault="00DA207E" w:rsidP="0072404D">
            <w:pPr>
              <w:pStyle w:val="TableBullet1Normal"/>
              <w:cnfStyle w:val="000000000000"/>
            </w:pPr>
            <w:r>
              <w:t>Unlimited</w:t>
            </w:r>
          </w:p>
        </w:tc>
        <w:tc>
          <w:tcPr>
            <w:tcW w:w="1917" w:type="dxa"/>
            <w:hideMark/>
          </w:tcPr>
          <w:p w:rsidR="0072404D" w:rsidRPr="00CB32B1" w:rsidRDefault="00DA207E" w:rsidP="0072404D">
            <w:pPr>
              <w:pStyle w:val="TableBullet1Normal"/>
              <w:cnfStyle w:val="000000000000"/>
            </w:pPr>
            <w:r>
              <w:t>Unlimited</w:t>
            </w:r>
          </w:p>
        </w:tc>
        <w:tc>
          <w:tcPr>
            <w:tcW w:w="3271" w:type="dxa"/>
            <w:hideMark/>
          </w:tcPr>
          <w:p w:rsidR="0072404D" w:rsidRPr="00CB32B1" w:rsidRDefault="00DA207E" w:rsidP="0072404D">
            <w:pPr>
              <w:pStyle w:val="TableBullet1Normal"/>
              <w:cnfStyle w:val="000000000000"/>
            </w:pPr>
            <w:r>
              <w:t>$1,000,000 – $5,000,000</w:t>
            </w:r>
          </w:p>
        </w:tc>
      </w:tr>
      <w:tr w:rsidR="0072404D" w:rsidRPr="00CB32B1" w:rsidTr="0072404D">
        <w:trPr>
          <w:trHeight w:val="408"/>
        </w:trPr>
        <w:tc>
          <w:tcPr>
            <w:cnfStyle w:val="001000000000"/>
            <w:tcW w:w="2188" w:type="dxa"/>
            <w:hideMark/>
          </w:tcPr>
          <w:p w:rsidR="0072404D" w:rsidRPr="00CB32B1" w:rsidRDefault="0072404D" w:rsidP="0072404D">
            <w:pPr>
              <w:pStyle w:val="TableTextNormalBold"/>
            </w:pPr>
            <w:r w:rsidRPr="00CB32B1">
              <w:t xml:space="preserve">Not included in cover </w:t>
            </w:r>
          </w:p>
        </w:tc>
        <w:tc>
          <w:tcPr>
            <w:tcW w:w="1916" w:type="dxa"/>
            <w:hideMark/>
          </w:tcPr>
          <w:p w:rsidR="0072404D" w:rsidRPr="00CB32B1" w:rsidRDefault="00DA207E" w:rsidP="0072404D">
            <w:pPr>
              <w:pStyle w:val="TableBullet1Normal"/>
              <w:cnfStyle w:val="000000000000"/>
            </w:pPr>
            <w:r>
              <w:t>Homebirth</w:t>
            </w:r>
          </w:p>
        </w:tc>
        <w:tc>
          <w:tcPr>
            <w:tcW w:w="1917" w:type="dxa"/>
            <w:hideMark/>
          </w:tcPr>
          <w:p w:rsidR="0072404D" w:rsidRPr="00CB32B1" w:rsidRDefault="00DA207E" w:rsidP="0072404D">
            <w:pPr>
              <w:pStyle w:val="TableBullet1Normal"/>
              <w:cnfStyle w:val="000000000000"/>
            </w:pPr>
            <w:r>
              <w:t>Birthing activities</w:t>
            </w:r>
          </w:p>
        </w:tc>
        <w:tc>
          <w:tcPr>
            <w:tcW w:w="3271" w:type="dxa"/>
            <w:hideMark/>
          </w:tcPr>
          <w:p w:rsidR="0072404D" w:rsidRPr="00CB32B1" w:rsidRDefault="0072404D" w:rsidP="0072404D">
            <w:pPr>
              <w:pStyle w:val="TableBullet1Normal"/>
              <w:cnfStyle w:val="000000000000"/>
            </w:pPr>
            <w:r w:rsidRPr="00CB32B1">
              <w:t>Birthing activities</w:t>
            </w:r>
          </w:p>
          <w:p w:rsidR="0072404D" w:rsidRPr="00CB32B1" w:rsidRDefault="00DA207E" w:rsidP="0072404D">
            <w:pPr>
              <w:pStyle w:val="TableBullet1Normal"/>
              <w:cnfStyle w:val="000000000000"/>
            </w:pPr>
            <w:r>
              <w:t>Court/Industry investigations</w:t>
            </w:r>
          </w:p>
        </w:tc>
      </w:tr>
    </w:tbl>
    <w:p w:rsidR="007020BB" w:rsidRPr="00CB32B1" w:rsidRDefault="007020BB" w:rsidP="007020BB">
      <w:pPr>
        <w:pStyle w:val="Sources"/>
        <w:spacing w:after="40"/>
      </w:pPr>
      <w:r w:rsidRPr="00CB32B1">
        <w:rPr>
          <w:b/>
        </w:rPr>
        <w:t>Note*:</w:t>
      </w:r>
      <w:r w:rsidRPr="00CB32B1">
        <w:t xml:space="preserve"> Caseload is to the number attended per year.</w:t>
      </w:r>
    </w:p>
    <w:p w:rsidR="0023401D" w:rsidRPr="00CB32B1" w:rsidRDefault="0072404D" w:rsidP="0072404D">
      <w:pPr>
        <w:pStyle w:val="Sources"/>
      </w:pPr>
      <w:r w:rsidRPr="00CB32B1">
        <w:rPr>
          <w:b/>
        </w:rPr>
        <w:t>Source:</w:t>
      </w:r>
      <w:r w:rsidR="007020BB" w:rsidRPr="00CB32B1">
        <w:t xml:space="preserve"> MIGA 2012, IMGA 2012.</w:t>
      </w:r>
    </w:p>
    <w:p w:rsidR="00236E04" w:rsidRPr="00CB32B1" w:rsidRDefault="00236E04" w:rsidP="00236E04">
      <w:pPr>
        <w:pStyle w:val="PwCNormal"/>
      </w:pPr>
      <w:r w:rsidRPr="00CB32B1">
        <w:t>The common feature of both products is that they do not provide PII for homebirth or birthing services during the provision of intrapartum care. The key differences between the products include:</w:t>
      </w:r>
    </w:p>
    <w:p w:rsidR="00236E04" w:rsidRPr="00CB32B1" w:rsidRDefault="00236E04" w:rsidP="00236E04">
      <w:pPr>
        <w:pStyle w:val="ListBullet"/>
      </w:pPr>
      <w:r w:rsidRPr="00CB32B1">
        <w:rPr>
          <w:b/>
          <w:color w:val="DC6900" w:themeColor="text2"/>
        </w:rPr>
        <w:t>Eligible midwives/practice:</w:t>
      </w:r>
      <w:r w:rsidRPr="00CB32B1">
        <w:t xml:space="preserve"> MIGA requires holders to either be an eligible midwife, or become</w:t>
      </w:r>
      <w:r w:rsidR="000718F9">
        <w:t xml:space="preserve"> </w:t>
      </w:r>
      <w:r w:rsidRPr="00CB32B1">
        <w:t>one</w:t>
      </w:r>
    </w:p>
    <w:p w:rsidR="00236E04" w:rsidRPr="00CB32B1" w:rsidRDefault="00236E04" w:rsidP="00236E04">
      <w:pPr>
        <w:pStyle w:val="ListBullet"/>
      </w:pPr>
      <w:r w:rsidRPr="00CB32B1">
        <w:rPr>
          <w:b/>
          <w:color w:val="DC6900" w:themeColor="text2"/>
        </w:rPr>
        <w:t>Excess:</w:t>
      </w:r>
      <w:r w:rsidRPr="00CB32B1">
        <w:t xml:space="preserve"> </w:t>
      </w:r>
      <w:r w:rsidR="000718F9">
        <w:t>w</w:t>
      </w:r>
      <w:r w:rsidRPr="00CB32B1">
        <w:t>hile the MIGA product is higher cost than the</w:t>
      </w:r>
      <w:r w:rsidR="000718F9">
        <w:t xml:space="preserve"> IMGA product, it has no excess </w:t>
      </w:r>
      <w:r w:rsidRPr="00CB32B1">
        <w:t>attached</w:t>
      </w:r>
    </w:p>
    <w:p w:rsidR="00236E04" w:rsidRPr="00CB32B1" w:rsidRDefault="00236E04" w:rsidP="00236E04">
      <w:pPr>
        <w:pStyle w:val="ListBullet"/>
      </w:pPr>
      <w:r w:rsidRPr="00CB32B1">
        <w:rPr>
          <w:b/>
          <w:color w:val="DC6900" w:themeColor="text2"/>
        </w:rPr>
        <w:t>Premium:</w:t>
      </w:r>
      <w:r w:rsidRPr="00CB32B1">
        <w:t xml:space="preserve"> </w:t>
      </w:r>
      <w:r w:rsidR="000718F9">
        <w:t>t</w:t>
      </w:r>
      <w:r w:rsidRPr="00CB32B1">
        <w:t>he premium varies between products and companies. The driver of variation was not provided, but could be linked to actuarial computation of th</w:t>
      </w:r>
      <w:r w:rsidR="000718F9">
        <w:t xml:space="preserve">e premium equation (see </w:t>
      </w:r>
      <w:r w:rsidRPr="00CB32B1">
        <w:t>Chapter 3)</w:t>
      </w:r>
    </w:p>
    <w:p w:rsidR="00236E04" w:rsidRPr="00CB32B1" w:rsidRDefault="00236E04" w:rsidP="00236E04">
      <w:pPr>
        <w:pStyle w:val="ListBullet"/>
      </w:pPr>
      <w:r w:rsidRPr="00CB32B1">
        <w:rPr>
          <w:b/>
          <w:color w:val="DC6900" w:themeColor="text2"/>
        </w:rPr>
        <w:t>Quantum of cover:</w:t>
      </w:r>
      <w:r w:rsidRPr="00CB32B1">
        <w:t xml:space="preserve"> MIGA has no limitation to the cover provided unlike the IMGA product</w:t>
      </w:r>
    </w:p>
    <w:p w:rsidR="003718B5" w:rsidRPr="00CB32B1" w:rsidRDefault="000718F9" w:rsidP="003718B5">
      <w:pPr>
        <w:pStyle w:val="ListBullet"/>
      </w:pPr>
      <w:r>
        <w:rPr>
          <w:b/>
          <w:color w:val="DC6900" w:themeColor="text2"/>
        </w:rPr>
        <w:t>Run-</w:t>
      </w:r>
      <w:r w:rsidR="00236E04" w:rsidRPr="00CB32B1">
        <w:rPr>
          <w:b/>
          <w:color w:val="DC6900" w:themeColor="text2"/>
        </w:rPr>
        <w:t>off cover:</w:t>
      </w:r>
      <w:r w:rsidR="00236E04" w:rsidRPr="00CB32B1">
        <w:t xml:space="preserve"> </w:t>
      </w:r>
      <w:r>
        <w:t>as a government-</w:t>
      </w:r>
      <w:r w:rsidR="00236E04" w:rsidRPr="00CB32B1">
        <w:t>unde</w:t>
      </w:r>
      <w:r>
        <w:t>rwritten cover, MIGA offers run-</w:t>
      </w:r>
      <w:r w:rsidR="00236E04" w:rsidRPr="00CB32B1">
        <w:t xml:space="preserve">off cover through the Midwifery Professional Indemnity Scheme. This is free PII cover whereby the Commonwealth </w:t>
      </w:r>
      <w:r w:rsidR="003718B5" w:rsidRPr="00CB32B1">
        <w:t>will make payments to reimburse claims that are raised subsequent to a PPM ceasing practi</w:t>
      </w:r>
      <w:r>
        <w:t>s</w:t>
      </w:r>
      <w:r w:rsidR="003718B5" w:rsidRPr="00CB32B1">
        <w:t>e.</w:t>
      </w:r>
    </w:p>
    <w:p w:rsidR="00506338" w:rsidRPr="00CB32B1" w:rsidRDefault="00236E04" w:rsidP="00B24A6C">
      <w:pPr>
        <w:pStyle w:val="ListBullet"/>
        <w:numPr>
          <w:ilvl w:val="0"/>
          <w:numId w:val="0"/>
        </w:numPr>
      </w:pPr>
      <w:r w:rsidRPr="00CB32B1">
        <w:t xml:space="preserve">Consultations have identified that the inability to obtain insurance for intrapartum care has reduced the number of PPMs in practice. This could present difficulties in meeting access needs of women over their choice of birthing models. Alternatively as the </w:t>
      </w:r>
      <w:r w:rsidRPr="009D3C33">
        <w:rPr>
          <w:i/>
        </w:rPr>
        <w:t>Report of the Maternity Services Review</w:t>
      </w:r>
      <w:r w:rsidRPr="00CB32B1">
        <w:t xml:space="preserve"> from the Commonwealth Government identified, where PPMs have decided to continue to provide services, the result is concerning for both the PPM and the woman. Those that continue to provide intrapartum care do </w:t>
      </w:r>
      <w:r w:rsidR="000A7B59" w:rsidRPr="00CB32B1">
        <w:t>so at their own financial risk.</w:t>
      </w:r>
      <w:r w:rsidRPr="00CB32B1">
        <w:rPr>
          <w:vertAlign w:val="superscript"/>
        </w:rPr>
        <w:footnoteReference w:id="40"/>
      </w:r>
      <w:r w:rsidRPr="00CB32B1">
        <w:t xml:space="preserve"> Depending on the financial circumstances of the midwife, the risk may transfer to a woman and/or baby if no financial recourse is available.</w:t>
      </w:r>
    </w:p>
    <w:p w:rsidR="00236E04" w:rsidRPr="00CB32B1" w:rsidRDefault="00236E04" w:rsidP="00196DF5">
      <w:pPr>
        <w:pStyle w:val="FirstPagePanelFrame"/>
        <w:framePr w:wrap="notBeside"/>
        <w:rPr>
          <w:lang w:val="en-AU"/>
        </w:rPr>
      </w:pPr>
    </w:p>
    <w:p w:rsidR="00236E04" w:rsidRPr="00CB32B1" w:rsidRDefault="00196DF5" w:rsidP="00196DF5">
      <w:pPr>
        <w:pStyle w:val="Heading2"/>
      </w:pPr>
      <w:bookmarkStart w:id="20" w:name="_Toc362975049"/>
      <w:r w:rsidRPr="00CB32B1">
        <w:t>Key findings</w:t>
      </w:r>
      <w:bookmarkEnd w:id="20"/>
    </w:p>
    <w:p w:rsidR="00236E04" w:rsidRPr="00CB32B1" w:rsidRDefault="00904FF6" w:rsidP="00904FF6">
      <w:pPr>
        <w:pStyle w:val="Heading6"/>
      </w:pPr>
      <w:bookmarkStart w:id="21" w:name="_Toc362975050"/>
      <w:r w:rsidRPr="00CB32B1">
        <w:t>Profitability drivers for insurers</w:t>
      </w:r>
      <w:bookmarkEnd w:id="21"/>
    </w:p>
    <w:p w:rsidR="00002B5A" w:rsidRPr="00CB32B1" w:rsidRDefault="00002B5A" w:rsidP="004B4328">
      <w:pPr>
        <w:pStyle w:val="PwCNormal"/>
      </w:pPr>
      <w:r w:rsidRPr="00CB32B1">
        <w:t>In order to explain the findings below, a short summary of the drivers of insurance product development has been provided.</w:t>
      </w:r>
    </w:p>
    <w:p w:rsidR="004B4328" w:rsidRPr="00CB32B1" w:rsidRDefault="004B4328" w:rsidP="004B4328">
      <w:pPr>
        <w:pStyle w:val="PwCNormal"/>
      </w:pPr>
      <w:r w:rsidRPr="00CB32B1">
        <w:t xml:space="preserve">In the current Australian commercial insurance market, a </w:t>
      </w:r>
      <w:r w:rsidR="00DA207E">
        <w:t>professional indemnity insurance</w:t>
      </w:r>
      <w:r w:rsidRPr="00CB32B1">
        <w:t xml:space="preserve"> product for </w:t>
      </w:r>
      <w:r w:rsidR="00DA207E">
        <w:t>privately practising midwives</w:t>
      </w:r>
      <w:r w:rsidRPr="00CB32B1">
        <w:t xml:space="preserve"> will likely need to be assessed as profitable, in the absence of a government subsidy or alternate insurance schemes. This is in contrast to other </w:t>
      </w:r>
      <w:r w:rsidR="00496AD4">
        <w:t>jurisdictions internationally</w:t>
      </w:r>
      <w:r w:rsidRPr="00CB32B1">
        <w:t xml:space="preserve"> such as Canada, where reciprocal and non-profit arrangements exist (see Chapter 4). </w:t>
      </w:r>
    </w:p>
    <w:p w:rsidR="004B4328" w:rsidRPr="00CB32B1" w:rsidRDefault="004B4328" w:rsidP="004B4328">
      <w:pPr>
        <w:pStyle w:val="PwCNormal"/>
      </w:pPr>
      <w:r w:rsidRPr="00CB32B1">
        <w:t xml:space="preserve">For any commercial insurer to determine a premium for a product, there are several considerations that need to be taken in to account. From relevant research, three key components were identified from the ‘premium equation’ concept as outlined in </w:t>
      </w:r>
      <w:r w:rsidR="009129A6" w:rsidRPr="00CB32B1">
        <w:fldChar w:fldCharType="begin"/>
      </w:r>
      <w:r w:rsidR="00EB2051" w:rsidRPr="00CB32B1">
        <w:instrText xml:space="preserve"> REF _Ref361223520 \h </w:instrText>
      </w:r>
      <w:r w:rsidR="009129A6" w:rsidRPr="00CB32B1">
        <w:fldChar w:fldCharType="separate"/>
      </w:r>
      <w:r w:rsidR="008816B4" w:rsidRPr="00CB32B1">
        <w:t xml:space="preserve">Figure </w:t>
      </w:r>
      <w:r w:rsidR="008816B4">
        <w:rPr>
          <w:noProof/>
        </w:rPr>
        <w:t>5</w:t>
      </w:r>
      <w:r w:rsidR="009129A6" w:rsidRPr="00CB32B1">
        <w:fldChar w:fldCharType="end"/>
      </w:r>
      <w:r w:rsidRPr="00CB32B1">
        <w:t>.</w:t>
      </w:r>
    </w:p>
    <w:p w:rsidR="00270634" w:rsidRPr="00CB32B1" w:rsidRDefault="00270634" w:rsidP="00270634">
      <w:pPr>
        <w:pStyle w:val="NumericCaption"/>
      </w:pPr>
      <w:bookmarkStart w:id="22" w:name="_Ref361223520"/>
      <w:r w:rsidRPr="00CB32B1">
        <w:t xml:space="preserve">Figure </w:t>
      </w:r>
      <w:r w:rsidR="009129A6">
        <w:fldChar w:fldCharType="begin"/>
      </w:r>
      <w:r w:rsidR="00DF5BC2">
        <w:instrText xml:space="preserve"> SEQ Figure \* ARABIC </w:instrText>
      </w:r>
      <w:r w:rsidR="009129A6">
        <w:fldChar w:fldCharType="separate"/>
      </w:r>
      <w:r w:rsidR="008816B4">
        <w:rPr>
          <w:noProof/>
        </w:rPr>
        <w:t>5</w:t>
      </w:r>
      <w:r w:rsidR="009129A6">
        <w:fldChar w:fldCharType="end"/>
      </w:r>
      <w:bookmarkEnd w:id="22"/>
      <w:r w:rsidRPr="00CB32B1">
        <w:t>: equation for insurance premium development</w:t>
      </w:r>
    </w:p>
    <w:p w:rsidR="00236E04" w:rsidRPr="00CB32B1" w:rsidRDefault="003718B5" w:rsidP="003718B5">
      <w:pPr>
        <w:pStyle w:val="PwCNormal"/>
        <w:numPr>
          <w:ilvl w:val="0"/>
          <w:numId w:val="0"/>
        </w:numPr>
        <w:jc w:val="center"/>
      </w:pPr>
      <w:r w:rsidRPr="00CB32B1">
        <w:rPr>
          <w:noProof/>
          <w:lang w:val="en-US"/>
        </w:rPr>
        <w:drawing>
          <wp:inline distT="0" distB="0" distL="0" distR="0">
            <wp:extent cx="5760720" cy="1010479"/>
            <wp:effectExtent l="0" t="0" r="0" b="0"/>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cstate="print"/>
                    <a:srcRect/>
                    <a:stretch>
                      <a:fillRect/>
                    </a:stretch>
                  </pic:blipFill>
                  <pic:spPr bwMode="auto">
                    <a:xfrm>
                      <a:off x="0" y="0"/>
                      <a:ext cx="5760720" cy="1010479"/>
                    </a:xfrm>
                    <a:prstGeom prst="rect">
                      <a:avLst/>
                    </a:prstGeom>
                    <a:noFill/>
                    <a:ln w="9525">
                      <a:noFill/>
                      <a:miter lim="800000"/>
                      <a:headEnd/>
                      <a:tailEnd/>
                    </a:ln>
                  </pic:spPr>
                </pic:pic>
              </a:graphicData>
            </a:graphic>
          </wp:inline>
        </w:drawing>
      </w:r>
    </w:p>
    <w:p w:rsidR="004B4328" w:rsidRPr="00CB32B1" w:rsidRDefault="004B4328" w:rsidP="004B4328">
      <w:pPr>
        <w:pStyle w:val="PwCNormal"/>
      </w:pPr>
      <w:r w:rsidRPr="00CB32B1">
        <w:t xml:space="preserve">As the Flaxman report </w:t>
      </w:r>
      <w:r w:rsidR="00002B5A" w:rsidRPr="00CB32B1">
        <w:t xml:space="preserve">from the United Kingdom (UK) </w:t>
      </w:r>
      <w:r w:rsidRPr="00CB32B1">
        <w:t>notes (see box below), the current challenge of insuring privately or independently practising midwives relates to the apparent limitations in assessing each of these components. Either an absence of sufficient data on each of these components, or the inherent limitation in the current practice and/or environment in which PPMs provide services, has meant that developing a product is either:</w:t>
      </w:r>
    </w:p>
    <w:p w:rsidR="004B4328" w:rsidRPr="00CB32B1" w:rsidRDefault="00F67A15" w:rsidP="004B4328">
      <w:pPr>
        <w:pStyle w:val="ListBullet"/>
      </w:pPr>
      <w:r>
        <w:t>u</w:t>
      </w:r>
      <w:r w:rsidR="004B4328" w:rsidRPr="00CB32B1">
        <w:t>nprofitable for the insurer</w:t>
      </w:r>
    </w:p>
    <w:p w:rsidR="004B4328" w:rsidRPr="00CB32B1" w:rsidRDefault="00F67A15" w:rsidP="004B4328">
      <w:pPr>
        <w:pStyle w:val="ListBullet"/>
      </w:pPr>
      <w:r>
        <w:t>p</w:t>
      </w:r>
      <w:r w:rsidR="004B4328" w:rsidRPr="00CB32B1">
        <w:t>rofitable at a price that is unaffordable for those to be insured.</w:t>
      </w:r>
    </w:p>
    <w:tbl>
      <w:tblPr>
        <w:tblStyle w:val="TableGrid"/>
        <w:tblW w:w="0" w:type="auto"/>
        <w:tblBorders>
          <w:top w:val="single" w:sz="8" w:space="0" w:color="DC6900" w:themeColor="text2"/>
          <w:left w:val="single" w:sz="8" w:space="0" w:color="DC6900" w:themeColor="text2"/>
          <w:bottom w:val="single" w:sz="8" w:space="0" w:color="DC6900" w:themeColor="text2"/>
          <w:right w:val="single" w:sz="8" w:space="0" w:color="DC6900" w:themeColor="text2"/>
          <w:insideH w:val="single" w:sz="8" w:space="0" w:color="DC6900" w:themeColor="text2"/>
          <w:insideV w:val="single" w:sz="8" w:space="0" w:color="DC6900" w:themeColor="text2"/>
        </w:tblBorders>
        <w:tblLook w:val="04A0"/>
      </w:tblPr>
      <w:tblGrid>
        <w:gridCol w:w="9285"/>
      </w:tblGrid>
      <w:tr w:rsidR="00E346DC" w:rsidRPr="00CB32B1" w:rsidTr="00E346DC">
        <w:tc>
          <w:tcPr>
            <w:tcW w:w="9288" w:type="dxa"/>
          </w:tcPr>
          <w:p w:rsidR="00E346DC" w:rsidRPr="00CB32B1" w:rsidRDefault="00E346DC" w:rsidP="003718B5">
            <w:pPr>
              <w:pStyle w:val="Minorheading2"/>
              <w:keepNext w:val="0"/>
              <w:keepLines w:val="0"/>
              <w:spacing w:before="40"/>
            </w:pPr>
            <w:r w:rsidRPr="00CB32B1">
              <w:t xml:space="preserve">The Flaxman report </w:t>
            </w:r>
          </w:p>
          <w:p w:rsidR="00E346DC" w:rsidRPr="00CB32B1" w:rsidRDefault="00E346DC" w:rsidP="003718B5">
            <w:pPr>
              <w:pStyle w:val="TableTextNormal"/>
              <w:rPr>
                <w:sz w:val="17"/>
                <w:szCs w:val="17"/>
              </w:rPr>
            </w:pPr>
            <w:r w:rsidRPr="00CB32B1">
              <w:rPr>
                <w:sz w:val="17"/>
                <w:szCs w:val="17"/>
              </w:rPr>
              <w:t>In 2001, the Flaxman report (named after the author Flaxman Partners) was commissioned by the Royal College of Midwives and the Nursing &amp; Midwifery Council. It discussed the feasibility and insurability of independent midwifery in England.</w:t>
            </w:r>
            <w:r w:rsidR="003718B5" w:rsidRPr="00CB32B1">
              <w:rPr>
                <w:sz w:val="17"/>
                <w:szCs w:val="17"/>
              </w:rPr>
              <w:t xml:space="preserve"> </w:t>
            </w:r>
            <w:r w:rsidRPr="00CB32B1">
              <w:rPr>
                <w:sz w:val="17"/>
                <w:szCs w:val="17"/>
              </w:rPr>
              <w:t xml:space="preserve">England historically experienced similar issues to Australia in providing indemnity insurance for independent midwives. The report identified 7 </w:t>
            </w:r>
            <w:r w:rsidRPr="00CB32B1">
              <w:rPr>
                <w:b/>
                <w:color w:val="DC6900" w:themeColor="text2"/>
                <w:sz w:val="17"/>
                <w:szCs w:val="17"/>
              </w:rPr>
              <w:t>principle</w:t>
            </w:r>
            <w:r w:rsidRPr="00CB32B1">
              <w:rPr>
                <w:sz w:val="17"/>
                <w:szCs w:val="17"/>
              </w:rPr>
              <w:t xml:space="preserve"> reasons why the commercial market rejected insurance provision (Section </w:t>
            </w:r>
            <w:r w:rsidR="003718B5" w:rsidRPr="00CB32B1">
              <w:rPr>
                <w:sz w:val="17"/>
                <w:szCs w:val="17"/>
              </w:rPr>
              <w:t>8.2):</w:t>
            </w:r>
          </w:p>
          <w:p w:rsidR="00E346DC" w:rsidRPr="00CB32B1" w:rsidRDefault="00E346DC" w:rsidP="003718B5">
            <w:pPr>
              <w:pStyle w:val="TableBullet1Normal"/>
              <w:rPr>
                <w:sz w:val="17"/>
                <w:szCs w:val="17"/>
              </w:rPr>
            </w:pPr>
            <w:r w:rsidRPr="00CB32B1">
              <w:rPr>
                <w:sz w:val="17"/>
                <w:szCs w:val="17"/>
              </w:rPr>
              <w:t>Perceived high</w:t>
            </w:r>
            <w:r w:rsidR="008341BC">
              <w:rPr>
                <w:sz w:val="17"/>
                <w:szCs w:val="17"/>
              </w:rPr>
              <w:t>-</w:t>
            </w:r>
            <w:r w:rsidRPr="00CB32B1">
              <w:rPr>
                <w:sz w:val="17"/>
                <w:szCs w:val="17"/>
              </w:rPr>
              <w:t>risks associated with the intrapartum process</w:t>
            </w:r>
          </w:p>
          <w:p w:rsidR="00E346DC" w:rsidRPr="00CB32B1" w:rsidRDefault="00E346DC" w:rsidP="003718B5">
            <w:pPr>
              <w:pStyle w:val="TableBullet1Normal"/>
              <w:rPr>
                <w:sz w:val="17"/>
                <w:szCs w:val="17"/>
              </w:rPr>
            </w:pPr>
            <w:r w:rsidRPr="00CB32B1">
              <w:rPr>
                <w:sz w:val="17"/>
                <w:szCs w:val="17"/>
              </w:rPr>
              <w:t xml:space="preserve">Extreme vulnerability of midwives to allegations of negligence… </w:t>
            </w:r>
            <w:r w:rsidR="00017D1E" w:rsidRPr="00CB32B1">
              <w:rPr>
                <w:sz w:val="17"/>
                <w:szCs w:val="17"/>
              </w:rPr>
              <w:t>seeking to apportion blame to a</w:t>
            </w:r>
            <w:r w:rsidR="00F14299">
              <w:rPr>
                <w:sz w:val="17"/>
                <w:szCs w:val="17"/>
              </w:rPr>
              <w:t xml:space="preserve"> </w:t>
            </w:r>
            <w:r w:rsidRPr="00CB32B1">
              <w:rPr>
                <w:sz w:val="17"/>
                <w:szCs w:val="17"/>
              </w:rPr>
              <w:t>midwife</w:t>
            </w:r>
          </w:p>
          <w:p w:rsidR="00E346DC" w:rsidRPr="00CB32B1" w:rsidRDefault="00E346DC" w:rsidP="003718B5">
            <w:pPr>
              <w:pStyle w:val="TableBullet1Normal"/>
              <w:rPr>
                <w:sz w:val="17"/>
                <w:szCs w:val="17"/>
              </w:rPr>
            </w:pPr>
            <w:r w:rsidRPr="00CB32B1">
              <w:rPr>
                <w:sz w:val="17"/>
                <w:szCs w:val="17"/>
              </w:rPr>
              <w:t>Legal complexities and costs of defending midwives against allegations of negligence</w:t>
            </w:r>
          </w:p>
          <w:p w:rsidR="00E346DC" w:rsidRPr="00CB32B1" w:rsidRDefault="00E346DC" w:rsidP="003718B5">
            <w:pPr>
              <w:pStyle w:val="TableBullet1Normal"/>
              <w:rPr>
                <w:sz w:val="17"/>
                <w:szCs w:val="17"/>
              </w:rPr>
            </w:pPr>
            <w:r w:rsidRPr="00CB32B1">
              <w:rPr>
                <w:sz w:val="17"/>
                <w:szCs w:val="17"/>
              </w:rPr>
              <w:t>Amount of damages/awards typically associated</w:t>
            </w:r>
          </w:p>
          <w:p w:rsidR="00E346DC" w:rsidRPr="00CB32B1" w:rsidRDefault="00E346DC" w:rsidP="003718B5">
            <w:pPr>
              <w:pStyle w:val="TableBullet1Normal"/>
              <w:rPr>
                <w:sz w:val="17"/>
                <w:szCs w:val="17"/>
              </w:rPr>
            </w:pPr>
            <w:r w:rsidRPr="00CB32B1">
              <w:rPr>
                <w:sz w:val="17"/>
                <w:szCs w:val="17"/>
              </w:rPr>
              <w:t>Absence of a legal entity to employ and control the operational and performance of Independent Midwifery services</w:t>
            </w:r>
          </w:p>
          <w:p w:rsidR="00E346DC" w:rsidRPr="00CB32B1" w:rsidRDefault="00E346DC" w:rsidP="003718B5">
            <w:pPr>
              <w:pStyle w:val="TableBullet1Normal"/>
              <w:rPr>
                <w:sz w:val="17"/>
                <w:szCs w:val="17"/>
              </w:rPr>
            </w:pPr>
            <w:r w:rsidRPr="00CB32B1">
              <w:rPr>
                <w:sz w:val="17"/>
                <w:szCs w:val="17"/>
              </w:rPr>
              <w:t>Absence of uniform standards for Independent Midwifery</w:t>
            </w:r>
          </w:p>
          <w:p w:rsidR="00E346DC" w:rsidRPr="00CB32B1" w:rsidRDefault="00E346DC" w:rsidP="003718B5">
            <w:pPr>
              <w:pStyle w:val="TableBullet1Normal"/>
              <w:rPr>
                <w:sz w:val="17"/>
                <w:szCs w:val="17"/>
              </w:rPr>
            </w:pPr>
            <w:r w:rsidRPr="00CB32B1">
              <w:rPr>
                <w:sz w:val="17"/>
                <w:szCs w:val="17"/>
              </w:rPr>
              <w:t>Insufficient numbers of independent midwives to charge a sufficient but affordable premium.</w:t>
            </w:r>
          </w:p>
          <w:p w:rsidR="003718B5" w:rsidRPr="00CB32B1" w:rsidRDefault="003718B5" w:rsidP="003718B5">
            <w:pPr>
              <w:pStyle w:val="TableTextNormal"/>
              <w:rPr>
                <w:sz w:val="17"/>
                <w:szCs w:val="17"/>
              </w:rPr>
            </w:pPr>
            <w:r w:rsidRPr="00CB32B1">
              <w:rPr>
                <w:sz w:val="17"/>
                <w:szCs w:val="17"/>
              </w:rPr>
              <w:t>These principles were also identified to varying degrees in the Australian research and fall within six findings which are explained later in further detail in this chapter.</w:t>
            </w:r>
          </w:p>
          <w:p w:rsidR="003718B5" w:rsidRPr="00CB32B1" w:rsidRDefault="003718B5" w:rsidP="003718B5">
            <w:pPr>
              <w:pStyle w:val="TableTextNormal"/>
              <w:rPr>
                <w:sz w:val="17"/>
                <w:szCs w:val="17"/>
              </w:rPr>
            </w:pPr>
            <w:r w:rsidRPr="00CB32B1">
              <w:rPr>
                <w:sz w:val="17"/>
                <w:szCs w:val="17"/>
              </w:rPr>
              <w:t>While there are differences between the Australian and English indemnity market and midwifery sector (See Chapter 4), the challenges relating to insuring seem consistent.</w:t>
            </w:r>
          </w:p>
          <w:p w:rsidR="00E346DC" w:rsidRPr="00CB32B1" w:rsidRDefault="00E346DC" w:rsidP="00DA207E">
            <w:pPr>
              <w:pStyle w:val="Sources"/>
              <w:spacing w:after="40"/>
            </w:pPr>
            <w:r w:rsidRPr="00CB32B1">
              <w:rPr>
                <w:b/>
              </w:rPr>
              <w:t xml:space="preserve">Source: </w:t>
            </w:r>
            <w:r w:rsidRPr="00CB32B1">
              <w:t>Flaxman Partners, 2001.</w:t>
            </w:r>
          </w:p>
        </w:tc>
      </w:tr>
    </w:tbl>
    <w:p w:rsidR="004B4328" w:rsidRPr="00CB32B1" w:rsidRDefault="000D446D" w:rsidP="004E4BE9">
      <w:pPr>
        <w:pStyle w:val="Heading6"/>
        <w:spacing w:before="120"/>
        <w:ind w:left="850" w:hanging="850"/>
      </w:pPr>
      <w:bookmarkStart w:id="23" w:name="_Toc362975051"/>
      <w:r w:rsidRPr="00CB32B1">
        <w:t>Overarching findings</w:t>
      </w:r>
      <w:bookmarkEnd w:id="23"/>
    </w:p>
    <w:p w:rsidR="00D030AD" w:rsidRPr="00CB32B1" w:rsidRDefault="00D030AD" w:rsidP="00D030AD">
      <w:pPr>
        <w:pStyle w:val="PwCNormal"/>
      </w:pPr>
      <w:r w:rsidRPr="00CB32B1">
        <w:t>Two key areas were identified through consultation and literature which appear to inhibit the current commercial PII market for PPMs requiring intrapartum cover care in Australia:</w:t>
      </w:r>
    </w:p>
    <w:p w:rsidR="00D030AD" w:rsidRPr="00CB32B1" w:rsidRDefault="00AD2A32" w:rsidP="00D030AD">
      <w:pPr>
        <w:pStyle w:val="ListBullet"/>
      </w:pPr>
      <w:r>
        <w:t>T</w:t>
      </w:r>
      <w:r w:rsidR="00D030AD" w:rsidRPr="00CB32B1">
        <w:t xml:space="preserve">he lack of available or consistent data has resulted in poor evidence on PPM practice and homebirth outcomes. This appears to have led to risk assessments being influenced by </w:t>
      </w:r>
      <w:r w:rsidR="001864A9" w:rsidRPr="00CB32B1">
        <w:t xml:space="preserve">the various </w:t>
      </w:r>
      <w:r w:rsidR="00D030AD" w:rsidRPr="00CB32B1">
        <w:t>claim and counter claim</w:t>
      </w:r>
      <w:r w:rsidR="001864A9" w:rsidRPr="00CB32B1">
        <w:t xml:space="preserve">s and </w:t>
      </w:r>
      <w:r w:rsidR="00DA207E">
        <w:t xml:space="preserve">the </w:t>
      </w:r>
      <w:r w:rsidR="001864A9" w:rsidRPr="00CB32B1">
        <w:t xml:space="preserve">communication </w:t>
      </w:r>
      <w:r w:rsidR="00DA207E">
        <w:t xml:space="preserve">of the </w:t>
      </w:r>
      <w:r w:rsidR="001864A9" w:rsidRPr="00CB32B1">
        <w:t>practice within the maternity sector</w:t>
      </w:r>
      <w:r w:rsidR="00DA207E">
        <w:t>. U</w:t>
      </w:r>
      <w:r w:rsidR="00D030AD" w:rsidRPr="00CB32B1">
        <w:t>ltimately</w:t>
      </w:r>
      <w:r w:rsidR="00DA207E">
        <w:t>, this appears to have driven</w:t>
      </w:r>
      <w:r w:rsidR="00D030AD" w:rsidRPr="00CB32B1">
        <w:t xml:space="preserve"> a lack of confidence and certainty within the insurance market on PPM practice</w:t>
      </w:r>
    </w:p>
    <w:p w:rsidR="00D030AD" w:rsidRPr="00CB32B1" w:rsidRDefault="00AD2A32" w:rsidP="004E4BE9">
      <w:pPr>
        <w:pStyle w:val="ListBullet"/>
      </w:pPr>
      <w:r>
        <w:t>I</w:t>
      </w:r>
      <w:r w:rsidR="00D030AD" w:rsidRPr="00CB32B1">
        <w:t>nherent risks within maternity service provision, combined with a small PPM market, result in limitations to insurance product offerings. This is exacerbated where the risks of obstetric care are conflated with maternity services.</w:t>
      </w:r>
    </w:p>
    <w:p w:rsidR="00D030AD" w:rsidRPr="00CB32B1" w:rsidRDefault="00D030AD" w:rsidP="00D030AD">
      <w:pPr>
        <w:pStyle w:val="PwCNormal"/>
      </w:pPr>
      <w:r w:rsidRPr="00CB32B1">
        <w:t xml:space="preserve">These areas and the associated findings are outlined in </w:t>
      </w:r>
      <w:r w:rsidR="009129A6" w:rsidRPr="00CB32B1">
        <w:fldChar w:fldCharType="begin"/>
      </w:r>
      <w:r w:rsidR="00EB2051" w:rsidRPr="00CB32B1">
        <w:instrText xml:space="preserve"> REF _Ref361223530 \h </w:instrText>
      </w:r>
      <w:r w:rsidR="009129A6" w:rsidRPr="00CB32B1">
        <w:fldChar w:fldCharType="separate"/>
      </w:r>
      <w:r w:rsidR="008816B4" w:rsidRPr="00CB32B1">
        <w:t xml:space="preserve">Figure </w:t>
      </w:r>
      <w:r w:rsidR="008816B4">
        <w:rPr>
          <w:noProof/>
        </w:rPr>
        <w:t>6</w:t>
      </w:r>
      <w:r w:rsidR="009129A6" w:rsidRPr="00CB32B1">
        <w:fldChar w:fldCharType="end"/>
      </w:r>
      <w:r w:rsidRPr="00CB32B1">
        <w:t xml:space="preserve"> and explored further below.</w:t>
      </w:r>
    </w:p>
    <w:p w:rsidR="0038709E" w:rsidRPr="00CB32B1" w:rsidRDefault="0038709E" w:rsidP="00270634">
      <w:pPr>
        <w:pStyle w:val="NumericCaption"/>
      </w:pPr>
      <w:bookmarkStart w:id="24" w:name="_Ref361223530"/>
      <w:r w:rsidRPr="00CB32B1">
        <w:t xml:space="preserve">Figure </w:t>
      </w:r>
      <w:r w:rsidR="009129A6" w:rsidRPr="00CB32B1">
        <w:fldChar w:fldCharType="begin"/>
      </w:r>
      <w:r w:rsidR="00D16456" w:rsidRPr="00CB32B1">
        <w:instrText xml:space="preserve"> SEQ Figure \* ARABIC </w:instrText>
      </w:r>
      <w:r w:rsidR="009129A6" w:rsidRPr="00CB32B1">
        <w:fldChar w:fldCharType="separate"/>
      </w:r>
      <w:r w:rsidR="008816B4">
        <w:rPr>
          <w:noProof/>
        </w:rPr>
        <w:t>6</w:t>
      </w:r>
      <w:r w:rsidR="009129A6" w:rsidRPr="00CB32B1">
        <w:fldChar w:fldCharType="end"/>
      </w:r>
      <w:bookmarkEnd w:id="24"/>
      <w:r w:rsidRPr="00CB32B1">
        <w:t>: Key areas and associated findings</w:t>
      </w:r>
    </w:p>
    <w:p w:rsidR="000D446D" w:rsidRPr="00CB32B1" w:rsidRDefault="00BE2C2A" w:rsidP="00A05298">
      <w:pPr>
        <w:pStyle w:val="PwCNormal"/>
        <w:numPr>
          <w:ilvl w:val="0"/>
          <w:numId w:val="0"/>
        </w:numPr>
      </w:pPr>
      <w:r w:rsidRPr="00CB32B1">
        <w:rPr>
          <w:noProof/>
          <w:lang w:val="en-US"/>
        </w:rPr>
        <w:drawing>
          <wp:inline distT="0" distB="0" distL="0" distR="0">
            <wp:extent cx="5760720" cy="2165475"/>
            <wp:effectExtent l="19050" t="0" r="0" b="0"/>
            <wp:docPr id="4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cstate="print"/>
                    <a:srcRect/>
                    <a:stretch>
                      <a:fillRect/>
                    </a:stretch>
                  </pic:blipFill>
                  <pic:spPr bwMode="auto">
                    <a:xfrm>
                      <a:off x="0" y="0"/>
                      <a:ext cx="5760720" cy="2165475"/>
                    </a:xfrm>
                    <a:prstGeom prst="rect">
                      <a:avLst/>
                    </a:prstGeom>
                    <a:noFill/>
                    <a:ln w="9525">
                      <a:noFill/>
                      <a:miter lim="800000"/>
                      <a:headEnd/>
                      <a:tailEnd/>
                    </a:ln>
                  </pic:spPr>
                </pic:pic>
              </a:graphicData>
            </a:graphic>
          </wp:inline>
        </w:drawing>
      </w:r>
    </w:p>
    <w:p w:rsidR="002F4681" w:rsidRPr="00CB32B1" w:rsidRDefault="002F4681" w:rsidP="002F4681">
      <w:pPr>
        <w:pStyle w:val="PwCNormal"/>
      </w:pPr>
      <w:r w:rsidRPr="00CB32B1">
        <w:t xml:space="preserve">The evidence available has not </w:t>
      </w:r>
      <w:r w:rsidR="001864A9" w:rsidRPr="00CB32B1">
        <w:t xml:space="preserve">supported a determination of </w:t>
      </w:r>
      <w:r w:rsidRPr="00CB32B1">
        <w:t>the relative importance of these key areas in decision-making about the offering of particular insurance products. For example, it cannot be proven that if communication of outcomes and data quality improved</w:t>
      </w:r>
      <w:r w:rsidR="00DA207E">
        <w:t>,</w:t>
      </w:r>
      <w:r w:rsidRPr="00CB32B1">
        <w:t xml:space="preserve"> a commercial product would be developed. Neither can it be proven, despite some success in other </w:t>
      </w:r>
      <w:r w:rsidR="001864A9" w:rsidRPr="00CB32B1">
        <w:t>jurisdiction</w:t>
      </w:r>
      <w:r w:rsidRPr="00CB32B1">
        <w:t xml:space="preserve">s (see Chapter 4), whether inherent risks in PPM practice within the current Australian health context relating to the size and risk profile can be mitigated sufficiently to provide a </w:t>
      </w:r>
      <w:r w:rsidR="001864A9" w:rsidRPr="00CB32B1">
        <w:t>PII</w:t>
      </w:r>
      <w:r w:rsidRPr="00CB32B1">
        <w:t xml:space="preserve"> product in a commercial market. </w:t>
      </w:r>
    </w:p>
    <w:p w:rsidR="000D446D" w:rsidRPr="00CB32B1" w:rsidRDefault="002F4681" w:rsidP="002F4681">
      <w:pPr>
        <w:pStyle w:val="PwCNormal"/>
        <w:numPr>
          <w:ilvl w:val="0"/>
          <w:numId w:val="0"/>
        </w:numPr>
      </w:pPr>
      <w:r w:rsidRPr="00CB32B1">
        <w:t xml:space="preserve">The importance, however, of identifying profitability as the ultimate driver of commercial insurers, is that each finding in </w:t>
      </w:r>
      <w:r w:rsidR="009129A6" w:rsidRPr="00CB32B1">
        <w:fldChar w:fldCharType="begin"/>
      </w:r>
      <w:r w:rsidR="00EB2051" w:rsidRPr="00CB32B1">
        <w:instrText xml:space="preserve"> REF _Ref361223530 \h </w:instrText>
      </w:r>
      <w:r w:rsidR="009129A6" w:rsidRPr="00CB32B1">
        <w:fldChar w:fldCharType="separate"/>
      </w:r>
      <w:r w:rsidR="008816B4" w:rsidRPr="00CB32B1">
        <w:t xml:space="preserve">Figure </w:t>
      </w:r>
      <w:r w:rsidR="008816B4">
        <w:rPr>
          <w:noProof/>
        </w:rPr>
        <w:t>6</w:t>
      </w:r>
      <w:r w:rsidR="009129A6" w:rsidRPr="00CB32B1">
        <w:fldChar w:fldCharType="end"/>
      </w:r>
      <w:r w:rsidRPr="00CB32B1">
        <w:t xml:space="preserve"> can be seen to have an impact on one or more of the components in the premium equation. This is outlined in </w:t>
      </w:r>
      <w:r w:rsidR="009129A6" w:rsidRPr="00CB32B1">
        <w:fldChar w:fldCharType="begin"/>
      </w:r>
      <w:r w:rsidR="00EB2051" w:rsidRPr="00CB32B1">
        <w:instrText xml:space="preserve"> REF _Ref361223706 \h </w:instrText>
      </w:r>
      <w:r w:rsidR="009129A6" w:rsidRPr="00CB32B1">
        <w:fldChar w:fldCharType="separate"/>
      </w:r>
      <w:r w:rsidR="008816B4" w:rsidRPr="00CB32B1">
        <w:t xml:space="preserve">Table </w:t>
      </w:r>
      <w:r w:rsidR="008816B4">
        <w:rPr>
          <w:noProof/>
        </w:rPr>
        <w:t>3</w:t>
      </w:r>
      <w:r w:rsidR="009129A6" w:rsidRPr="00CB32B1">
        <w:fldChar w:fldCharType="end"/>
      </w:r>
      <w:r w:rsidRPr="00CB32B1">
        <w:t>.</w:t>
      </w:r>
    </w:p>
    <w:p w:rsidR="004E4BE9" w:rsidRPr="00CB32B1" w:rsidRDefault="004E4BE9" w:rsidP="004E4BE9">
      <w:pPr>
        <w:pStyle w:val="Caption"/>
      </w:pPr>
      <w:bookmarkStart w:id="25" w:name="_Ref361223706"/>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3</w:t>
      </w:r>
      <w:r w:rsidR="009129A6" w:rsidRPr="00CB32B1">
        <w:fldChar w:fldCharType="end"/>
      </w:r>
      <w:bookmarkEnd w:id="25"/>
      <w:r w:rsidRPr="00CB32B1">
        <w:t>: Impact of Findings on premium equation components</w:t>
      </w:r>
    </w:p>
    <w:tbl>
      <w:tblPr>
        <w:tblStyle w:val="PwCTableStyle1"/>
        <w:tblW w:w="9288" w:type="dxa"/>
        <w:tblLayout w:type="fixed"/>
        <w:tblLook w:val="04A0"/>
      </w:tblPr>
      <w:tblGrid>
        <w:gridCol w:w="1368"/>
        <w:gridCol w:w="1320"/>
        <w:gridCol w:w="1320"/>
        <w:gridCol w:w="1518"/>
        <w:gridCol w:w="1254"/>
        <w:gridCol w:w="1254"/>
        <w:gridCol w:w="1254"/>
      </w:tblGrid>
      <w:tr w:rsidR="0058171E" w:rsidRPr="00CB32B1" w:rsidTr="003B21A7">
        <w:trPr>
          <w:cnfStyle w:val="100000000000"/>
        </w:trPr>
        <w:tc>
          <w:tcPr>
            <w:cnfStyle w:val="001000000000"/>
            <w:tcW w:w="1368" w:type="dxa"/>
            <w:shd w:val="clear" w:color="auto" w:fill="DC6900" w:themeFill="text2"/>
          </w:tcPr>
          <w:p w:rsidR="002F4681" w:rsidRPr="00CB32B1" w:rsidRDefault="002F4681" w:rsidP="003B21A7">
            <w:pPr>
              <w:pStyle w:val="TableColumnHeadingNormal"/>
            </w:pPr>
            <w:r w:rsidRPr="00CB32B1">
              <w:t>Premium equation items:</w:t>
            </w:r>
          </w:p>
        </w:tc>
        <w:tc>
          <w:tcPr>
            <w:tcW w:w="1320" w:type="dxa"/>
            <w:shd w:val="clear" w:color="auto" w:fill="DC6900" w:themeFill="text2"/>
            <w:tcMar>
              <w:left w:w="58" w:type="dxa"/>
              <w:right w:w="58" w:type="dxa"/>
            </w:tcMar>
          </w:tcPr>
          <w:p w:rsidR="002F4681" w:rsidRPr="00CB32B1" w:rsidRDefault="002F4681" w:rsidP="003B21A7">
            <w:pPr>
              <w:pStyle w:val="TableColumnHeadingNormal"/>
              <w:cnfStyle w:val="100000000000"/>
            </w:pPr>
            <w:r w:rsidRPr="00CB32B1">
              <w:t xml:space="preserve">Finding 1: </w:t>
            </w:r>
            <w:r w:rsidR="004E4BE9" w:rsidRPr="00CB32B1">
              <w:rPr>
                <w:b w:val="0"/>
              </w:rPr>
              <w:t>Practice</w:t>
            </w:r>
          </w:p>
        </w:tc>
        <w:tc>
          <w:tcPr>
            <w:tcW w:w="1320" w:type="dxa"/>
            <w:shd w:val="clear" w:color="auto" w:fill="DC6900" w:themeFill="text2"/>
            <w:tcMar>
              <w:left w:w="58" w:type="dxa"/>
              <w:right w:w="58" w:type="dxa"/>
            </w:tcMar>
          </w:tcPr>
          <w:p w:rsidR="002F4681" w:rsidRPr="00CB32B1" w:rsidRDefault="002F4681" w:rsidP="003B21A7">
            <w:pPr>
              <w:pStyle w:val="TableColumnHeadingNormal"/>
              <w:cnfStyle w:val="100000000000"/>
            </w:pPr>
            <w:r w:rsidRPr="00CB32B1">
              <w:t xml:space="preserve">Finding 2: </w:t>
            </w:r>
            <w:r w:rsidRPr="00CB32B1">
              <w:rPr>
                <w:b w:val="0"/>
              </w:rPr>
              <w:t>Data quality</w:t>
            </w:r>
          </w:p>
        </w:tc>
        <w:tc>
          <w:tcPr>
            <w:tcW w:w="1518" w:type="dxa"/>
            <w:shd w:val="clear" w:color="auto" w:fill="DC6900" w:themeFill="text2"/>
            <w:tcMar>
              <w:left w:w="58" w:type="dxa"/>
              <w:right w:w="58" w:type="dxa"/>
            </w:tcMar>
          </w:tcPr>
          <w:p w:rsidR="002F4681" w:rsidRPr="00CB32B1" w:rsidRDefault="002F4681" w:rsidP="003B21A7">
            <w:pPr>
              <w:pStyle w:val="TableColumnHeadingNormal"/>
              <w:cnfStyle w:val="100000000000"/>
            </w:pPr>
            <w:r w:rsidRPr="00CB32B1">
              <w:t xml:space="preserve">Finding 3: </w:t>
            </w:r>
            <w:r w:rsidRPr="00CB32B1">
              <w:rPr>
                <w:b w:val="0"/>
              </w:rPr>
              <w:t>Data relationships</w:t>
            </w:r>
          </w:p>
        </w:tc>
        <w:tc>
          <w:tcPr>
            <w:tcW w:w="1254" w:type="dxa"/>
            <w:shd w:val="clear" w:color="auto" w:fill="DC6900" w:themeFill="text2"/>
            <w:tcMar>
              <w:left w:w="58" w:type="dxa"/>
              <w:right w:w="58" w:type="dxa"/>
            </w:tcMar>
          </w:tcPr>
          <w:p w:rsidR="002F4681" w:rsidRPr="00CB32B1" w:rsidRDefault="002F4681" w:rsidP="003B21A7">
            <w:pPr>
              <w:pStyle w:val="TableColumnHeadingNormal"/>
              <w:cnfStyle w:val="100000000000"/>
            </w:pPr>
            <w:r w:rsidRPr="00CB32B1">
              <w:t xml:space="preserve">Finding 4: </w:t>
            </w:r>
            <w:r w:rsidR="004E4BE9" w:rsidRPr="00CB32B1">
              <w:rPr>
                <w:b w:val="0"/>
              </w:rPr>
              <w:t>Scale</w:t>
            </w:r>
          </w:p>
        </w:tc>
        <w:tc>
          <w:tcPr>
            <w:tcW w:w="1254" w:type="dxa"/>
            <w:shd w:val="clear" w:color="auto" w:fill="DC6900" w:themeFill="text2"/>
            <w:tcMar>
              <w:left w:w="58" w:type="dxa"/>
              <w:right w:w="58" w:type="dxa"/>
            </w:tcMar>
          </w:tcPr>
          <w:p w:rsidR="002F4681" w:rsidRPr="00CB32B1" w:rsidRDefault="002F4681" w:rsidP="003B21A7">
            <w:pPr>
              <w:pStyle w:val="TableColumnHeadingNormal"/>
              <w:cnfStyle w:val="100000000000"/>
            </w:pPr>
            <w:r w:rsidRPr="00CB32B1">
              <w:t xml:space="preserve">Finding 5: </w:t>
            </w:r>
            <w:r w:rsidRPr="00CB32B1">
              <w:rPr>
                <w:b w:val="0"/>
              </w:rPr>
              <w:t>Inherent risks</w:t>
            </w:r>
          </w:p>
        </w:tc>
        <w:tc>
          <w:tcPr>
            <w:tcW w:w="1254" w:type="dxa"/>
            <w:shd w:val="clear" w:color="auto" w:fill="DC6900" w:themeFill="text2"/>
            <w:tcMar>
              <w:left w:w="58" w:type="dxa"/>
              <w:right w:w="58" w:type="dxa"/>
            </w:tcMar>
          </w:tcPr>
          <w:p w:rsidR="002F4681" w:rsidRPr="00CB32B1" w:rsidRDefault="002F4681" w:rsidP="003B21A7">
            <w:pPr>
              <w:pStyle w:val="TableColumnHeadingNormal"/>
              <w:cnfStyle w:val="100000000000"/>
            </w:pPr>
            <w:r w:rsidRPr="00CB32B1">
              <w:t xml:space="preserve">Finding 6: </w:t>
            </w:r>
            <w:r w:rsidRPr="00CB32B1">
              <w:rPr>
                <w:b w:val="0"/>
              </w:rPr>
              <w:t>Value of claims</w:t>
            </w:r>
          </w:p>
        </w:tc>
      </w:tr>
      <w:tr w:rsidR="0058171E" w:rsidRPr="00CB32B1" w:rsidTr="0058171E">
        <w:tc>
          <w:tcPr>
            <w:cnfStyle w:val="001000000000"/>
            <w:tcW w:w="1368" w:type="dxa"/>
          </w:tcPr>
          <w:p w:rsidR="002F4681" w:rsidRPr="00CB32B1" w:rsidRDefault="002F4681" w:rsidP="0058171E">
            <w:pPr>
              <w:pStyle w:val="TableTextNormalBold"/>
            </w:pPr>
            <w:r w:rsidRPr="00CB32B1">
              <w:t>Size</w:t>
            </w:r>
          </w:p>
        </w:tc>
        <w:tc>
          <w:tcPr>
            <w:tcW w:w="1320" w:type="dxa"/>
          </w:tcPr>
          <w:p w:rsidR="002F4681" w:rsidRPr="00CB32B1" w:rsidRDefault="002F4681" w:rsidP="002F4681">
            <w:pPr>
              <w:pStyle w:val="TableTextNormal"/>
              <w:jc w:val="center"/>
              <w:cnfStyle w:val="000000000000"/>
            </w:pPr>
          </w:p>
        </w:tc>
        <w:tc>
          <w:tcPr>
            <w:tcW w:w="1320" w:type="dxa"/>
          </w:tcPr>
          <w:p w:rsidR="002F4681" w:rsidRPr="00CB32B1" w:rsidRDefault="002F4681" w:rsidP="002F4681">
            <w:pPr>
              <w:pStyle w:val="TableTextNormal"/>
              <w:jc w:val="center"/>
              <w:cnfStyle w:val="000000000000"/>
            </w:pPr>
            <w:r w:rsidRPr="00CB32B1">
              <w:sym w:font="Wingdings" w:char="00FC"/>
            </w:r>
          </w:p>
        </w:tc>
        <w:tc>
          <w:tcPr>
            <w:tcW w:w="1518" w:type="dxa"/>
          </w:tcPr>
          <w:p w:rsidR="002F4681" w:rsidRPr="00CB32B1" w:rsidRDefault="002F4681" w:rsidP="002F4681">
            <w:pPr>
              <w:pStyle w:val="TableTextNormal"/>
              <w:jc w:val="center"/>
              <w:cnfStyle w:val="000000000000"/>
            </w:pPr>
          </w:p>
        </w:tc>
        <w:tc>
          <w:tcPr>
            <w:tcW w:w="1254" w:type="dxa"/>
          </w:tcPr>
          <w:p w:rsidR="002F4681" w:rsidRPr="00CB32B1" w:rsidRDefault="002F4681" w:rsidP="002F4681">
            <w:pPr>
              <w:pStyle w:val="TableTextNormal"/>
              <w:jc w:val="center"/>
              <w:cnfStyle w:val="000000000000"/>
            </w:pPr>
            <w:r w:rsidRPr="00CB32B1">
              <w:sym w:font="Wingdings" w:char="00FC"/>
            </w:r>
          </w:p>
        </w:tc>
        <w:tc>
          <w:tcPr>
            <w:tcW w:w="1254" w:type="dxa"/>
          </w:tcPr>
          <w:p w:rsidR="002F4681" w:rsidRPr="00CB32B1" w:rsidRDefault="002F4681" w:rsidP="002F4681">
            <w:pPr>
              <w:pStyle w:val="TableTextNormal"/>
              <w:jc w:val="center"/>
              <w:cnfStyle w:val="000000000000"/>
            </w:pPr>
          </w:p>
        </w:tc>
        <w:tc>
          <w:tcPr>
            <w:tcW w:w="1254" w:type="dxa"/>
          </w:tcPr>
          <w:p w:rsidR="002F4681" w:rsidRPr="00CB32B1" w:rsidRDefault="002F4681" w:rsidP="002F4681">
            <w:pPr>
              <w:pStyle w:val="TableTextNormal"/>
              <w:jc w:val="center"/>
              <w:cnfStyle w:val="000000000000"/>
            </w:pPr>
          </w:p>
        </w:tc>
      </w:tr>
      <w:tr w:rsidR="0058171E" w:rsidRPr="00CB32B1" w:rsidTr="0058171E">
        <w:tc>
          <w:tcPr>
            <w:cnfStyle w:val="001000000000"/>
            <w:tcW w:w="1368" w:type="dxa"/>
          </w:tcPr>
          <w:p w:rsidR="002F4681" w:rsidRPr="00CB32B1" w:rsidRDefault="002F4681" w:rsidP="0058171E">
            <w:pPr>
              <w:pStyle w:val="TableTextNormalBold"/>
            </w:pPr>
            <w:r w:rsidRPr="00CB32B1">
              <w:t>Probability</w:t>
            </w:r>
          </w:p>
        </w:tc>
        <w:tc>
          <w:tcPr>
            <w:tcW w:w="1320" w:type="dxa"/>
          </w:tcPr>
          <w:p w:rsidR="002F4681" w:rsidRPr="00CB32B1" w:rsidRDefault="002F4681" w:rsidP="002F4681">
            <w:pPr>
              <w:pStyle w:val="TableTextNormal"/>
              <w:jc w:val="center"/>
              <w:cnfStyle w:val="000000000000"/>
            </w:pPr>
            <w:r w:rsidRPr="00CB32B1">
              <w:sym w:font="Wingdings" w:char="00FC"/>
            </w:r>
          </w:p>
        </w:tc>
        <w:tc>
          <w:tcPr>
            <w:tcW w:w="1320" w:type="dxa"/>
          </w:tcPr>
          <w:p w:rsidR="002F4681" w:rsidRPr="00CB32B1" w:rsidRDefault="002F4681" w:rsidP="002F4681">
            <w:pPr>
              <w:pStyle w:val="TableTextNormal"/>
              <w:jc w:val="center"/>
              <w:cnfStyle w:val="000000000000"/>
            </w:pPr>
            <w:r w:rsidRPr="00CB32B1">
              <w:sym w:font="Wingdings" w:char="00FC"/>
            </w:r>
          </w:p>
        </w:tc>
        <w:tc>
          <w:tcPr>
            <w:tcW w:w="1518" w:type="dxa"/>
          </w:tcPr>
          <w:p w:rsidR="002F4681" w:rsidRPr="00CB32B1" w:rsidRDefault="002F4681" w:rsidP="002F4681">
            <w:pPr>
              <w:pStyle w:val="TableTextNormal"/>
              <w:jc w:val="center"/>
              <w:cnfStyle w:val="000000000000"/>
            </w:pPr>
            <w:r w:rsidRPr="00CB32B1">
              <w:sym w:font="Wingdings" w:char="00FC"/>
            </w:r>
          </w:p>
        </w:tc>
        <w:tc>
          <w:tcPr>
            <w:tcW w:w="1254" w:type="dxa"/>
          </w:tcPr>
          <w:p w:rsidR="002F4681" w:rsidRPr="00CB32B1" w:rsidRDefault="002F4681" w:rsidP="002F4681">
            <w:pPr>
              <w:pStyle w:val="TableTextNormal"/>
              <w:jc w:val="center"/>
              <w:cnfStyle w:val="000000000000"/>
            </w:pPr>
          </w:p>
        </w:tc>
        <w:tc>
          <w:tcPr>
            <w:tcW w:w="1254" w:type="dxa"/>
          </w:tcPr>
          <w:p w:rsidR="002F4681" w:rsidRPr="00CB32B1" w:rsidRDefault="002F4681" w:rsidP="002F4681">
            <w:pPr>
              <w:pStyle w:val="TableTextNormal"/>
              <w:jc w:val="center"/>
              <w:cnfStyle w:val="000000000000"/>
            </w:pPr>
            <w:r w:rsidRPr="00CB32B1">
              <w:sym w:font="Wingdings" w:char="00FC"/>
            </w:r>
          </w:p>
        </w:tc>
        <w:tc>
          <w:tcPr>
            <w:tcW w:w="1254" w:type="dxa"/>
          </w:tcPr>
          <w:p w:rsidR="002F4681" w:rsidRPr="00CB32B1" w:rsidRDefault="002F4681" w:rsidP="002F4681">
            <w:pPr>
              <w:pStyle w:val="TableTextNormal"/>
              <w:jc w:val="center"/>
              <w:cnfStyle w:val="000000000000"/>
            </w:pPr>
            <w:r w:rsidRPr="00CB32B1">
              <w:sym w:font="Wingdings" w:char="00FC"/>
            </w:r>
          </w:p>
        </w:tc>
      </w:tr>
      <w:tr w:rsidR="0058171E" w:rsidRPr="00CB32B1" w:rsidTr="0058171E">
        <w:tc>
          <w:tcPr>
            <w:cnfStyle w:val="001000000000"/>
            <w:tcW w:w="1368" w:type="dxa"/>
          </w:tcPr>
          <w:p w:rsidR="002F4681" w:rsidRPr="00CB32B1" w:rsidRDefault="002F4681" w:rsidP="0058171E">
            <w:pPr>
              <w:pStyle w:val="TableTextNormalBold"/>
            </w:pPr>
            <w:r w:rsidRPr="00CB32B1">
              <w:t>Quantum</w:t>
            </w:r>
          </w:p>
        </w:tc>
        <w:tc>
          <w:tcPr>
            <w:tcW w:w="1320" w:type="dxa"/>
          </w:tcPr>
          <w:p w:rsidR="002F4681" w:rsidRPr="00CB32B1" w:rsidRDefault="002F4681" w:rsidP="002F4681">
            <w:pPr>
              <w:pStyle w:val="TableTextNormal"/>
              <w:jc w:val="center"/>
              <w:cnfStyle w:val="000000000000"/>
            </w:pPr>
          </w:p>
        </w:tc>
        <w:tc>
          <w:tcPr>
            <w:tcW w:w="1320" w:type="dxa"/>
          </w:tcPr>
          <w:p w:rsidR="002F4681" w:rsidRPr="00CB32B1" w:rsidRDefault="002F4681" w:rsidP="002F4681">
            <w:pPr>
              <w:pStyle w:val="TableTextNormal"/>
              <w:jc w:val="center"/>
              <w:cnfStyle w:val="000000000000"/>
            </w:pPr>
            <w:r w:rsidRPr="00CB32B1">
              <w:sym w:font="Wingdings" w:char="00FC"/>
            </w:r>
          </w:p>
        </w:tc>
        <w:tc>
          <w:tcPr>
            <w:tcW w:w="1518" w:type="dxa"/>
          </w:tcPr>
          <w:p w:rsidR="002F4681" w:rsidRPr="00CB32B1" w:rsidRDefault="002F4681" w:rsidP="002F4681">
            <w:pPr>
              <w:pStyle w:val="TableTextNormal"/>
              <w:jc w:val="center"/>
              <w:cnfStyle w:val="000000000000"/>
            </w:pPr>
            <w:r w:rsidRPr="00CB32B1">
              <w:sym w:font="Wingdings" w:char="00FC"/>
            </w:r>
          </w:p>
        </w:tc>
        <w:tc>
          <w:tcPr>
            <w:tcW w:w="1254" w:type="dxa"/>
          </w:tcPr>
          <w:p w:rsidR="002F4681" w:rsidRPr="00CB32B1" w:rsidRDefault="002F4681" w:rsidP="002F4681">
            <w:pPr>
              <w:pStyle w:val="TableTextNormal"/>
              <w:jc w:val="center"/>
              <w:cnfStyle w:val="000000000000"/>
            </w:pPr>
          </w:p>
        </w:tc>
        <w:tc>
          <w:tcPr>
            <w:tcW w:w="1254" w:type="dxa"/>
          </w:tcPr>
          <w:p w:rsidR="002F4681" w:rsidRPr="00CB32B1" w:rsidRDefault="002F4681" w:rsidP="002F4681">
            <w:pPr>
              <w:pStyle w:val="TableTextNormal"/>
              <w:jc w:val="center"/>
              <w:cnfStyle w:val="000000000000"/>
            </w:pPr>
            <w:r w:rsidRPr="00CB32B1">
              <w:sym w:font="Wingdings" w:char="00FC"/>
            </w:r>
          </w:p>
        </w:tc>
        <w:tc>
          <w:tcPr>
            <w:tcW w:w="1254" w:type="dxa"/>
          </w:tcPr>
          <w:p w:rsidR="002F4681" w:rsidRPr="00CB32B1" w:rsidRDefault="002F4681" w:rsidP="002F4681">
            <w:pPr>
              <w:pStyle w:val="TableTextNormal"/>
              <w:jc w:val="center"/>
              <w:cnfStyle w:val="000000000000"/>
            </w:pPr>
          </w:p>
        </w:tc>
      </w:tr>
    </w:tbl>
    <w:p w:rsidR="00146DB3" w:rsidRPr="00CB32B1" w:rsidRDefault="00DA207E" w:rsidP="00146DB3">
      <w:pPr>
        <w:pStyle w:val="PwCNormal"/>
        <w:spacing w:before="240"/>
      </w:pPr>
      <w:r>
        <w:t>In outlining the</w:t>
      </w:r>
      <w:r w:rsidR="00146DB3" w:rsidRPr="00CB32B1">
        <w:t xml:space="preserve"> six findings </w:t>
      </w:r>
      <w:r>
        <w:t xml:space="preserve">in </w:t>
      </w:r>
      <w:r w:rsidR="009129A6">
        <w:fldChar w:fldCharType="begin"/>
      </w:r>
      <w:r>
        <w:instrText xml:space="preserve"> REF _Ref361223530 \h </w:instrText>
      </w:r>
      <w:r w:rsidR="009129A6">
        <w:fldChar w:fldCharType="separate"/>
      </w:r>
      <w:r w:rsidR="008816B4" w:rsidRPr="00CB32B1">
        <w:t xml:space="preserve">Figure </w:t>
      </w:r>
      <w:r w:rsidR="008816B4">
        <w:rPr>
          <w:noProof/>
        </w:rPr>
        <w:t>6</w:t>
      </w:r>
      <w:r w:rsidR="009129A6">
        <w:fldChar w:fldCharType="end"/>
      </w:r>
      <w:r>
        <w:t xml:space="preserve"> </w:t>
      </w:r>
      <w:r w:rsidR="00146DB3" w:rsidRPr="00CB32B1">
        <w:t xml:space="preserve">throughout this chapter, the impact of each finding on the three premium equation items is presented. Assessing this impact can lead to considerations for how a market for </w:t>
      </w:r>
      <w:r>
        <w:t xml:space="preserve">professional indemnity insurance </w:t>
      </w:r>
      <w:r w:rsidR="00146DB3" w:rsidRPr="00CB32B1">
        <w:t>for PPMs can be created. It may be that a commercial market will not be viable, and that government intervention (</w:t>
      </w:r>
      <w:r w:rsidR="00854DEF" w:rsidRPr="00CB32B1">
        <w:t>eg</w:t>
      </w:r>
      <w:r w:rsidR="00146DB3" w:rsidRPr="00CB32B1">
        <w:t xml:space="preserve"> subsidy similar to other professions) or other models (</w:t>
      </w:r>
      <w:r w:rsidR="00854DEF" w:rsidRPr="00CB32B1">
        <w:t>eg</w:t>
      </w:r>
      <w:r w:rsidR="00146DB3" w:rsidRPr="00CB32B1">
        <w:t xml:space="preserve"> co-payment, NFP) may be required (see Chapter 5). Alternatively, it may be that by understanding these findings better, the market may become more attractive to the existing commercial insurers. </w:t>
      </w:r>
    </w:p>
    <w:p w:rsidR="00146DB3" w:rsidRPr="00CB32B1" w:rsidRDefault="00146DB3" w:rsidP="00146DB3">
      <w:pPr>
        <w:pStyle w:val="PwCNormal"/>
      </w:pPr>
      <w:r w:rsidRPr="00CB32B1">
        <w:t xml:space="preserve">The point to make is that it is important for women to have a choice in whether they have a homebirth, and that PII can be one element in supporting safe homebirth care. PII for antenatal, intrapartum and postnatal care is available for midwives practising within a similar scope in other </w:t>
      </w:r>
      <w:r w:rsidR="005A16C9" w:rsidRPr="00CB32B1">
        <w:t>jurisdictions</w:t>
      </w:r>
      <w:r w:rsidRPr="00CB32B1">
        <w:t xml:space="preserve"> (see Chapter 4), and is necessary to support women’s choice and the PPM homebirth model in Australia.</w:t>
      </w:r>
    </w:p>
    <w:p w:rsidR="000D446D" w:rsidRPr="00CB32B1" w:rsidRDefault="00146DB3" w:rsidP="00146DB3">
      <w:pPr>
        <w:pStyle w:val="PwCNormal"/>
        <w:numPr>
          <w:ilvl w:val="0"/>
          <w:numId w:val="0"/>
        </w:numPr>
      </w:pPr>
      <w:r w:rsidRPr="00CB32B1">
        <w:t>These findings in light of internationall</w:t>
      </w:r>
      <w:r w:rsidR="00DA207E">
        <w:t xml:space="preserve">y </w:t>
      </w:r>
      <w:r w:rsidRPr="00CB32B1">
        <w:t>established models (see Chapter 4) should provide guidance as to what the next steps should be. In Chapt</w:t>
      </w:r>
      <w:r w:rsidRPr="00F51FC2">
        <w:t>er 5 we have outlined considerations and potential actions or options t</w:t>
      </w:r>
      <w:r w:rsidR="00F51FC2" w:rsidRPr="00F51FC2">
        <w:t>o address the findings presented</w:t>
      </w:r>
      <w:r w:rsidRPr="00F51FC2">
        <w:t>.</w:t>
      </w:r>
    </w:p>
    <w:p w:rsidR="000D446D" w:rsidRPr="00CB32B1" w:rsidRDefault="00146DB3" w:rsidP="00146DB3">
      <w:pPr>
        <w:pStyle w:val="Heading6"/>
      </w:pPr>
      <w:bookmarkStart w:id="26" w:name="_Toc362975052"/>
      <w:r w:rsidRPr="00CB32B1">
        <w:t>Communication of practice</w:t>
      </w:r>
      <w:r w:rsidR="00C05938" w:rsidRPr="00CB32B1">
        <w:t xml:space="preserve"> and availabl</w:t>
      </w:r>
      <w:r w:rsidR="006E176A" w:rsidRPr="00CB32B1">
        <w:t>e</w:t>
      </w:r>
      <w:r w:rsidR="00C05938" w:rsidRPr="00CB32B1">
        <w:t xml:space="preserve"> data</w:t>
      </w:r>
      <w:bookmarkEnd w:id="26"/>
    </w:p>
    <w:p w:rsidR="00146DB3" w:rsidRPr="00CB32B1" w:rsidRDefault="00146DB3" w:rsidP="00146DB3">
      <w:pPr>
        <w:pStyle w:val="PwCNormal"/>
      </w:pPr>
      <w:r w:rsidRPr="00CB32B1">
        <w:t>Literature and stakeholder consultations identified that the communication on what women should expect from a safe, high quality privately practising midwife, the context in which they operate, and the outcomes seen from their care can be improved. Underpinning this communication would be standard frameworks developed by appropriate authorities to allow consumers to make more informed choices about their care options.</w:t>
      </w:r>
    </w:p>
    <w:p w:rsidR="00146DB3" w:rsidRPr="00CB32B1" w:rsidRDefault="00146DB3" w:rsidP="00146DB3">
      <w:pPr>
        <w:pStyle w:val="PwCNormal"/>
      </w:pPr>
      <w:r w:rsidRPr="00CB32B1">
        <w:t>Where evidence is available around the practice of PPM, often the intra</w:t>
      </w:r>
      <w:r w:rsidR="009E4F2B">
        <w:t>-</w:t>
      </w:r>
      <w:r w:rsidRPr="00CB32B1">
        <w:t>professional dialogue</w:t>
      </w:r>
      <w:r w:rsidR="00DA207E">
        <w:t xml:space="preserve"> was found to</w:t>
      </w:r>
      <w:r w:rsidRPr="00CB32B1">
        <w:t xml:space="preserve"> cloud the capacity of the insurance industry to draw clear conclusions</w:t>
      </w:r>
      <w:r w:rsidR="00DA207E">
        <w:t xml:space="preserve"> on this practice</w:t>
      </w:r>
      <w:r w:rsidRPr="00CB32B1">
        <w:t xml:space="preserve">. </w:t>
      </w:r>
      <w:r w:rsidR="009E4F2B">
        <w:t>In</w:t>
      </w:r>
      <w:r w:rsidRPr="00CB32B1">
        <w:t xml:space="preserve"> addition, sometimes the evidence is inconclusive or lacks clarity. Our review and consultations identified several </w:t>
      </w:r>
      <w:r w:rsidR="00DA207E">
        <w:t xml:space="preserve">supporting </w:t>
      </w:r>
      <w:r w:rsidRPr="00CB32B1">
        <w:t xml:space="preserve">findings as outlined in </w:t>
      </w:r>
      <w:r w:rsidR="009129A6" w:rsidRPr="00CB32B1">
        <w:fldChar w:fldCharType="begin"/>
      </w:r>
      <w:r w:rsidR="00EB2051" w:rsidRPr="00CB32B1">
        <w:instrText xml:space="preserve"> REF _Ref361223715 \h </w:instrText>
      </w:r>
      <w:r w:rsidR="009129A6" w:rsidRPr="00CB32B1">
        <w:fldChar w:fldCharType="separate"/>
      </w:r>
      <w:r w:rsidR="008816B4" w:rsidRPr="00CB32B1">
        <w:t xml:space="preserve">Table </w:t>
      </w:r>
      <w:r w:rsidR="008816B4">
        <w:rPr>
          <w:noProof/>
        </w:rPr>
        <w:t>4</w:t>
      </w:r>
      <w:r w:rsidR="009129A6" w:rsidRPr="00CB32B1">
        <w:fldChar w:fldCharType="end"/>
      </w:r>
      <w:r w:rsidRPr="00CB32B1">
        <w:t>.</w:t>
      </w:r>
    </w:p>
    <w:p w:rsidR="000D446D" w:rsidRPr="00CB32B1" w:rsidRDefault="00146DB3" w:rsidP="00146DB3">
      <w:pPr>
        <w:pStyle w:val="PwCNormal"/>
        <w:numPr>
          <w:ilvl w:val="0"/>
          <w:numId w:val="0"/>
        </w:numPr>
      </w:pPr>
      <w:r w:rsidRPr="00CB32B1">
        <w:t xml:space="preserve">Each of the findings (whether they relate to the environment in which PPMs practise, or the practice of PPM itself), may have prevented a </w:t>
      </w:r>
      <w:r w:rsidR="00DA207E">
        <w:t xml:space="preserve">PII </w:t>
      </w:r>
      <w:r w:rsidRPr="00CB32B1">
        <w:t>product being developed (includ</w:t>
      </w:r>
      <w:r w:rsidR="00DA207E">
        <w:t>es cover for</w:t>
      </w:r>
      <w:r w:rsidRPr="00CB32B1">
        <w:t xml:space="preserve"> intrapartum care). It is likely that any resolution to the issue of PII for PPMs will need to address these findings, in part or as a</w:t>
      </w:r>
      <w:r w:rsidR="009E4F2B">
        <w:t xml:space="preserve"> </w:t>
      </w:r>
      <w:r w:rsidRPr="00CB32B1">
        <w:t>whole.</w:t>
      </w:r>
    </w:p>
    <w:p w:rsidR="002C5ECC" w:rsidRPr="00CB32B1" w:rsidRDefault="002C5ECC" w:rsidP="002C5ECC">
      <w:pPr>
        <w:pStyle w:val="Caption"/>
      </w:pPr>
      <w:bookmarkStart w:id="27" w:name="_Ref361223715"/>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4</w:t>
      </w:r>
      <w:r w:rsidR="009129A6" w:rsidRPr="00CB32B1">
        <w:fldChar w:fldCharType="end"/>
      </w:r>
      <w:bookmarkEnd w:id="27"/>
      <w:r w:rsidRPr="00CB32B1">
        <w:t>: Key findings precluding the development of a commercial PII product for PPMs for antenatal, intrapartum and postnatal care services</w:t>
      </w:r>
    </w:p>
    <w:tbl>
      <w:tblPr>
        <w:tblStyle w:val="PwCTableStyle1"/>
        <w:tblW w:w="5000" w:type="pct"/>
        <w:tblLook w:val="04A0"/>
      </w:tblPr>
      <w:tblGrid>
        <w:gridCol w:w="1116"/>
        <w:gridCol w:w="2501"/>
        <w:gridCol w:w="5668"/>
      </w:tblGrid>
      <w:tr w:rsidR="002C5ECC" w:rsidRPr="00CB32B1" w:rsidTr="003B21A7">
        <w:trPr>
          <w:cnfStyle w:val="100000000000"/>
        </w:trPr>
        <w:tc>
          <w:tcPr>
            <w:cnfStyle w:val="001000000000"/>
            <w:tcW w:w="601" w:type="pct"/>
            <w:shd w:val="clear" w:color="auto" w:fill="DC6900" w:themeFill="text2"/>
            <w:vAlign w:val="center"/>
          </w:tcPr>
          <w:p w:rsidR="002C5ECC" w:rsidRPr="00CB32B1" w:rsidRDefault="002C5ECC" w:rsidP="003B21A7">
            <w:pPr>
              <w:pStyle w:val="TableColumnHeadingNormal"/>
            </w:pPr>
            <w:r w:rsidRPr="00CB32B1">
              <w:t>Number</w:t>
            </w:r>
          </w:p>
        </w:tc>
        <w:tc>
          <w:tcPr>
            <w:tcW w:w="1347" w:type="pct"/>
            <w:shd w:val="clear" w:color="auto" w:fill="DC6900" w:themeFill="text2"/>
            <w:vAlign w:val="center"/>
          </w:tcPr>
          <w:p w:rsidR="002C5ECC" w:rsidRPr="00CB32B1" w:rsidRDefault="002C5ECC" w:rsidP="003B21A7">
            <w:pPr>
              <w:pStyle w:val="TableColumnHeadingNormal"/>
              <w:cnfStyle w:val="100000000000"/>
            </w:pPr>
            <w:r w:rsidRPr="00CB32B1">
              <w:t>Topic</w:t>
            </w:r>
          </w:p>
        </w:tc>
        <w:tc>
          <w:tcPr>
            <w:tcW w:w="3052" w:type="pct"/>
            <w:shd w:val="clear" w:color="auto" w:fill="DC6900" w:themeFill="text2"/>
            <w:vAlign w:val="center"/>
          </w:tcPr>
          <w:p w:rsidR="002C5ECC" w:rsidRPr="00CB32B1" w:rsidRDefault="002C5ECC" w:rsidP="003B21A7">
            <w:pPr>
              <w:pStyle w:val="TableColumnHeadingNormal"/>
              <w:cnfStyle w:val="100000000000"/>
            </w:pPr>
            <w:r w:rsidRPr="00CB32B1">
              <w:t>Finding</w:t>
            </w:r>
          </w:p>
        </w:tc>
      </w:tr>
      <w:tr w:rsidR="002C5ECC" w:rsidRPr="00CB32B1" w:rsidTr="002C5ECC">
        <w:tc>
          <w:tcPr>
            <w:cnfStyle w:val="001000000000"/>
            <w:tcW w:w="601" w:type="pct"/>
          </w:tcPr>
          <w:p w:rsidR="002C5ECC" w:rsidRPr="00CB32B1" w:rsidRDefault="002C5ECC" w:rsidP="002C5ECC">
            <w:pPr>
              <w:pStyle w:val="TableTextNormal"/>
            </w:pPr>
            <w:r w:rsidRPr="00CB32B1">
              <w:t>1</w:t>
            </w:r>
          </w:p>
        </w:tc>
        <w:tc>
          <w:tcPr>
            <w:tcW w:w="1347" w:type="pct"/>
          </w:tcPr>
          <w:p w:rsidR="002C5ECC" w:rsidRPr="00CB32B1" w:rsidRDefault="002C5ECC" w:rsidP="002C5ECC">
            <w:pPr>
              <w:pStyle w:val="TableTextNormal"/>
              <w:cnfStyle w:val="000000000000"/>
            </w:pPr>
            <w:r w:rsidRPr="00CB32B1">
              <w:t>Service provision and frameworks</w:t>
            </w:r>
          </w:p>
        </w:tc>
        <w:tc>
          <w:tcPr>
            <w:tcW w:w="3052" w:type="pct"/>
          </w:tcPr>
          <w:p w:rsidR="002C5ECC" w:rsidRPr="00CB32B1" w:rsidRDefault="00C05938" w:rsidP="00C05938">
            <w:pPr>
              <w:pStyle w:val="TableTextNormal"/>
              <w:cnfStyle w:val="000000000000"/>
              <w:rPr>
                <w:i/>
              </w:rPr>
            </w:pPr>
            <w:r w:rsidRPr="00CB32B1">
              <w:rPr>
                <w:i/>
              </w:rPr>
              <w:t>There is v</w:t>
            </w:r>
            <w:r w:rsidR="002C5ECC" w:rsidRPr="00CB32B1">
              <w:rPr>
                <w:i/>
              </w:rPr>
              <w:t xml:space="preserve">ariation and/or lack of clarity in midwifery service provision and </w:t>
            </w:r>
            <w:r w:rsidRPr="00CB32B1">
              <w:rPr>
                <w:i/>
              </w:rPr>
              <w:t xml:space="preserve">the </w:t>
            </w:r>
            <w:r w:rsidR="002C5ECC" w:rsidRPr="00CB32B1">
              <w:rPr>
                <w:i/>
              </w:rPr>
              <w:t xml:space="preserve">risk frameworks that </w:t>
            </w:r>
            <w:r w:rsidRPr="00CB32B1">
              <w:rPr>
                <w:i/>
              </w:rPr>
              <w:t>guid</w:t>
            </w:r>
            <w:r w:rsidR="002C5ECC" w:rsidRPr="00CB32B1">
              <w:rPr>
                <w:i/>
              </w:rPr>
              <w:t>e quality and safety, creat</w:t>
            </w:r>
            <w:r w:rsidRPr="00CB32B1">
              <w:rPr>
                <w:i/>
              </w:rPr>
              <w:t>ing</w:t>
            </w:r>
            <w:r w:rsidR="002C5ECC" w:rsidRPr="00CB32B1">
              <w:rPr>
                <w:i/>
              </w:rPr>
              <w:t xml:space="preserve"> uncertainty about how to insure </w:t>
            </w:r>
            <w:r w:rsidRPr="00CB32B1">
              <w:rPr>
                <w:i/>
              </w:rPr>
              <w:t>services</w:t>
            </w:r>
            <w:r w:rsidR="002C5ECC" w:rsidRPr="00CB32B1">
              <w:rPr>
                <w:i/>
              </w:rPr>
              <w:t>.</w:t>
            </w:r>
          </w:p>
        </w:tc>
      </w:tr>
      <w:tr w:rsidR="002C5ECC" w:rsidRPr="00CB32B1" w:rsidTr="002C5ECC">
        <w:tc>
          <w:tcPr>
            <w:cnfStyle w:val="001000000000"/>
            <w:tcW w:w="601" w:type="pct"/>
          </w:tcPr>
          <w:p w:rsidR="002C5ECC" w:rsidRPr="00CB32B1" w:rsidRDefault="002C5ECC" w:rsidP="002C5ECC">
            <w:pPr>
              <w:pStyle w:val="TableTextNormal"/>
            </w:pPr>
            <w:r w:rsidRPr="00CB32B1">
              <w:t>2</w:t>
            </w:r>
          </w:p>
        </w:tc>
        <w:tc>
          <w:tcPr>
            <w:tcW w:w="1347" w:type="pct"/>
          </w:tcPr>
          <w:p w:rsidR="002C5ECC" w:rsidRPr="00CB32B1" w:rsidRDefault="002C5ECC" w:rsidP="002C5ECC">
            <w:pPr>
              <w:pStyle w:val="TableTextNormal"/>
              <w:cnfStyle w:val="000000000000"/>
            </w:pPr>
            <w:r w:rsidRPr="00CB32B1">
              <w:t>Data quality and availability</w:t>
            </w:r>
          </w:p>
        </w:tc>
        <w:tc>
          <w:tcPr>
            <w:tcW w:w="3052" w:type="pct"/>
          </w:tcPr>
          <w:p w:rsidR="002C5ECC" w:rsidRPr="00CB32B1" w:rsidRDefault="002C5ECC" w:rsidP="002C5ECC">
            <w:pPr>
              <w:pStyle w:val="TableTextNormal"/>
              <w:cnfStyle w:val="000000000000"/>
              <w:rPr>
                <w:i/>
              </w:rPr>
            </w:pPr>
            <w:r w:rsidRPr="00CB32B1">
              <w:rPr>
                <w:i/>
              </w:rPr>
              <w:t>The availability and quality of data is currently insufficient to confidently understand the extent of PPM practice and the associated risk.</w:t>
            </w:r>
          </w:p>
        </w:tc>
      </w:tr>
      <w:tr w:rsidR="002C5ECC" w:rsidRPr="00CB32B1" w:rsidTr="002C5ECC">
        <w:tc>
          <w:tcPr>
            <w:cnfStyle w:val="001000000000"/>
            <w:tcW w:w="601" w:type="pct"/>
          </w:tcPr>
          <w:p w:rsidR="002C5ECC" w:rsidRPr="00CB32B1" w:rsidRDefault="002C5ECC" w:rsidP="002C5ECC">
            <w:pPr>
              <w:pStyle w:val="TableTextNormal"/>
            </w:pPr>
            <w:r w:rsidRPr="00CB32B1">
              <w:t>3</w:t>
            </w:r>
          </w:p>
        </w:tc>
        <w:tc>
          <w:tcPr>
            <w:tcW w:w="1347" w:type="pct"/>
          </w:tcPr>
          <w:p w:rsidR="002C5ECC" w:rsidRPr="00CB32B1" w:rsidRDefault="002C5ECC" w:rsidP="002C5ECC">
            <w:pPr>
              <w:pStyle w:val="TableTextNormal"/>
              <w:cnfStyle w:val="000000000000"/>
            </w:pPr>
            <w:r w:rsidRPr="00CB32B1">
              <w:t>Data relationships</w:t>
            </w:r>
          </w:p>
        </w:tc>
        <w:tc>
          <w:tcPr>
            <w:tcW w:w="3052" w:type="pct"/>
          </w:tcPr>
          <w:p w:rsidR="002C5ECC" w:rsidRPr="00CB32B1" w:rsidRDefault="002C5ECC" w:rsidP="002C5ECC">
            <w:pPr>
              <w:pStyle w:val="TableTextNormal"/>
              <w:cnfStyle w:val="000000000000"/>
              <w:rPr>
                <w:i/>
              </w:rPr>
            </w:pPr>
            <w:r w:rsidRPr="00CB32B1">
              <w:rPr>
                <w:i/>
              </w:rPr>
              <w:t>Currently, the relationship between incidence and claims is not well understood, and a lack of substitute data adds to uncertainty over a PPM's risk profile, causing uncertainty over a PPMs risk profile.</w:t>
            </w:r>
          </w:p>
        </w:tc>
      </w:tr>
    </w:tbl>
    <w:p w:rsidR="002C5ECC" w:rsidRPr="00CB32B1" w:rsidRDefault="002C5ECC" w:rsidP="002C5ECC">
      <w:pPr>
        <w:pStyle w:val="PwCNormal"/>
        <w:spacing w:before="120"/>
      </w:pPr>
      <w:r w:rsidRPr="00CB32B1">
        <w:t>These findings do not suggest that a PII product for PPMs that includes intrapartum care can only be developed if these data are made available. Some stakeholders consulted highlighted that other maternity service providers have been able to obtain PII for antenatal, intrapartum and postnatal care without, for example, quality and safety frameworks.</w:t>
      </w:r>
      <w:r w:rsidR="00294A43" w:rsidRPr="00CB32B1">
        <w:rPr>
          <w:rStyle w:val="FootnoteReference"/>
        </w:rPr>
        <w:footnoteReference w:id="41"/>
      </w:r>
      <w:r w:rsidRPr="00CB32B1">
        <w:t xml:space="preserve"> Instead, these data were identified by insurers and literature as necessary to support and assist in the PII development, particularly if the PII market for PPMs continues to be serviced by commercial insurers.</w:t>
      </w:r>
    </w:p>
    <w:p w:rsidR="002C5ECC" w:rsidRPr="00CB32B1" w:rsidRDefault="002C5ECC" w:rsidP="00141C0D">
      <w:pPr>
        <w:pStyle w:val="Majorheading"/>
        <w:keepNext w:val="0"/>
        <w:keepLines w:val="0"/>
      </w:pPr>
      <w:r w:rsidRPr="00CB32B1">
        <w:t>Finding 1: Service provision and frameworks</w:t>
      </w:r>
    </w:p>
    <w:tbl>
      <w:tblPr>
        <w:tblStyle w:val="TableGrid"/>
        <w:tblW w:w="0" w:type="auto"/>
        <w:tblLook w:val="04A0"/>
      </w:tblPr>
      <w:tblGrid>
        <w:gridCol w:w="9285"/>
      </w:tblGrid>
      <w:tr w:rsidR="002C5ECC" w:rsidRPr="00CB32B1" w:rsidTr="0038709E">
        <w:tc>
          <w:tcPr>
            <w:tcW w:w="9288" w:type="dxa"/>
            <w:tcBorders>
              <w:top w:val="single" w:sz="4" w:space="0" w:color="DC6900" w:themeColor="text2"/>
              <w:left w:val="single" w:sz="4" w:space="0" w:color="DC6900" w:themeColor="text2"/>
              <w:bottom w:val="single" w:sz="4" w:space="0" w:color="DC6900" w:themeColor="text2"/>
              <w:right w:val="single" w:sz="4" w:space="0" w:color="DC6900" w:themeColor="text2"/>
            </w:tcBorders>
          </w:tcPr>
          <w:p w:rsidR="002C5ECC" w:rsidRPr="00CB32B1" w:rsidRDefault="002C5ECC" w:rsidP="00B02E1C">
            <w:pPr>
              <w:pStyle w:val="TableTextNormal"/>
              <w:rPr>
                <w:b/>
                <w:color w:val="DC6900" w:themeColor="text2"/>
              </w:rPr>
            </w:pPr>
            <w:r w:rsidRPr="00CB32B1">
              <w:rPr>
                <w:b/>
                <w:color w:val="DC6900" w:themeColor="text2"/>
              </w:rPr>
              <w:t xml:space="preserve">Variation and/or lack of clarity in midwifery service provision and risk frameworks that </w:t>
            </w:r>
            <w:r w:rsidR="00B02E1C">
              <w:rPr>
                <w:b/>
                <w:color w:val="DC6900" w:themeColor="text2"/>
              </w:rPr>
              <w:t>guide</w:t>
            </w:r>
            <w:r w:rsidRPr="00CB32B1">
              <w:rPr>
                <w:b/>
                <w:color w:val="DC6900" w:themeColor="text2"/>
              </w:rPr>
              <w:t xml:space="preserve"> quality and safety, creat</w:t>
            </w:r>
            <w:r w:rsidR="00B02E1C">
              <w:rPr>
                <w:b/>
                <w:color w:val="DC6900" w:themeColor="text2"/>
              </w:rPr>
              <w:t>ing</w:t>
            </w:r>
            <w:r w:rsidRPr="00CB32B1">
              <w:rPr>
                <w:b/>
                <w:color w:val="DC6900" w:themeColor="text2"/>
              </w:rPr>
              <w:t xml:space="preserve"> uncertainty about how to insure </w:t>
            </w:r>
            <w:r w:rsidR="00B02E1C">
              <w:rPr>
                <w:b/>
                <w:color w:val="DC6900" w:themeColor="text2"/>
              </w:rPr>
              <w:t>services</w:t>
            </w:r>
            <w:r w:rsidRPr="00CB32B1">
              <w:rPr>
                <w:b/>
                <w:color w:val="DC6900" w:themeColor="text2"/>
              </w:rPr>
              <w:t>.</w:t>
            </w:r>
          </w:p>
        </w:tc>
      </w:tr>
    </w:tbl>
    <w:p w:rsidR="002C5ECC" w:rsidRPr="00CB32B1" w:rsidRDefault="002C5ECC" w:rsidP="00141C0D">
      <w:pPr>
        <w:pStyle w:val="PwCNormal"/>
        <w:spacing w:before="240"/>
      </w:pPr>
      <w:r w:rsidRPr="00CB32B1">
        <w:t xml:space="preserve">Without clear definitions and frameworks, an understanding of the probability of a potential incident </w:t>
      </w:r>
      <w:r w:rsidR="009D3C33">
        <w:t xml:space="preserve">arising </w:t>
      </w:r>
      <w:r w:rsidRPr="00CB32B1">
        <w:t xml:space="preserve">may not be sufficiently known. This </w:t>
      </w:r>
      <w:r w:rsidR="00B02E1C">
        <w:t xml:space="preserve">appears to </w:t>
      </w:r>
      <w:r w:rsidRPr="00CB32B1">
        <w:t xml:space="preserve">increase the perception of uncertainty of practice and subsequent risk to insurers in developing a product. In the case of </w:t>
      </w:r>
      <w:r w:rsidR="004250D7">
        <w:t>PPMs</w:t>
      </w:r>
      <w:r w:rsidRPr="00CB32B1">
        <w:t xml:space="preserve">, necessary definitions for insurers </w:t>
      </w:r>
      <w:r w:rsidR="00B02E1C">
        <w:t xml:space="preserve">may </w:t>
      </w:r>
      <w:r w:rsidRPr="00CB32B1">
        <w:t>include:</w:t>
      </w:r>
    </w:p>
    <w:p w:rsidR="002C5ECC" w:rsidRPr="00CB32B1" w:rsidRDefault="004250D7" w:rsidP="00141C0D">
      <w:pPr>
        <w:pStyle w:val="ListBullet"/>
      </w:pPr>
      <w:r>
        <w:t>w</w:t>
      </w:r>
      <w:r w:rsidR="002C5ECC" w:rsidRPr="00CB32B1">
        <w:t>ho PPMs are, their qualifications, skills and experience</w:t>
      </w:r>
    </w:p>
    <w:p w:rsidR="002C5ECC" w:rsidRPr="00CB32B1" w:rsidRDefault="004250D7" w:rsidP="00141C0D">
      <w:pPr>
        <w:pStyle w:val="ListBullet"/>
      </w:pPr>
      <w:r>
        <w:t>h</w:t>
      </w:r>
      <w:r w:rsidR="002C5ECC" w:rsidRPr="00CB32B1">
        <w:t>ow PPMs deliver services, their operating model and interrelationships with others</w:t>
      </w:r>
    </w:p>
    <w:p w:rsidR="002C5ECC" w:rsidRPr="00CB32B1" w:rsidRDefault="004250D7" w:rsidP="00141C0D">
      <w:pPr>
        <w:pStyle w:val="ListBullet"/>
      </w:pPr>
      <w:r>
        <w:t>w</w:t>
      </w:r>
      <w:r w:rsidR="002C5ECC" w:rsidRPr="00CB32B1">
        <w:t xml:space="preserve">hat services </w:t>
      </w:r>
      <w:r w:rsidR="009D3C33">
        <w:t>are being</w:t>
      </w:r>
      <w:r w:rsidR="002C5ECC" w:rsidRPr="00CB32B1">
        <w:t xml:space="preserve"> insur</w:t>
      </w:r>
      <w:r w:rsidR="009D3C33">
        <w:t>ed</w:t>
      </w:r>
      <w:r w:rsidR="002C5ECC" w:rsidRPr="00CB32B1">
        <w:t xml:space="preserve"> and the scope of PPM practice including regulation and quality</w:t>
      </w:r>
      <w:r>
        <w:t xml:space="preserve"> </w:t>
      </w:r>
      <w:r w:rsidR="002C5ECC" w:rsidRPr="00CB32B1">
        <w:t>controls.</w:t>
      </w:r>
    </w:p>
    <w:p w:rsidR="002C5ECC" w:rsidRPr="00CB32B1" w:rsidRDefault="002C5ECC" w:rsidP="00141C0D">
      <w:pPr>
        <w:pStyle w:val="Minorheading"/>
        <w:keepNext w:val="0"/>
        <w:keepLines w:val="0"/>
      </w:pPr>
      <w:r w:rsidRPr="00CB32B1">
        <w:t>Who PPMs are</w:t>
      </w:r>
    </w:p>
    <w:p w:rsidR="002C5ECC" w:rsidRPr="00CB32B1" w:rsidRDefault="002C5ECC" w:rsidP="002C5ECC">
      <w:pPr>
        <w:pStyle w:val="PwCNormal"/>
      </w:pPr>
      <w:r w:rsidRPr="00CB32B1">
        <w:t xml:space="preserve">Definitions are important for insurers as they establish who can obtain or is eligible for cover. They </w:t>
      </w:r>
      <w:r w:rsidR="00B02E1C">
        <w:t xml:space="preserve">also can </w:t>
      </w:r>
      <w:r w:rsidRPr="00CB32B1">
        <w:t xml:space="preserve">assist in determining the risk profile of those being insured. Currently, the NMBA Register of Midwives does not </w:t>
      </w:r>
      <w:r w:rsidR="00B02E1C">
        <w:t>identify</w:t>
      </w:r>
      <w:r w:rsidRPr="00CB32B1">
        <w:t xml:space="preserve"> who is a PPM</w:t>
      </w:r>
      <w:r w:rsidR="00B02E1C">
        <w:t>,</w:t>
      </w:r>
      <w:r w:rsidRPr="00CB32B1">
        <w:t xml:space="preserve"> and there are no national data on the number of PPMs in Australia or the number of PPMs who are currently providing homebirth services. While registering as a midwife provides </w:t>
      </w:r>
      <w:r w:rsidR="00B02E1C">
        <w:t xml:space="preserve">insurers with </w:t>
      </w:r>
      <w:r w:rsidRPr="00CB32B1">
        <w:t xml:space="preserve">a suitable indicator for understanding eligibility </w:t>
      </w:r>
      <w:r w:rsidR="00B02E1C">
        <w:t>as a PPM</w:t>
      </w:r>
      <w:r w:rsidRPr="00CB32B1">
        <w:t xml:space="preserve">, it may not provide suitable guidance to an insurer on the range of practice environments seen, and therefore an individual PPM’s risk profile. </w:t>
      </w:r>
    </w:p>
    <w:p w:rsidR="00B02E1C" w:rsidRDefault="002C5ECC" w:rsidP="002C5ECC">
      <w:pPr>
        <w:pStyle w:val="PwCNormal"/>
      </w:pPr>
      <w:r w:rsidRPr="00CB32B1">
        <w:t>To practice, PPMs are required to register as a midwife with the same skill set as midwives practicing in other settings. This is supported by the International Confederation of Midwives (ICM) definition of a midwife (see Appendix D.1):</w:t>
      </w:r>
      <w:r w:rsidR="00B02E1C">
        <w:rPr>
          <w:rStyle w:val="FootnoteReference"/>
        </w:rPr>
        <w:footnoteReference w:id="42"/>
      </w:r>
      <w:r w:rsidRPr="00CB32B1">
        <w:t xml:space="preserve"> </w:t>
      </w:r>
    </w:p>
    <w:p w:rsidR="002C5ECC" w:rsidRPr="00B02E1C" w:rsidRDefault="00B02E1C" w:rsidP="002C5ECC">
      <w:pPr>
        <w:pStyle w:val="PwCNormal"/>
        <w:rPr>
          <w:color w:val="DC6900" w:themeColor="text2"/>
        </w:rPr>
      </w:pPr>
      <w:r w:rsidRPr="00B02E1C">
        <w:rPr>
          <w:color w:val="DC6900" w:themeColor="text2"/>
        </w:rPr>
        <w:t>“</w:t>
      </w:r>
      <w:r w:rsidR="002C5ECC" w:rsidRPr="00B02E1C">
        <w:rPr>
          <w:i/>
          <w:color w:val="DC6900" w:themeColor="text2"/>
        </w:rPr>
        <w:t>that a midwife should have the same set of skills and level of competency in practice, regardl</w:t>
      </w:r>
      <w:r w:rsidR="008A0A27" w:rsidRPr="00B02E1C">
        <w:rPr>
          <w:i/>
          <w:color w:val="DC6900" w:themeColor="text2"/>
        </w:rPr>
        <w:t>ess of the setting of the birth</w:t>
      </w:r>
      <w:r w:rsidRPr="00B02E1C">
        <w:rPr>
          <w:i/>
          <w:color w:val="DC6900" w:themeColor="text2"/>
        </w:rPr>
        <w:t>”</w:t>
      </w:r>
      <w:r w:rsidR="002C5ECC" w:rsidRPr="00B02E1C">
        <w:t xml:space="preserve">. </w:t>
      </w:r>
    </w:p>
    <w:p w:rsidR="002C5ECC" w:rsidRPr="00CB32B1" w:rsidRDefault="002C5ECC" w:rsidP="002C5ECC">
      <w:pPr>
        <w:pStyle w:val="PwCNormal"/>
      </w:pPr>
      <w:r w:rsidRPr="00CB32B1">
        <w:t>However, the definition of a PPM does not provide insurers with information to develop a risk profile for an independent midwife providing maternity services, as it only relates to the operating model in which PPMs provide care and not the skill, competency or practice of a PPM (see Appendix D). It also does not distinguish between a midwife, a PPM and a PPM providing services in the home. It is the latter group that insurers need to understand the risk profile of.</w:t>
      </w:r>
    </w:p>
    <w:p w:rsidR="002C5ECC" w:rsidRPr="00CB32B1" w:rsidRDefault="00141C0D" w:rsidP="002C5ECC">
      <w:pPr>
        <w:pStyle w:val="PwCNormal"/>
      </w:pPr>
      <w:r w:rsidRPr="00CB32B1">
        <w:t>‘</w:t>
      </w:r>
      <w:r w:rsidR="002C5ECC" w:rsidRPr="00CB32B1">
        <w:t>Eligible midwives</w:t>
      </w:r>
      <w:r w:rsidRPr="00CB32B1">
        <w:t>’</w:t>
      </w:r>
      <w:r w:rsidR="002C5ECC" w:rsidRPr="00CB32B1">
        <w:t xml:space="preserve"> are a more regulated sub-class of midwives under NMBA. Developed in 2010, registration as an eligible midwife grants a midwife access to </w:t>
      </w:r>
      <w:r w:rsidR="00B02E1C">
        <w:t xml:space="preserve">the </w:t>
      </w:r>
      <w:r w:rsidR="002C5ECC" w:rsidRPr="00CB32B1">
        <w:t>Medicare Benefits and the Pharmaceutical Benefits Scheme</w:t>
      </w:r>
      <w:r w:rsidR="00B02E1C">
        <w:t>s</w:t>
      </w:r>
      <w:r w:rsidR="002C5ECC" w:rsidRPr="00CB32B1">
        <w:t>.</w:t>
      </w:r>
      <w:r w:rsidR="00626389" w:rsidRPr="00CB32B1">
        <w:rPr>
          <w:rStyle w:val="FootnoteReference"/>
        </w:rPr>
        <w:footnoteReference w:id="43"/>
      </w:r>
      <w:r w:rsidR="002C5ECC" w:rsidRPr="00CB32B1">
        <w:t xml:space="preserve"> It is necessary to demonstrate registration (or the intent to register) as an eligible midwife to purchase the MIGA insurance product</w:t>
      </w:r>
      <w:r w:rsidR="008A0A27" w:rsidRPr="00CB32B1">
        <w:rPr>
          <w:rStyle w:val="FootnoteReference"/>
        </w:rPr>
        <w:footnoteReference w:id="44"/>
      </w:r>
      <w:r w:rsidR="002C5ECC" w:rsidRPr="00CB32B1">
        <w:t xml:space="preserve">, unlike IMGA which </w:t>
      </w:r>
      <w:r w:rsidR="00B02E1C">
        <w:t xml:space="preserve">only requires a midwife to be </w:t>
      </w:r>
      <w:r w:rsidR="002C5ECC" w:rsidRPr="00CB32B1">
        <w:t xml:space="preserve">registered with </w:t>
      </w:r>
      <w:r w:rsidR="00B02E1C">
        <w:t xml:space="preserve">the </w:t>
      </w:r>
      <w:r w:rsidR="002C5ECC" w:rsidRPr="00CB32B1">
        <w:t xml:space="preserve">NMBA to </w:t>
      </w:r>
      <w:r w:rsidR="00B02E1C">
        <w:t>purchase</w:t>
      </w:r>
      <w:r w:rsidR="002C5ECC" w:rsidRPr="00CB32B1">
        <w:t xml:space="preserve"> its product.</w:t>
      </w:r>
      <w:r w:rsidR="00626389" w:rsidRPr="00CB32B1">
        <w:rPr>
          <w:rStyle w:val="FootnoteReference"/>
        </w:rPr>
        <w:footnoteReference w:id="45"/>
      </w:r>
    </w:p>
    <w:p w:rsidR="002C5ECC" w:rsidRPr="00CB32B1" w:rsidRDefault="002C5ECC" w:rsidP="00C912AD">
      <w:pPr>
        <w:pStyle w:val="PwCNormal"/>
        <w:keepNext/>
        <w:keepLines/>
      </w:pPr>
      <w:r w:rsidRPr="00CB32B1">
        <w:t>The eligible midwife classification provides an example of how regulation can assist to mitigate a profession’s risk profile through defining requirements and competency. The classification allows a midwife’s practice to be:</w:t>
      </w:r>
    </w:p>
    <w:p w:rsidR="002C5ECC" w:rsidRPr="00CB32B1" w:rsidRDefault="0089267F" w:rsidP="00C912AD">
      <w:pPr>
        <w:pStyle w:val="ListBullet"/>
        <w:keepNext/>
        <w:keepLines/>
      </w:pPr>
      <w:r>
        <w:t>m</w:t>
      </w:r>
      <w:r w:rsidR="002C5ECC" w:rsidRPr="00CB32B1">
        <w:t xml:space="preserve">ore closely monitored through its association with Medicare </w:t>
      </w:r>
      <w:r w:rsidR="00B02E1C">
        <w:t xml:space="preserve">Australia </w:t>
      </w:r>
      <w:r w:rsidR="002C5ECC" w:rsidRPr="00CB32B1">
        <w:t>services in terms of activity</w:t>
      </w:r>
    </w:p>
    <w:p w:rsidR="002C5ECC" w:rsidRPr="00CB32B1" w:rsidRDefault="0089267F" w:rsidP="0038709E">
      <w:pPr>
        <w:pStyle w:val="ListBullet"/>
      </w:pPr>
      <w:r>
        <w:t>b</w:t>
      </w:r>
      <w:r w:rsidR="002C5ECC" w:rsidRPr="00CB32B1">
        <w:t xml:space="preserve">enchmarked in terms of skill and competency level. For example in order to register, eligible midwives are required to demonstrate competency in midwifery practice, have a certain level of experience and ongoing professional development (see </w:t>
      </w:r>
      <w:r w:rsidR="00CB1BAB" w:rsidRPr="00CB32B1">
        <w:t>Appendix D.3</w:t>
      </w:r>
      <w:r w:rsidR="002C5ECC" w:rsidRPr="00CB32B1">
        <w:t xml:space="preserve"> for the full set of requirements to become an eligible midwife).</w:t>
      </w:r>
    </w:p>
    <w:p w:rsidR="002C5ECC" w:rsidRPr="00CB32B1" w:rsidRDefault="00B02E1C" w:rsidP="00626389">
      <w:pPr>
        <w:pStyle w:val="PwCNormal"/>
        <w:keepNext/>
        <w:keepLines/>
      </w:pPr>
      <w:r>
        <w:t xml:space="preserve">The benefits however, </w:t>
      </w:r>
      <w:r w:rsidR="002C5ECC" w:rsidRPr="00CB32B1">
        <w:t xml:space="preserve">of having additional registration requirements </w:t>
      </w:r>
      <w:r>
        <w:t>(as required for eligible midwives), has yet to be identified</w:t>
      </w:r>
      <w:r w:rsidR="002C5ECC" w:rsidRPr="00CB32B1">
        <w:t xml:space="preserve">. For example, </w:t>
      </w:r>
      <w:r w:rsidR="002C5ECC" w:rsidRPr="00F51FC2">
        <w:t>eligible midwi</w:t>
      </w:r>
      <w:r w:rsidR="00F51FC2" w:rsidRPr="00F51FC2">
        <w:t>v</w:t>
      </w:r>
      <w:r w:rsidR="002C5ECC" w:rsidRPr="00F51FC2">
        <w:t>es have not been proven so far to have outcomes that differ from other midwives.</w:t>
      </w:r>
      <w:r w:rsidR="002C5ECC" w:rsidRPr="00CB32B1">
        <w:t xml:space="preserve"> However, from a risk perspective, consultations with international insurers identified that clear and well-defined definitions and requirements, particularly around education and competency, have assisted in reducing the perception of the risk profile of </w:t>
      </w:r>
      <w:r w:rsidR="005136AD">
        <w:t>PPMs</w:t>
      </w:r>
      <w:r w:rsidR="002C5ECC" w:rsidRPr="00CB32B1">
        <w:t>.</w:t>
      </w:r>
      <w:r w:rsidR="00626389" w:rsidRPr="00CB32B1">
        <w:rPr>
          <w:rStyle w:val="FootnoteReference"/>
        </w:rPr>
        <w:footnoteReference w:id="46"/>
      </w:r>
      <w:r w:rsidR="002C5ECC" w:rsidRPr="00CB32B1">
        <w:t xml:space="preserve"> This is something that could be considered in the development of an insurance product going forward that covers the full spectrum of PPM care (see Chapter 5).</w:t>
      </w:r>
    </w:p>
    <w:p w:rsidR="002C5ECC" w:rsidRPr="00CB32B1" w:rsidRDefault="002C5ECC" w:rsidP="0038709E">
      <w:pPr>
        <w:pStyle w:val="Minorheading"/>
      </w:pPr>
      <w:r w:rsidRPr="00CB32B1">
        <w:t>How PPMs deliver services</w:t>
      </w:r>
    </w:p>
    <w:p w:rsidR="002C5ECC" w:rsidRPr="00CB32B1" w:rsidRDefault="002C5ECC" w:rsidP="002C5ECC">
      <w:pPr>
        <w:pStyle w:val="PwCNormal"/>
      </w:pPr>
      <w:r w:rsidRPr="00CB32B1">
        <w:t xml:space="preserve">The different operating models used by </w:t>
      </w:r>
      <w:r w:rsidR="005136AD">
        <w:t>PPMs</w:t>
      </w:r>
      <w:r w:rsidRPr="00CB32B1">
        <w:t xml:space="preserve"> to deliver services may collectively impact the risk profile developed by insurers. </w:t>
      </w:r>
      <w:r w:rsidR="00B02E1C">
        <w:t>Research completed identified that t</w:t>
      </w:r>
      <w:r w:rsidRPr="00CB32B1">
        <w:t xml:space="preserve">he current method of setting premiums for the antenatal and postnatal insurance products </w:t>
      </w:r>
      <w:r w:rsidR="00B02E1C">
        <w:t xml:space="preserve">in Australia </w:t>
      </w:r>
      <w:r w:rsidR="005136AD">
        <w:t>appears to be based</w:t>
      </w:r>
      <w:r w:rsidR="00B02E1C">
        <w:t xml:space="preserve"> predominantly </w:t>
      </w:r>
      <w:r w:rsidR="005136AD">
        <w:t>on caseload</w:t>
      </w:r>
      <w:r w:rsidRPr="00CB32B1">
        <w:t xml:space="preserve"> </w:t>
      </w:r>
      <w:r w:rsidR="005136AD">
        <w:t>(</w:t>
      </w:r>
      <w:r w:rsidR="00854DEF" w:rsidRPr="00CB32B1">
        <w:t>ie</w:t>
      </w:r>
      <w:r w:rsidRPr="00CB32B1">
        <w:t xml:space="preserve"> the number of women attended by a midwife in a year</w:t>
      </w:r>
      <w:r w:rsidR="005136AD">
        <w:t>)</w:t>
      </w:r>
      <w:r w:rsidRPr="00CB32B1">
        <w:t>.</w:t>
      </w:r>
      <w:r w:rsidR="005136AD" w:rsidRPr="00CB32B1">
        <w:rPr>
          <w:rStyle w:val="FootnoteReference"/>
        </w:rPr>
        <w:footnoteReference w:id="47"/>
      </w:r>
      <w:r w:rsidR="005136AD">
        <w:t xml:space="preserve"> </w:t>
      </w:r>
      <w:r w:rsidR="00B02E1C">
        <w:t>In other jurisdictions, other factors relating to the operating model including, practising with more than one person in attendance, were identified as assisting to reduce the risk profile of a birth.</w:t>
      </w:r>
      <w:r w:rsidRPr="00CB32B1">
        <w:t xml:space="preserve"> Therefore, if models of care or practice cannot be distinguished (</w:t>
      </w:r>
      <w:r w:rsidR="00854DEF" w:rsidRPr="00CB32B1">
        <w:t>eg</w:t>
      </w:r>
      <w:r w:rsidRPr="00CB32B1">
        <w:t xml:space="preserve"> sole care versus more than one in attendance) then the premiums may be set higher than the risk that is </w:t>
      </w:r>
      <w:r w:rsidR="00B02E1C">
        <w:t xml:space="preserve">actually </w:t>
      </w:r>
      <w:r w:rsidRPr="00CB32B1">
        <w:t>being taken on by the PPM.</w:t>
      </w:r>
    </w:p>
    <w:p w:rsidR="002C5ECC" w:rsidRPr="00CB32B1" w:rsidRDefault="002C5ECC" w:rsidP="002C5ECC">
      <w:pPr>
        <w:pStyle w:val="PwCNormal"/>
      </w:pPr>
      <w:r w:rsidRPr="00CB32B1">
        <w:t>There are a number of different operating models which are described by the NMBA as a PPM practice. Specifically, the NMBA has defined PPM</w:t>
      </w:r>
      <w:r w:rsidR="00F51FC2">
        <w:t xml:space="preserve"> </w:t>
      </w:r>
      <w:r w:rsidRPr="00CB32B1">
        <w:t>practice in l</w:t>
      </w:r>
      <w:r w:rsidR="00551164" w:rsidRPr="00CB32B1">
        <w:t>ight of its definition of a PPM</w:t>
      </w:r>
      <w:r w:rsidRPr="00CB32B1">
        <w:t xml:space="preserve"> being where a midwife is working:</w:t>
      </w:r>
      <w:r w:rsidR="005136AD" w:rsidRPr="005136AD">
        <w:rPr>
          <w:rStyle w:val="FootnoteReference"/>
        </w:rPr>
        <w:t xml:space="preserve"> </w:t>
      </w:r>
      <w:r w:rsidR="005136AD" w:rsidRPr="00CB32B1">
        <w:rPr>
          <w:rStyle w:val="FootnoteReference"/>
        </w:rPr>
        <w:footnoteReference w:id="48"/>
      </w:r>
    </w:p>
    <w:p w:rsidR="002C5ECC" w:rsidRPr="00CB32B1" w:rsidRDefault="005136AD" w:rsidP="0038709E">
      <w:pPr>
        <w:pStyle w:val="ChapterNumberedList1"/>
      </w:pPr>
      <w:r>
        <w:t>a</w:t>
      </w:r>
      <w:r w:rsidR="002C5ECC" w:rsidRPr="00CB32B1">
        <w:t xml:space="preserve">s a sole practitioner (either on a full-time or part-time basis) in a business owned </w:t>
      </w:r>
      <w:r>
        <w:t xml:space="preserve">solely by the </w:t>
      </w:r>
      <w:r w:rsidR="00B95C3B" w:rsidRPr="00CB32B1">
        <w:t>midwife</w:t>
      </w:r>
    </w:p>
    <w:p w:rsidR="002C5ECC" w:rsidRPr="00CB32B1" w:rsidRDefault="005136AD" w:rsidP="0038709E">
      <w:pPr>
        <w:pStyle w:val="ChapterNumberedList1"/>
      </w:pPr>
      <w:r>
        <w:t>i</w:t>
      </w:r>
      <w:r w:rsidR="002C5ECC" w:rsidRPr="00CB32B1">
        <w:t>n a partnership or collective; or where a midwife is employed (full-time or part-time) by a company that is</w:t>
      </w:r>
      <w:r w:rsidR="00B95C3B" w:rsidRPr="00CB32B1">
        <w:t xml:space="preserve"> owned solely by the midwife</w:t>
      </w:r>
    </w:p>
    <w:p w:rsidR="002C5ECC" w:rsidRPr="00CB32B1" w:rsidRDefault="005136AD" w:rsidP="0038709E">
      <w:pPr>
        <w:pStyle w:val="ChapterNumberedList1"/>
      </w:pPr>
      <w:r>
        <w:t>i</w:t>
      </w:r>
      <w:r w:rsidR="002C5ECC" w:rsidRPr="00CB32B1">
        <w:t>n a partnership or collective; or where a midwife is employed (full-time or part-time) by a company that is owned solely by practising midwives, where the only directors of that company are practising midwives.</w:t>
      </w:r>
    </w:p>
    <w:p w:rsidR="002C5ECC" w:rsidRPr="00CB32B1" w:rsidRDefault="002C5ECC" w:rsidP="002C5ECC">
      <w:pPr>
        <w:pStyle w:val="PwCNormal"/>
      </w:pPr>
      <w:r w:rsidRPr="00CB32B1">
        <w:t xml:space="preserve">However, from the literature there appears to be a limited understanding of how these different practices outlined by NMBA could affect </w:t>
      </w:r>
      <w:r w:rsidR="003E4E4D">
        <w:t xml:space="preserve">the risk profiling of a </w:t>
      </w:r>
      <w:r w:rsidRPr="00CB32B1">
        <w:t>PPM. For example, would one of these practices be assessed as being of a higher risk than another?</w:t>
      </w:r>
    </w:p>
    <w:p w:rsidR="002C5ECC" w:rsidRPr="00CB32B1" w:rsidRDefault="002C5ECC" w:rsidP="002C5ECC">
      <w:pPr>
        <w:pStyle w:val="PwCNormal"/>
      </w:pPr>
      <w:r w:rsidRPr="00CB32B1">
        <w:t>As an example, evidence suggests that operating as a sole PPM may be assessed as practising with a relatively higher risk than other models including group practice, particularly if these sole PPMs are managing full case loads.</w:t>
      </w:r>
      <w:r w:rsidR="00DC45BA" w:rsidRPr="00CB32B1">
        <w:rPr>
          <w:rStyle w:val="FootnoteReference"/>
        </w:rPr>
        <w:footnoteReference w:id="49"/>
      </w:r>
      <w:r w:rsidRPr="00CB32B1">
        <w:rPr>
          <w:vertAlign w:val="superscript"/>
        </w:rPr>
        <w:t>,</w:t>
      </w:r>
      <w:r w:rsidR="000A7B59" w:rsidRPr="00CB32B1">
        <w:rPr>
          <w:vertAlign w:val="superscript"/>
        </w:rPr>
        <w:t xml:space="preserve"> </w:t>
      </w:r>
      <w:r w:rsidR="00DC45BA" w:rsidRPr="00CB32B1">
        <w:rPr>
          <w:rStyle w:val="FootnoteReference"/>
        </w:rPr>
        <w:footnoteReference w:id="50"/>
      </w:r>
      <w:r w:rsidRPr="00CB32B1">
        <w:t xml:space="preserve"> This is because of:</w:t>
      </w:r>
    </w:p>
    <w:p w:rsidR="002C5ECC" w:rsidRPr="00CB32B1" w:rsidRDefault="002C5ECC" w:rsidP="0038709E">
      <w:pPr>
        <w:pStyle w:val="ListBullet"/>
      </w:pPr>
      <w:r w:rsidRPr="00CB32B1">
        <w:rPr>
          <w:b/>
          <w:color w:val="DC6900" w:themeColor="text2"/>
        </w:rPr>
        <w:t>The challenge to the ability to manage more than one woman:</w:t>
      </w:r>
      <w:r w:rsidRPr="00CB32B1">
        <w:t xml:space="preserve"> </w:t>
      </w:r>
      <w:r w:rsidR="00627B5A">
        <w:t>a</w:t>
      </w:r>
      <w:r w:rsidRPr="00CB32B1">
        <w:t xml:space="preserve"> midwife operating alone with a full caseload may need to manage more than one birth at once</w:t>
      </w:r>
    </w:p>
    <w:p w:rsidR="002C5ECC" w:rsidRPr="00CB32B1" w:rsidRDefault="002C5ECC" w:rsidP="0038709E">
      <w:pPr>
        <w:pStyle w:val="ListBullet"/>
      </w:pPr>
      <w:r w:rsidRPr="00CB32B1">
        <w:rPr>
          <w:b/>
          <w:color w:val="DC6900" w:themeColor="text2"/>
        </w:rPr>
        <w:t>Support and risk mitigation:</w:t>
      </w:r>
      <w:r w:rsidRPr="00CB32B1">
        <w:t xml:space="preserve"> </w:t>
      </w:r>
      <w:r w:rsidR="00627B5A">
        <w:t>i</w:t>
      </w:r>
      <w:r w:rsidRPr="00CB32B1">
        <w:t>n group practice, there are not only multiple midwives to support multiple births, but also the ability to have professional support where more than one midwife is in attendance. Consultations with insurers in the Netherlands identified that as a result of these factors, group practice is one method to reduce the risk profile.</w:t>
      </w:r>
      <w:r w:rsidR="00DC45BA" w:rsidRPr="00CB32B1">
        <w:rPr>
          <w:rStyle w:val="FootnoteReference"/>
        </w:rPr>
        <w:footnoteReference w:id="51"/>
      </w:r>
      <w:r w:rsidRPr="00CB32B1">
        <w:t xml:space="preserve"> Having more than one midwife in attendance is also held to be best practice, and is a requirement within the publicly funded homebirth schemes and under certain state homebirth policy guidelines found in Australia.</w:t>
      </w:r>
      <w:r w:rsidR="00DC45BA" w:rsidRPr="00CB32B1">
        <w:rPr>
          <w:rStyle w:val="FootnoteReference"/>
        </w:rPr>
        <w:footnoteReference w:id="52"/>
      </w:r>
    </w:p>
    <w:p w:rsidR="002C5ECC" w:rsidRPr="00CB32B1" w:rsidRDefault="002C5ECC" w:rsidP="002C5ECC">
      <w:pPr>
        <w:pStyle w:val="PwCNormal"/>
      </w:pPr>
      <w:r w:rsidRPr="00CB32B1">
        <w:t xml:space="preserve">The higher risk associated with being a sole practitioner with a large caseload could result in higher premiums for the whole cohort of midwives if </w:t>
      </w:r>
      <w:r w:rsidR="003E4E4D">
        <w:t xml:space="preserve">relatively </w:t>
      </w:r>
      <w:r w:rsidRPr="00CB32B1">
        <w:t>flat premiums are applied for all PPMs, irrespective of the operating models of care. Therefore consideration of individually</w:t>
      </w:r>
      <w:r w:rsidR="0067597F">
        <w:t>-</w:t>
      </w:r>
      <w:r w:rsidRPr="00CB32B1">
        <w:t>assess</w:t>
      </w:r>
      <w:r w:rsidR="00627B5A">
        <w:t>ed</w:t>
      </w:r>
      <w:r w:rsidRPr="00CB32B1">
        <w:t xml:space="preserve"> risk premiums, or alternatively, insurance provided for a particular operating model could be considered for a future PII product.</w:t>
      </w:r>
    </w:p>
    <w:p w:rsidR="002C5ECC" w:rsidRPr="00CB32B1" w:rsidRDefault="002C5ECC" w:rsidP="0038709E">
      <w:pPr>
        <w:pStyle w:val="Minorheading"/>
      </w:pPr>
      <w:r w:rsidRPr="00CB32B1">
        <w:t>What services are being insured</w:t>
      </w:r>
    </w:p>
    <w:p w:rsidR="002C5ECC" w:rsidRPr="00CB32B1" w:rsidRDefault="002C5ECC" w:rsidP="002C5ECC">
      <w:pPr>
        <w:pStyle w:val="PwCNormal"/>
      </w:pPr>
      <w:r w:rsidRPr="00CB32B1">
        <w:t>Consultations and literature suggest that at present there is variation in not only the practice models as discussed above, but further, both the safety and quality frameworks as well as the level of support and supervision that is provided to PPMs.</w:t>
      </w:r>
    </w:p>
    <w:p w:rsidR="002C5ECC" w:rsidRPr="00CB32B1" w:rsidRDefault="002C5ECC" w:rsidP="002C5ECC">
      <w:pPr>
        <w:pStyle w:val="PwCNormal"/>
      </w:pPr>
      <w:r w:rsidRPr="00CB32B1">
        <w:t xml:space="preserve">Consultations and literature suggest that at present there is variation in practice, scope and risk frameworks that define PPM practice. Understanding these elements is important for insurers when setting an appropriate premium, as it assists in determining </w:t>
      </w:r>
      <w:r w:rsidR="003E4E4D">
        <w:t>t</w:t>
      </w:r>
      <w:r w:rsidRPr="00CB32B1">
        <w:t xml:space="preserve">he risk profile </w:t>
      </w:r>
      <w:r w:rsidR="003E4E4D">
        <w:t xml:space="preserve">for PPMs </w:t>
      </w:r>
      <w:r w:rsidRPr="00CB32B1">
        <w:t xml:space="preserve">and the probability that a claim may arise from services provided. </w:t>
      </w:r>
    </w:p>
    <w:p w:rsidR="002C5ECC" w:rsidRPr="00CB32B1" w:rsidRDefault="002C5ECC" w:rsidP="002C5ECC">
      <w:pPr>
        <w:pStyle w:val="PwCNormal"/>
      </w:pPr>
      <w:r w:rsidRPr="00CB32B1">
        <w:t>In general terms, the scope of practice for PPMs has been defined as providing care and advice during pregnancy, labour and the postpartum period.</w:t>
      </w:r>
      <w:r w:rsidR="00F03997" w:rsidRPr="00CB32B1">
        <w:rPr>
          <w:rStyle w:val="FootnoteReference"/>
        </w:rPr>
        <w:footnoteReference w:id="53"/>
      </w:r>
      <w:r w:rsidRPr="00CB32B1">
        <w:t xml:space="preserve"> More specifically, the NMBA has included other elements in the definition of scope of practice for an eligible midwife, such as clinical assessment, exercise of clinical judgment, planning, implementation, monitoring and review, responding to maternity emergencies, assessment and care of the baby, management and administration of medicines, and the judicious use of diagnostic investigations.</w:t>
      </w:r>
      <w:r w:rsidR="00F03997" w:rsidRPr="00CB32B1">
        <w:rPr>
          <w:rStyle w:val="FootnoteReference"/>
        </w:rPr>
        <w:footnoteReference w:id="54"/>
      </w:r>
    </w:p>
    <w:p w:rsidR="002C5ECC" w:rsidRPr="00CB32B1" w:rsidRDefault="002C5ECC" w:rsidP="009E6B73">
      <w:pPr>
        <w:pStyle w:val="PwCNormal"/>
        <w:keepNext/>
        <w:keepLines/>
      </w:pPr>
      <w:r w:rsidRPr="00CB32B1">
        <w:t>Difficulty in determining a risk profile for PPMs in part appears to be driven by the variation in:</w:t>
      </w:r>
    </w:p>
    <w:p w:rsidR="002C5ECC" w:rsidRPr="00CB32B1" w:rsidRDefault="002C5ECC" w:rsidP="009E6B73">
      <w:pPr>
        <w:pStyle w:val="ListBullet"/>
        <w:keepNext/>
        <w:keepLines/>
      </w:pPr>
      <w:r w:rsidRPr="00CB32B1">
        <w:rPr>
          <w:b/>
          <w:color w:val="DC6900" w:themeColor="text2"/>
        </w:rPr>
        <w:t>Practice provided:</w:t>
      </w:r>
      <w:r w:rsidRPr="00CB32B1">
        <w:t xml:space="preserve"> affected by demand and supply side factors and arrangements</w:t>
      </w:r>
    </w:p>
    <w:p w:rsidR="002C5ECC" w:rsidRPr="00CB32B1" w:rsidRDefault="002C5ECC" w:rsidP="009E6B73">
      <w:pPr>
        <w:pStyle w:val="ListBullet"/>
        <w:keepNext/>
        <w:keepLines/>
      </w:pPr>
      <w:r w:rsidRPr="00CB32B1">
        <w:rPr>
          <w:b/>
          <w:color w:val="DC6900" w:themeColor="text2"/>
        </w:rPr>
        <w:t xml:space="preserve">Risk frameworks: </w:t>
      </w:r>
      <w:r w:rsidRPr="00CB32B1">
        <w:t>the frameworks used to support the consistency, quality and reliability of midwifery</w:t>
      </w:r>
    </w:p>
    <w:p w:rsidR="002C5ECC" w:rsidRPr="00CB32B1" w:rsidRDefault="002C5ECC" w:rsidP="0038709E">
      <w:pPr>
        <w:pStyle w:val="ListBullet"/>
      </w:pPr>
      <w:r w:rsidRPr="00CB32B1">
        <w:rPr>
          <w:b/>
          <w:color w:val="DC6900" w:themeColor="text2"/>
        </w:rPr>
        <w:t>Disciplinary processes:</w:t>
      </w:r>
      <w:r w:rsidRPr="00CB32B1">
        <w:t xml:space="preserve"> </w:t>
      </w:r>
      <w:r w:rsidR="00A101BB">
        <w:t>t</w:t>
      </w:r>
      <w:r w:rsidRPr="00CB32B1">
        <w:t>hat had previously been in place within states and territories</w:t>
      </w:r>
      <w:r w:rsidR="003E4E4D">
        <w:t xml:space="preserve"> prior to the establishment of the National body, the NMBA</w:t>
      </w:r>
      <w:r w:rsidR="009E6B73" w:rsidRPr="00CB32B1">
        <w:rPr>
          <w:rStyle w:val="FootnoteReference"/>
        </w:rPr>
        <w:footnoteReference w:id="55"/>
      </w:r>
    </w:p>
    <w:p w:rsidR="002C5ECC" w:rsidRPr="00CB32B1" w:rsidRDefault="002C5ECC" w:rsidP="002C5ECC">
      <w:pPr>
        <w:pStyle w:val="PwCNormal"/>
      </w:pPr>
      <w:r w:rsidRPr="00CB32B1">
        <w:t>Each of these areas may affect the risk profile and the assessed probability of a claim arising.</w:t>
      </w:r>
    </w:p>
    <w:p w:rsidR="002C5ECC" w:rsidRPr="00CB32B1" w:rsidRDefault="002C5ECC" w:rsidP="0038709E">
      <w:pPr>
        <w:pStyle w:val="Minorheading2"/>
      </w:pPr>
      <w:r w:rsidRPr="00CB32B1">
        <w:t>Practice provided based on demand and supply side factors</w:t>
      </w:r>
    </w:p>
    <w:p w:rsidR="002C5ECC" w:rsidRPr="00CB32B1" w:rsidRDefault="002C5ECC" w:rsidP="002C5ECC">
      <w:pPr>
        <w:pStyle w:val="PwCNormal"/>
      </w:pPr>
      <w:r w:rsidRPr="00CB32B1">
        <w:t>Currently, there are variations seen in the type of care provided not only for midwifery services (</w:t>
      </w:r>
      <w:r w:rsidR="00854DEF" w:rsidRPr="00CB32B1">
        <w:t>eg</w:t>
      </w:r>
      <w:r w:rsidRPr="00CB32B1">
        <w:t xml:space="preserve"> hospital, home services), but also the type of care provided by </w:t>
      </w:r>
      <w:r w:rsidR="00727D37">
        <w:t>PPMs</w:t>
      </w:r>
      <w:r w:rsidRPr="00CB32B1">
        <w:t>. Consultations suggested that the support and supervision frameworks under which PPMs practise are relatively broad</w:t>
      </w:r>
      <w:r w:rsidR="003E4E4D">
        <w:t>, in line</w:t>
      </w:r>
      <w:r w:rsidRPr="00CB32B1">
        <w:t xml:space="preserve"> with other maternity service providers.</w:t>
      </w:r>
      <w:r w:rsidR="009E6B73" w:rsidRPr="00CB32B1">
        <w:rPr>
          <w:rStyle w:val="FootnoteReference"/>
        </w:rPr>
        <w:footnoteReference w:id="56"/>
      </w:r>
      <w:r w:rsidRPr="00CB32B1">
        <w:t xml:space="preserve"> Therefore the ways in which services are demanded by women, and conversely are provided by PPMs, can and in practice do, differ.</w:t>
      </w:r>
    </w:p>
    <w:p w:rsidR="002C5ECC" w:rsidRPr="00CB32B1" w:rsidRDefault="002C5ECC" w:rsidP="002C5ECC">
      <w:pPr>
        <w:pStyle w:val="PwCNormal"/>
      </w:pPr>
      <w:r w:rsidRPr="00CB32B1">
        <w:t xml:space="preserve">Services can vary in terms of what is requested by women. Often, </w:t>
      </w:r>
      <w:r w:rsidR="003E4E4D">
        <w:t xml:space="preserve">it was identified that these </w:t>
      </w:r>
      <w:r w:rsidRPr="00CB32B1">
        <w:t xml:space="preserve">services are requested as they are not available </w:t>
      </w:r>
      <w:r w:rsidR="003E4E4D">
        <w:t xml:space="preserve">to women </w:t>
      </w:r>
      <w:r w:rsidRPr="00CB32B1">
        <w:t>within the public health services. An example of such ‘demand-side’ factors include:</w:t>
      </w:r>
    </w:p>
    <w:p w:rsidR="002C5ECC" w:rsidRPr="00CB32B1" w:rsidRDefault="00570DBC" w:rsidP="0038709E">
      <w:pPr>
        <w:pStyle w:val="ListBullet"/>
      </w:pPr>
      <w:r>
        <w:t>t</w:t>
      </w:r>
      <w:r w:rsidR="002C5ECC" w:rsidRPr="00CB32B1">
        <w:t>he location of the women (regional/remote versus metropolitan areas)</w:t>
      </w:r>
    </w:p>
    <w:p w:rsidR="002C5ECC" w:rsidRPr="00CB32B1" w:rsidRDefault="00570DBC" w:rsidP="0038709E">
      <w:pPr>
        <w:pStyle w:val="ListBullet"/>
      </w:pPr>
      <w:r>
        <w:t>a</w:t>
      </w:r>
      <w:r w:rsidR="002C5ECC" w:rsidRPr="00CB32B1">
        <w:t xml:space="preserve"> woman’s choice for a vaginal birth after caesarean (VBAC)</w:t>
      </w:r>
    </w:p>
    <w:p w:rsidR="002C5ECC" w:rsidRPr="00CB32B1" w:rsidRDefault="00570DBC" w:rsidP="0038709E">
      <w:pPr>
        <w:pStyle w:val="ListBullet"/>
      </w:pPr>
      <w:r>
        <w:t>a</w:t>
      </w:r>
      <w:r w:rsidR="002C5ECC" w:rsidRPr="00CB32B1">
        <w:t xml:space="preserve"> woman’s choice for a water birth</w:t>
      </w:r>
    </w:p>
    <w:p w:rsidR="002C5ECC" w:rsidRPr="00CB32B1" w:rsidRDefault="00570DBC" w:rsidP="0038709E">
      <w:pPr>
        <w:pStyle w:val="ListBullet"/>
      </w:pPr>
      <w:r>
        <w:t>a</w:t>
      </w:r>
      <w:r w:rsidR="002C5ECC" w:rsidRPr="00CB32B1">
        <w:t xml:space="preserve"> woman’s choice for a continuity-of-care model.</w:t>
      </w:r>
      <w:r w:rsidR="009E6B73" w:rsidRPr="00CB32B1">
        <w:rPr>
          <w:rStyle w:val="FootnoteReference"/>
        </w:rPr>
        <w:footnoteReference w:id="57"/>
      </w:r>
    </w:p>
    <w:p w:rsidR="002C5ECC" w:rsidRPr="00CB32B1" w:rsidRDefault="002C5ECC" w:rsidP="002C5ECC">
      <w:pPr>
        <w:pStyle w:val="PwCNormal"/>
      </w:pPr>
      <w:r w:rsidRPr="00CB32B1">
        <w:t xml:space="preserve">The availability of services or supply can also vary based on the environment in which services are provided, or the supply of </w:t>
      </w:r>
      <w:r w:rsidR="00570DBC">
        <w:t>PPMs</w:t>
      </w:r>
      <w:r w:rsidRPr="00CB32B1">
        <w:t>. As supported by the survey of PPMs completed as a part of this report (see Appendix J.1), the supply of PPMs is believed to be driven by factors such as:</w:t>
      </w:r>
    </w:p>
    <w:p w:rsidR="002C5ECC" w:rsidRPr="00CB32B1" w:rsidRDefault="00C6320F" w:rsidP="0038709E">
      <w:pPr>
        <w:pStyle w:val="ListBullet"/>
      </w:pPr>
      <w:r>
        <w:t>t</w:t>
      </w:r>
      <w:r w:rsidR="002C5ECC" w:rsidRPr="00CB32B1">
        <w:t xml:space="preserve">he availability of </w:t>
      </w:r>
      <w:r w:rsidR="00E25231">
        <w:t>PII</w:t>
      </w:r>
    </w:p>
    <w:p w:rsidR="002C5ECC" w:rsidRPr="00CB32B1" w:rsidRDefault="00C6320F" w:rsidP="0038709E">
      <w:pPr>
        <w:pStyle w:val="ListBullet"/>
      </w:pPr>
      <w:r>
        <w:t>a</w:t>
      </w:r>
      <w:r w:rsidR="002C5ECC" w:rsidRPr="00CB32B1">
        <w:t>ccess to health service arrangements, collaborative partnerships with other health professionals and the visiting rights to hospital (further discussion of these and the variations seen between and within states and territories can be found in Appendix E)</w:t>
      </w:r>
    </w:p>
    <w:p w:rsidR="002C5ECC" w:rsidRPr="00CB32B1" w:rsidRDefault="00C6320F" w:rsidP="0038709E">
      <w:pPr>
        <w:pStyle w:val="ListBullet"/>
      </w:pPr>
      <w:r>
        <w:t>e</w:t>
      </w:r>
      <w:r w:rsidR="002C5ECC" w:rsidRPr="00CB32B1">
        <w:t>ducation and continuing professional development opportunities for PPMs.</w:t>
      </w:r>
    </w:p>
    <w:p w:rsidR="002C5ECC" w:rsidRPr="00CB32B1" w:rsidRDefault="002C5ECC" w:rsidP="009D3C33">
      <w:pPr>
        <w:pStyle w:val="Minorheading2"/>
        <w:keepNext w:val="0"/>
        <w:keepLines w:val="0"/>
      </w:pPr>
      <w:r w:rsidRPr="00CB32B1">
        <w:t>Risk frameworks</w:t>
      </w:r>
    </w:p>
    <w:p w:rsidR="002C5ECC" w:rsidRPr="00CB32B1" w:rsidRDefault="003E4E4D" w:rsidP="009D3C33">
      <w:pPr>
        <w:pStyle w:val="PwCNormal"/>
      </w:pPr>
      <w:r w:rsidRPr="00CB32B1">
        <w:t>Risk and quality frameworks exist for PPMs to both guide and prescribe expected practice.</w:t>
      </w:r>
      <w:r w:rsidRPr="00CB32B1">
        <w:rPr>
          <w:rStyle w:val="FootnoteReference"/>
        </w:rPr>
        <w:footnoteReference w:id="58"/>
      </w:r>
      <w:r>
        <w:t xml:space="preserve"> At present there appears to be a number of risk frameworks that are available to support PPMs. </w:t>
      </w:r>
      <w:r w:rsidR="002C5ECC" w:rsidRPr="00CB32B1">
        <w:t xml:space="preserve">Multiple frameworks provide challenges for insurers in understanding what is considered within the PPM scope of practice and what level of support is consistently available for those they are insuring. This is particularly an issue where the frameworks vary in terms of the scope of practice outlined, but also in terms of definitional requirements. </w:t>
      </w:r>
    </w:p>
    <w:p w:rsidR="002C5ECC" w:rsidRPr="00CB32B1" w:rsidRDefault="002C5ECC" w:rsidP="002C5ECC">
      <w:pPr>
        <w:pStyle w:val="PwCNormal"/>
      </w:pPr>
      <w:r w:rsidRPr="00CB32B1">
        <w:t>Risk frameworks were identified by international stakeholders as important in providing guidance to insurers for the recommended or best practice of care. Frameworks assist in providing midwives with an outline of what conditions make practice safer and how to clinically assess what action is appropriate in situations that may arise.</w:t>
      </w:r>
      <w:r w:rsidR="007F3FBD" w:rsidRPr="00CB32B1">
        <w:rPr>
          <w:rStyle w:val="FootnoteReference"/>
        </w:rPr>
        <w:footnoteReference w:id="59"/>
      </w:r>
      <w:r w:rsidRPr="00CB32B1">
        <w:t xml:space="preserve"> As an example,</w:t>
      </w:r>
      <w:r w:rsidR="00854DEF" w:rsidRPr="00CB32B1">
        <w:t xml:space="preserve"> </w:t>
      </w:r>
      <w:r w:rsidR="009129A6">
        <w:fldChar w:fldCharType="begin"/>
      </w:r>
      <w:r w:rsidR="003E4E4D">
        <w:instrText xml:space="preserve"> REF _Ref362946125 \h </w:instrText>
      </w:r>
      <w:r w:rsidR="009129A6">
        <w:fldChar w:fldCharType="separate"/>
      </w:r>
      <w:r w:rsidR="008816B4" w:rsidRPr="00CB32B1">
        <w:t xml:space="preserve">Figure </w:t>
      </w:r>
      <w:r w:rsidR="008816B4">
        <w:rPr>
          <w:noProof/>
        </w:rPr>
        <w:t>7</w:t>
      </w:r>
      <w:r w:rsidR="009129A6">
        <w:fldChar w:fldCharType="end"/>
      </w:r>
      <w:r w:rsidR="003E4E4D">
        <w:t xml:space="preserve"> </w:t>
      </w:r>
      <w:r w:rsidRPr="00CB32B1">
        <w:t>demonstrates how a framework can provide guidance on risk mitigation activities at different stages of the birthing process, indications of risk at each stage, and the referral of care to other health professionals.</w:t>
      </w:r>
      <w:r w:rsidR="007F3FBD" w:rsidRPr="00CB32B1">
        <w:rPr>
          <w:rStyle w:val="FootnoteReference"/>
        </w:rPr>
        <w:footnoteReference w:id="60"/>
      </w:r>
    </w:p>
    <w:p w:rsidR="0038709E" w:rsidRPr="00CB32B1" w:rsidRDefault="0038709E" w:rsidP="00270634">
      <w:pPr>
        <w:pStyle w:val="NumericCaption"/>
      </w:pPr>
      <w:bookmarkStart w:id="28" w:name="_Ref362946125"/>
      <w:r w:rsidRPr="00CB32B1">
        <w:t xml:space="preserve">Figure </w:t>
      </w:r>
      <w:r w:rsidR="009129A6" w:rsidRPr="00CB32B1">
        <w:fldChar w:fldCharType="begin"/>
      </w:r>
      <w:r w:rsidR="00D16456" w:rsidRPr="00CB32B1">
        <w:instrText xml:space="preserve"> SEQ Figure \* ARABIC </w:instrText>
      </w:r>
      <w:r w:rsidR="009129A6" w:rsidRPr="00CB32B1">
        <w:fldChar w:fldCharType="separate"/>
      </w:r>
      <w:r w:rsidR="008816B4">
        <w:rPr>
          <w:noProof/>
        </w:rPr>
        <w:t>7</w:t>
      </w:r>
      <w:r w:rsidR="009129A6" w:rsidRPr="00CB32B1">
        <w:fldChar w:fldCharType="end"/>
      </w:r>
      <w:bookmarkEnd w:id="28"/>
      <w:r w:rsidRPr="00CB32B1">
        <w:t>: A framework for risk and referral during planned homebirth</w:t>
      </w:r>
    </w:p>
    <w:p w:rsidR="002C5ECC" w:rsidRPr="00CB32B1" w:rsidRDefault="002F7DC7" w:rsidP="002C5ECC">
      <w:pPr>
        <w:pStyle w:val="PwCNormal"/>
      </w:pPr>
      <w:r w:rsidRPr="00CB32B1">
        <w:rPr>
          <w:noProof/>
          <w:lang w:val="en-US"/>
        </w:rPr>
        <w:drawing>
          <wp:inline distT="0" distB="0" distL="0" distR="0">
            <wp:extent cx="5760720" cy="2184582"/>
            <wp:effectExtent l="19050" t="0" r="0" b="0"/>
            <wp:docPr id="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cstate="print"/>
                    <a:srcRect/>
                    <a:stretch>
                      <a:fillRect/>
                    </a:stretch>
                  </pic:blipFill>
                  <pic:spPr bwMode="auto">
                    <a:xfrm>
                      <a:off x="0" y="0"/>
                      <a:ext cx="5760720" cy="2184582"/>
                    </a:xfrm>
                    <a:prstGeom prst="rect">
                      <a:avLst/>
                    </a:prstGeom>
                    <a:noFill/>
                    <a:ln w="9525">
                      <a:noFill/>
                      <a:miter lim="800000"/>
                      <a:headEnd/>
                      <a:tailEnd/>
                    </a:ln>
                  </pic:spPr>
                </pic:pic>
              </a:graphicData>
            </a:graphic>
          </wp:inline>
        </w:drawing>
      </w:r>
    </w:p>
    <w:p w:rsidR="002C5ECC" w:rsidRPr="00CB32B1" w:rsidRDefault="002C5ECC" w:rsidP="0003008D">
      <w:pPr>
        <w:pStyle w:val="Sources"/>
      </w:pPr>
      <w:r w:rsidRPr="00CB32B1">
        <w:rPr>
          <w:b/>
        </w:rPr>
        <w:t>Source:</w:t>
      </w:r>
      <w:r w:rsidRPr="00CB32B1">
        <w:t xml:space="preserve"> PwC analysis </w:t>
      </w:r>
    </w:p>
    <w:p w:rsidR="002C5ECC" w:rsidRPr="00CB32B1" w:rsidRDefault="003E4E4D" w:rsidP="002C5ECC">
      <w:pPr>
        <w:pStyle w:val="PwCNormal"/>
      </w:pPr>
      <w:r>
        <w:t xml:space="preserve">Several frameworks are currently </w:t>
      </w:r>
      <w:r w:rsidR="002C5ECC" w:rsidRPr="00CB32B1">
        <w:t>recommended by different organisations to support the delivery of care (for a full list of standards, frameworks and guidelines, please refer to Appendix F), including:</w:t>
      </w:r>
    </w:p>
    <w:p w:rsidR="002C5ECC" w:rsidRPr="00CB32B1" w:rsidRDefault="002C5ECC" w:rsidP="002F7DC7">
      <w:pPr>
        <w:pStyle w:val="ListBullet"/>
        <w:spacing w:after="120"/>
        <w:ind w:left="562" w:hanging="562"/>
      </w:pPr>
      <w:r w:rsidRPr="00CB32B1">
        <w:rPr>
          <w:b/>
          <w:color w:val="DC6900" w:themeColor="text2"/>
        </w:rPr>
        <w:t xml:space="preserve">NMBA: </w:t>
      </w:r>
      <w:r w:rsidR="003E4E4D">
        <w:t>p</w:t>
      </w:r>
      <w:r w:rsidRPr="00CB32B1">
        <w:t>rovides codes, standards and guidelines relating to education, registration and professional conduct</w:t>
      </w:r>
      <w:r w:rsidR="009D3C33">
        <w:t xml:space="preserve"> to support and </w:t>
      </w:r>
      <w:r w:rsidRPr="00CB32B1">
        <w:t>guid</w:t>
      </w:r>
      <w:r w:rsidR="009D3C33">
        <w:t>e</w:t>
      </w:r>
      <w:r w:rsidRPr="00CB32B1">
        <w:t xml:space="preserve"> the relevant professions</w:t>
      </w:r>
      <w:r w:rsidR="007F3FBD" w:rsidRPr="00CB32B1">
        <w:rPr>
          <w:rStyle w:val="FootnoteReference"/>
        </w:rPr>
        <w:footnoteReference w:id="61"/>
      </w:r>
    </w:p>
    <w:p w:rsidR="002C5ECC" w:rsidRPr="00CB32B1" w:rsidRDefault="002C5ECC" w:rsidP="002F7DC7">
      <w:pPr>
        <w:pStyle w:val="ListBullet"/>
        <w:spacing w:after="120"/>
        <w:ind w:left="562" w:hanging="562"/>
      </w:pPr>
      <w:r w:rsidRPr="00CB32B1">
        <w:rPr>
          <w:b/>
          <w:color w:val="DC6900" w:themeColor="text2"/>
        </w:rPr>
        <w:t xml:space="preserve">ACM: </w:t>
      </w:r>
      <w:r w:rsidR="003E4E4D">
        <w:t>p</w:t>
      </w:r>
      <w:r w:rsidRPr="00CB32B1">
        <w:t xml:space="preserve">rovides a clinical framework on consultation and referral for how a midwife providing homebirth services knows what is within their scope of practice. The guidelines, </w:t>
      </w:r>
      <w:r w:rsidRPr="00CB32B1">
        <w:rPr>
          <w:i/>
        </w:rPr>
        <w:t>National Midwifery Guidelines for Consultation &amp; Referral (</w:t>
      </w:r>
      <w:r w:rsidR="003E4E4D">
        <w:rPr>
          <w:i/>
        </w:rPr>
        <w:t>2nd</w:t>
      </w:r>
      <w:r w:rsidRPr="00CB32B1">
        <w:rPr>
          <w:i/>
        </w:rPr>
        <w:t xml:space="preserve"> edition)</w:t>
      </w:r>
      <w:r w:rsidRPr="00CB32B1">
        <w:t xml:space="preserve"> (ACM guidelines), are those used for the purpose of disciplinary proceedings and regulation.</w:t>
      </w:r>
      <w:r w:rsidR="007F3FBD" w:rsidRPr="00CB32B1">
        <w:rPr>
          <w:vertAlign w:val="superscript"/>
        </w:rPr>
        <w:footnoteReference w:id="62"/>
      </w:r>
      <w:r w:rsidR="00661921">
        <w:t xml:space="preserve">, </w:t>
      </w:r>
      <w:r w:rsidR="00661921">
        <w:rPr>
          <w:rStyle w:val="FootnoteReference"/>
        </w:rPr>
        <w:footnoteReference w:id="63"/>
      </w:r>
    </w:p>
    <w:p w:rsidR="002C5ECC" w:rsidRPr="00CB32B1" w:rsidRDefault="002C5ECC" w:rsidP="002C5ECC">
      <w:pPr>
        <w:pStyle w:val="PwCNormal"/>
      </w:pPr>
      <w:r w:rsidRPr="00CB32B1">
        <w:t xml:space="preserve">The challenge is that there is variation between some of the frameworks and no guidance for when a particular framework or another should be followed by </w:t>
      </w:r>
      <w:r w:rsidR="00727D37">
        <w:t>PPMs</w:t>
      </w:r>
      <w:r w:rsidRPr="00CB32B1">
        <w:t xml:space="preserve">. </w:t>
      </w:r>
      <w:r w:rsidR="009D3C33">
        <w:t>Variation was identified</w:t>
      </w:r>
      <w:r w:rsidRPr="00CB32B1">
        <w:t xml:space="preserve"> between: </w:t>
      </w:r>
    </w:p>
    <w:p w:rsidR="002C5ECC" w:rsidRPr="00CB32B1" w:rsidRDefault="00C6320F" w:rsidP="0003008D">
      <w:pPr>
        <w:pStyle w:val="ListBullet"/>
      </w:pPr>
      <w:r>
        <w:t>r</w:t>
      </w:r>
      <w:r w:rsidR="002C5ECC" w:rsidRPr="00CB32B1">
        <w:t>egulators</w:t>
      </w:r>
    </w:p>
    <w:p w:rsidR="002C5ECC" w:rsidRPr="00CB32B1" w:rsidRDefault="00C6320F" w:rsidP="0003008D">
      <w:pPr>
        <w:pStyle w:val="ListBullet"/>
      </w:pPr>
      <w:r>
        <w:t>p</w:t>
      </w:r>
      <w:r w:rsidR="002C5ECC" w:rsidRPr="00CB32B1">
        <w:t>rofessional groups</w:t>
      </w:r>
    </w:p>
    <w:p w:rsidR="002C5ECC" w:rsidRPr="00CB32B1" w:rsidRDefault="00C6320F" w:rsidP="0003008D">
      <w:pPr>
        <w:pStyle w:val="ListBullet"/>
      </w:pPr>
      <w:r>
        <w:t>s</w:t>
      </w:r>
      <w:r w:rsidR="002C5ECC" w:rsidRPr="00CB32B1">
        <w:t xml:space="preserve">tates and </w:t>
      </w:r>
      <w:r>
        <w:t>t</w:t>
      </w:r>
      <w:r w:rsidR="002C5ECC" w:rsidRPr="00CB32B1">
        <w:t>erritories</w:t>
      </w:r>
    </w:p>
    <w:p w:rsidR="002C5ECC" w:rsidRPr="00CB32B1" w:rsidRDefault="00C6320F" w:rsidP="0003008D">
      <w:pPr>
        <w:pStyle w:val="ListBullet"/>
      </w:pPr>
      <w:r>
        <w:t>s</w:t>
      </w:r>
      <w:r w:rsidR="002C5ECC" w:rsidRPr="00CB32B1">
        <w:t>tate public health networks.</w:t>
      </w:r>
    </w:p>
    <w:p w:rsidR="002C5ECC" w:rsidRPr="00CB32B1" w:rsidRDefault="00844D69" w:rsidP="004A157D">
      <w:pPr>
        <w:pStyle w:val="PwCNormal"/>
        <w:keepNext/>
        <w:keepLines/>
        <w:numPr>
          <w:ilvl w:val="0"/>
          <w:numId w:val="0"/>
        </w:numPr>
      </w:pPr>
      <w:r>
        <w:t>As a result, t</w:t>
      </w:r>
      <w:r w:rsidR="002C5ECC" w:rsidRPr="00CB32B1">
        <w:t>here are challenges faced by in using risk frameworks to understand the scope of midwifery (and PPMs</w:t>
      </w:r>
      <w:r>
        <w:t>)</w:t>
      </w:r>
      <w:r w:rsidR="002C5ECC" w:rsidRPr="00CB32B1">
        <w:t xml:space="preserve"> because of:</w:t>
      </w:r>
    </w:p>
    <w:p w:rsidR="002C5ECC" w:rsidRPr="00CB32B1" w:rsidRDefault="002C5ECC" w:rsidP="0003008D">
      <w:pPr>
        <w:pStyle w:val="ListBullet"/>
        <w:keepNext/>
        <w:keepLines/>
        <w:ind w:left="562"/>
        <w:rPr>
          <w:b/>
          <w:color w:val="DC6900" w:themeColor="text2"/>
        </w:rPr>
      </w:pPr>
      <w:r w:rsidRPr="00CB32B1">
        <w:rPr>
          <w:b/>
          <w:color w:val="DC6900" w:themeColor="text2"/>
        </w:rPr>
        <w:t>Variation between multiple frameworks across the stages of maternity care, referral of c</w:t>
      </w:r>
      <w:r w:rsidR="00705CE0" w:rsidRPr="00CB32B1">
        <w:rPr>
          <w:b/>
          <w:color w:val="DC6900" w:themeColor="text2"/>
        </w:rPr>
        <w:t>are and the indications of risk</w:t>
      </w:r>
    </w:p>
    <w:p w:rsidR="002C5ECC" w:rsidRPr="00CB32B1" w:rsidRDefault="002C5ECC" w:rsidP="0003008D">
      <w:pPr>
        <w:pStyle w:val="ListBullet"/>
        <w:keepNext/>
        <w:keepLines/>
        <w:ind w:left="562"/>
      </w:pPr>
      <w:r w:rsidRPr="00C6320F">
        <w:rPr>
          <w:b/>
          <w:color w:val="DC6900" w:themeColor="text2"/>
        </w:rPr>
        <w:t>An absence of a national Australian framework for maternity services that includes birth outside of health facilities:</w:t>
      </w:r>
      <w:r w:rsidRPr="00CB32B1">
        <w:t xml:space="preserve"> </w:t>
      </w:r>
      <w:r w:rsidR="00C6320F">
        <w:t>t</w:t>
      </w:r>
      <w:r w:rsidR="00844D69">
        <w:t>he ACM g</w:t>
      </w:r>
      <w:r w:rsidRPr="00CB32B1">
        <w:t xml:space="preserve">uidelines are not specifically intended for homebirth but for birth in general. </w:t>
      </w:r>
      <w:r w:rsidR="00844D69">
        <w:t>No</w:t>
      </w:r>
      <w:r w:rsidRPr="00CB32B1">
        <w:t xml:space="preserve"> </w:t>
      </w:r>
      <w:r w:rsidR="00844D69">
        <w:t xml:space="preserve">current </w:t>
      </w:r>
      <w:r w:rsidRPr="00CB32B1">
        <w:t>national homebirth</w:t>
      </w:r>
      <w:r w:rsidR="00C6320F">
        <w:t xml:space="preserve"> </w:t>
      </w:r>
      <w:r w:rsidR="00705CE0" w:rsidRPr="00CB32B1">
        <w:t>guidelines</w:t>
      </w:r>
      <w:r w:rsidR="00844D69">
        <w:t xml:space="preserve"> were identified</w:t>
      </w:r>
      <w:r w:rsidR="00C6320F">
        <w:t xml:space="preserve">. </w:t>
      </w:r>
      <w:r w:rsidRPr="00CB32B1">
        <w:t>A clear and consistent national framework, that includes birthing outside of health facilities by independent practising professionals, may promote consistency of practise and support insurers in determining the level of risk PPMs as</w:t>
      </w:r>
      <w:r w:rsidR="00705CE0" w:rsidRPr="00CB32B1">
        <w:t>sume as a part of safe practice</w:t>
      </w:r>
    </w:p>
    <w:p w:rsidR="002C5ECC" w:rsidRPr="00CB32B1" w:rsidRDefault="002C5ECC" w:rsidP="0003008D">
      <w:pPr>
        <w:pStyle w:val="ListBullet"/>
      </w:pPr>
      <w:r w:rsidRPr="00CB32B1">
        <w:rPr>
          <w:b/>
          <w:color w:val="DC6900" w:themeColor="text2"/>
        </w:rPr>
        <w:t>Confusion as to when one or more frameworks could be applied (</w:t>
      </w:r>
      <w:r w:rsidR="00854DEF" w:rsidRPr="00CB32B1">
        <w:rPr>
          <w:b/>
          <w:color w:val="DC6900" w:themeColor="text2"/>
        </w:rPr>
        <w:t>eg</w:t>
      </w:r>
      <w:r w:rsidRPr="00CB32B1">
        <w:rPr>
          <w:b/>
          <w:color w:val="DC6900" w:themeColor="text2"/>
        </w:rPr>
        <w:t xml:space="preserve"> between national and state-based frameworks): </w:t>
      </w:r>
      <w:r w:rsidRPr="00CB32B1">
        <w:t xml:space="preserve">South Australia </w:t>
      </w:r>
      <w:r w:rsidR="000A7B59" w:rsidRPr="00CB32B1">
        <w:t>has developed a homebirth policy</w:t>
      </w:r>
      <w:r w:rsidRPr="00CB32B1">
        <w:t xml:space="preserve"> that guides both publicly funded homebirth schemes and PPM practices.</w:t>
      </w:r>
      <w:r w:rsidR="00C6320F" w:rsidRPr="00CB32B1">
        <w:rPr>
          <w:vertAlign w:val="superscript"/>
        </w:rPr>
        <w:footnoteReference w:id="64"/>
      </w:r>
      <w:r w:rsidRPr="00CB32B1">
        <w:t xml:space="preserve"> However, the policy is different to ACM Guidelines by containing narrower considerations for what is deemed ‘high</w:t>
      </w:r>
      <w:r w:rsidR="00844D69">
        <w:t>-</w:t>
      </w:r>
      <w:r w:rsidRPr="00CB32B1">
        <w:t xml:space="preserve">risk’, and conditions on how homebirths should be undertaken. Other states </w:t>
      </w:r>
      <w:r w:rsidR="00844D69">
        <w:t>such as</w:t>
      </w:r>
      <w:r w:rsidRPr="00CB32B1">
        <w:t xml:space="preserve"> Western Australia have a policy for maternity services and publicly funded homebirth schemes. As no publicly available evaluation is accessible, the impact of these policies on frameworks for PPMs is unknown (see Appendix G</w:t>
      </w:r>
      <w:r w:rsidR="00854DEF" w:rsidRPr="00CB32B1">
        <w:t xml:space="preserve"> </w:t>
      </w:r>
      <w:r w:rsidRPr="00CB32B1">
        <w:t>for more information about publ</w:t>
      </w:r>
      <w:r w:rsidR="00844D69">
        <w:t>icly funded homebirth schemes)</w:t>
      </w:r>
    </w:p>
    <w:p w:rsidR="002C5ECC" w:rsidRPr="00CB32B1" w:rsidRDefault="002C5ECC" w:rsidP="0003008D">
      <w:pPr>
        <w:pStyle w:val="ListBullet"/>
      </w:pPr>
      <w:r w:rsidRPr="00CB32B1">
        <w:rPr>
          <w:b/>
          <w:color w:val="DC6900" w:themeColor="text2"/>
        </w:rPr>
        <w:t xml:space="preserve">Health professional associations have not yet appeared to </w:t>
      </w:r>
      <w:r w:rsidR="00C6320F">
        <w:rPr>
          <w:b/>
          <w:color w:val="DC6900" w:themeColor="text2"/>
        </w:rPr>
        <w:t>collaborate</w:t>
      </w:r>
      <w:r w:rsidRPr="00CB32B1">
        <w:rPr>
          <w:b/>
          <w:color w:val="DC6900" w:themeColor="text2"/>
        </w:rPr>
        <w:t xml:space="preserve"> to support one framework:</w:t>
      </w:r>
      <w:r w:rsidRPr="00CB32B1">
        <w:t xml:space="preserve"> </w:t>
      </w:r>
      <w:r w:rsidR="00C6320F">
        <w:t>t</w:t>
      </w:r>
      <w:r w:rsidRPr="00CB32B1">
        <w:t>he ACM and the Royal Australia and New Zealand College of Obstetricians and Gynaecologists (RANZCOG) have not yet produced joint guidelines.</w:t>
      </w:r>
      <w:r w:rsidR="00AE7C57" w:rsidRPr="00CB32B1">
        <w:rPr>
          <w:vertAlign w:val="superscript"/>
        </w:rPr>
        <w:footnoteReference w:id="65"/>
      </w:r>
    </w:p>
    <w:p w:rsidR="002C5ECC" w:rsidRPr="00CB32B1" w:rsidRDefault="002C5ECC" w:rsidP="002C5ECC">
      <w:pPr>
        <w:pStyle w:val="PwCNormal"/>
      </w:pPr>
      <w:r w:rsidRPr="00CB32B1">
        <w:t xml:space="preserve">As outlined in Chapter </w:t>
      </w:r>
      <w:r w:rsidR="00705CE0" w:rsidRPr="00CB32B1">
        <w:t>4</w:t>
      </w:r>
      <w:r w:rsidRPr="00CB32B1">
        <w:t xml:space="preserve">, in other </w:t>
      </w:r>
      <w:r w:rsidR="00844D69">
        <w:t xml:space="preserve">international </w:t>
      </w:r>
      <w:r w:rsidRPr="00CB32B1">
        <w:t>jurisdictions reviewed, there has often been one prominent framework that is followed. In jurisdictions such as the province of Ontario and New Zealand, these frameworks, particularly relating to consultation and referral, have been developed in collaboration with other health professionals.</w:t>
      </w:r>
    </w:p>
    <w:p w:rsidR="002C5ECC" w:rsidRPr="00CB32B1" w:rsidRDefault="002C5ECC" w:rsidP="009D3C33">
      <w:pPr>
        <w:pStyle w:val="PwCNormal"/>
      </w:pPr>
      <w:r w:rsidRPr="00CB32B1">
        <w:t>Further, the insurer providing independent midwifery products within the province of Ontario, the Health Insurance Reciprocal of Canada (HIROC), works closely with the Association of Ontario Midwives (AOM) to assess the adequacy of relevant frameworks (see Chapter</w:t>
      </w:r>
      <w:r w:rsidR="00705CE0" w:rsidRPr="00CB32B1">
        <w:t xml:space="preserve"> 4</w:t>
      </w:r>
      <w:r w:rsidRPr="00CB32B1">
        <w:t>).</w:t>
      </w:r>
      <w:r w:rsidR="00EA6565" w:rsidRPr="00CB32B1">
        <w:rPr>
          <w:rStyle w:val="FootnoteReference"/>
        </w:rPr>
        <w:footnoteReference w:id="66"/>
      </w:r>
      <w:r w:rsidRPr="00CB32B1">
        <w:t xml:space="preserve"> While MIGA in Australia has developed a care plan in partnership with the APMA and ACM, a joint assessment of frameworks does not appear to have been performed by the agencies. </w:t>
      </w:r>
    </w:p>
    <w:p w:rsidR="002C5ECC" w:rsidRPr="00CB32B1" w:rsidRDefault="002C5ECC" w:rsidP="002C5ECC">
      <w:pPr>
        <w:pStyle w:val="PwCNormal"/>
      </w:pPr>
      <w:r w:rsidRPr="00CB32B1">
        <w:t>A joint assessment of frameworks would be useful, as our analysis of the three risk frameworks applicable to PPM practice (ACM guidelines</w:t>
      </w:r>
      <w:r w:rsidR="00C6320F" w:rsidRPr="00CB32B1">
        <w:rPr>
          <w:rStyle w:val="FootnoteReference"/>
        </w:rPr>
        <w:footnoteReference w:id="67"/>
      </w:r>
      <w:r w:rsidRPr="00CB32B1">
        <w:t>, S</w:t>
      </w:r>
      <w:r w:rsidR="00787608" w:rsidRPr="00CB32B1">
        <w:t xml:space="preserve">outh Australia Department of Health </w:t>
      </w:r>
      <w:r w:rsidRPr="00CB32B1">
        <w:t>policy</w:t>
      </w:r>
      <w:r w:rsidR="00C6320F" w:rsidRPr="00CB32B1">
        <w:rPr>
          <w:rStyle w:val="FootnoteReference"/>
        </w:rPr>
        <w:footnoteReference w:id="68"/>
      </w:r>
      <w:r w:rsidRPr="00CB32B1">
        <w:t xml:space="preserve">, and the </w:t>
      </w:r>
      <w:r w:rsidR="00787608" w:rsidRPr="00CB32B1">
        <w:t xml:space="preserve">Department of Health </w:t>
      </w:r>
      <w:r w:rsidRPr="00CB32B1">
        <w:t>WA publicly funded homebirth scheme</w:t>
      </w:r>
      <w:r w:rsidR="00EA6565" w:rsidRPr="00CB32B1">
        <w:rPr>
          <w:rStyle w:val="FootnoteReference"/>
        </w:rPr>
        <w:footnoteReference w:id="69"/>
      </w:r>
      <w:r w:rsidRPr="00CB32B1">
        <w:t>) identified variation in areas such as:</w:t>
      </w:r>
    </w:p>
    <w:p w:rsidR="002C5ECC" w:rsidRPr="00CB32B1" w:rsidRDefault="00C6320F" w:rsidP="0003008D">
      <w:pPr>
        <w:pStyle w:val="ListBullet"/>
      </w:pPr>
      <w:r>
        <w:t>g</w:t>
      </w:r>
      <w:r w:rsidR="002C5ECC" w:rsidRPr="00CB32B1">
        <w:t xml:space="preserve">uidelines around risk practices in the </w:t>
      </w:r>
      <w:r w:rsidR="002C5ECC" w:rsidRPr="00CB32B1">
        <w:rPr>
          <w:b/>
          <w:color w:val="DC6900" w:themeColor="text2"/>
        </w:rPr>
        <w:t>stages of maternity care</w:t>
      </w:r>
    </w:p>
    <w:p w:rsidR="002C5ECC" w:rsidRPr="00CB32B1" w:rsidRDefault="00C6320F" w:rsidP="0003008D">
      <w:pPr>
        <w:pStyle w:val="ListBullet"/>
      </w:pPr>
      <w:r>
        <w:t>t</w:t>
      </w:r>
      <w:r w:rsidR="002C5ECC" w:rsidRPr="00CB32B1">
        <w:t xml:space="preserve">he definitions and classification of </w:t>
      </w:r>
      <w:r w:rsidR="002C5ECC" w:rsidRPr="00CB32B1">
        <w:rPr>
          <w:b/>
          <w:color w:val="DC6900" w:themeColor="text2"/>
        </w:rPr>
        <w:t>high and low</w:t>
      </w:r>
      <w:r w:rsidR="00844D69">
        <w:rPr>
          <w:b/>
          <w:color w:val="DC6900" w:themeColor="text2"/>
        </w:rPr>
        <w:t>-</w:t>
      </w:r>
      <w:r w:rsidR="002C5ECC" w:rsidRPr="00CB32B1">
        <w:rPr>
          <w:b/>
          <w:color w:val="DC6900" w:themeColor="text2"/>
        </w:rPr>
        <w:t>risk</w:t>
      </w:r>
      <w:r w:rsidR="002C5ECC" w:rsidRPr="00CB32B1">
        <w:t>.</w:t>
      </w:r>
    </w:p>
    <w:p w:rsidR="002C5ECC" w:rsidRPr="00CB32B1" w:rsidRDefault="002C5ECC" w:rsidP="002C5ECC">
      <w:pPr>
        <w:pStyle w:val="PwCNormal"/>
      </w:pPr>
      <w:r w:rsidRPr="00CB32B1">
        <w:t xml:space="preserve">Comparing state and territory homebirth policies with ACM guidelines is challenging as the ACM guidelines are not intended to be specific to homebirth but to midwifery practice in general. However, as they are national guidelines, and used by MIGA to identify their risk profile of PPMs and support care planning, it would be a useful exercise to clarify variation in ‘acceptable risk’. Also interesting is the variation between </w:t>
      </w:r>
      <w:r w:rsidR="00C6320F">
        <w:t>s</w:t>
      </w:r>
      <w:r w:rsidRPr="00CB32B1">
        <w:t xml:space="preserve">tate and </w:t>
      </w:r>
      <w:r w:rsidR="00C6320F">
        <w:t>t</w:t>
      </w:r>
      <w:r w:rsidRPr="00CB32B1">
        <w:t>erritory guidelines even when specific to homebirth practice.</w:t>
      </w:r>
    </w:p>
    <w:p w:rsidR="002C5ECC" w:rsidRPr="00CB32B1" w:rsidRDefault="002C5ECC" w:rsidP="0003008D">
      <w:pPr>
        <w:pStyle w:val="Minorheading3"/>
      </w:pPr>
      <w:r w:rsidRPr="00CB32B1">
        <w:t>Stages of maternity care</w:t>
      </w:r>
    </w:p>
    <w:p w:rsidR="002C5ECC" w:rsidRPr="00CB32B1" w:rsidRDefault="00844D69" w:rsidP="002C5ECC">
      <w:pPr>
        <w:pStyle w:val="PwCNormal"/>
      </w:pPr>
      <w:r>
        <w:t xml:space="preserve">In comparing the guidelines, variations were identified within </w:t>
      </w:r>
      <w:r w:rsidR="002C5ECC" w:rsidRPr="00CB32B1">
        <w:t xml:space="preserve">different stages of care (an example is outlined in </w:t>
      </w:r>
      <w:r w:rsidR="009129A6" w:rsidRPr="00CB32B1">
        <w:fldChar w:fldCharType="begin"/>
      </w:r>
      <w:r w:rsidR="00EB2051" w:rsidRPr="00CB32B1">
        <w:instrText xml:space="preserve"> REF _Ref361223726 \h </w:instrText>
      </w:r>
      <w:r w:rsidR="009129A6" w:rsidRPr="00CB32B1">
        <w:fldChar w:fldCharType="separate"/>
      </w:r>
      <w:r w:rsidR="008816B4" w:rsidRPr="00CB32B1">
        <w:t xml:space="preserve">Table </w:t>
      </w:r>
      <w:r w:rsidR="008816B4">
        <w:rPr>
          <w:noProof/>
        </w:rPr>
        <w:t>5</w:t>
      </w:r>
      <w:r w:rsidR="009129A6" w:rsidRPr="00CB32B1">
        <w:fldChar w:fldCharType="end"/>
      </w:r>
      <w:r w:rsidR="002C5ECC" w:rsidRPr="00CB32B1">
        <w:t xml:space="preserve">). This could provide confusion as to </w:t>
      </w:r>
      <w:r>
        <w:t>what is safe or acceptable care, when there are variations acceptable for PPMs operating within different states or territories.</w:t>
      </w:r>
    </w:p>
    <w:p w:rsidR="0003008D" w:rsidRPr="00CB32B1" w:rsidRDefault="0003008D" w:rsidP="0003008D">
      <w:pPr>
        <w:pStyle w:val="Caption"/>
      </w:pPr>
      <w:bookmarkStart w:id="29" w:name="_Ref361223726"/>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5</w:t>
      </w:r>
      <w:r w:rsidR="009129A6" w:rsidRPr="00CB32B1">
        <w:fldChar w:fldCharType="end"/>
      </w:r>
      <w:bookmarkEnd w:id="29"/>
      <w:r w:rsidRPr="00CB32B1">
        <w:t>: Variations in requirements of different guidelines and policies</w:t>
      </w:r>
    </w:p>
    <w:tbl>
      <w:tblPr>
        <w:tblStyle w:val="PwCTableStyle1"/>
        <w:tblW w:w="5000" w:type="pct"/>
        <w:tblLook w:val="04A0"/>
      </w:tblPr>
      <w:tblGrid>
        <w:gridCol w:w="1056"/>
        <w:gridCol w:w="2098"/>
        <w:gridCol w:w="1318"/>
        <w:gridCol w:w="1320"/>
        <w:gridCol w:w="3493"/>
      </w:tblGrid>
      <w:tr w:rsidR="0003008D" w:rsidRPr="00CB32B1" w:rsidTr="003B21A7">
        <w:trPr>
          <w:cnfStyle w:val="100000000000"/>
        </w:trPr>
        <w:tc>
          <w:tcPr>
            <w:cnfStyle w:val="001000000000"/>
            <w:tcW w:w="568" w:type="pct"/>
            <w:tcBorders>
              <w:right w:val="single" w:sz="4" w:space="0" w:color="FFFFFF" w:themeColor="background1"/>
            </w:tcBorders>
            <w:shd w:val="clear" w:color="auto" w:fill="DC6900" w:themeFill="text2"/>
            <w:vAlign w:val="center"/>
          </w:tcPr>
          <w:p w:rsidR="0003008D" w:rsidRPr="00CB32B1" w:rsidRDefault="0003008D" w:rsidP="003B21A7">
            <w:pPr>
              <w:pStyle w:val="TableColumnHeadingNormal"/>
            </w:pPr>
            <w:r w:rsidRPr="00CB32B1">
              <w:t>Stage of care</w:t>
            </w:r>
          </w:p>
        </w:tc>
        <w:tc>
          <w:tcPr>
            <w:tcW w:w="1130" w:type="pct"/>
            <w:tcBorders>
              <w:left w:val="single" w:sz="4" w:space="0" w:color="FFFFFF" w:themeColor="background1"/>
              <w:right w:val="single" w:sz="4" w:space="0" w:color="FFFFFF" w:themeColor="background1"/>
            </w:tcBorders>
            <w:shd w:val="clear" w:color="auto" w:fill="DC6900" w:themeFill="text2"/>
            <w:vAlign w:val="center"/>
          </w:tcPr>
          <w:p w:rsidR="0003008D" w:rsidRPr="00CB32B1" w:rsidRDefault="0003008D" w:rsidP="003B21A7">
            <w:pPr>
              <w:pStyle w:val="TableColumnHeadingNormal"/>
              <w:cnfStyle w:val="100000000000"/>
            </w:pPr>
            <w:r w:rsidRPr="00CB32B1">
              <w:t>Requirement</w:t>
            </w:r>
          </w:p>
        </w:tc>
        <w:tc>
          <w:tcPr>
            <w:tcW w:w="710" w:type="pct"/>
            <w:tcBorders>
              <w:left w:val="single" w:sz="4" w:space="0" w:color="FFFFFF" w:themeColor="background1"/>
              <w:right w:val="single" w:sz="4" w:space="0" w:color="FFFFFF" w:themeColor="background1"/>
            </w:tcBorders>
            <w:shd w:val="clear" w:color="auto" w:fill="DC6900" w:themeFill="text2"/>
            <w:vAlign w:val="center"/>
          </w:tcPr>
          <w:p w:rsidR="0003008D" w:rsidRPr="00CB32B1" w:rsidRDefault="0003008D" w:rsidP="003B21A7">
            <w:pPr>
              <w:pStyle w:val="TableColumnHeadingNormal"/>
              <w:cnfStyle w:val="100000000000"/>
            </w:pPr>
            <w:r w:rsidRPr="00CB32B1">
              <w:t>ACM guidelines</w:t>
            </w:r>
          </w:p>
        </w:tc>
        <w:tc>
          <w:tcPr>
            <w:tcW w:w="711" w:type="pct"/>
            <w:tcBorders>
              <w:left w:val="single" w:sz="4" w:space="0" w:color="FFFFFF" w:themeColor="background1"/>
              <w:right w:val="single" w:sz="4" w:space="0" w:color="FFFFFF" w:themeColor="background1"/>
            </w:tcBorders>
            <w:shd w:val="clear" w:color="auto" w:fill="DC6900" w:themeFill="text2"/>
            <w:vAlign w:val="center"/>
          </w:tcPr>
          <w:p w:rsidR="0003008D" w:rsidRPr="00CB32B1" w:rsidRDefault="0003008D" w:rsidP="003B21A7">
            <w:pPr>
              <w:pStyle w:val="TableColumnHeadingNormal"/>
              <w:cnfStyle w:val="100000000000"/>
            </w:pPr>
            <w:r w:rsidRPr="00CB32B1">
              <w:t>SA State Policy</w:t>
            </w:r>
          </w:p>
        </w:tc>
        <w:tc>
          <w:tcPr>
            <w:tcW w:w="1881" w:type="pct"/>
            <w:tcBorders>
              <w:left w:val="single" w:sz="4" w:space="0" w:color="FFFFFF" w:themeColor="background1"/>
            </w:tcBorders>
            <w:shd w:val="clear" w:color="auto" w:fill="DC6900" w:themeFill="text2"/>
            <w:vAlign w:val="center"/>
          </w:tcPr>
          <w:p w:rsidR="0003008D" w:rsidRPr="00CB32B1" w:rsidRDefault="0003008D" w:rsidP="003B21A7">
            <w:pPr>
              <w:pStyle w:val="TableColumnHeadingNormal"/>
              <w:cnfStyle w:val="100000000000"/>
            </w:pPr>
            <w:r w:rsidRPr="00CB32B1">
              <w:t>WA Publicly Funded Homebirth Policy</w:t>
            </w:r>
          </w:p>
        </w:tc>
      </w:tr>
      <w:tr w:rsidR="0003008D" w:rsidRPr="00CB32B1" w:rsidTr="0003008D">
        <w:tc>
          <w:tcPr>
            <w:cnfStyle w:val="001000000000"/>
            <w:tcW w:w="568" w:type="pct"/>
          </w:tcPr>
          <w:p w:rsidR="0003008D" w:rsidRPr="005F0AD3" w:rsidRDefault="0003008D" w:rsidP="0003008D">
            <w:pPr>
              <w:pStyle w:val="TableTextNormal"/>
              <w:rPr>
                <w:color w:val="DC6900" w:themeColor="text2"/>
              </w:rPr>
            </w:pPr>
            <w:r w:rsidRPr="005F0AD3">
              <w:rPr>
                <w:color w:val="DC6900" w:themeColor="text2"/>
              </w:rPr>
              <w:t>Informed consent</w:t>
            </w:r>
          </w:p>
        </w:tc>
        <w:tc>
          <w:tcPr>
            <w:tcW w:w="1130" w:type="pct"/>
          </w:tcPr>
          <w:p w:rsidR="0003008D" w:rsidRPr="00CB32B1" w:rsidRDefault="0003008D" w:rsidP="0003008D">
            <w:pPr>
              <w:pStyle w:val="TableTextNormal"/>
              <w:cnfStyle w:val="000000000000"/>
            </w:pPr>
            <w:r w:rsidRPr="00CB32B1">
              <w:t>Number of times consent is signed</w:t>
            </w:r>
          </w:p>
        </w:tc>
        <w:tc>
          <w:tcPr>
            <w:tcW w:w="710" w:type="pct"/>
          </w:tcPr>
          <w:p w:rsidR="0003008D" w:rsidRPr="00CB32B1" w:rsidRDefault="0003008D" w:rsidP="0003008D">
            <w:pPr>
              <w:pStyle w:val="TableTextNormal"/>
              <w:cnfStyle w:val="000000000000"/>
            </w:pPr>
            <w:r w:rsidRPr="00CB32B1">
              <w:t>Once at the start of care</w:t>
            </w:r>
          </w:p>
        </w:tc>
        <w:tc>
          <w:tcPr>
            <w:tcW w:w="711" w:type="pct"/>
          </w:tcPr>
          <w:p w:rsidR="0003008D" w:rsidRPr="00CB32B1" w:rsidRDefault="0003008D" w:rsidP="0003008D">
            <w:pPr>
              <w:pStyle w:val="TableTextNormal"/>
              <w:cnfStyle w:val="000000000000"/>
            </w:pPr>
            <w:r w:rsidRPr="00CB32B1">
              <w:t>Two copies signed at start of care</w:t>
            </w:r>
          </w:p>
        </w:tc>
        <w:tc>
          <w:tcPr>
            <w:tcW w:w="1881" w:type="pct"/>
          </w:tcPr>
          <w:p w:rsidR="0003008D" w:rsidRPr="00CB32B1" w:rsidRDefault="0003008D" w:rsidP="0003008D">
            <w:pPr>
              <w:pStyle w:val="TableTextNormal"/>
              <w:cnfStyle w:val="000000000000"/>
            </w:pPr>
            <w:r w:rsidRPr="00CB32B1">
              <w:t>‘Terms of Care’ to be signed three times during pregnancy, at enrolment, 28 weeks gestation and 36 weeks gestation</w:t>
            </w:r>
          </w:p>
        </w:tc>
      </w:tr>
      <w:tr w:rsidR="0003008D" w:rsidRPr="00CB32B1" w:rsidTr="0003008D">
        <w:tc>
          <w:tcPr>
            <w:cnfStyle w:val="001000000000"/>
            <w:tcW w:w="568" w:type="pct"/>
          </w:tcPr>
          <w:p w:rsidR="0003008D" w:rsidRPr="005F0AD3" w:rsidRDefault="0003008D" w:rsidP="0003008D">
            <w:pPr>
              <w:pStyle w:val="TableTextNormal"/>
              <w:rPr>
                <w:color w:val="DC6900" w:themeColor="text2"/>
              </w:rPr>
            </w:pPr>
            <w:r w:rsidRPr="005F0AD3">
              <w:rPr>
                <w:color w:val="DC6900" w:themeColor="text2"/>
              </w:rPr>
              <w:t>Labour</w:t>
            </w:r>
          </w:p>
        </w:tc>
        <w:tc>
          <w:tcPr>
            <w:tcW w:w="1130" w:type="pct"/>
          </w:tcPr>
          <w:p w:rsidR="0003008D" w:rsidRPr="00CB32B1" w:rsidRDefault="0003008D" w:rsidP="0003008D">
            <w:pPr>
              <w:pStyle w:val="TableTextNormal"/>
              <w:cnfStyle w:val="000000000000"/>
            </w:pPr>
            <w:r w:rsidRPr="00CB32B1">
              <w:t>Number of health practitioners required at birth</w:t>
            </w:r>
          </w:p>
        </w:tc>
        <w:tc>
          <w:tcPr>
            <w:tcW w:w="710" w:type="pct"/>
          </w:tcPr>
          <w:p w:rsidR="0003008D" w:rsidRPr="00CB32B1" w:rsidRDefault="0003008D" w:rsidP="0003008D">
            <w:pPr>
              <w:pStyle w:val="TableTextNormal"/>
              <w:cnfStyle w:val="000000000000"/>
            </w:pPr>
            <w:r w:rsidRPr="00CB32B1">
              <w:t>1</w:t>
            </w:r>
          </w:p>
        </w:tc>
        <w:tc>
          <w:tcPr>
            <w:tcW w:w="711" w:type="pct"/>
          </w:tcPr>
          <w:p w:rsidR="0003008D" w:rsidRPr="00CB32B1" w:rsidRDefault="0003008D" w:rsidP="0003008D">
            <w:pPr>
              <w:pStyle w:val="TableTextNormal"/>
              <w:cnfStyle w:val="000000000000"/>
            </w:pPr>
            <w:r w:rsidRPr="00CB32B1">
              <w:t>2</w:t>
            </w:r>
          </w:p>
        </w:tc>
        <w:tc>
          <w:tcPr>
            <w:tcW w:w="1881" w:type="pct"/>
          </w:tcPr>
          <w:p w:rsidR="0003008D" w:rsidRPr="00CB32B1" w:rsidRDefault="0003008D" w:rsidP="0003008D">
            <w:pPr>
              <w:pStyle w:val="TableTextNormal"/>
              <w:cnfStyle w:val="000000000000"/>
            </w:pPr>
            <w:r w:rsidRPr="00CB32B1">
              <w:t>2</w:t>
            </w:r>
          </w:p>
        </w:tc>
      </w:tr>
      <w:tr w:rsidR="0003008D" w:rsidRPr="00CB32B1" w:rsidTr="0003008D">
        <w:tc>
          <w:tcPr>
            <w:cnfStyle w:val="001000000000"/>
            <w:tcW w:w="568" w:type="pct"/>
          </w:tcPr>
          <w:p w:rsidR="0003008D" w:rsidRPr="005F0AD3" w:rsidRDefault="0003008D" w:rsidP="0003008D">
            <w:pPr>
              <w:pStyle w:val="TableTextNormal"/>
              <w:rPr>
                <w:color w:val="DC6900" w:themeColor="text2"/>
              </w:rPr>
            </w:pPr>
            <w:r w:rsidRPr="005F0AD3">
              <w:rPr>
                <w:color w:val="DC6900" w:themeColor="text2"/>
              </w:rPr>
              <w:t>Transfer</w:t>
            </w:r>
          </w:p>
        </w:tc>
        <w:tc>
          <w:tcPr>
            <w:tcW w:w="1130" w:type="pct"/>
          </w:tcPr>
          <w:p w:rsidR="0003008D" w:rsidRPr="00CB32B1" w:rsidRDefault="0003008D" w:rsidP="0003008D">
            <w:pPr>
              <w:pStyle w:val="TableTextNormal"/>
              <w:cnfStyle w:val="000000000000"/>
            </w:pPr>
            <w:r w:rsidRPr="00CB32B1">
              <w:t xml:space="preserve">Time taken to transfer from home to hospital </w:t>
            </w:r>
          </w:p>
        </w:tc>
        <w:tc>
          <w:tcPr>
            <w:tcW w:w="710" w:type="pct"/>
          </w:tcPr>
          <w:p w:rsidR="0003008D" w:rsidRPr="00CB32B1" w:rsidRDefault="0003008D" w:rsidP="0003008D">
            <w:pPr>
              <w:pStyle w:val="TableTextNormal"/>
              <w:cnfStyle w:val="000000000000"/>
            </w:pPr>
            <w:r w:rsidRPr="00CB32B1">
              <w:t>Not indicated</w:t>
            </w:r>
          </w:p>
        </w:tc>
        <w:tc>
          <w:tcPr>
            <w:tcW w:w="711" w:type="pct"/>
          </w:tcPr>
          <w:p w:rsidR="0003008D" w:rsidRPr="00CB32B1" w:rsidRDefault="0003008D" w:rsidP="0003008D">
            <w:pPr>
              <w:pStyle w:val="TableTextNormal"/>
              <w:cnfStyle w:val="000000000000"/>
            </w:pPr>
            <w:r w:rsidRPr="00CB32B1">
              <w:t>30 minutes</w:t>
            </w:r>
          </w:p>
        </w:tc>
        <w:tc>
          <w:tcPr>
            <w:tcW w:w="1881" w:type="pct"/>
          </w:tcPr>
          <w:p w:rsidR="0003008D" w:rsidRPr="00CB32B1" w:rsidRDefault="0003008D" w:rsidP="0003008D">
            <w:pPr>
              <w:pStyle w:val="TableTextNormal"/>
              <w:cnfStyle w:val="000000000000"/>
            </w:pPr>
            <w:r w:rsidRPr="00CB32B1">
              <w:t>30 minutes</w:t>
            </w:r>
          </w:p>
        </w:tc>
      </w:tr>
    </w:tbl>
    <w:p w:rsidR="002C5ECC" w:rsidRPr="00CB32B1" w:rsidRDefault="002C5ECC" w:rsidP="0003008D">
      <w:pPr>
        <w:pStyle w:val="Sources"/>
      </w:pPr>
      <w:r w:rsidRPr="00CB32B1">
        <w:rPr>
          <w:b/>
        </w:rPr>
        <w:t>Sources:</w:t>
      </w:r>
      <w:r w:rsidRPr="00CB32B1">
        <w:t xml:space="preserve"> Australian College of Midwifery, 2008; </w:t>
      </w:r>
      <w:r w:rsidR="00787608" w:rsidRPr="00CB32B1">
        <w:t>South Australia Department of Health, 2007</w:t>
      </w:r>
      <w:r w:rsidRPr="00CB32B1">
        <w:t xml:space="preserve">; </w:t>
      </w:r>
      <w:r w:rsidR="00787608" w:rsidRPr="00CB32B1">
        <w:t>Department of Health WA, 2012.</w:t>
      </w:r>
    </w:p>
    <w:p w:rsidR="002C5ECC" w:rsidRPr="00CB32B1" w:rsidRDefault="00D76345" w:rsidP="0003008D">
      <w:pPr>
        <w:pStyle w:val="Minorheading3"/>
      </w:pPr>
      <w:r>
        <w:t>High and low-</w:t>
      </w:r>
      <w:r w:rsidR="002C5ECC" w:rsidRPr="00CB32B1">
        <w:t>risk</w:t>
      </w:r>
    </w:p>
    <w:p w:rsidR="002C5ECC" w:rsidRPr="00CB32B1" w:rsidRDefault="002C5ECC" w:rsidP="002C5ECC">
      <w:pPr>
        <w:pStyle w:val="PwCNormal"/>
      </w:pPr>
      <w:r w:rsidRPr="00CB32B1">
        <w:t>As a result of variations in frameworks, there is currently uncertainty around the interpretation of high and low</w:t>
      </w:r>
      <w:r w:rsidR="00844D69">
        <w:t>-</w:t>
      </w:r>
      <w:r w:rsidRPr="00CB32B1">
        <w:t>risk. Definitions and clarity over high and low</w:t>
      </w:r>
      <w:r w:rsidR="008341BC">
        <w:t>-</w:t>
      </w:r>
      <w:r w:rsidRPr="00CB32B1">
        <w:t xml:space="preserve">risk may be important for an insurer because they indicate the risk the PPM is taking on in their practice, which feeds in to their risk profile. There are inherent risks in providing maternity services, including as a PPM but these can be reduced by following recommended steps outlined within frameworks for transfer and referral. </w:t>
      </w:r>
    </w:p>
    <w:p w:rsidR="002C5ECC" w:rsidRPr="00CB32B1" w:rsidRDefault="002C5ECC" w:rsidP="002C5ECC">
      <w:pPr>
        <w:pStyle w:val="PwCNormal"/>
      </w:pPr>
      <w:r w:rsidRPr="00CB32B1">
        <w:t>Frameworks used by states and territo</w:t>
      </w:r>
      <w:r w:rsidR="00844D69">
        <w:t>ries aim to build upon the ACM g</w:t>
      </w:r>
      <w:r w:rsidRPr="00CB32B1">
        <w:t xml:space="preserve">uidelines by providing either additional criteria for PPM practice (see </w:t>
      </w:r>
      <w:r w:rsidR="009129A6" w:rsidRPr="00CB32B1">
        <w:fldChar w:fldCharType="begin"/>
      </w:r>
      <w:r w:rsidR="00EB2051" w:rsidRPr="00CB32B1">
        <w:instrText xml:space="preserve"> REF _Ref361223733 \h </w:instrText>
      </w:r>
      <w:r w:rsidR="009129A6" w:rsidRPr="00CB32B1">
        <w:fldChar w:fldCharType="separate"/>
      </w:r>
      <w:r w:rsidR="008816B4" w:rsidRPr="00CB32B1">
        <w:t xml:space="preserve">Table </w:t>
      </w:r>
      <w:r w:rsidR="008816B4">
        <w:rPr>
          <w:noProof/>
        </w:rPr>
        <w:t>6</w:t>
      </w:r>
      <w:r w:rsidR="009129A6" w:rsidRPr="00CB32B1">
        <w:fldChar w:fldCharType="end"/>
      </w:r>
      <w:r w:rsidRPr="00CB32B1">
        <w:t xml:space="preserve">) or stricter criteria (see </w:t>
      </w:r>
      <w:r w:rsidR="009129A6" w:rsidRPr="00CB32B1">
        <w:fldChar w:fldCharType="begin"/>
      </w:r>
      <w:r w:rsidR="00EB2051" w:rsidRPr="00CB32B1">
        <w:instrText xml:space="preserve"> REF _Ref361223739 \h </w:instrText>
      </w:r>
      <w:r w:rsidR="009129A6" w:rsidRPr="00CB32B1">
        <w:fldChar w:fldCharType="separate"/>
      </w:r>
      <w:r w:rsidR="008816B4" w:rsidRPr="00CB32B1">
        <w:t xml:space="preserve">Table </w:t>
      </w:r>
      <w:r w:rsidR="008816B4">
        <w:rPr>
          <w:noProof/>
        </w:rPr>
        <w:t>7</w:t>
      </w:r>
      <w:r w:rsidR="009129A6" w:rsidRPr="00CB32B1">
        <w:fldChar w:fldCharType="end"/>
      </w:r>
      <w:r w:rsidRPr="00CB32B1">
        <w:t xml:space="preserve">). Further benchmarking of risk frameworks can be found in Appendix </w:t>
      </w:r>
      <w:r w:rsidR="00CD0CA9" w:rsidRPr="00CB32B1">
        <w:t>H</w:t>
      </w:r>
      <w:r w:rsidRPr="00CB32B1">
        <w:t xml:space="preserve">. PPMs practising within specific </w:t>
      </w:r>
      <w:r w:rsidR="00C6320F">
        <w:t>s</w:t>
      </w:r>
      <w:r w:rsidRPr="00CB32B1">
        <w:t xml:space="preserve">tate and </w:t>
      </w:r>
      <w:r w:rsidR="00C6320F">
        <w:t>t</w:t>
      </w:r>
      <w:r w:rsidRPr="00CB32B1">
        <w:t xml:space="preserve">erritory frameworks </w:t>
      </w:r>
      <w:r w:rsidR="00844D69">
        <w:t>could, as a result,</w:t>
      </w:r>
      <w:r w:rsidRPr="00CB32B1">
        <w:t xml:space="preserve"> have a lower risk profile than other PPMs, which may not be taken into account by insurers when assessing the risk profile.</w:t>
      </w:r>
    </w:p>
    <w:p w:rsidR="002C5ECC" w:rsidRPr="00CB32B1" w:rsidRDefault="002C5ECC" w:rsidP="002C5ECC">
      <w:pPr>
        <w:pStyle w:val="PwCNormal"/>
      </w:pPr>
      <w:r w:rsidRPr="00CB32B1">
        <w:t xml:space="preserve">In certain cases, South Australia has made additional criteria for exclusion by suggesting alternative instances for excluding a woman from giving birth at home. Specific examples relating to exclusion criteria are provided in </w:t>
      </w:r>
      <w:r w:rsidR="009129A6" w:rsidRPr="00CB32B1">
        <w:fldChar w:fldCharType="begin"/>
      </w:r>
      <w:r w:rsidR="00EB2051" w:rsidRPr="00CB32B1">
        <w:instrText xml:space="preserve"> REF _Ref361223733 \h </w:instrText>
      </w:r>
      <w:r w:rsidR="009129A6" w:rsidRPr="00CB32B1">
        <w:fldChar w:fldCharType="separate"/>
      </w:r>
      <w:r w:rsidR="008816B4" w:rsidRPr="00CB32B1">
        <w:t xml:space="preserve">Table </w:t>
      </w:r>
      <w:r w:rsidR="008816B4">
        <w:rPr>
          <w:noProof/>
        </w:rPr>
        <w:t>6</w:t>
      </w:r>
      <w:r w:rsidR="009129A6" w:rsidRPr="00CB32B1">
        <w:fldChar w:fldCharType="end"/>
      </w:r>
      <w:r w:rsidRPr="00CB32B1">
        <w:t xml:space="preserve">. </w:t>
      </w:r>
      <w:r w:rsidR="00844D69">
        <w:t>The</w:t>
      </w:r>
      <w:r w:rsidRPr="00CB32B1">
        <w:t xml:space="preserve"> Western Australian framework </w:t>
      </w:r>
      <w:r w:rsidR="00844D69">
        <w:t xml:space="preserve">has also been benchmarked to other frameworks </w:t>
      </w:r>
      <w:r w:rsidRPr="00CB32B1">
        <w:t>on several specific indicators.</w:t>
      </w:r>
    </w:p>
    <w:p w:rsidR="0003008D" w:rsidRPr="00CB32B1" w:rsidRDefault="0003008D" w:rsidP="0003008D">
      <w:pPr>
        <w:pStyle w:val="Caption"/>
      </w:pPr>
      <w:bookmarkStart w:id="30" w:name="_Ref361223733"/>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6</w:t>
      </w:r>
      <w:r w:rsidR="009129A6" w:rsidRPr="00CB32B1">
        <w:fldChar w:fldCharType="end"/>
      </w:r>
      <w:bookmarkEnd w:id="30"/>
      <w:r w:rsidRPr="00CB32B1">
        <w:t>: Examples of where State policy has added criteria to ACM Midwifery Guidelines</w:t>
      </w:r>
    </w:p>
    <w:tbl>
      <w:tblPr>
        <w:tblStyle w:val="PwCTableStyle1"/>
        <w:tblW w:w="5000" w:type="pct"/>
        <w:tblLook w:val="04A0"/>
      </w:tblPr>
      <w:tblGrid>
        <w:gridCol w:w="1452"/>
        <w:gridCol w:w="3335"/>
        <w:gridCol w:w="1348"/>
        <w:gridCol w:w="1081"/>
        <w:gridCol w:w="2069"/>
      </w:tblGrid>
      <w:tr w:rsidR="0003008D" w:rsidRPr="00CB32B1" w:rsidTr="003B21A7">
        <w:trPr>
          <w:cnfStyle w:val="100000000000"/>
        </w:trPr>
        <w:tc>
          <w:tcPr>
            <w:cnfStyle w:val="001000000000"/>
            <w:tcW w:w="782" w:type="pct"/>
            <w:shd w:val="clear" w:color="auto" w:fill="DC6900" w:themeFill="text2"/>
            <w:vAlign w:val="center"/>
          </w:tcPr>
          <w:p w:rsidR="0003008D" w:rsidRPr="00CB32B1" w:rsidRDefault="0003008D" w:rsidP="003B21A7">
            <w:pPr>
              <w:pStyle w:val="TableColumnHeadingNormal"/>
            </w:pPr>
            <w:r w:rsidRPr="00CB32B1">
              <w:t>Stage of care</w:t>
            </w:r>
          </w:p>
        </w:tc>
        <w:tc>
          <w:tcPr>
            <w:tcW w:w="1796" w:type="pct"/>
            <w:shd w:val="clear" w:color="auto" w:fill="DC6900" w:themeFill="text2"/>
            <w:vAlign w:val="center"/>
          </w:tcPr>
          <w:p w:rsidR="0003008D" w:rsidRPr="00CB32B1" w:rsidRDefault="0003008D" w:rsidP="003B21A7">
            <w:pPr>
              <w:pStyle w:val="TableColumnHeadingNormal"/>
              <w:cnfStyle w:val="100000000000"/>
            </w:pPr>
            <w:r w:rsidRPr="00CB32B1">
              <w:t>Specific indication</w:t>
            </w:r>
          </w:p>
        </w:tc>
        <w:tc>
          <w:tcPr>
            <w:tcW w:w="726" w:type="pct"/>
            <w:shd w:val="clear" w:color="auto" w:fill="DC6900" w:themeFill="text2"/>
            <w:vAlign w:val="center"/>
          </w:tcPr>
          <w:p w:rsidR="0003008D" w:rsidRPr="00CB32B1" w:rsidRDefault="0003008D" w:rsidP="003B21A7">
            <w:pPr>
              <w:pStyle w:val="TableColumnHeadingNormal"/>
              <w:cnfStyle w:val="100000000000"/>
            </w:pPr>
            <w:r w:rsidRPr="00CB32B1">
              <w:t>ACM guidelines</w:t>
            </w:r>
          </w:p>
        </w:tc>
        <w:tc>
          <w:tcPr>
            <w:tcW w:w="582" w:type="pct"/>
            <w:shd w:val="clear" w:color="auto" w:fill="DC6900" w:themeFill="text2"/>
            <w:vAlign w:val="center"/>
          </w:tcPr>
          <w:p w:rsidR="0003008D" w:rsidRPr="00CB32B1" w:rsidRDefault="0003008D" w:rsidP="003B21A7">
            <w:pPr>
              <w:pStyle w:val="TableColumnHeadingNormal"/>
              <w:cnfStyle w:val="100000000000"/>
            </w:pPr>
            <w:r w:rsidRPr="00CB32B1">
              <w:t>SA State Policy</w:t>
            </w:r>
          </w:p>
        </w:tc>
        <w:tc>
          <w:tcPr>
            <w:tcW w:w="1114" w:type="pct"/>
            <w:shd w:val="clear" w:color="auto" w:fill="DC6900" w:themeFill="text2"/>
            <w:vAlign w:val="center"/>
          </w:tcPr>
          <w:p w:rsidR="0003008D" w:rsidRPr="00CB32B1" w:rsidRDefault="0003008D" w:rsidP="003B21A7">
            <w:pPr>
              <w:pStyle w:val="TableColumnHeadingNormal"/>
              <w:cnfStyle w:val="100000000000"/>
            </w:pPr>
            <w:r w:rsidRPr="00CB32B1">
              <w:t>WA Publicly Funded Homebirth Policy</w:t>
            </w:r>
          </w:p>
        </w:tc>
      </w:tr>
      <w:tr w:rsidR="0003008D" w:rsidRPr="00CB32B1" w:rsidTr="0003008D">
        <w:tc>
          <w:tcPr>
            <w:cnfStyle w:val="001000000000"/>
            <w:tcW w:w="782" w:type="pct"/>
          </w:tcPr>
          <w:p w:rsidR="0003008D" w:rsidRPr="005F0AD3" w:rsidRDefault="0003008D" w:rsidP="00D76345">
            <w:pPr>
              <w:pStyle w:val="TableTextNormal"/>
              <w:keepNext/>
              <w:keepLines/>
              <w:rPr>
                <w:color w:val="DC6900" w:themeColor="text2"/>
              </w:rPr>
            </w:pPr>
            <w:r w:rsidRPr="005F0AD3">
              <w:rPr>
                <w:color w:val="DC6900" w:themeColor="text2"/>
              </w:rPr>
              <w:t xml:space="preserve">At booking </w:t>
            </w:r>
          </w:p>
        </w:tc>
        <w:tc>
          <w:tcPr>
            <w:tcW w:w="1796" w:type="pct"/>
          </w:tcPr>
          <w:p w:rsidR="0003008D" w:rsidRPr="00CB32B1" w:rsidRDefault="0003008D" w:rsidP="00D76345">
            <w:pPr>
              <w:pStyle w:val="TableTextNormal"/>
              <w:keepNext/>
              <w:keepLines/>
              <w:cnfStyle w:val="000000000000"/>
            </w:pPr>
            <w:r w:rsidRPr="00CB32B1">
              <w:t>Previous obstetric history where a baby has required intensive or prolonged special care</w:t>
            </w:r>
          </w:p>
        </w:tc>
        <w:tc>
          <w:tcPr>
            <w:tcW w:w="726" w:type="pct"/>
          </w:tcPr>
          <w:p w:rsidR="0003008D" w:rsidRPr="00CB32B1" w:rsidRDefault="0003008D" w:rsidP="00D76345">
            <w:pPr>
              <w:pStyle w:val="TableTextNormal"/>
              <w:keepNext/>
              <w:keepLines/>
              <w:jc w:val="center"/>
              <w:cnfStyle w:val="000000000000"/>
            </w:pPr>
            <w:r w:rsidRPr="00CB32B1">
              <w:t>×</w:t>
            </w:r>
          </w:p>
        </w:tc>
        <w:tc>
          <w:tcPr>
            <w:tcW w:w="582" w:type="pct"/>
          </w:tcPr>
          <w:p w:rsidR="0003008D" w:rsidRPr="00CB32B1" w:rsidRDefault="0003008D" w:rsidP="00D76345">
            <w:pPr>
              <w:pStyle w:val="TableTextNormal"/>
              <w:keepNext/>
              <w:keepLines/>
              <w:jc w:val="center"/>
              <w:cnfStyle w:val="000000000000"/>
            </w:pPr>
            <w:r w:rsidRPr="00CB32B1">
              <w:sym w:font="Wingdings" w:char="00FC"/>
            </w:r>
          </w:p>
        </w:tc>
        <w:tc>
          <w:tcPr>
            <w:tcW w:w="1114" w:type="pct"/>
          </w:tcPr>
          <w:p w:rsidR="0003008D" w:rsidRPr="00CB32B1" w:rsidRDefault="0003008D" w:rsidP="00D76345">
            <w:pPr>
              <w:pStyle w:val="TableTextNormal"/>
              <w:keepNext/>
              <w:keepLines/>
              <w:jc w:val="center"/>
              <w:cnfStyle w:val="000000000000"/>
            </w:pPr>
            <w:r w:rsidRPr="00CB32B1">
              <w:t>×</w:t>
            </w:r>
          </w:p>
        </w:tc>
      </w:tr>
      <w:tr w:rsidR="0003008D" w:rsidRPr="00CB32B1" w:rsidTr="0003008D">
        <w:tc>
          <w:tcPr>
            <w:cnfStyle w:val="001000000000"/>
            <w:tcW w:w="782" w:type="pct"/>
          </w:tcPr>
          <w:p w:rsidR="0003008D" w:rsidRPr="005F0AD3" w:rsidRDefault="0003008D" w:rsidP="0003008D">
            <w:pPr>
              <w:pStyle w:val="TableTextNormal"/>
              <w:rPr>
                <w:color w:val="DC6900" w:themeColor="text2"/>
              </w:rPr>
            </w:pPr>
            <w:r w:rsidRPr="005F0AD3">
              <w:rPr>
                <w:color w:val="DC6900" w:themeColor="text2"/>
              </w:rPr>
              <w:t>Developed/</w:t>
            </w:r>
            <w:r w:rsidRPr="005F0AD3">
              <w:rPr>
                <w:color w:val="DC6900" w:themeColor="text2"/>
              </w:rPr>
              <w:br/>
              <w:t>Discovered in Pregnancy</w:t>
            </w:r>
          </w:p>
        </w:tc>
        <w:tc>
          <w:tcPr>
            <w:tcW w:w="1796" w:type="pct"/>
          </w:tcPr>
          <w:p w:rsidR="0003008D" w:rsidRPr="00CB32B1" w:rsidRDefault="0003008D" w:rsidP="0003008D">
            <w:pPr>
              <w:pStyle w:val="TableTextNormal"/>
              <w:cnfStyle w:val="000000000000"/>
            </w:pPr>
            <w:r w:rsidRPr="00CB32B1">
              <w:t>Polyhydramnios or oligohydramnios</w:t>
            </w:r>
          </w:p>
        </w:tc>
        <w:tc>
          <w:tcPr>
            <w:tcW w:w="726" w:type="pct"/>
          </w:tcPr>
          <w:p w:rsidR="0003008D" w:rsidRPr="00CB32B1" w:rsidRDefault="0003008D" w:rsidP="0003008D">
            <w:pPr>
              <w:pStyle w:val="TableTextNormal"/>
              <w:jc w:val="center"/>
              <w:cnfStyle w:val="000000000000"/>
            </w:pPr>
            <w:r w:rsidRPr="00CB32B1">
              <w:t>×</w:t>
            </w:r>
          </w:p>
        </w:tc>
        <w:tc>
          <w:tcPr>
            <w:tcW w:w="582" w:type="pct"/>
          </w:tcPr>
          <w:p w:rsidR="0003008D" w:rsidRPr="00CB32B1" w:rsidRDefault="0003008D" w:rsidP="0003008D">
            <w:pPr>
              <w:pStyle w:val="TableTextNormal"/>
              <w:jc w:val="center"/>
              <w:cnfStyle w:val="000000000000"/>
            </w:pPr>
            <w:r w:rsidRPr="00CB32B1">
              <w:sym w:font="Wingdings" w:char="00FC"/>
            </w:r>
          </w:p>
        </w:tc>
        <w:tc>
          <w:tcPr>
            <w:tcW w:w="1114" w:type="pct"/>
          </w:tcPr>
          <w:p w:rsidR="0003008D" w:rsidRPr="00CB32B1" w:rsidRDefault="0003008D" w:rsidP="0003008D">
            <w:pPr>
              <w:pStyle w:val="TableTextNormal"/>
              <w:jc w:val="center"/>
              <w:cnfStyle w:val="000000000000"/>
            </w:pPr>
            <w:r w:rsidRPr="00CB32B1">
              <w:sym w:font="Wingdings" w:char="00FC"/>
            </w:r>
          </w:p>
        </w:tc>
      </w:tr>
      <w:tr w:rsidR="0003008D" w:rsidRPr="00CB32B1" w:rsidTr="0003008D">
        <w:tc>
          <w:tcPr>
            <w:cnfStyle w:val="001000000000"/>
            <w:tcW w:w="782" w:type="pct"/>
          </w:tcPr>
          <w:p w:rsidR="0003008D" w:rsidRPr="005F0AD3" w:rsidRDefault="0003008D" w:rsidP="0003008D">
            <w:pPr>
              <w:pStyle w:val="TableTextNormal"/>
              <w:keepNext/>
              <w:keepLines/>
              <w:rPr>
                <w:color w:val="DC6900" w:themeColor="text2"/>
              </w:rPr>
            </w:pPr>
            <w:r w:rsidRPr="005F0AD3">
              <w:rPr>
                <w:color w:val="DC6900" w:themeColor="text2"/>
              </w:rPr>
              <w:t>In labour</w:t>
            </w:r>
          </w:p>
        </w:tc>
        <w:tc>
          <w:tcPr>
            <w:tcW w:w="1796" w:type="pct"/>
          </w:tcPr>
          <w:p w:rsidR="0003008D" w:rsidRPr="00CB32B1" w:rsidRDefault="0003008D" w:rsidP="0003008D">
            <w:pPr>
              <w:pStyle w:val="TableTextNormal"/>
              <w:keepNext/>
              <w:keepLines/>
              <w:cnfStyle w:val="000000000000"/>
            </w:pPr>
            <w:r w:rsidRPr="00CB32B1">
              <w:t>Active second stage is in excess of one hour within minimal</w:t>
            </w:r>
            <w:r w:rsidR="00854DEF" w:rsidRPr="00CB32B1">
              <w:t>/</w:t>
            </w:r>
            <w:r w:rsidRPr="00CB32B1">
              <w:t>slow progress and/or without head on view</w:t>
            </w:r>
          </w:p>
        </w:tc>
        <w:tc>
          <w:tcPr>
            <w:tcW w:w="726" w:type="pct"/>
          </w:tcPr>
          <w:p w:rsidR="0003008D" w:rsidRPr="00CB32B1" w:rsidRDefault="0003008D" w:rsidP="0003008D">
            <w:pPr>
              <w:pStyle w:val="TableTextNormal"/>
              <w:keepNext/>
              <w:keepLines/>
              <w:jc w:val="center"/>
              <w:cnfStyle w:val="000000000000"/>
            </w:pPr>
            <w:r w:rsidRPr="00CB32B1">
              <w:t>×</w:t>
            </w:r>
          </w:p>
        </w:tc>
        <w:tc>
          <w:tcPr>
            <w:tcW w:w="582" w:type="pct"/>
          </w:tcPr>
          <w:p w:rsidR="0003008D" w:rsidRPr="00CB32B1" w:rsidRDefault="0003008D" w:rsidP="0003008D">
            <w:pPr>
              <w:pStyle w:val="TableTextNormal"/>
              <w:keepNext/>
              <w:keepLines/>
              <w:jc w:val="center"/>
              <w:cnfStyle w:val="000000000000"/>
            </w:pPr>
            <w:r w:rsidRPr="00CB32B1">
              <w:t>×</w:t>
            </w:r>
          </w:p>
        </w:tc>
        <w:tc>
          <w:tcPr>
            <w:tcW w:w="1114" w:type="pct"/>
          </w:tcPr>
          <w:p w:rsidR="0003008D" w:rsidRPr="00CB32B1" w:rsidRDefault="0003008D" w:rsidP="0003008D">
            <w:pPr>
              <w:pStyle w:val="TableTextNormal"/>
              <w:keepNext/>
              <w:keepLines/>
              <w:jc w:val="center"/>
              <w:cnfStyle w:val="000000000000"/>
            </w:pPr>
            <w:r w:rsidRPr="00CB32B1">
              <w:sym w:font="Wingdings" w:char="00FC"/>
            </w:r>
          </w:p>
        </w:tc>
      </w:tr>
    </w:tbl>
    <w:p w:rsidR="002C5ECC" w:rsidRPr="00CB32B1" w:rsidRDefault="002C5ECC" w:rsidP="004A157D">
      <w:pPr>
        <w:pStyle w:val="Sources"/>
        <w:spacing w:after="40"/>
      </w:pPr>
      <w:r w:rsidRPr="00CB32B1">
        <w:t xml:space="preserve">Key: × indicates that the specific indication is not included in a policy/guideline; </w:t>
      </w:r>
      <w:r w:rsidR="0096342B" w:rsidRPr="00CB32B1">
        <w:sym w:font="Wingdings" w:char="00FC"/>
      </w:r>
      <w:r w:rsidRPr="00CB32B1">
        <w:t xml:space="preserve"> indicates that the specific indication is</w:t>
      </w:r>
      <w:r w:rsidR="0003008D" w:rsidRPr="00CB32B1">
        <w:t> </w:t>
      </w:r>
      <w:r w:rsidRPr="00CB32B1">
        <w:t xml:space="preserve">included. </w:t>
      </w:r>
    </w:p>
    <w:p w:rsidR="002C5ECC" w:rsidRPr="00CB32B1" w:rsidRDefault="002C5ECC" w:rsidP="0003008D">
      <w:pPr>
        <w:pStyle w:val="Sources"/>
      </w:pPr>
      <w:r w:rsidRPr="00CB32B1">
        <w:rPr>
          <w:b/>
        </w:rPr>
        <w:t>Sources:</w:t>
      </w:r>
      <w:r w:rsidRPr="00CB32B1">
        <w:t xml:space="preserve"> </w:t>
      </w:r>
      <w:r w:rsidR="00787608" w:rsidRPr="00CB32B1">
        <w:t>Australian College of Midwifery 2008; South Australia Department of Health 2007; Department of Health WA 2012.</w:t>
      </w:r>
    </w:p>
    <w:p w:rsidR="002C5ECC" w:rsidRPr="00CB32B1" w:rsidRDefault="002C5ECC" w:rsidP="002C5ECC">
      <w:pPr>
        <w:pStyle w:val="PwCNormal"/>
      </w:pPr>
      <w:r w:rsidRPr="00CB32B1">
        <w:t xml:space="preserve">There are other areas where </w:t>
      </w:r>
      <w:r w:rsidR="005F0AD3">
        <w:t>s</w:t>
      </w:r>
      <w:r w:rsidRPr="00CB32B1">
        <w:t xml:space="preserve">tate and </w:t>
      </w:r>
      <w:r w:rsidR="005F0AD3">
        <w:t>t</w:t>
      </w:r>
      <w:r w:rsidRPr="00CB32B1">
        <w:t>erritory legislation appear to have</w:t>
      </w:r>
      <w:r w:rsidR="0096342B">
        <w:t xml:space="preserve"> a narrower scope than the ACM g</w:t>
      </w:r>
      <w:r w:rsidRPr="00CB32B1">
        <w:t>uidelines or that they vary on their choice of recommended option (</w:t>
      </w:r>
      <w:r w:rsidR="00854DEF" w:rsidRPr="00CB32B1">
        <w:t>ie</w:t>
      </w:r>
      <w:r w:rsidRPr="00CB32B1">
        <w:t xml:space="preserve"> whether to consult or refer to other health professionals). An example of such variations can be seen in </w:t>
      </w:r>
      <w:r w:rsidR="009129A6" w:rsidRPr="00CB32B1">
        <w:fldChar w:fldCharType="begin"/>
      </w:r>
      <w:r w:rsidR="00EB2051" w:rsidRPr="00CB32B1">
        <w:instrText xml:space="preserve"> REF _Ref361223739 \h </w:instrText>
      </w:r>
      <w:r w:rsidR="009129A6" w:rsidRPr="00CB32B1">
        <w:fldChar w:fldCharType="separate"/>
      </w:r>
      <w:r w:rsidR="008816B4" w:rsidRPr="00CB32B1">
        <w:t xml:space="preserve">Table </w:t>
      </w:r>
      <w:r w:rsidR="008816B4">
        <w:rPr>
          <w:noProof/>
        </w:rPr>
        <w:t>7</w:t>
      </w:r>
      <w:r w:rsidR="009129A6" w:rsidRPr="00CB32B1">
        <w:fldChar w:fldCharType="end"/>
      </w:r>
      <w:r w:rsidRPr="00CB32B1">
        <w:t xml:space="preserve"> while applying a framework for when a midwife should:</w:t>
      </w:r>
    </w:p>
    <w:p w:rsidR="002C5ECC" w:rsidRPr="00CB32B1" w:rsidRDefault="005F0AD3" w:rsidP="0003008D">
      <w:pPr>
        <w:pStyle w:val="ListBullet"/>
      </w:pPr>
      <w:r>
        <w:t>d</w:t>
      </w:r>
      <w:r w:rsidR="002C5ECC" w:rsidRPr="00CB32B1">
        <w:t xml:space="preserve">iscuss the situation with a colleague </w:t>
      </w:r>
    </w:p>
    <w:p w:rsidR="002C5ECC" w:rsidRPr="00CB32B1" w:rsidRDefault="005F0AD3" w:rsidP="0003008D">
      <w:pPr>
        <w:pStyle w:val="ListBullet"/>
      </w:pPr>
      <w:r>
        <w:t>c</w:t>
      </w:r>
      <w:r w:rsidR="002C5ECC" w:rsidRPr="00CB32B1">
        <w:t xml:space="preserve">onsult with a medical or other health care provider </w:t>
      </w:r>
    </w:p>
    <w:p w:rsidR="002C5ECC" w:rsidRPr="00CB32B1" w:rsidRDefault="005F0AD3" w:rsidP="0003008D">
      <w:pPr>
        <w:pStyle w:val="ListBullet"/>
      </w:pPr>
      <w:r>
        <w:t>r</w:t>
      </w:r>
      <w:r w:rsidR="002C5ECC" w:rsidRPr="00CB32B1">
        <w:t xml:space="preserve">efer a woman or her infant to </w:t>
      </w:r>
      <w:r>
        <w:t>s</w:t>
      </w:r>
      <w:r w:rsidR="002C5ECC" w:rsidRPr="00CB32B1">
        <w:t xml:space="preserve">econdary or </w:t>
      </w:r>
      <w:r>
        <w:t>t</w:t>
      </w:r>
      <w:r w:rsidR="002C5ECC" w:rsidRPr="00CB32B1">
        <w:t xml:space="preserve">ertiary </w:t>
      </w:r>
      <w:r>
        <w:t>c</w:t>
      </w:r>
      <w:r w:rsidR="002C5ECC" w:rsidRPr="00CB32B1">
        <w:t>are.</w:t>
      </w:r>
    </w:p>
    <w:p w:rsidR="0003008D" w:rsidRPr="00CB32B1" w:rsidRDefault="0003008D" w:rsidP="00787608">
      <w:pPr>
        <w:pStyle w:val="Caption"/>
      </w:pPr>
      <w:bookmarkStart w:id="31" w:name="_Ref361223739"/>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7</w:t>
      </w:r>
      <w:r w:rsidR="009129A6" w:rsidRPr="00CB32B1">
        <w:fldChar w:fldCharType="end"/>
      </w:r>
      <w:bookmarkEnd w:id="31"/>
      <w:r w:rsidRPr="00CB32B1">
        <w:t>: Examples of where State policy has narrower criteria than ACM Midwifery Guidelines</w:t>
      </w:r>
    </w:p>
    <w:tbl>
      <w:tblPr>
        <w:tblStyle w:val="PwCTableStyle1"/>
        <w:tblW w:w="5000" w:type="pct"/>
        <w:tblLayout w:type="fixed"/>
        <w:tblLook w:val="04A0"/>
      </w:tblPr>
      <w:tblGrid>
        <w:gridCol w:w="1808"/>
        <w:gridCol w:w="3120"/>
        <w:gridCol w:w="1415"/>
        <w:gridCol w:w="873"/>
        <w:gridCol w:w="2069"/>
      </w:tblGrid>
      <w:tr w:rsidR="0003008D" w:rsidRPr="00CB32B1" w:rsidTr="00D76345">
        <w:trPr>
          <w:cnfStyle w:val="100000000000"/>
        </w:trPr>
        <w:tc>
          <w:tcPr>
            <w:cnfStyle w:val="001000000000"/>
            <w:tcW w:w="974" w:type="pct"/>
            <w:shd w:val="clear" w:color="auto" w:fill="DC6900" w:themeFill="text2"/>
            <w:vAlign w:val="center"/>
          </w:tcPr>
          <w:p w:rsidR="0003008D" w:rsidRPr="00CB32B1" w:rsidRDefault="0003008D" w:rsidP="00787608">
            <w:pPr>
              <w:pStyle w:val="TableColumnHeadingNormal"/>
            </w:pPr>
            <w:r w:rsidRPr="00CB32B1">
              <w:t>Indications</w:t>
            </w:r>
          </w:p>
        </w:tc>
        <w:tc>
          <w:tcPr>
            <w:tcW w:w="1680" w:type="pct"/>
            <w:shd w:val="clear" w:color="auto" w:fill="DC6900" w:themeFill="text2"/>
            <w:vAlign w:val="center"/>
          </w:tcPr>
          <w:p w:rsidR="0003008D" w:rsidRPr="00CB32B1" w:rsidRDefault="0003008D" w:rsidP="00787608">
            <w:pPr>
              <w:pStyle w:val="TableColumnHeadingNormal"/>
              <w:cnfStyle w:val="100000000000"/>
            </w:pPr>
            <w:r w:rsidRPr="00CB32B1">
              <w:t>Specific indication</w:t>
            </w:r>
          </w:p>
        </w:tc>
        <w:tc>
          <w:tcPr>
            <w:tcW w:w="762" w:type="pct"/>
            <w:shd w:val="clear" w:color="auto" w:fill="DC6900" w:themeFill="text2"/>
            <w:vAlign w:val="center"/>
          </w:tcPr>
          <w:p w:rsidR="0003008D" w:rsidRPr="00CB32B1" w:rsidRDefault="0003008D" w:rsidP="00787608">
            <w:pPr>
              <w:pStyle w:val="TableColumnHeadingNormal"/>
              <w:cnfStyle w:val="100000000000"/>
            </w:pPr>
            <w:r w:rsidRPr="00CB32B1">
              <w:t>ACM guidelines</w:t>
            </w:r>
          </w:p>
        </w:tc>
        <w:tc>
          <w:tcPr>
            <w:tcW w:w="470" w:type="pct"/>
            <w:shd w:val="clear" w:color="auto" w:fill="DC6900" w:themeFill="text2"/>
            <w:vAlign w:val="center"/>
          </w:tcPr>
          <w:p w:rsidR="0003008D" w:rsidRPr="00CB32B1" w:rsidRDefault="0003008D" w:rsidP="00787608">
            <w:pPr>
              <w:pStyle w:val="TableColumnHeadingNormal"/>
              <w:cnfStyle w:val="100000000000"/>
            </w:pPr>
            <w:r w:rsidRPr="00CB32B1">
              <w:t>SA State Policy</w:t>
            </w:r>
          </w:p>
        </w:tc>
        <w:tc>
          <w:tcPr>
            <w:tcW w:w="1114" w:type="pct"/>
            <w:shd w:val="clear" w:color="auto" w:fill="DC6900" w:themeFill="text2"/>
            <w:vAlign w:val="center"/>
          </w:tcPr>
          <w:p w:rsidR="0003008D" w:rsidRPr="00CB32B1" w:rsidRDefault="0003008D" w:rsidP="00787608">
            <w:pPr>
              <w:pStyle w:val="TableColumnHeadingNormal"/>
              <w:cnfStyle w:val="100000000000"/>
            </w:pPr>
            <w:r w:rsidRPr="00CB32B1">
              <w:t>WA Publicly Funded Homebirth Policy</w:t>
            </w:r>
          </w:p>
        </w:tc>
      </w:tr>
      <w:tr w:rsidR="0003008D" w:rsidRPr="00CB32B1" w:rsidTr="00D76345">
        <w:trPr>
          <w:trHeight w:val="338"/>
        </w:trPr>
        <w:tc>
          <w:tcPr>
            <w:cnfStyle w:val="001000000000"/>
            <w:tcW w:w="974" w:type="pct"/>
            <w:vMerge w:val="restart"/>
            <w:vAlign w:val="center"/>
          </w:tcPr>
          <w:p w:rsidR="0003008D" w:rsidRPr="00CB32B1" w:rsidRDefault="0003008D" w:rsidP="005F0AD3">
            <w:pPr>
              <w:pStyle w:val="TableTextNormal"/>
              <w:keepNext/>
              <w:keepLines/>
              <w:rPr>
                <w:color w:val="DC6900" w:themeColor="text2"/>
              </w:rPr>
            </w:pPr>
            <w:r w:rsidRPr="00CB32B1">
              <w:rPr>
                <w:color w:val="DC6900" w:themeColor="text2"/>
              </w:rPr>
              <w:t xml:space="preserve">At booking </w:t>
            </w:r>
          </w:p>
        </w:tc>
        <w:tc>
          <w:tcPr>
            <w:tcW w:w="1680" w:type="pct"/>
          </w:tcPr>
          <w:p w:rsidR="0003008D" w:rsidRPr="00CB32B1" w:rsidRDefault="0003008D" w:rsidP="00787608">
            <w:pPr>
              <w:pStyle w:val="TableTextNormal"/>
              <w:keepNext/>
              <w:keepLines/>
              <w:cnfStyle w:val="000000000000"/>
            </w:pPr>
            <w:r w:rsidRPr="00CB32B1">
              <w:t>Previous obstetric history of a retained placenta requiring manual removal</w:t>
            </w:r>
          </w:p>
        </w:tc>
        <w:tc>
          <w:tcPr>
            <w:tcW w:w="762" w:type="pct"/>
          </w:tcPr>
          <w:p w:rsidR="0003008D" w:rsidRPr="00CB32B1" w:rsidRDefault="0003008D" w:rsidP="00787608">
            <w:pPr>
              <w:pStyle w:val="TableTextNormal"/>
              <w:keepNext/>
              <w:keepLines/>
              <w:jc w:val="center"/>
              <w:cnfStyle w:val="000000000000"/>
            </w:pPr>
            <w:r w:rsidRPr="00CB32B1">
              <w:t>A</w:t>
            </w:r>
          </w:p>
        </w:tc>
        <w:tc>
          <w:tcPr>
            <w:tcW w:w="470" w:type="pct"/>
          </w:tcPr>
          <w:p w:rsidR="0003008D" w:rsidRPr="00CB32B1" w:rsidRDefault="0003008D" w:rsidP="00787608">
            <w:pPr>
              <w:pStyle w:val="TableTextNormal"/>
              <w:keepNext/>
              <w:keepLines/>
              <w:jc w:val="center"/>
              <w:cnfStyle w:val="000000000000"/>
            </w:pPr>
            <w:r w:rsidRPr="00CB32B1">
              <w:t>A</w:t>
            </w:r>
          </w:p>
        </w:tc>
        <w:tc>
          <w:tcPr>
            <w:tcW w:w="1114" w:type="pct"/>
          </w:tcPr>
          <w:p w:rsidR="0003008D" w:rsidRPr="00CB32B1" w:rsidRDefault="0003008D" w:rsidP="00787608">
            <w:pPr>
              <w:pStyle w:val="TableTextNormal"/>
              <w:keepNext/>
              <w:keepLines/>
              <w:jc w:val="center"/>
              <w:cnfStyle w:val="000000000000"/>
            </w:pPr>
            <w:r w:rsidRPr="00CB32B1">
              <w:t>C</w:t>
            </w:r>
          </w:p>
        </w:tc>
      </w:tr>
      <w:tr w:rsidR="0003008D" w:rsidRPr="00CB32B1" w:rsidTr="00D76345">
        <w:trPr>
          <w:trHeight w:val="337"/>
        </w:trPr>
        <w:tc>
          <w:tcPr>
            <w:cnfStyle w:val="001000000000"/>
            <w:tcW w:w="974" w:type="pct"/>
            <w:vMerge/>
          </w:tcPr>
          <w:p w:rsidR="0003008D" w:rsidRPr="00CB32B1" w:rsidRDefault="0003008D" w:rsidP="0003008D">
            <w:pPr>
              <w:pStyle w:val="TableTextNormal"/>
              <w:rPr>
                <w:color w:val="DC6900" w:themeColor="text2"/>
              </w:rPr>
            </w:pPr>
          </w:p>
        </w:tc>
        <w:tc>
          <w:tcPr>
            <w:tcW w:w="1680" w:type="pct"/>
          </w:tcPr>
          <w:p w:rsidR="0003008D" w:rsidRPr="00CB32B1" w:rsidRDefault="0003008D" w:rsidP="00D76345">
            <w:pPr>
              <w:pStyle w:val="TableTextNormal"/>
              <w:cnfStyle w:val="000000000000"/>
            </w:pPr>
            <w:r w:rsidRPr="00CB32B1">
              <w:t>Previous obstetric history of postpartum haemorrhaging in excess of 1</w:t>
            </w:r>
            <w:r w:rsidR="00D76345">
              <w:t>L</w:t>
            </w:r>
            <w:r w:rsidR="00854DEF" w:rsidRPr="00CB32B1">
              <w:t>/</w:t>
            </w:r>
            <w:r w:rsidRPr="00CB32B1">
              <w:t>caesarean section</w:t>
            </w:r>
          </w:p>
        </w:tc>
        <w:tc>
          <w:tcPr>
            <w:tcW w:w="762" w:type="pct"/>
          </w:tcPr>
          <w:p w:rsidR="0003008D" w:rsidRPr="00CB32B1" w:rsidRDefault="0003008D" w:rsidP="0003008D">
            <w:pPr>
              <w:pStyle w:val="TableTextNormal"/>
              <w:jc w:val="center"/>
              <w:cnfStyle w:val="000000000000"/>
            </w:pPr>
            <w:r w:rsidRPr="00CB32B1">
              <w:t>B</w:t>
            </w:r>
          </w:p>
        </w:tc>
        <w:tc>
          <w:tcPr>
            <w:tcW w:w="470" w:type="pct"/>
          </w:tcPr>
          <w:p w:rsidR="0003008D" w:rsidRPr="00CB32B1" w:rsidRDefault="0003008D" w:rsidP="0003008D">
            <w:pPr>
              <w:pStyle w:val="TableTextNormal"/>
              <w:jc w:val="center"/>
              <w:cnfStyle w:val="000000000000"/>
            </w:pPr>
            <w:r w:rsidRPr="00CB32B1">
              <w:t>C</w:t>
            </w:r>
          </w:p>
        </w:tc>
        <w:tc>
          <w:tcPr>
            <w:tcW w:w="1114" w:type="pct"/>
          </w:tcPr>
          <w:p w:rsidR="0003008D" w:rsidRPr="00CB32B1" w:rsidRDefault="0003008D" w:rsidP="0003008D">
            <w:pPr>
              <w:pStyle w:val="TableTextNormal"/>
              <w:jc w:val="center"/>
              <w:cnfStyle w:val="000000000000"/>
            </w:pPr>
            <w:r w:rsidRPr="00CB32B1">
              <w:t>C</w:t>
            </w:r>
          </w:p>
        </w:tc>
      </w:tr>
      <w:tr w:rsidR="0003008D" w:rsidRPr="00CB32B1" w:rsidTr="00D76345">
        <w:tc>
          <w:tcPr>
            <w:cnfStyle w:val="001000000000"/>
            <w:tcW w:w="974" w:type="pct"/>
            <w:vAlign w:val="center"/>
          </w:tcPr>
          <w:p w:rsidR="0003008D" w:rsidRPr="00CB32B1" w:rsidRDefault="0003008D" w:rsidP="005F0AD3">
            <w:pPr>
              <w:pStyle w:val="TableTextNormal"/>
              <w:rPr>
                <w:color w:val="DC6900" w:themeColor="text2"/>
              </w:rPr>
            </w:pPr>
            <w:r w:rsidRPr="00CB32B1">
              <w:rPr>
                <w:color w:val="DC6900" w:themeColor="text2"/>
              </w:rPr>
              <w:t>Developed/</w:t>
            </w:r>
            <w:r w:rsidRPr="00CB32B1">
              <w:rPr>
                <w:color w:val="DC6900" w:themeColor="text2"/>
              </w:rPr>
              <w:br/>
              <w:t>Discovered at Pregnancy</w:t>
            </w:r>
          </w:p>
        </w:tc>
        <w:tc>
          <w:tcPr>
            <w:tcW w:w="1680" w:type="pct"/>
          </w:tcPr>
          <w:p w:rsidR="0003008D" w:rsidRPr="00CB32B1" w:rsidRDefault="0003008D" w:rsidP="0003008D">
            <w:pPr>
              <w:pStyle w:val="TableTextNormal"/>
              <w:cnfStyle w:val="000000000000"/>
            </w:pPr>
            <w:r w:rsidRPr="00CB32B1">
              <w:t>Body mass index &gt; 35 or maternal weight of greater than 100kg</w:t>
            </w:r>
          </w:p>
        </w:tc>
        <w:tc>
          <w:tcPr>
            <w:tcW w:w="762" w:type="pct"/>
          </w:tcPr>
          <w:p w:rsidR="0003008D" w:rsidRPr="00CB32B1" w:rsidRDefault="0003008D" w:rsidP="0003008D">
            <w:pPr>
              <w:pStyle w:val="TableTextNormal"/>
              <w:jc w:val="center"/>
              <w:cnfStyle w:val="000000000000"/>
            </w:pPr>
            <w:r w:rsidRPr="00CB32B1">
              <w:t>B</w:t>
            </w:r>
          </w:p>
        </w:tc>
        <w:tc>
          <w:tcPr>
            <w:tcW w:w="470" w:type="pct"/>
          </w:tcPr>
          <w:p w:rsidR="0003008D" w:rsidRPr="00CB32B1" w:rsidRDefault="0003008D" w:rsidP="0003008D">
            <w:pPr>
              <w:pStyle w:val="TableTextNormal"/>
              <w:jc w:val="center"/>
              <w:cnfStyle w:val="000000000000"/>
            </w:pPr>
            <w:r w:rsidRPr="00CB32B1">
              <w:t>C</w:t>
            </w:r>
          </w:p>
        </w:tc>
        <w:tc>
          <w:tcPr>
            <w:tcW w:w="1114" w:type="pct"/>
          </w:tcPr>
          <w:p w:rsidR="0003008D" w:rsidRPr="00CB32B1" w:rsidRDefault="0003008D" w:rsidP="0003008D">
            <w:pPr>
              <w:pStyle w:val="TableTextNormal"/>
              <w:jc w:val="center"/>
              <w:cnfStyle w:val="000000000000"/>
            </w:pPr>
            <w:r w:rsidRPr="00CB32B1">
              <w:t>C</w:t>
            </w:r>
          </w:p>
          <w:p w:rsidR="0003008D" w:rsidRPr="00CB32B1" w:rsidRDefault="0003008D" w:rsidP="00D76345">
            <w:pPr>
              <w:pStyle w:val="TableTextNormal"/>
              <w:jc w:val="center"/>
              <w:cnfStyle w:val="000000000000"/>
            </w:pPr>
            <w:r w:rsidRPr="00CB32B1">
              <w:t xml:space="preserve">(if </w:t>
            </w:r>
            <w:r w:rsidR="00D76345">
              <w:t>&gt;</w:t>
            </w:r>
            <w:r w:rsidRPr="00CB32B1">
              <w:t xml:space="preserve"> 110 kg)</w:t>
            </w:r>
          </w:p>
        </w:tc>
      </w:tr>
      <w:tr w:rsidR="0003008D" w:rsidRPr="00CB32B1" w:rsidTr="00D76345">
        <w:tc>
          <w:tcPr>
            <w:cnfStyle w:val="001000000000"/>
            <w:tcW w:w="974" w:type="pct"/>
            <w:vAlign w:val="center"/>
          </w:tcPr>
          <w:p w:rsidR="0003008D" w:rsidRPr="00CB32B1" w:rsidRDefault="0003008D" w:rsidP="005F0AD3">
            <w:pPr>
              <w:pStyle w:val="TableTextNormal"/>
              <w:rPr>
                <w:color w:val="DC6900" w:themeColor="text2"/>
              </w:rPr>
            </w:pPr>
            <w:r w:rsidRPr="00CB32B1">
              <w:rPr>
                <w:color w:val="DC6900" w:themeColor="text2"/>
              </w:rPr>
              <w:t>During labour and birth</w:t>
            </w:r>
          </w:p>
        </w:tc>
        <w:tc>
          <w:tcPr>
            <w:tcW w:w="1680" w:type="pct"/>
          </w:tcPr>
          <w:p w:rsidR="0003008D" w:rsidRPr="00CB32B1" w:rsidRDefault="0003008D" w:rsidP="0003008D">
            <w:pPr>
              <w:pStyle w:val="TableTextNormal"/>
              <w:cnfStyle w:val="000000000000"/>
            </w:pPr>
            <w:r w:rsidRPr="00CB32B1">
              <w:t>Active first stage labour in excess of 18 hours</w:t>
            </w:r>
          </w:p>
        </w:tc>
        <w:tc>
          <w:tcPr>
            <w:tcW w:w="762" w:type="pct"/>
          </w:tcPr>
          <w:p w:rsidR="0003008D" w:rsidRPr="00CB32B1" w:rsidRDefault="0003008D" w:rsidP="0003008D">
            <w:pPr>
              <w:pStyle w:val="TableTextNormal"/>
              <w:jc w:val="center"/>
              <w:cnfStyle w:val="000000000000"/>
            </w:pPr>
            <w:r w:rsidRPr="00CB32B1">
              <w:t>B</w:t>
            </w:r>
          </w:p>
        </w:tc>
        <w:tc>
          <w:tcPr>
            <w:tcW w:w="470" w:type="pct"/>
          </w:tcPr>
          <w:p w:rsidR="0003008D" w:rsidRPr="00CB32B1" w:rsidRDefault="0003008D" w:rsidP="0003008D">
            <w:pPr>
              <w:pStyle w:val="TableTextNormal"/>
              <w:jc w:val="center"/>
              <w:cnfStyle w:val="000000000000"/>
            </w:pPr>
            <w:r w:rsidRPr="00CB32B1">
              <w:t>C</w:t>
            </w:r>
          </w:p>
        </w:tc>
        <w:tc>
          <w:tcPr>
            <w:tcW w:w="1114" w:type="pct"/>
          </w:tcPr>
          <w:p w:rsidR="0003008D" w:rsidRPr="00CB32B1" w:rsidRDefault="0003008D" w:rsidP="0003008D">
            <w:pPr>
              <w:pStyle w:val="TableTextNormal"/>
              <w:jc w:val="center"/>
              <w:cnfStyle w:val="000000000000"/>
            </w:pPr>
            <w:r w:rsidRPr="00CB32B1">
              <w:t>C</w:t>
            </w:r>
          </w:p>
          <w:p w:rsidR="0003008D" w:rsidRPr="00CB32B1" w:rsidRDefault="0003008D" w:rsidP="00D76345">
            <w:pPr>
              <w:pStyle w:val="TableTextNormal"/>
              <w:jc w:val="center"/>
              <w:cnfStyle w:val="000000000000"/>
            </w:pPr>
            <w:r w:rsidRPr="00CB32B1">
              <w:t xml:space="preserve">(if in </w:t>
            </w:r>
            <w:r w:rsidR="00D76345">
              <w:t>&gt;</w:t>
            </w:r>
            <w:r w:rsidRPr="00CB32B1">
              <w:t xml:space="preserve"> 24 hrs)</w:t>
            </w:r>
          </w:p>
        </w:tc>
      </w:tr>
    </w:tbl>
    <w:p w:rsidR="002C5ECC" w:rsidRPr="00CB32B1" w:rsidRDefault="002C5ECC" w:rsidP="004A157D">
      <w:pPr>
        <w:pStyle w:val="Sources"/>
        <w:spacing w:after="40"/>
      </w:pPr>
      <w:r w:rsidRPr="00CB32B1">
        <w:t>Note: A – discussion, B – consultation, C – referral</w:t>
      </w:r>
    </w:p>
    <w:p w:rsidR="002C5ECC" w:rsidRPr="00CB32B1" w:rsidRDefault="002C5ECC" w:rsidP="0096318C">
      <w:pPr>
        <w:pStyle w:val="Sources"/>
      </w:pPr>
      <w:r w:rsidRPr="00CB32B1">
        <w:rPr>
          <w:b/>
        </w:rPr>
        <w:t>Sources:</w:t>
      </w:r>
      <w:r w:rsidRPr="00CB32B1">
        <w:t xml:space="preserve"> </w:t>
      </w:r>
      <w:r w:rsidR="00787608" w:rsidRPr="00CB32B1">
        <w:t>Australian College of Midwifery 2008; South Australia Department of Health 2007; Department of Health WA 2012.</w:t>
      </w:r>
    </w:p>
    <w:p w:rsidR="002C5ECC" w:rsidRPr="00CB32B1" w:rsidRDefault="002C5ECC" w:rsidP="0096318C">
      <w:pPr>
        <w:pStyle w:val="Minorheading2"/>
      </w:pPr>
      <w:r w:rsidRPr="00CB32B1">
        <w:t>Disciplinary frameworks</w:t>
      </w:r>
    </w:p>
    <w:p w:rsidR="002C5ECC" w:rsidRPr="00CB32B1" w:rsidRDefault="002C5ECC" w:rsidP="002C5ECC">
      <w:pPr>
        <w:pStyle w:val="PwCNormal"/>
      </w:pPr>
      <w:r w:rsidRPr="00CB32B1">
        <w:t xml:space="preserve">Particularly in the absence of claims data (see Finding </w:t>
      </w:r>
      <w:r w:rsidR="00551164" w:rsidRPr="00CB32B1">
        <w:t>2</w:t>
      </w:r>
      <w:r w:rsidRPr="00CB32B1">
        <w:t xml:space="preserve">) disciplinary frameworks, </w:t>
      </w:r>
      <w:r w:rsidR="009D3C33">
        <w:t xml:space="preserve">or the frameworks and standards to discipline health practitioners, </w:t>
      </w:r>
      <w:r w:rsidRPr="00CB32B1">
        <w:t xml:space="preserve">like risk frameworks, can provide insurers with an understanding that those insured are at a </w:t>
      </w:r>
      <w:r w:rsidR="0096342B">
        <w:t xml:space="preserve">certain minimal </w:t>
      </w:r>
      <w:r w:rsidRPr="00CB32B1">
        <w:t>level of competency. This was identified, along with education and training, as some comfort for insurers when setting premiums in the Netherlands.</w:t>
      </w:r>
      <w:r w:rsidR="002F7DC7" w:rsidRPr="00CB32B1">
        <w:rPr>
          <w:rStyle w:val="FootnoteReference"/>
        </w:rPr>
        <w:footnoteReference w:id="70"/>
      </w:r>
    </w:p>
    <w:p w:rsidR="002C5ECC" w:rsidRPr="00CB32B1" w:rsidRDefault="002C5ECC" w:rsidP="002C5ECC">
      <w:pPr>
        <w:pStyle w:val="PwCNormal"/>
      </w:pPr>
      <w:r w:rsidRPr="00CB32B1">
        <w:t>Prior to 2010, variations in the frameworks existed</w:t>
      </w:r>
      <w:r w:rsidR="0096342B">
        <w:t xml:space="preserve"> as states and territories had their own legislation, rules and guidelines</w:t>
      </w:r>
      <w:r w:rsidRPr="00CB32B1">
        <w:t xml:space="preserve">. However </w:t>
      </w:r>
      <w:r w:rsidR="0096342B">
        <w:t xml:space="preserve">now </w:t>
      </w:r>
      <w:r w:rsidRPr="00CB32B1">
        <w:t>under the National Law (see Appendix</w:t>
      </w:r>
      <w:r w:rsidR="0096318C" w:rsidRPr="00CB32B1">
        <w:t> </w:t>
      </w:r>
      <w:r w:rsidRPr="00CB32B1">
        <w:t xml:space="preserve">H), new conditions for frameworks apply. While current and future variation may be somewhat resolved, variation may be seen in outcomes, actions and the level of competency when using data prior to 2010. </w:t>
      </w:r>
    </w:p>
    <w:p w:rsidR="002C5ECC" w:rsidRPr="00CB32B1" w:rsidRDefault="002C5ECC" w:rsidP="002C5ECC">
      <w:pPr>
        <w:pStyle w:val="PwCNormal"/>
      </w:pPr>
      <w:r w:rsidRPr="00CB32B1">
        <w:t>From the consultations held and research completed, consistent disciplinary frameworks were considered to be useful for insurers because they:</w:t>
      </w:r>
    </w:p>
    <w:p w:rsidR="002C5ECC" w:rsidRPr="00CB32B1" w:rsidRDefault="005F0AD3" w:rsidP="0096318C">
      <w:pPr>
        <w:pStyle w:val="ListBullet"/>
      </w:pPr>
      <w:r>
        <w:t>d</w:t>
      </w:r>
      <w:r w:rsidR="002C5ECC" w:rsidRPr="00CB32B1">
        <w:t xml:space="preserve">ecrease the number of claims over time when a more stringent framework has been applied. For example in the province of Ontario there has been a decline in the number of tribunal cases over time. In the first few </w:t>
      </w:r>
      <w:r w:rsidR="008D0B4E" w:rsidRPr="00CB32B1">
        <w:t xml:space="preserve">years of introducing guidelines </w:t>
      </w:r>
      <w:r w:rsidR="002C5ECC" w:rsidRPr="00CB32B1">
        <w:t>there were three cases heard</w:t>
      </w:r>
      <w:r w:rsidR="00CB1BAB" w:rsidRPr="00CB32B1">
        <w:t xml:space="preserve"> prior to 2004 </w:t>
      </w:r>
      <w:r w:rsidR="002C5ECC" w:rsidRPr="00CB32B1">
        <w:t>that were identified.</w:t>
      </w:r>
      <w:r w:rsidR="00983443" w:rsidRPr="00983443">
        <w:rPr>
          <w:vertAlign w:val="superscript"/>
        </w:rPr>
        <w:t xml:space="preserve"> </w:t>
      </w:r>
      <w:r w:rsidR="00983443" w:rsidRPr="00CB32B1">
        <w:rPr>
          <w:vertAlign w:val="superscript"/>
        </w:rPr>
        <w:footnoteReference w:id="71"/>
      </w:r>
      <w:r w:rsidR="00983443">
        <w:rPr>
          <w:vertAlign w:val="superscript"/>
        </w:rPr>
        <w:t>,</w:t>
      </w:r>
      <w:r w:rsidR="0096342B">
        <w:rPr>
          <w:vertAlign w:val="superscript"/>
        </w:rPr>
        <w:t xml:space="preserve"> </w:t>
      </w:r>
      <w:r w:rsidR="002F7DC7" w:rsidRPr="00CB32B1">
        <w:rPr>
          <w:rStyle w:val="FootnoteReference"/>
        </w:rPr>
        <w:footnoteReference w:id="72"/>
      </w:r>
      <w:r w:rsidR="008D0B4E" w:rsidRPr="00CB32B1">
        <w:t xml:space="preserve"> </w:t>
      </w:r>
      <w:r w:rsidR="002C5ECC" w:rsidRPr="00CB32B1">
        <w:t>However since then there was only one further case identified that resulted in a tribunal hearin</w:t>
      </w:r>
      <w:r w:rsidR="00CB1BAB" w:rsidRPr="00CB32B1">
        <w:t>g</w:t>
      </w:r>
      <w:r w:rsidR="002F7DC7" w:rsidRPr="00CB32B1">
        <w:rPr>
          <w:rStyle w:val="FootnoteReference"/>
        </w:rPr>
        <w:footnoteReference w:id="73"/>
      </w:r>
    </w:p>
    <w:p w:rsidR="002C5ECC" w:rsidRPr="00CB32B1" w:rsidRDefault="003348C8" w:rsidP="0096318C">
      <w:pPr>
        <w:pStyle w:val="ListBullet"/>
      </w:pPr>
      <w:r>
        <w:t>d</w:t>
      </w:r>
      <w:r w:rsidR="002C5ECC" w:rsidRPr="00CB32B1">
        <w:t xml:space="preserve">ecrease the variation of disciplinary outcomes across states </w:t>
      </w:r>
      <w:r>
        <w:t>(</w:t>
      </w:r>
      <w:r w:rsidR="00854DEF" w:rsidRPr="00CB32B1">
        <w:t>ie</w:t>
      </w:r>
      <w:r w:rsidR="002C5ECC" w:rsidRPr="00CB32B1">
        <w:t xml:space="preserve"> particular practices which are outside of scope or are not b</w:t>
      </w:r>
      <w:r w:rsidR="00CD0CA9" w:rsidRPr="00CB32B1">
        <w:t>est practice can be discouraged</w:t>
      </w:r>
      <w:r>
        <w:t>)</w:t>
      </w:r>
    </w:p>
    <w:p w:rsidR="002C5ECC" w:rsidRPr="00CB32B1" w:rsidRDefault="003348C8" w:rsidP="0096318C">
      <w:pPr>
        <w:pStyle w:val="ListBullet"/>
      </w:pPr>
      <w:r>
        <w:t>decrease the risk profile (</w:t>
      </w:r>
      <w:r w:rsidR="00854DEF" w:rsidRPr="00CB32B1">
        <w:t>ie</w:t>
      </w:r>
      <w:r w:rsidR="002C5ECC" w:rsidRPr="00CB32B1">
        <w:t xml:space="preserve"> PPMs who practise outside of scope or inappropriately are restricted from practising in such a way again</w:t>
      </w:r>
      <w:r>
        <w:t>)</w:t>
      </w:r>
      <w:r w:rsidR="002C5ECC" w:rsidRPr="00CB32B1">
        <w:t xml:space="preserve">. PPMs who are practising appropriately </w:t>
      </w:r>
      <w:r w:rsidR="0096342B">
        <w:t>may</w:t>
      </w:r>
      <w:r w:rsidR="002C5ECC" w:rsidRPr="00CB32B1">
        <w:t xml:space="preserve"> then be perceived of a lower risk profile.</w:t>
      </w:r>
    </w:p>
    <w:p w:rsidR="002C5ECC" w:rsidRPr="00CB32B1" w:rsidRDefault="002C5ECC" w:rsidP="0096318C">
      <w:pPr>
        <w:pStyle w:val="Majorheading"/>
      </w:pPr>
      <w:r w:rsidRPr="00CB32B1">
        <w:t>Finding 2: Data quality and availability relating to PPMs</w:t>
      </w:r>
    </w:p>
    <w:tbl>
      <w:tblPr>
        <w:tblStyle w:val="TableGrid"/>
        <w:tblW w:w="0" w:type="auto"/>
        <w:tblBorders>
          <w:top w:val="single" w:sz="4" w:space="0" w:color="DC6900" w:themeColor="text2"/>
          <w:left w:val="single" w:sz="4" w:space="0" w:color="DC6900" w:themeColor="text2"/>
          <w:bottom w:val="single" w:sz="4" w:space="0" w:color="DC6900" w:themeColor="text2"/>
          <w:right w:val="single" w:sz="4" w:space="0" w:color="DC6900" w:themeColor="text2"/>
          <w:insideH w:val="none" w:sz="0" w:space="0" w:color="auto"/>
          <w:insideV w:val="none" w:sz="0" w:space="0" w:color="auto"/>
        </w:tblBorders>
        <w:tblLook w:val="04A0"/>
      </w:tblPr>
      <w:tblGrid>
        <w:gridCol w:w="9285"/>
      </w:tblGrid>
      <w:tr w:rsidR="0096318C" w:rsidRPr="00CB32B1" w:rsidTr="0096318C">
        <w:tc>
          <w:tcPr>
            <w:tcW w:w="9288" w:type="dxa"/>
          </w:tcPr>
          <w:p w:rsidR="0096318C" w:rsidRPr="00CB32B1" w:rsidRDefault="0096318C" w:rsidP="0096318C">
            <w:pPr>
              <w:pStyle w:val="TableTextNormal"/>
              <w:rPr>
                <w:b/>
                <w:color w:val="DC6900" w:themeColor="text2"/>
              </w:rPr>
            </w:pPr>
            <w:r w:rsidRPr="00CB32B1">
              <w:rPr>
                <w:b/>
                <w:color w:val="DC6900" w:themeColor="text2"/>
              </w:rPr>
              <w:t>The availability and quality of data is currently insufficient to confidently understand the extent of PPM practice and the associated risk</w:t>
            </w:r>
          </w:p>
        </w:tc>
      </w:tr>
    </w:tbl>
    <w:p w:rsidR="0085477F" w:rsidRPr="00CB32B1" w:rsidRDefault="0085477F" w:rsidP="0085477F">
      <w:pPr>
        <w:pStyle w:val="PwCNormal"/>
        <w:spacing w:before="120" w:after="80"/>
        <w:rPr>
          <w:sz w:val="4"/>
          <w:szCs w:val="4"/>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928"/>
        <w:gridCol w:w="342"/>
        <w:gridCol w:w="4052"/>
      </w:tblGrid>
      <w:tr w:rsidR="0085477F" w:rsidRPr="00CB32B1" w:rsidTr="0083432B">
        <w:tc>
          <w:tcPr>
            <w:tcW w:w="4928" w:type="dxa"/>
          </w:tcPr>
          <w:p w:rsidR="0085477F" w:rsidRPr="00CB32B1" w:rsidRDefault="0085477F" w:rsidP="0096342B">
            <w:pPr>
              <w:pStyle w:val="TableTextNormal"/>
            </w:pPr>
            <w:r w:rsidRPr="00CB32B1">
              <w:t xml:space="preserve">Consultations and literature identified that the availability and quality of data is a major barrier in the development of a commercial </w:t>
            </w:r>
            <w:r w:rsidR="0096342B">
              <w:t>professional indemnity insurance</w:t>
            </w:r>
            <w:r w:rsidRPr="00CB32B1">
              <w:t xml:space="preserve"> product for antenatal, intrapartum and postnatal care provided by PPMs. This is because it is believed to be insufficient to give insurers certainty over the scope of practice of </w:t>
            </w:r>
            <w:r w:rsidR="00DF7C28">
              <w:t>PPMs</w:t>
            </w:r>
            <w:r w:rsidRPr="00CB32B1">
              <w:t xml:space="preserve">, and therefore their risk profile, </w:t>
            </w:r>
            <w:r w:rsidR="0096342B">
              <w:t xml:space="preserve">which is required </w:t>
            </w:r>
            <w:r w:rsidRPr="00CB32B1">
              <w:t xml:space="preserve">when setting a </w:t>
            </w:r>
            <w:r w:rsidR="0083432B" w:rsidRPr="00CB32B1">
              <w:t>p</w:t>
            </w:r>
            <w:r w:rsidRPr="00CB32B1">
              <w:t>remium.</w:t>
            </w:r>
          </w:p>
        </w:tc>
        <w:tc>
          <w:tcPr>
            <w:tcW w:w="342" w:type="dxa"/>
          </w:tcPr>
          <w:p w:rsidR="0085477F" w:rsidRPr="00CB32B1" w:rsidRDefault="0085477F" w:rsidP="00D57683">
            <w:pPr>
              <w:pStyle w:val="TableTextNormal"/>
            </w:pPr>
          </w:p>
        </w:tc>
        <w:tc>
          <w:tcPr>
            <w:tcW w:w="4052" w:type="dxa"/>
            <w:shd w:val="clear" w:color="auto" w:fill="DC6900" w:themeFill="text2"/>
            <w:vAlign w:val="center"/>
          </w:tcPr>
          <w:p w:rsidR="0085477F" w:rsidRPr="00CC0BF6" w:rsidRDefault="0085477F" w:rsidP="00D57683">
            <w:pPr>
              <w:pStyle w:val="TableTextNormal"/>
              <w:rPr>
                <w:b/>
                <w:i/>
                <w:color w:val="FFFFFF" w:themeColor="background1"/>
              </w:rPr>
            </w:pPr>
            <w:r w:rsidRPr="00CC0BF6">
              <w:rPr>
                <w:b/>
                <w:i/>
                <w:color w:val="FFFFFF" w:themeColor="background1"/>
              </w:rPr>
              <w:t>“No adequate and reliable data are available to develop an accurate risk profile for privately practising midwives who provide birthing services”</w:t>
            </w:r>
          </w:p>
          <w:p w:rsidR="0085477F" w:rsidRPr="00CB32B1" w:rsidRDefault="0085477F" w:rsidP="00D36800">
            <w:pPr>
              <w:pStyle w:val="TableTextNormal"/>
              <w:spacing w:before="40" w:after="40"/>
              <w:jc w:val="right"/>
              <w:rPr>
                <w:i/>
                <w:sz w:val="16"/>
                <w:szCs w:val="16"/>
              </w:rPr>
            </w:pPr>
            <w:r w:rsidRPr="00CB32B1">
              <w:rPr>
                <w:i/>
                <w:color w:val="FFFFFF" w:themeColor="background1"/>
                <w:sz w:val="16"/>
                <w:szCs w:val="16"/>
              </w:rPr>
              <w:t>Commonwealth of Australia. (2008</w:t>
            </w:r>
            <w:r w:rsidR="00CC0BF6">
              <w:rPr>
                <w:i/>
                <w:color w:val="FFFFFF" w:themeColor="background1"/>
                <w:sz w:val="16"/>
                <w:szCs w:val="16"/>
              </w:rPr>
              <w:t>)</w:t>
            </w:r>
          </w:p>
        </w:tc>
      </w:tr>
      <w:tr w:rsidR="0085477F" w:rsidRPr="00CB32B1" w:rsidTr="0083432B">
        <w:trPr>
          <w:trHeight w:hRule="exact" w:val="86"/>
        </w:trPr>
        <w:tc>
          <w:tcPr>
            <w:tcW w:w="4928" w:type="dxa"/>
          </w:tcPr>
          <w:p w:rsidR="0085477F" w:rsidRPr="00CB32B1" w:rsidRDefault="0085477F" w:rsidP="00D57683">
            <w:pPr>
              <w:pStyle w:val="TableTextNormal"/>
            </w:pPr>
          </w:p>
        </w:tc>
        <w:tc>
          <w:tcPr>
            <w:tcW w:w="342" w:type="dxa"/>
            <w:shd w:val="clear" w:color="auto" w:fill="DC6900" w:themeFill="text2"/>
          </w:tcPr>
          <w:p w:rsidR="0085477F" w:rsidRPr="00CB32B1" w:rsidRDefault="0085477F" w:rsidP="00D57683">
            <w:pPr>
              <w:pStyle w:val="TableTextNormal"/>
            </w:pPr>
          </w:p>
        </w:tc>
        <w:tc>
          <w:tcPr>
            <w:tcW w:w="4052" w:type="dxa"/>
          </w:tcPr>
          <w:p w:rsidR="0085477F" w:rsidRPr="00CB32B1" w:rsidRDefault="0085477F" w:rsidP="00D57683">
            <w:pPr>
              <w:pStyle w:val="TableTextNormal"/>
            </w:pPr>
          </w:p>
        </w:tc>
      </w:tr>
    </w:tbl>
    <w:p w:rsidR="0083432B" w:rsidRPr="00CB32B1" w:rsidRDefault="0083432B" w:rsidP="00D76345">
      <w:pPr>
        <w:pStyle w:val="PwCNormal"/>
        <w:spacing w:before="120"/>
      </w:pPr>
      <w:r w:rsidRPr="00CB32B1">
        <w:t>As a part of the scope of this report, data was to be collected on both PPM practice and insurance. From the research completed, it was determined that the current amount of data is limited. This was not unexpected given that the NMBA and consultations alluded to PPMs being a relatively small cohort of practitioners (and PPMs providing homebirth was likely to be an even smaller group).</w:t>
      </w:r>
    </w:p>
    <w:p w:rsidR="002C5ECC" w:rsidRPr="00CB32B1" w:rsidRDefault="002C5ECC" w:rsidP="00D57683">
      <w:pPr>
        <w:pStyle w:val="PwCNormal"/>
        <w:keepNext/>
        <w:keepLines/>
        <w:spacing w:before="120"/>
      </w:pPr>
      <w:r w:rsidRPr="00CB32B1">
        <w:t xml:space="preserve">Data are important to provide an evidence base for insurers to set premiums within each component of the premium equation. As outlined in </w:t>
      </w:r>
      <w:r w:rsidR="009129A6" w:rsidRPr="00CB32B1">
        <w:fldChar w:fldCharType="begin"/>
      </w:r>
      <w:r w:rsidR="00EB2051" w:rsidRPr="00CB32B1">
        <w:instrText xml:space="preserve"> REF _Ref361223549 \h </w:instrText>
      </w:r>
      <w:r w:rsidR="009129A6" w:rsidRPr="00CB32B1">
        <w:fldChar w:fldCharType="separate"/>
      </w:r>
      <w:r w:rsidR="008816B4" w:rsidRPr="00CB32B1">
        <w:t xml:space="preserve">Figure </w:t>
      </w:r>
      <w:r w:rsidR="008816B4">
        <w:rPr>
          <w:noProof/>
        </w:rPr>
        <w:t>8</w:t>
      </w:r>
      <w:r w:rsidR="009129A6" w:rsidRPr="00CB32B1">
        <w:fldChar w:fldCharType="end"/>
      </w:r>
      <w:r w:rsidRPr="00CB32B1">
        <w:t>, in order to be able to set a premium, an insurer may require information on factors relating to the premium equation such as:</w:t>
      </w:r>
    </w:p>
    <w:p w:rsidR="002C5ECC" w:rsidRPr="00CB32B1" w:rsidRDefault="002C5ECC" w:rsidP="00D57683">
      <w:pPr>
        <w:pStyle w:val="ListBullet"/>
        <w:keepNext/>
        <w:keepLines/>
      </w:pPr>
      <w:r w:rsidRPr="00CB32B1">
        <w:rPr>
          <w:b/>
          <w:color w:val="DC6900" w:themeColor="text2"/>
        </w:rPr>
        <w:t>Size:</w:t>
      </w:r>
      <w:r w:rsidRPr="00CB32B1">
        <w:t xml:space="preserve"> </w:t>
      </w:r>
      <w:r w:rsidR="00CC0BF6">
        <w:t>t</w:t>
      </w:r>
      <w:r w:rsidRPr="00CB32B1">
        <w:t>h</w:t>
      </w:r>
      <w:r w:rsidR="00CD0CA9" w:rsidRPr="00CB32B1">
        <w:t>e size and growth of the market</w:t>
      </w:r>
    </w:p>
    <w:p w:rsidR="002C5ECC" w:rsidRPr="00CB32B1" w:rsidRDefault="002C5ECC" w:rsidP="00D57683">
      <w:pPr>
        <w:pStyle w:val="ListBullet"/>
        <w:keepNext/>
        <w:keepLines/>
      </w:pPr>
      <w:r w:rsidRPr="00CB32B1">
        <w:rPr>
          <w:b/>
          <w:color w:val="DC6900" w:themeColor="text2"/>
        </w:rPr>
        <w:t xml:space="preserve">Probability of a claim and timing: </w:t>
      </w:r>
      <w:r w:rsidR="00CC0BF6">
        <w:t>t</w:t>
      </w:r>
      <w:r w:rsidRPr="00CB32B1">
        <w:t xml:space="preserve">he potential for </w:t>
      </w:r>
      <w:r w:rsidR="009D3C33">
        <w:t>claims and factors increasing the risk</w:t>
      </w:r>
    </w:p>
    <w:p w:rsidR="002C5ECC" w:rsidRPr="00CB32B1" w:rsidRDefault="002C5ECC" w:rsidP="00D57683">
      <w:pPr>
        <w:pStyle w:val="ListBullet"/>
        <w:keepNext/>
        <w:keepLines/>
      </w:pPr>
      <w:r w:rsidRPr="00CB32B1">
        <w:rPr>
          <w:b/>
          <w:color w:val="DC6900" w:themeColor="text2"/>
        </w:rPr>
        <w:t xml:space="preserve">Quantum: </w:t>
      </w:r>
      <w:r w:rsidR="00CC0BF6">
        <w:t>h</w:t>
      </w:r>
      <w:r w:rsidRPr="00CB32B1">
        <w:t>ow much is the claim and the types of damages (</w:t>
      </w:r>
      <w:r w:rsidR="00854DEF" w:rsidRPr="00CB32B1">
        <w:t>ie</w:t>
      </w:r>
      <w:r w:rsidRPr="00CB32B1">
        <w:t xml:space="preserve"> legal, </w:t>
      </w:r>
      <w:r w:rsidR="009D3C33">
        <w:t xml:space="preserve">disability </w:t>
      </w:r>
      <w:r w:rsidRPr="00CB32B1">
        <w:t>compensation).</w:t>
      </w:r>
    </w:p>
    <w:p w:rsidR="002C5ECC" w:rsidRPr="00CB32B1" w:rsidRDefault="002C5ECC" w:rsidP="002C5ECC">
      <w:pPr>
        <w:pStyle w:val="PwCNormal"/>
      </w:pPr>
      <w:r w:rsidRPr="00CB32B1">
        <w:t xml:space="preserve">These factors, along with further detail with specific regard to PPM practice, are outlined in </w:t>
      </w:r>
      <w:r w:rsidR="009129A6" w:rsidRPr="00CB32B1">
        <w:fldChar w:fldCharType="begin"/>
      </w:r>
      <w:r w:rsidR="00EB2051" w:rsidRPr="00CB32B1">
        <w:instrText xml:space="preserve"> REF _Ref361223549 \h </w:instrText>
      </w:r>
      <w:r w:rsidR="009129A6" w:rsidRPr="00CB32B1">
        <w:fldChar w:fldCharType="separate"/>
      </w:r>
      <w:r w:rsidR="008816B4" w:rsidRPr="00CB32B1">
        <w:t xml:space="preserve">Figure </w:t>
      </w:r>
      <w:r w:rsidR="008816B4">
        <w:rPr>
          <w:noProof/>
        </w:rPr>
        <w:t>8</w:t>
      </w:r>
      <w:r w:rsidR="009129A6" w:rsidRPr="00CB32B1">
        <w:fldChar w:fldCharType="end"/>
      </w:r>
      <w:r w:rsidR="0096342B">
        <w:t xml:space="preserve"> and will be discussed in further detail below</w:t>
      </w:r>
      <w:r w:rsidRPr="00CB32B1">
        <w:t>.</w:t>
      </w:r>
    </w:p>
    <w:p w:rsidR="00965224" w:rsidRPr="00CB32B1" w:rsidRDefault="00965224" w:rsidP="00270634">
      <w:pPr>
        <w:pStyle w:val="NumericCaption"/>
      </w:pPr>
      <w:bookmarkStart w:id="32" w:name="_Ref361223549"/>
      <w:r w:rsidRPr="00CB32B1">
        <w:t xml:space="preserve">Figure </w:t>
      </w:r>
      <w:r w:rsidR="009129A6" w:rsidRPr="00CB32B1">
        <w:fldChar w:fldCharType="begin"/>
      </w:r>
      <w:r w:rsidR="00D16456" w:rsidRPr="00CB32B1">
        <w:instrText xml:space="preserve"> SEQ Figure \* ARABIC </w:instrText>
      </w:r>
      <w:r w:rsidR="009129A6" w:rsidRPr="00CB32B1">
        <w:fldChar w:fldCharType="separate"/>
      </w:r>
      <w:r w:rsidR="008816B4">
        <w:rPr>
          <w:noProof/>
        </w:rPr>
        <w:t>8</w:t>
      </w:r>
      <w:r w:rsidR="009129A6" w:rsidRPr="00CB32B1">
        <w:fldChar w:fldCharType="end"/>
      </w:r>
      <w:bookmarkEnd w:id="32"/>
      <w:r w:rsidRPr="00CB32B1">
        <w:t>: Data that might be required for components of the premium equation</w:t>
      </w:r>
    </w:p>
    <w:p w:rsidR="002C5ECC" w:rsidRPr="00CB32B1" w:rsidRDefault="002F7DC7" w:rsidP="002C5ECC">
      <w:pPr>
        <w:pStyle w:val="PwCNormal"/>
      </w:pPr>
      <w:r w:rsidRPr="00CB32B1">
        <w:rPr>
          <w:noProof/>
          <w:lang w:val="en-US"/>
        </w:rPr>
        <w:drawing>
          <wp:inline distT="0" distB="0" distL="0" distR="0">
            <wp:extent cx="5760720" cy="3155479"/>
            <wp:effectExtent l="19050" t="0" r="0" b="0"/>
            <wp:docPr id="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cstate="print"/>
                    <a:srcRect/>
                    <a:stretch>
                      <a:fillRect/>
                    </a:stretch>
                  </pic:blipFill>
                  <pic:spPr bwMode="auto">
                    <a:xfrm>
                      <a:off x="0" y="0"/>
                      <a:ext cx="5760720" cy="3155479"/>
                    </a:xfrm>
                    <a:prstGeom prst="rect">
                      <a:avLst/>
                    </a:prstGeom>
                    <a:noFill/>
                    <a:ln w="9525">
                      <a:noFill/>
                      <a:miter lim="800000"/>
                      <a:headEnd/>
                      <a:tailEnd/>
                    </a:ln>
                  </pic:spPr>
                </pic:pic>
              </a:graphicData>
            </a:graphic>
          </wp:inline>
        </w:drawing>
      </w:r>
    </w:p>
    <w:p w:rsidR="002C5ECC" w:rsidRPr="00CB32B1" w:rsidRDefault="002C5ECC" w:rsidP="00965224">
      <w:pPr>
        <w:pStyle w:val="Sources"/>
      </w:pPr>
      <w:r w:rsidRPr="00CB32B1">
        <w:rPr>
          <w:b/>
        </w:rPr>
        <w:t>Source:</w:t>
      </w:r>
      <w:r w:rsidRPr="00CB32B1">
        <w:t xml:space="preserve"> PwC analysis</w:t>
      </w:r>
      <w:r w:rsidR="004A157D" w:rsidRPr="00CB32B1">
        <w:t>.</w:t>
      </w:r>
    </w:p>
    <w:p w:rsidR="002C5ECC" w:rsidRPr="00CB32B1" w:rsidRDefault="002C5ECC" w:rsidP="00965224">
      <w:pPr>
        <w:pStyle w:val="Minorheading"/>
      </w:pPr>
      <w:r w:rsidRPr="00CB32B1">
        <w:t>1.</w:t>
      </w:r>
      <w:r w:rsidRPr="00CB32B1">
        <w:tab/>
        <w:t xml:space="preserve">Number of </w:t>
      </w:r>
      <w:r w:rsidR="00727D37">
        <w:t>PPMs</w:t>
      </w:r>
      <w:r w:rsidRPr="00CB32B1">
        <w:t xml:space="preserve"> (scale)</w:t>
      </w:r>
    </w:p>
    <w:p w:rsidR="002C5ECC" w:rsidRPr="00CB32B1" w:rsidRDefault="002C5ECC" w:rsidP="002C5ECC">
      <w:pPr>
        <w:pStyle w:val="PwCNormal"/>
      </w:pPr>
      <w:r w:rsidRPr="00CB32B1">
        <w:t xml:space="preserve">Currently there are limited data on both the number of PPMs and the number providing care within the home, </w:t>
      </w:r>
      <w:r w:rsidR="0096342B">
        <w:t xml:space="preserve">as well as </w:t>
      </w:r>
      <w:r w:rsidRPr="00CB32B1">
        <w:t>how these PPMs operate. This provides uncertainty over the size of the total pool of PPMs. The reason for this is because, as part of registration</w:t>
      </w:r>
      <w:r w:rsidR="0096342B">
        <w:t>,</w:t>
      </w:r>
      <w:r w:rsidRPr="00CB32B1">
        <w:t xml:space="preserve"> midwives do not have to nominate </w:t>
      </w:r>
      <w:r w:rsidR="0096342B">
        <w:t xml:space="preserve">the </w:t>
      </w:r>
      <w:r w:rsidRPr="00CB32B1">
        <w:t>models of care under which they provide services. Given that the AIHW also do not collect data</w:t>
      </w:r>
      <w:r w:rsidR="0096342B">
        <w:t xml:space="preserve"> on this</w:t>
      </w:r>
      <w:r w:rsidRPr="00CB32B1">
        <w:t xml:space="preserve">, there is therefore limited data over time that exists on the number of PPMs. In the past, various other data sources were used, but each of these has limitations. An example of alternative data sources and their limitations is shown in </w:t>
      </w:r>
      <w:r w:rsidR="009129A6" w:rsidRPr="00CB32B1">
        <w:fldChar w:fldCharType="begin"/>
      </w:r>
      <w:r w:rsidR="00EB2051" w:rsidRPr="00CB32B1">
        <w:instrText xml:space="preserve"> REF _Ref361223763 \h </w:instrText>
      </w:r>
      <w:r w:rsidR="009129A6" w:rsidRPr="00CB32B1">
        <w:fldChar w:fldCharType="separate"/>
      </w:r>
      <w:r w:rsidR="008816B4" w:rsidRPr="00CB32B1">
        <w:t xml:space="preserve">Table </w:t>
      </w:r>
      <w:r w:rsidR="008816B4">
        <w:rPr>
          <w:noProof/>
        </w:rPr>
        <w:t>8</w:t>
      </w:r>
      <w:r w:rsidR="009129A6" w:rsidRPr="00CB32B1">
        <w:fldChar w:fldCharType="end"/>
      </w:r>
      <w:r w:rsidRPr="00CB32B1">
        <w:t>.</w:t>
      </w:r>
    </w:p>
    <w:p w:rsidR="00965224" w:rsidRPr="00CB32B1" w:rsidRDefault="00965224" w:rsidP="00D76345">
      <w:pPr>
        <w:pStyle w:val="Caption"/>
      </w:pPr>
      <w:bookmarkStart w:id="33" w:name="_Ref361223763"/>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8</w:t>
      </w:r>
      <w:r w:rsidR="009129A6" w:rsidRPr="00CB32B1">
        <w:fldChar w:fldCharType="end"/>
      </w:r>
      <w:bookmarkEnd w:id="33"/>
      <w:r w:rsidRPr="00CB32B1">
        <w:t>: Alternative evidence for the number of PPMs</w:t>
      </w:r>
    </w:p>
    <w:tbl>
      <w:tblPr>
        <w:tblStyle w:val="PwCTableStyle1"/>
        <w:tblW w:w="5000" w:type="pct"/>
        <w:tblLook w:val="04A0"/>
      </w:tblPr>
      <w:tblGrid>
        <w:gridCol w:w="1790"/>
        <w:gridCol w:w="4240"/>
        <w:gridCol w:w="3255"/>
      </w:tblGrid>
      <w:tr w:rsidR="00965224" w:rsidRPr="00CB32B1" w:rsidTr="003B21A7">
        <w:trPr>
          <w:cnfStyle w:val="100000000000"/>
        </w:trPr>
        <w:tc>
          <w:tcPr>
            <w:cnfStyle w:val="001000000000"/>
            <w:tcW w:w="964" w:type="pct"/>
            <w:shd w:val="clear" w:color="auto" w:fill="DC6900" w:themeFill="text2"/>
            <w:vAlign w:val="center"/>
          </w:tcPr>
          <w:p w:rsidR="00965224" w:rsidRPr="00CB32B1" w:rsidRDefault="00965224" w:rsidP="00D76345">
            <w:pPr>
              <w:pStyle w:val="TableColumnHeadingNormal"/>
            </w:pPr>
            <w:r w:rsidRPr="00CB32B1">
              <w:t>Evidence type</w:t>
            </w:r>
          </w:p>
        </w:tc>
        <w:tc>
          <w:tcPr>
            <w:tcW w:w="2283" w:type="pct"/>
            <w:shd w:val="clear" w:color="auto" w:fill="DC6900" w:themeFill="text2"/>
            <w:vAlign w:val="center"/>
          </w:tcPr>
          <w:p w:rsidR="00965224" w:rsidRPr="00CB32B1" w:rsidRDefault="00965224" w:rsidP="00D76345">
            <w:pPr>
              <w:pStyle w:val="TableColumnHeadingNormal"/>
              <w:cnfStyle w:val="100000000000"/>
            </w:pPr>
            <w:r w:rsidRPr="00CB32B1">
              <w:t>Issues with using as evidence</w:t>
            </w:r>
          </w:p>
        </w:tc>
        <w:tc>
          <w:tcPr>
            <w:tcW w:w="1753" w:type="pct"/>
            <w:shd w:val="clear" w:color="auto" w:fill="DC6900" w:themeFill="text2"/>
            <w:vAlign w:val="center"/>
          </w:tcPr>
          <w:p w:rsidR="00965224" w:rsidRPr="00CB32B1" w:rsidRDefault="00965224" w:rsidP="00D76345">
            <w:pPr>
              <w:pStyle w:val="TableColumnHeadingNormal"/>
              <w:cnfStyle w:val="100000000000"/>
            </w:pPr>
            <w:r w:rsidRPr="00CB32B1">
              <w:t>Examples of sources considered</w:t>
            </w:r>
          </w:p>
        </w:tc>
      </w:tr>
      <w:tr w:rsidR="00965224" w:rsidRPr="00CB32B1" w:rsidTr="00965224">
        <w:tc>
          <w:tcPr>
            <w:cnfStyle w:val="001000000000"/>
            <w:tcW w:w="964" w:type="pct"/>
          </w:tcPr>
          <w:p w:rsidR="00965224" w:rsidRPr="00CB32B1" w:rsidRDefault="00965224" w:rsidP="00D76345">
            <w:pPr>
              <w:pStyle w:val="TableTextNormal"/>
              <w:keepNext/>
              <w:keepLines/>
            </w:pPr>
            <w:r w:rsidRPr="00CB32B1">
              <w:t>Colleges, associations and regulators in surveys</w:t>
            </w:r>
          </w:p>
        </w:tc>
        <w:tc>
          <w:tcPr>
            <w:tcW w:w="2283" w:type="pct"/>
          </w:tcPr>
          <w:p w:rsidR="00965224" w:rsidRPr="00CB32B1" w:rsidRDefault="00965224" w:rsidP="00D76345">
            <w:pPr>
              <w:pStyle w:val="TableBullet1Normal"/>
              <w:keepNext/>
              <w:keepLines/>
              <w:cnfStyle w:val="000000000000"/>
            </w:pPr>
            <w:r w:rsidRPr="00CB32B1">
              <w:t>Prior to this report, surveys have not been completed</w:t>
            </w:r>
          </w:p>
          <w:p w:rsidR="00965224" w:rsidRPr="00CB32B1" w:rsidRDefault="00965224" w:rsidP="00D76345">
            <w:pPr>
              <w:pStyle w:val="TableBullet1Normal"/>
              <w:keepNext/>
              <w:keepLines/>
              <w:cnfStyle w:val="000000000000"/>
            </w:pPr>
            <w:r w:rsidRPr="00CB32B1">
              <w:t>Lack of mandatory completion of surveys me</w:t>
            </w:r>
            <w:r w:rsidR="0096342B">
              <w:t>ans the data will be incomplete</w:t>
            </w:r>
          </w:p>
        </w:tc>
        <w:tc>
          <w:tcPr>
            <w:tcW w:w="1753" w:type="pct"/>
          </w:tcPr>
          <w:p w:rsidR="00965224" w:rsidRPr="00CB32B1" w:rsidRDefault="00965224" w:rsidP="00D76345">
            <w:pPr>
              <w:pStyle w:val="TableBullet1Normal"/>
              <w:keepNext/>
              <w:keepLines/>
              <w:cnfStyle w:val="000000000000"/>
            </w:pPr>
            <w:r w:rsidRPr="00CB32B1">
              <w:t xml:space="preserve">NMBA </w:t>
            </w:r>
          </w:p>
          <w:p w:rsidR="00965224" w:rsidRPr="00CB32B1" w:rsidRDefault="00965224" w:rsidP="00D76345">
            <w:pPr>
              <w:pStyle w:val="TableBullet1Normal"/>
              <w:keepNext/>
              <w:keepLines/>
              <w:cnfStyle w:val="000000000000"/>
            </w:pPr>
            <w:r w:rsidRPr="00CB32B1">
              <w:t>Australian College of Midwives (ACM)</w:t>
            </w:r>
          </w:p>
          <w:p w:rsidR="00965224" w:rsidRPr="00CB32B1" w:rsidRDefault="00965224" w:rsidP="00D76345">
            <w:pPr>
              <w:pStyle w:val="TableBullet1Normal"/>
              <w:keepNext/>
              <w:keepLines/>
              <w:cnfStyle w:val="000000000000"/>
            </w:pPr>
            <w:r w:rsidRPr="00CB32B1">
              <w:t>Australian Private Midwives Association (APMA)</w:t>
            </w:r>
          </w:p>
          <w:p w:rsidR="00965224" w:rsidRPr="00CB32B1" w:rsidRDefault="0096342B" w:rsidP="00D76345">
            <w:pPr>
              <w:pStyle w:val="TableBullet1Normal"/>
              <w:keepNext/>
              <w:keepLines/>
              <w:cnfStyle w:val="000000000000"/>
            </w:pPr>
            <w:r>
              <w:t>Midwives Australia</w:t>
            </w:r>
          </w:p>
        </w:tc>
      </w:tr>
      <w:tr w:rsidR="00965224" w:rsidRPr="00CB32B1" w:rsidTr="00965224">
        <w:tc>
          <w:tcPr>
            <w:cnfStyle w:val="001000000000"/>
            <w:tcW w:w="964" w:type="pct"/>
          </w:tcPr>
          <w:p w:rsidR="00965224" w:rsidRPr="00CB32B1" w:rsidRDefault="00965224" w:rsidP="009D3C33">
            <w:pPr>
              <w:pStyle w:val="TableTextNormal"/>
            </w:pPr>
            <w:r w:rsidRPr="00CB32B1">
              <w:t>Advertisement online from directories</w:t>
            </w:r>
          </w:p>
        </w:tc>
        <w:tc>
          <w:tcPr>
            <w:tcW w:w="2283" w:type="pct"/>
          </w:tcPr>
          <w:p w:rsidR="00965224" w:rsidRPr="00CB32B1" w:rsidRDefault="00965224" w:rsidP="009D3C33">
            <w:pPr>
              <w:pStyle w:val="TableBullet1Normal"/>
              <w:cnfStyle w:val="000000000000"/>
            </w:pPr>
            <w:r w:rsidRPr="00CB32B1">
              <w:t>There are no mandatory PPM online directories. Therefore using this method will capture only those PP</w:t>
            </w:r>
            <w:r w:rsidR="0096342B">
              <w:t>Ms who advertise on the website</w:t>
            </w:r>
          </w:p>
        </w:tc>
        <w:tc>
          <w:tcPr>
            <w:tcW w:w="1753" w:type="pct"/>
          </w:tcPr>
          <w:p w:rsidR="00965224" w:rsidRPr="00CB32B1" w:rsidRDefault="00965224" w:rsidP="009D3C33">
            <w:pPr>
              <w:pStyle w:val="TableBullet1Normal"/>
              <w:cnfStyle w:val="000000000000"/>
            </w:pPr>
            <w:r w:rsidRPr="00CB32B1">
              <w:t>Bubhub</w:t>
            </w:r>
            <w:r w:rsidRPr="00CB32B1">
              <w:rPr>
                <w:rStyle w:val="FootnoteReference"/>
              </w:rPr>
              <w:footnoteReference w:id="74"/>
            </w:r>
          </w:p>
          <w:p w:rsidR="00965224" w:rsidRPr="00CB32B1" w:rsidRDefault="00965224" w:rsidP="009D3C33">
            <w:pPr>
              <w:pStyle w:val="TableBullet1Normal"/>
              <w:cnfStyle w:val="000000000000"/>
            </w:pPr>
            <w:r w:rsidRPr="00CB32B1">
              <w:t>Homebirth access Sydney</w:t>
            </w:r>
            <w:r w:rsidRPr="00CB32B1">
              <w:rPr>
                <w:rStyle w:val="FootnoteReference"/>
              </w:rPr>
              <w:footnoteReference w:id="75"/>
            </w:r>
          </w:p>
        </w:tc>
      </w:tr>
      <w:tr w:rsidR="00965224" w:rsidRPr="00CB32B1" w:rsidTr="00965224">
        <w:tc>
          <w:tcPr>
            <w:cnfStyle w:val="001000000000"/>
            <w:tcW w:w="964" w:type="pct"/>
          </w:tcPr>
          <w:p w:rsidR="00965224" w:rsidRPr="00CB32B1" w:rsidRDefault="00965224" w:rsidP="009D3C33">
            <w:pPr>
              <w:pStyle w:val="TableTextNormal"/>
            </w:pPr>
            <w:r w:rsidRPr="00CB32B1">
              <w:t>Eligible midwives</w:t>
            </w:r>
          </w:p>
        </w:tc>
        <w:tc>
          <w:tcPr>
            <w:tcW w:w="2283" w:type="pct"/>
          </w:tcPr>
          <w:p w:rsidR="00965224" w:rsidRPr="00CB32B1" w:rsidRDefault="00965224" w:rsidP="009D3C33">
            <w:pPr>
              <w:pStyle w:val="TableBullet1Normal"/>
              <w:cnfStyle w:val="000000000000"/>
            </w:pPr>
            <w:r w:rsidRPr="00CB32B1">
              <w:t>As PPMs can practise and provide services without registering as an eligible midwife, this data source i</w:t>
            </w:r>
            <w:r w:rsidR="0096342B">
              <w:t>s not a complete representation</w:t>
            </w:r>
          </w:p>
        </w:tc>
        <w:tc>
          <w:tcPr>
            <w:tcW w:w="1753" w:type="pct"/>
          </w:tcPr>
          <w:p w:rsidR="00965224" w:rsidRPr="00CB32B1" w:rsidRDefault="00965224" w:rsidP="009D3C33">
            <w:pPr>
              <w:pStyle w:val="TableBullet1Normal"/>
              <w:cnfStyle w:val="000000000000"/>
            </w:pPr>
            <w:r w:rsidRPr="00CB32B1">
              <w:t>Medicare data for eligible midwives</w:t>
            </w:r>
            <w:r w:rsidRPr="00CB32B1">
              <w:rPr>
                <w:rStyle w:val="FootnoteReference"/>
              </w:rPr>
              <w:footnoteReference w:id="76"/>
            </w:r>
          </w:p>
        </w:tc>
      </w:tr>
      <w:tr w:rsidR="00965224" w:rsidRPr="00CB32B1" w:rsidTr="00965224">
        <w:tc>
          <w:tcPr>
            <w:cnfStyle w:val="001000000000"/>
            <w:tcW w:w="964" w:type="pct"/>
          </w:tcPr>
          <w:p w:rsidR="00965224" w:rsidRPr="00CB32B1" w:rsidRDefault="00965224" w:rsidP="009D3C33">
            <w:pPr>
              <w:pStyle w:val="TableTextNormal"/>
            </w:pPr>
            <w:r w:rsidRPr="00CB32B1">
              <w:t>Number of consumer group members</w:t>
            </w:r>
          </w:p>
        </w:tc>
        <w:tc>
          <w:tcPr>
            <w:tcW w:w="2283" w:type="pct"/>
          </w:tcPr>
          <w:p w:rsidR="00965224" w:rsidRPr="00CB32B1" w:rsidRDefault="00965224" w:rsidP="009D3C33">
            <w:pPr>
              <w:pStyle w:val="TableBullet1Normal"/>
              <w:cnfStyle w:val="000000000000"/>
            </w:pPr>
            <w:r w:rsidRPr="00CB32B1">
              <w:t>Similar to advertisements from online directories, this method requires PPMs to register and would depend on whether a PPM chooses or is allowed to be</w:t>
            </w:r>
            <w:r w:rsidR="002F7DC7" w:rsidRPr="00CB32B1">
              <w:t xml:space="preserve"> a member of the consumer group</w:t>
            </w:r>
          </w:p>
          <w:p w:rsidR="00965224" w:rsidRPr="00CB32B1" w:rsidRDefault="00965224" w:rsidP="009D3C33">
            <w:pPr>
              <w:pStyle w:val="TableBullet1Normal"/>
              <w:cnfStyle w:val="000000000000"/>
            </w:pPr>
            <w:r w:rsidRPr="00CB32B1">
              <w:t xml:space="preserve">It also may result in double counting if PPMs are </w:t>
            </w:r>
            <w:r w:rsidR="0096342B">
              <w:t>members of more than one group</w:t>
            </w:r>
          </w:p>
        </w:tc>
        <w:tc>
          <w:tcPr>
            <w:tcW w:w="1753" w:type="pct"/>
          </w:tcPr>
          <w:p w:rsidR="00965224" w:rsidRPr="00CB32B1" w:rsidRDefault="00965224" w:rsidP="009D3C33">
            <w:pPr>
              <w:pStyle w:val="TableBullet1Normal"/>
              <w:cnfStyle w:val="000000000000"/>
            </w:pPr>
            <w:r w:rsidRPr="00CB32B1">
              <w:t>Homebirth Australia</w:t>
            </w:r>
          </w:p>
          <w:p w:rsidR="00965224" w:rsidRPr="00CB32B1" w:rsidRDefault="00965224" w:rsidP="009D3C33">
            <w:pPr>
              <w:pStyle w:val="TableBullet1Normal"/>
              <w:cnfStyle w:val="000000000000"/>
            </w:pPr>
            <w:r w:rsidRPr="00CB32B1">
              <w:t>Homebirth Access Sydney</w:t>
            </w:r>
          </w:p>
          <w:p w:rsidR="00965224" w:rsidRPr="00CB32B1" w:rsidRDefault="0096342B" w:rsidP="009D3C33">
            <w:pPr>
              <w:pStyle w:val="TableBullet1Normal"/>
              <w:cnfStyle w:val="000000000000"/>
            </w:pPr>
            <w:r>
              <w:t>Maternity Coalition</w:t>
            </w:r>
          </w:p>
          <w:p w:rsidR="00965224" w:rsidRPr="00CB32B1" w:rsidRDefault="0096342B" w:rsidP="009D3C33">
            <w:pPr>
              <w:pStyle w:val="TableBullet1Normal"/>
              <w:cnfStyle w:val="000000000000"/>
            </w:pPr>
            <w:r>
              <w:t>Childbirth Australia</w:t>
            </w:r>
          </w:p>
        </w:tc>
      </w:tr>
    </w:tbl>
    <w:p w:rsidR="002C5ECC" w:rsidRPr="00CB32B1" w:rsidRDefault="002C5ECC" w:rsidP="00965224">
      <w:pPr>
        <w:pStyle w:val="Sources"/>
      </w:pPr>
      <w:r w:rsidRPr="00CB32B1">
        <w:rPr>
          <w:b/>
        </w:rPr>
        <w:t>Sources:</w:t>
      </w:r>
      <w:r w:rsidRPr="00CB32B1">
        <w:t xml:space="preserve"> For more information about the Colleges, regulators and consumer groups consulted with, see Appendix C.</w:t>
      </w:r>
    </w:p>
    <w:p w:rsidR="002C5ECC" w:rsidRPr="00CB32B1" w:rsidRDefault="002C5ECC" w:rsidP="00965224">
      <w:pPr>
        <w:pStyle w:val="PwCNormal"/>
      </w:pPr>
      <w:r w:rsidRPr="00CB32B1">
        <w:t xml:space="preserve">To overcome this issue of a lack of knowledge of the number of currently </w:t>
      </w:r>
      <w:r w:rsidR="00727D37">
        <w:t>PPMs</w:t>
      </w:r>
      <w:r w:rsidRPr="00CB32B1">
        <w:t>, a survey was completed as a part of this project through the NMBA. The survey was made available to the broader public and sought voluntary nomination of PPMs. In doing so, this survey identified 57 PPMs currently practising in the last 12 months preceding the survey period of 8 March–8 April 2013 (further information survey information see Appendix J.1).</w:t>
      </w:r>
      <w:r w:rsidR="001F2DCE" w:rsidRPr="001F2DCE">
        <w:rPr>
          <w:rStyle w:val="FootnoteReference"/>
        </w:rPr>
        <w:t xml:space="preserve"> </w:t>
      </w:r>
      <w:r w:rsidR="001F2DCE" w:rsidRPr="00CB32B1">
        <w:rPr>
          <w:rStyle w:val="FootnoteReference"/>
        </w:rPr>
        <w:footnoteReference w:id="77"/>
      </w:r>
    </w:p>
    <w:p w:rsidR="002C5ECC" w:rsidRPr="00CB32B1" w:rsidRDefault="002C5ECC" w:rsidP="002C5ECC">
      <w:pPr>
        <w:pStyle w:val="PwCNormal"/>
      </w:pPr>
      <w:r w:rsidRPr="00CB32B1">
        <w:t xml:space="preserve">While the survey may not be complete, as it was voluntary, it provides a good indication of market size. </w:t>
      </w:r>
      <w:r w:rsidR="0096342B">
        <w:t xml:space="preserve">It is </w:t>
      </w:r>
      <w:r w:rsidRPr="00CB32B1">
        <w:t>recommend</w:t>
      </w:r>
      <w:r w:rsidR="0096342B">
        <w:t>ed</w:t>
      </w:r>
      <w:r w:rsidRPr="00CB32B1">
        <w:t xml:space="preserve"> that regular data capture on the number of PPMs and their practice arrangements continue </w:t>
      </w:r>
      <w:r w:rsidR="0096342B">
        <w:t xml:space="preserve">so as </w:t>
      </w:r>
      <w:r w:rsidRPr="00CB32B1">
        <w:t>to build a robust time series data set. This may be through for example it being a formal part of registration</w:t>
      </w:r>
      <w:r w:rsidR="0096342B">
        <w:t xml:space="preserve"> with the NMBA</w:t>
      </w:r>
      <w:r w:rsidRPr="00CB32B1">
        <w:t>.</w:t>
      </w:r>
    </w:p>
    <w:p w:rsidR="002C5ECC" w:rsidRPr="00CB32B1" w:rsidRDefault="002C5ECC" w:rsidP="00965224">
      <w:pPr>
        <w:pStyle w:val="Minorheading"/>
      </w:pPr>
      <w:r w:rsidRPr="00CB32B1">
        <w:t>2.</w:t>
      </w:r>
      <w:r w:rsidRPr="00CB32B1">
        <w:tab/>
        <w:t>Number and likelihood of incidences (probability)</w:t>
      </w:r>
    </w:p>
    <w:p w:rsidR="002C5ECC" w:rsidRPr="00CB32B1" w:rsidRDefault="002C5ECC" w:rsidP="00965224">
      <w:pPr>
        <w:pStyle w:val="PwCNormal"/>
        <w:keepNext/>
        <w:keepLines/>
      </w:pPr>
      <w:r w:rsidRPr="00CB32B1">
        <w:t xml:space="preserve">Research completed identified that data on PPM activity did not specifically relate to their practice as opposed to the maternity services sector as a whole. Consultations identified that more </w:t>
      </w:r>
      <w:r w:rsidR="0096342B">
        <w:t>specific</w:t>
      </w:r>
      <w:r w:rsidRPr="00CB32B1">
        <w:t xml:space="preserve"> information on PPM activity is necessary to assist insurers to determine firstly, the probability that a potential claim will arise and secondly, in doing so, to establish the risk profile of their practice. This is to prevent PPM activity being assigned the risk profile of other maternity services practices, such as obstetrics, which, from the evidence gathered through consultations, have a higher risk profile due to their scope of practice</w:t>
      </w:r>
      <w:r w:rsidR="0096342B">
        <w:t xml:space="preserve"> (see Finding 5)</w:t>
      </w:r>
      <w:r w:rsidRPr="00CB32B1">
        <w:t xml:space="preserve">. Analysis on this data is </w:t>
      </w:r>
      <w:r w:rsidR="0096342B">
        <w:t>would be useful</w:t>
      </w:r>
      <w:r w:rsidRPr="00CB32B1">
        <w:t>, as it is expected to have a downward impact on premium</w:t>
      </w:r>
      <w:r w:rsidR="0096342B">
        <w:t>s</w:t>
      </w:r>
      <w:r w:rsidRPr="00CB32B1">
        <w:t xml:space="preserve"> set.</w:t>
      </w:r>
    </w:p>
    <w:p w:rsidR="002C5ECC" w:rsidRPr="00CB32B1" w:rsidRDefault="00A44E81" w:rsidP="002C5ECC">
      <w:pPr>
        <w:pStyle w:val="PwCNormal"/>
      </w:pPr>
      <w:r w:rsidRPr="00CB32B1">
        <w:t>It is recognised that o</w:t>
      </w:r>
      <w:r w:rsidR="002C5ECC" w:rsidRPr="00CB32B1">
        <w:t xml:space="preserve">ut of the total number of homebirths, only a relatively small proportion of these will result in an adverse outcome. Of these, only a proportion will result in an incident (a claim being raised), and only a proportion of these may see a claim (being paid out). For insurers, there is a limited level of certainty on any of these numbers, as data do not appear to currently be collected at a sufficient level of detail. In absence of these data, it may be necessary to rely on alternate data sources. </w:t>
      </w:r>
    </w:p>
    <w:p w:rsidR="002C5ECC" w:rsidRPr="00CB32B1" w:rsidRDefault="002C5ECC" w:rsidP="002C5ECC">
      <w:pPr>
        <w:pStyle w:val="PwCNormal"/>
      </w:pPr>
      <w:r w:rsidRPr="00CB32B1">
        <w:t>To decrease uncertainty, the insurer may seek to know:</w:t>
      </w:r>
    </w:p>
    <w:p w:rsidR="002C5ECC" w:rsidRPr="00CB32B1" w:rsidRDefault="006363CA" w:rsidP="00965224">
      <w:pPr>
        <w:pStyle w:val="ListBullet"/>
      </w:pPr>
      <w:r>
        <w:t>i</w:t>
      </w:r>
      <w:r w:rsidR="002C5ECC" w:rsidRPr="00CB32B1">
        <w:t xml:space="preserve">nformation on each of the data points relating to </w:t>
      </w:r>
      <w:r w:rsidR="009129A6" w:rsidRPr="00CB32B1">
        <w:fldChar w:fldCharType="begin"/>
      </w:r>
      <w:r w:rsidR="00E34B9D" w:rsidRPr="00CB32B1">
        <w:instrText xml:space="preserve"> REF _Ref361223549 \h </w:instrText>
      </w:r>
      <w:r w:rsidR="009129A6" w:rsidRPr="00CB32B1">
        <w:fldChar w:fldCharType="separate"/>
      </w:r>
      <w:r w:rsidR="008816B4" w:rsidRPr="00CB32B1">
        <w:t xml:space="preserve">Figure </w:t>
      </w:r>
      <w:r w:rsidR="008816B4">
        <w:rPr>
          <w:noProof/>
        </w:rPr>
        <w:t>8</w:t>
      </w:r>
      <w:r w:rsidR="009129A6" w:rsidRPr="00CB32B1">
        <w:fldChar w:fldCharType="end"/>
      </w:r>
      <w:r w:rsidR="00E34B9D" w:rsidRPr="00CB32B1">
        <w:t xml:space="preserve"> </w:t>
      </w:r>
      <w:r w:rsidR="002C5ECC" w:rsidRPr="00CB32B1">
        <w:t>that would determine the likelihood of an inciden</w:t>
      </w:r>
      <w:r w:rsidR="002842B2">
        <w:t>t</w:t>
      </w:r>
      <w:r w:rsidR="002C5ECC" w:rsidRPr="00CB32B1">
        <w:t xml:space="preserve"> arising, and therefore the proba</w:t>
      </w:r>
      <w:r w:rsidR="00CD0CA9" w:rsidRPr="00CB32B1">
        <w:t>bility of a claim and a payout</w:t>
      </w:r>
    </w:p>
    <w:p w:rsidR="002C5ECC" w:rsidRPr="00CB32B1" w:rsidRDefault="006363CA" w:rsidP="00965224">
      <w:pPr>
        <w:pStyle w:val="ListBullet"/>
      </w:pPr>
      <w:r>
        <w:t>s</w:t>
      </w:r>
      <w:r w:rsidR="002C5ECC" w:rsidRPr="00CB32B1">
        <w:t>ituational factors that may increase the likelihood of an inciden</w:t>
      </w:r>
      <w:r w:rsidR="002842B2">
        <w:t>t being raised (</w:t>
      </w:r>
      <w:r w:rsidR="00854DEF" w:rsidRPr="00CB32B1">
        <w:t>ie</w:t>
      </w:r>
      <w:r w:rsidR="002C5ECC" w:rsidRPr="00CB32B1">
        <w:t xml:space="preserve"> geography or the location of the service being provided, and transfer requirements</w:t>
      </w:r>
      <w:r w:rsidR="002842B2">
        <w:t>)</w:t>
      </w:r>
      <w:r w:rsidR="002C5ECC" w:rsidRPr="00CB32B1">
        <w:t>.</w:t>
      </w:r>
    </w:p>
    <w:p w:rsidR="002C5ECC" w:rsidRPr="00CB32B1" w:rsidRDefault="0096342B" w:rsidP="002C5ECC">
      <w:pPr>
        <w:pStyle w:val="PwCNormal"/>
      </w:pPr>
      <w:r>
        <w:t>It is recognised that t</w:t>
      </w:r>
      <w:r w:rsidR="002C5ECC" w:rsidRPr="00CB32B1">
        <w:t xml:space="preserve">he low number of PPMs who currently practise </w:t>
      </w:r>
      <w:r>
        <w:t>coupled with</w:t>
      </w:r>
      <w:r w:rsidR="002C5ECC" w:rsidRPr="00CB32B1">
        <w:t xml:space="preserve"> the low number of homebirths undertaken each year may not make data collection at such a granular level a priority for the NMBA, AIHW or other data collectors. Therefore, our identification of areas where data are insufficient is only for the purpose of identifying information that may be </w:t>
      </w:r>
      <w:r>
        <w:t>of assistance to</w:t>
      </w:r>
      <w:r w:rsidR="002C5ECC" w:rsidRPr="00CB32B1">
        <w:t xml:space="preserve"> insurers to create an insurance product. </w:t>
      </w:r>
    </w:p>
    <w:p w:rsidR="002C5ECC" w:rsidRPr="00CB32B1" w:rsidRDefault="002C5ECC" w:rsidP="00572B99">
      <w:pPr>
        <w:pStyle w:val="Minorheading"/>
        <w:rPr>
          <w:b/>
          <w:i w:val="0"/>
          <w:sz w:val="20"/>
          <w:szCs w:val="20"/>
        </w:rPr>
      </w:pPr>
      <w:r w:rsidRPr="00CB32B1">
        <w:rPr>
          <w:b/>
          <w:i w:val="0"/>
          <w:sz w:val="20"/>
          <w:szCs w:val="20"/>
        </w:rPr>
        <w:t>A.</w:t>
      </w:r>
      <w:r w:rsidRPr="00CB32B1">
        <w:rPr>
          <w:b/>
          <w:i w:val="0"/>
          <w:sz w:val="20"/>
          <w:szCs w:val="20"/>
        </w:rPr>
        <w:tab/>
        <w:t>Number of homebirths undertaken by PPMs</w:t>
      </w:r>
    </w:p>
    <w:p w:rsidR="002C5ECC" w:rsidRPr="00CB32B1" w:rsidRDefault="002C5ECC" w:rsidP="00572B99">
      <w:pPr>
        <w:pStyle w:val="PwCNormal"/>
        <w:keepNext/>
        <w:keepLines/>
      </w:pPr>
      <w:r w:rsidRPr="00CB32B1">
        <w:t xml:space="preserve">Currently, data are not sufficient to estimate the number of homebirths that have been attended by PPMs. This information may be necessary for insurers to establish the relative size of the practice being insured, and more specifically, the population from which adverse outcomes and incidences may arise. The reasons for insufficient data </w:t>
      </w:r>
      <w:r w:rsidR="0096342B">
        <w:t>were identified as relating to</w:t>
      </w:r>
      <w:r w:rsidRPr="00CB32B1">
        <w:t>:</w:t>
      </w:r>
    </w:p>
    <w:p w:rsidR="00572B99" w:rsidRPr="00CB32B1" w:rsidRDefault="00572B99" w:rsidP="00572B99">
      <w:pPr>
        <w:pStyle w:val="ListBullet"/>
      </w:pPr>
      <w:r w:rsidRPr="00CB32B1">
        <w:rPr>
          <w:b/>
          <w:color w:val="DC6900" w:themeColor="text2"/>
        </w:rPr>
        <w:t xml:space="preserve">Specificity: </w:t>
      </w:r>
      <w:r w:rsidR="002842B2">
        <w:t>t</w:t>
      </w:r>
      <w:r w:rsidRPr="00CB32B1">
        <w:t>he data collected by AIHW through the N</w:t>
      </w:r>
      <w:r w:rsidR="003F57AE">
        <w:t>PESU</w:t>
      </w:r>
      <w:r w:rsidRPr="00CB32B1">
        <w:t xml:space="preserve"> on the number of actual and intended homebirths are insufficient.</w:t>
      </w:r>
      <w:r w:rsidR="00A97DCD" w:rsidRPr="00CB32B1">
        <w:rPr>
          <w:rStyle w:val="FootnoteReference"/>
        </w:rPr>
        <w:footnoteReference w:id="78"/>
      </w:r>
      <w:r w:rsidRPr="00CB32B1">
        <w:t xml:space="preserve"> In 2010, these data indicated that there were 1,354 homebirths (please refer to Appendix J.2. for more detail). However, the AIHW data did not distinguish between homebirths by practitioners (</w:t>
      </w:r>
      <w:r w:rsidR="00854DEF" w:rsidRPr="00CB32B1">
        <w:t>eg</w:t>
      </w:r>
      <w:r w:rsidRPr="00CB32B1">
        <w:t xml:space="preserve"> PPM, publicly-funded midwifery, GPs, obstetricians)</w:t>
      </w:r>
      <w:r w:rsidR="0096342B">
        <w:t>,</w:t>
      </w:r>
      <w:r w:rsidRPr="00CB32B1">
        <w:t xml:space="preserve"> indicate whether they were free births (unattended) or the funding status (</w:t>
      </w:r>
      <w:r w:rsidR="00854DEF" w:rsidRPr="00CB32B1">
        <w:t>eg</w:t>
      </w:r>
      <w:r w:rsidRPr="00CB32B1">
        <w:t xml:space="preserve"> public or private). Therefore, the size of the PPM practice from the current information av</w:t>
      </w:r>
      <w:r w:rsidR="00CD0CA9" w:rsidRPr="00CB32B1">
        <w:t xml:space="preserve">ailable cannot </w:t>
      </w:r>
      <w:r w:rsidR="0096342B">
        <w:t xml:space="preserve">currently </w:t>
      </w:r>
      <w:r w:rsidR="00CD0CA9" w:rsidRPr="00CB32B1">
        <w:t xml:space="preserve">be </w:t>
      </w:r>
      <w:r w:rsidR="0096342B">
        <w:t>determined</w:t>
      </w:r>
    </w:p>
    <w:p w:rsidR="0083432B" w:rsidRDefault="0083432B" w:rsidP="00572B99">
      <w:pPr>
        <w:pStyle w:val="ListBullet"/>
      </w:pPr>
      <w:r w:rsidRPr="00CB32B1">
        <w:rPr>
          <w:b/>
          <w:color w:val="DC6900" w:themeColor="text2"/>
        </w:rPr>
        <w:t xml:space="preserve">Different data collection methods: </w:t>
      </w:r>
      <w:r w:rsidRPr="00CB32B1">
        <w:t>As statistics are collected through various methods, there are challenges in collating information. An example of this is the number of intended homebirths. The ‘intended’ variable is important to distinguish when a homebirth was planned and meant to occur (as opposed to an emergency or unplanned homebirth)</w:t>
      </w:r>
      <w:r w:rsidR="0096342B">
        <w:t>,</w:t>
      </w:r>
      <w:r w:rsidRPr="00CB32B1">
        <w:t xml:space="preserve"> and who was planned to support the birth. Research completed identified that statistics for an intended homebirth is collected differently across states and territories. The federated nature of data collection in this respect appears to provide challenges. The AIHW shows that jurisdictions collect the intended place of birth at different times during the pregnancy. As an example, Victoria, South Australia and Tasmania determine the ‘intent’ of a homebirth at the time of booking the birth location, while the remaining states and territories collect the intended place of birth at the onset of labour.</w:t>
      </w:r>
      <w:r w:rsidRPr="00CB32B1">
        <w:rPr>
          <w:rStyle w:val="FootnoteReference"/>
        </w:rPr>
        <w:footnoteReference w:id="79"/>
      </w:r>
    </w:p>
    <w:p w:rsidR="00873298" w:rsidRPr="00CB32B1" w:rsidRDefault="00873298" w:rsidP="00873298">
      <w:pPr>
        <w:pStyle w:val="ListBullet"/>
        <w:numPr>
          <w:ilvl w:val="0"/>
          <w:numId w:val="0"/>
        </w:numPr>
      </w:pPr>
      <w:r w:rsidRPr="00CB32B1">
        <w:t>In the absence of data, alternative data sources are available through, for example, relying on Medicare data. However, these data only relate to the activity of eligible midwives, and therefore are representative of only a cohort of PPMs.</w:t>
      </w:r>
      <w:r w:rsidRPr="00CB32B1">
        <w:rPr>
          <w:rStyle w:val="FootnoteReference"/>
        </w:rPr>
        <w:footnoteReference w:id="80"/>
      </w:r>
      <w:r w:rsidRPr="00CB32B1">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048"/>
        <w:gridCol w:w="360"/>
        <w:gridCol w:w="2880"/>
      </w:tblGrid>
      <w:tr w:rsidR="00572B99" w:rsidRPr="00CB32B1" w:rsidTr="00572B99">
        <w:tc>
          <w:tcPr>
            <w:tcW w:w="6048" w:type="dxa"/>
          </w:tcPr>
          <w:p w:rsidR="0083432B" w:rsidRPr="00CB32B1" w:rsidRDefault="0083432B" w:rsidP="0083432B">
            <w:pPr>
              <w:pStyle w:val="Minorheading"/>
              <w:rPr>
                <w:b/>
                <w:i w:val="0"/>
                <w:sz w:val="20"/>
                <w:szCs w:val="20"/>
              </w:rPr>
            </w:pPr>
            <w:r w:rsidRPr="00CB32B1">
              <w:rPr>
                <w:b/>
                <w:i w:val="0"/>
                <w:sz w:val="20"/>
                <w:szCs w:val="20"/>
              </w:rPr>
              <w:t>B.</w:t>
            </w:r>
            <w:r w:rsidRPr="00CB32B1">
              <w:rPr>
                <w:b/>
                <w:i w:val="0"/>
                <w:sz w:val="20"/>
                <w:szCs w:val="20"/>
              </w:rPr>
              <w:tab/>
              <w:t xml:space="preserve">Number of adverse outcomes from PPMs </w:t>
            </w:r>
          </w:p>
          <w:p w:rsidR="00572B99" w:rsidRPr="00CB32B1" w:rsidRDefault="0083432B" w:rsidP="0083432B">
            <w:pPr>
              <w:pStyle w:val="ListBullet"/>
              <w:numPr>
                <w:ilvl w:val="0"/>
                <w:numId w:val="0"/>
              </w:numPr>
            </w:pPr>
            <w:r w:rsidRPr="00CB32B1">
              <w:t xml:space="preserve">Like homebirth data, information is not readily available for the numbers of adverse outcomes that have arisen from homebirths attended by </w:t>
            </w:r>
            <w:r w:rsidR="00727D37">
              <w:t>PPMs</w:t>
            </w:r>
            <w:r w:rsidRPr="00CB32B1">
              <w:t>.</w:t>
            </w:r>
            <w:r w:rsidR="00873298" w:rsidRPr="00CB32B1">
              <w:t xml:space="preserve"> Therefore, it is not widely known how many potential incidences have occurred that could result in a claim being raised. In </w:t>
            </w:r>
            <w:r w:rsidR="00873298">
              <w:t xml:space="preserve">the </w:t>
            </w:r>
            <w:r w:rsidR="00873298" w:rsidRPr="00CB32B1">
              <w:t xml:space="preserve">place of specific data on incidences, adverse outcomes and the outcomes of PPM practice in general, other information sources were reviewed </w:t>
            </w:r>
            <w:r w:rsidR="00873298">
              <w:t xml:space="preserve">to shed light on the number of adverse outcomes </w:t>
            </w:r>
            <w:r w:rsidR="00873298" w:rsidRPr="00CB32B1">
              <w:t>including:</w:t>
            </w:r>
          </w:p>
        </w:tc>
        <w:tc>
          <w:tcPr>
            <w:tcW w:w="360" w:type="dxa"/>
          </w:tcPr>
          <w:p w:rsidR="00572B99" w:rsidRPr="00CB32B1" w:rsidRDefault="00572B99" w:rsidP="00310441">
            <w:pPr>
              <w:pStyle w:val="TableTextNormal"/>
            </w:pPr>
          </w:p>
        </w:tc>
        <w:tc>
          <w:tcPr>
            <w:tcW w:w="2880" w:type="dxa"/>
            <w:shd w:val="clear" w:color="auto" w:fill="DC6900" w:themeFill="text2"/>
            <w:vAlign w:val="center"/>
          </w:tcPr>
          <w:p w:rsidR="00572B99" w:rsidRPr="002842B2" w:rsidRDefault="00572B99" w:rsidP="00310441">
            <w:pPr>
              <w:pStyle w:val="TableTextNormal"/>
              <w:rPr>
                <w:b/>
                <w:i/>
                <w:color w:val="FFFFFF" w:themeColor="background1"/>
              </w:rPr>
            </w:pPr>
            <w:r w:rsidRPr="002842B2">
              <w:rPr>
                <w:b/>
                <w:i/>
                <w:color w:val="FFFFFF" w:themeColor="background1"/>
              </w:rPr>
              <w:t>“While there is data available on Australia’s maternal and perinatal mortality rates, nationally consistent data and reporting are limited...the comprehensiveness and level of detail differ markedly”</w:t>
            </w:r>
          </w:p>
          <w:p w:rsidR="00572B99" w:rsidRPr="00CB32B1" w:rsidRDefault="0083432B" w:rsidP="0083432B">
            <w:pPr>
              <w:pStyle w:val="TableTextNormal"/>
              <w:spacing w:before="40" w:after="40"/>
              <w:jc w:val="right"/>
              <w:rPr>
                <w:i/>
              </w:rPr>
            </w:pPr>
            <w:r w:rsidRPr="00CB32B1">
              <w:rPr>
                <w:i/>
                <w:color w:val="FFFFFF" w:themeColor="background1"/>
                <w:sz w:val="16"/>
                <w:szCs w:val="16"/>
              </w:rPr>
              <w:t>(</w:t>
            </w:r>
            <w:r w:rsidR="00572B99" w:rsidRPr="00CB32B1">
              <w:rPr>
                <w:i/>
                <w:color w:val="FFFFFF" w:themeColor="background1"/>
                <w:sz w:val="16"/>
                <w:szCs w:val="16"/>
              </w:rPr>
              <w:t>Commonwealth of Australia, 2009</w:t>
            </w:r>
            <w:r w:rsidRPr="00CB32B1">
              <w:rPr>
                <w:i/>
                <w:color w:val="FFFFFF" w:themeColor="background1"/>
                <w:sz w:val="16"/>
                <w:szCs w:val="16"/>
              </w:rPr>
              <w:t>)</w:t>
            </w:r>
          </w:p>
        </w:tc>
      </w:tr>
      <w:tr w:rsidR="00572B99" w:rsidRPr="00CB32B1" w:rsidTr="00572B99">
        <w:trPr>
          <w:trHeight w:hRule="exact" w:val="86"/>
        </w:trPr>
        <w:tc>
          <w:tcPr>
            <w:tcW w:w="6048" w:type="dxa"/>
          </w:tcPr>
          <w:p w:rsidR="00572B99" w:rsidRPr="00CB32B1" w:rsidRDefault="00572B99" w:rsidP="00310441">
            <w:pPr>
              <w:pStyle w:val="TableTextNormal"/>
            </w:pPr>
          </w:p>
        </w:tc>
        <w:tc>
          <w:tcPr>
            <w:tcW w:w="360" w:type="dxa"/>
            <w:shd w:val="clear" w:color="auto" w:fill="DC6900" w:themeFill="text2"/>
          </w:tcPr>
          <w:p w:rsidR="00572B99" w:rsidRPr="00CB32B1" w:rsidRDefault="00572B99" w:rsidP="00310441">
            <w:pPr>
              <w:pStyle w:val="TableTextNormal"/>
            </w:pPr>
          </w:p>
        </w:tc>
        <w:tc>
          <w:tcPr>
            <w:tcW w:w="2880" w:type="dxa"/>
          </w:tcPr>
          <w:p w:rsidR="00572B99" w:rsidRPr="00CB32B1" w:rsidRDefault="00572B99" w:rsidP="00310441">
            <w:pPr>
              <w:pStyle w:val="TableTextNormal"/>
            </w:pPr>
          </w:p>
        </w:tc>
      </w:tr>
    </w:tbl>
    <w:p w:rsidR="002C5ECC" w:rsidRPr="00CB32B1" w:rsidRDefault="002842B2" w:rsidP="00572B99">
      <w:pPr>
        <w:pStyle w:val="ListBullet"/>
      </w:pPr>
      <w:r>
        <w:t>a</w:t>
      </w:r>
      <w:r w:rsidR="002C5ECC" w:rsidRPr="00CB32B1">
        <w:t>lternative models of care including midwifery-led care</w:t>
      </w:r>
    </w:p>
    <w:p w:rsidR="002C5ECC" w:rsidRPr="00CB32B1" w:rsidRDefault="002C5ECC" w:rsidP="00572B99">
      <w:pPr>
        <w:pStyle w:val="ListBullet"/>
      </w:pPr>
      <w:r w:rsidRPr="00CB32B1">
        <w:t>Australian and international literature reviews into adverse outcomes.</w:t>
      </w:r>
    </w:p>
    <w:p w:rsidR="002C5ECC" w:rsidRPr="00CB32B1" w:rsidRDefault="002C5ECC" w:rsidP="00572B99">
      <w:pPr>
        <w:pStyle w:val="Minorheading2"/>
        <w:rPr>
          <w:b w:val="0"/>
          <w:i/>
        </w:rPr>
      </w:pPr>
      <w:r w:rsidRPr="00CB32B1">
        <w:rPr>
          <w:b w:val="0"/>
          <w:i/>
        </w:rPr>
        <w:t>Midwifery-led care</w:t>
      </w:r>
    </w:p>
    <w:p w:rsidR="002C5ECC" w:rsidRPr="00CB32B1" w:rsidRDefault="002C5ECC" w:rsidP="00572B99">
      <w:pPr>
        <w:pStyle w:val="PwCNormal"/>
        <w:keepNext/>
        <w:keepLines/>
      </w:pPr>
      <w:r w:rsidRPr="00CB32B1">
        <w:t>Literature such as the Cochrane review</w:t>
      </w:r>
      <w:r w:rsidR="00A97DCD" w:rsidRPr="00CB32B1">
        <w:rPr>
          <w:rStyle w:val="FootnoteReference"/>
        </w:rPr>
        <w:footnoteReference w:id="81"/>
      </w:r>
      <w:r w:rsidRPr="00CB32B1">
        <w:t xml:space="preserve"> and other studies</w:t>
      </w:r>
      <w:r w:rsidR="00A97DCD" w:rsidRPr="00CB32B1">
        <w:rPr>
          <w:rStyle w:val="FootnoteReference"/>
        </w:rPr>
        <w:footnoteReference w:id="82"/>
      </w:r>
      <w:r w:rsidRPr="00CB32B1">
        <w:t xml:space="preserve"> show that midwifery-led care, in which midwives are the primary carer</w:t>
      </w:r>
      <w:r w:rsidR="00A97DCD" w:rsidRPr="00CB32B1">
        <w:rPr>
          <w:rStyle w:val="FootnoteReference"/>
        </w:rPr>
        <w:footnoteReference w:id="83"/>
      </w:r>
      <w:r w:rsidRPr="00CB32B1">
        <w:t xml:space="preserve"> to low</w:t>
      </w:r>
      <w:r w:rsidR="00873298">
        <w:t>-</w:t>
      </w:r>
      <w:r w:rsidRPr="00CB32B1">
        <w:t>risk women, as opposed to the use of a medical-led or shared care, can improve:</w:t>
      </w:r>
    </w:p>
    <w:p w:rsidR="002C5ECC" w:rsidRPr="00CB32B1" w:rsidRDefault="002C5ECC" w:rsidP="00572B99">
      <w:pPr>
        <w:pStyle w:val="ListBullet"/>
        <w:keepNext/>
        <w:keepLines/>
      </w:pPr>
      <w:r w:rsidRPr="00CB32B1">
        <w:rPr>
          <w:b/>
          <w:color w:val="DC6900" w:themeColor="text2"/>
        </w:rPr>
        <w:t>Physical outcomes:</w:t>
      </w:r>
      <w:r w:rsidRPr="00CB32B1">
        <w:t xml:space="preserve"> </w:t>
      </w:r>
      <w:r w:rsidR="002842B2">
        <w:t>f</w:t>
      </w:r>
      <w:r w:rsidRPr="00CB32B1">
        <w:t>etal loss prior to 24 weeks</w:t>
      </w:r>
      <w:r w:rsidR="00A97DCD" w:rsidRPr="00CB32B1">
        <w:rPr>
          <w:rStyle w:val="FootnoteReference"/>
        </w:rPr>
        <w:footnoteReference w:id="84"/>
      </w:r>
    </w:p>
    <w:p w:rsidR="002C5ECC" w:rsidRPr="00CB32B1" w:rsidRDefault="002C5ECC" w:rsidP="00572B99">
      <w:pPr>
        <w:pStyle w:val="ListBullet"/>
        <w:keepNext/>
        <w:keepLines/>
      </w:pPr>
      <w:r w:rsidRPr="00CB32B1">
        <w:rPr>
          <w:b/>
          <w:color w:val="DC6900" w:themeColor="text2"/>
        </w:rPr>
        <w:t>Interventions:</w:t>
      </w:r>
      <w:r w:rsidR="003747C2">
        <w:t xml:space="preserve"> i</w:t>
      </w:r>
      <w:r w:rsidRPr="00CB32B1">
        <w:t xml:space="preserve">ncluding </w:t>
      </w:r>
      <w:r w:rsidR="00873298">
        <w:t xml:space="preserve">the </w:t>
      </w:r>
      <w:r w:rsidRPr="00CB32B1">
        <w:t>proportion of vaginal delivery, number of spontaneous births, episiotomies, analgesia during labour, number of obstetric interventions</w:t>
      </w:r>
      <w:r w:rsidR="00873298">
        <w:t xml:space="preserve"> as well as see</w:t>
      </w:r>
      <w:r w:rsidRPr="00CB32B1">
        <w:t xml:space="preserve"> shorter length of stay</w:t>
      </w:r>
      <w:r w:rsidR="00873298">
        <w:t>s</w:t>
      </w:r>
      <w:r w:rsidRPr="00CB32B1">
        <w:t xml:space="preserve"> in health settings</w:t>
      </w:r>
    </w:p>
    <w:p w:rsidR="002C5ECC" w:rsidRPr="00CB32B1" w:rsidRDefault="002C5ECC" w:rsidP="00572B99">
      <w:pPr>
        <w:pStyle w:val="ListBullet"/>
        <w:keepNext/>
        <w:keepLines/>
      </w:pPr>
      <w:r w:rsidRPr="00CB32B1">
        <w:rPr>
          <w:b/>
          <w:color w:val="DC6900" w:themeColor="text2"/>
        </w:rPr>
        <w:t>Psychosocial:</w:t>
      </w:r>
      <w:r w:rsidRPr="00CB32B1">
        <w:t xml:space="preserve"> </w:t>
      </w:r>
      <w:r w:rsidR="003747C2">
        <w:t>w</w:t>
      </w:r>
      <w:r w:rsidRPr="00CB32B1">
        <w:t>omen feeling in control and being satisfied with care.</w:t>
      </w:r>
    </w:p>
    <w:p w:rsidR="002C5ECC" w:rsidRPr="00CB32B1" w:rsidRDefault="002C5ECC" w:rsidP="002C5ECC">
      <w:pPr>
        <w:pStyle w:val="PwCNormal"/>
      </w:pPr>
      <w:r w:rsidRPr="00CB32B1">
        <w:t>Other studies such as Tracy and Tracy (2003)</w:t>
      </w:r>
      <w:r w:rsidR="00A97DCD" w:rsidRPr="00CB32B1">
        <w:rPr>
          <w:rStyle w:val="FootnoteReference"/>
        </w:rPr>
        <w:footnoteReference w:id="85"/>
      </w:r>
      <w:r w:rsidRPr="00CB32B1">
        <w:t xml:space="preserve"> promote</w:t>
      </w:r>
      <w:r w:rsidR="003747C2">
        <w:t xml:space="preserve"> midwifery-led models as a cost-</w:t>
      </w:r>
      <w:r w:rsidRPr="00CB32B1">
        <w:t>effective method to reduce unnecessar</w:t>
      </w:r>
      <w:r w:rsidR="003747C2">
        <w:t>y level of intervention for low-</w:t>
      </w:r>
      <w:r w:rsidRPr="00CB32B1">
        <w:t>risk women (</w:t>
      </w:r>
      <w:r w:rsidR="00854DEF" w:rsidRPr="00CB32B1">
        <w:t>eg</w:t>
      </w:r>
      <w:r w:rsidRPr="00CB32B1">
        <w:t xml:space="preserve"> forceps, vacuum instrumental birth following an epidural).</w:t>
      </w:r>
    </w:p>
    <w:p w:rsidR="002C5ECC" w:rsidRPr="00CB32B1" w:rsidRDefault="002C5ECC" w:rsidP="002C5ECC">
      <w:pPr>
        <w:pStyle w:val="PwCNormal"/>
      </w:pPr>
      <w:r w:rsidRPr="00CB32B1">
        <w:t>This literature demonstrates positive outcomes for care which is led by midwives. However these reviews did not focus specifically on PPM practice</w:t>
      </w:r>
      <w:r w:rsidR="00BE2C2A" w:rsidRPr="00CB32B1">
        <w:t xml:space="preserve"> or births conducted in a home setting</w:t>
      </w:r>
      <w:r w:rsidRPr="00CB32B1">
        <w:t>.</w:t>
      </w:r>
    </w:p>
    <w:p w:rsidR="002C5ECC" w:rsidRPr="00CB32B1" w:rsidRDefault="002C5ECC" w:rsidP="00572B99">
      <w:pPr>
        <w:pStyle w:val="Minorheading2"/>
        <w:rPr>
          <w:b w:val="0"/>
          <w:i/>
        </w:rPr>
      </w:pPr>
      <w:r w:rsidRPr="00CB32B1">
        <w:rPr>
          <w:b w:val="0"/>
          <w:i/>
        </w:rPr>
        <w:t>Literature review into adverse outcomes from homebirth</w:t>
      </w:r>
    </w:p>
    <w:p w:rsidR="002C5ECC" w:rsidRPr="00CB32B1" w:rsidRDefault="002C5ECC" w:rsidP="002C5ECC">
      <w:pPr>
        <w:pStyle w:val="PwCNormal"/>
      </w:pPr>
      <w:r w:rsidRPr="00CB32B1">
        <w:t xml:space="preserve">Consultations identified a common belief that the perceived outcomes from homebirths were the main driver precluding a product being available. As part of this report, a review into relevant literature was requested by the NMBA to understand the outcomes for </w:t>
      </w:r>
      <w:r w:rsidR="00873298">
        <w:t>women and babies</w:t>
      </w:r>
      <w:r w:rsidRPr="00CB32B1">
        <w:t xml:space="preserve"> from homebirths relating to PPM practice. To do this, publicly available statistics, journals and literature on homebirth were scanned. A list of the key studies reviewed is listed in Appendix J.</w:t>
      </w:r>
      <w:r w:rsidR="00854DEF" w:rsidRPr="00CB32B1">
        <w:t xml:space="preserve"> </w:t>
      </w:r>
      <w:r w:rsidRPr="00CB32B1">
        <w:t xml:space="preserve">Key findings from Australian studies </w:t>
      </w:r>
      <w:r w:rsidR="00873298">
        <w:t>included</w:t>
      </w:r>
      <w:r w:rsidRPr="00CB32B1">
        <w:t>:</w:t>
      </w:r>
    </w:p>
    <w:p w:rsidR="002C5ECC" w:rsidRPr="00CB32B1" w:rsidRDefault="002C5ECC" w:rsidP="00572B99">
      <w:pPr>
        <w:pStyle w:val="ListBullet"/>
      </w:pPr>
      <w:r w:rsidRPr="00CB32B1">
        <w:rPr>
          <w:b/>
          <w:color w:val="DC6900" w:themeColor="text2"/>
        </w:rPr>
        <w:t>Maternal outcomes:</w:t>
      </w:r>
      <w:r w:rsidRPr="00CB32B1">
        <w:t xml:space="preserve"> </w:t>
      </w:r>
      <w:r w:rsidR="003747C2">
        <w:t>l</w:t>
      </w:r>
      <w:r w:rsidRPr="00CB32B1">
        <w:t>ower rates of postpartum haemorrhage (PPH), perineal tears and retained placentas were found in homebirths. This finding was supported by international studies (for more information on maternal outcomes from homebirth see Appendix J.</w:t>
      </w:r>
      <w:r w:rsidR="00CD0CA9" w:rsidRPr="00CB32B1">
        <w:t>3)</w:t>
      </w:r>
    </w:p>
    <w:p w:rsidR="002C5ECC" w:rsidRPr="00CB32B1" w:rsidRDefault="002C5ECC" w:rsidP="00572B99">
      <w:pPr>
        <w:pStyle w:val="ListBullet"/>
      </w:pPr>
      <w:r w:rsidRPr="00CB32B1">
        <w:rPr>
          <w:b/>
          <w:color w:val="DC6900" w:themeColor="text2"/>
        </w:rPr>
        <w:t xml:space="preserve">Perinatal mortality: </w:t>
      </w:r>
      <w:r w:rsidR="003747C2">
        <w:t>i</w:t>
      </w:r>
      <w:r w:rsidRPr="00CB32B1">
        <w:t>nconclusive findings from literature were identified as a result of the charac</w:t>
      </w:r>
      <w:r w:rsidR="00C20F30">
        <w:t>teristics attributed to wome</w:t>
      </w:r>
      <w:r w:rsidRPr="00CB32B1">
        <w:t xml:space="preserve">n </w:t>
      </w:r>
      <w:r w:rsidR="00873298">
        <w:t xml:space="preserve">included in studies </w:t>
      </w:r>
      <w:r w:rsidRPr="00CB32B1">
        <w:t>(see Appendix J.4). International studies with the fewest data limitations show that differences between homebirth and hospital birth may not be statistically significant</w:t>
      </w:r>
      <w:r w:rsidR="003747C2">
        <w:t>, especially for low-</w:t>
      </w:r>
      <w:r w:rsidR="00CD0CA9" w:rsidRPr="00CB32B1">
        <w:t>risk women</w:t>
      </w:r>
    </w:p>
    <w:p w:rsidR="002C5ECC" w:rsidRPr="00CB32B1" w:rsidRDefault="002C5ECC" w:rsidP="00572B99">
      <w:pPr>
        <w:pStyle w:val="ListBullet"/>
      </w:pPr>
      <w:r w:rsidRPr="00CB32B1">
        <w:rPr>
          <w:b/>
          <w:color w:val="DC6900" w:themeColor="text2"/>
        </w:rPr>
        <w:t xml:space="preserve">Perinatal morbidity: </w:t>
      </w:r>
      <w:r w:rsidR="003747C2">
        <w:t>i</w:t>
      </w:r>
      <w:r w:rsidRPr="00CB32B1">
        <w:t>nconclusive findings from literature were identified. Perinatal morbidity rates in international studies highlight that there appear</w:t>
      </w:r>
      <w:r w:rsidR="00873298">
        <w:t>ed</w:t>
      </w:r>
      <w:r w:rsidRPr="00CB32B1">
        <w:t xml:space="preserve"> to be lower rates of perinatal morbidity associated with </w:t>
      </w:r>
      <w:r w:rsidR="003747C2">
        <w:t>homebirth where nulliparous</w:t>
      </w:r>
      <w:r w:rsidR="00B035DB">
        <w:rPr>
          <w:rStyle w:val="FootnoteReference"/>
        </w:rPr>
        <w:footnoteReference w:id="86"/>
      </w:r>
      <w:r w:rsidR="003747C2">
        <w:t xml:space="preserve"> low-</w:t>
      </w:r>
      <w:r w:rsidRPr="00CB32B1">
        <w:t xml:space="preserve">risk women </w:t>
      </w:r>
      <w:r w:rsidR="00873298">
        <w:t>we</w:t>
      </w:r>
      <w:r w:rsidRPr="00CB32B1">
        <w:t>re excluded from studies (see Appendix J.4).</w:t>
      </w:r>
    </w:p>
    <w:p w:rsidR="002C5ECC" w:rsidRPr="00CB32B1" w:rsidRDefault="002C5ECC" w:rsidP="002C5ECC">
      <w:pPr>
        <w:pStyle w:val="PwCNormal"/>
      </w:pPr>
      <w:r w:rsidRPr="00CB32B1">
        <w:t>While the findings relating to perinatal outcomes are inconclusive, the absolute numbers of poor outcomes were found to be low. Findings and studies in relation to perinatal outcomes should, as a result, be considered in this light. For more information on the outcomes presented within the literature reviewed, please refer to the relevant Appendix.</w:t>
      </w:r>
    </w:p>
    <w:p w:rsidR="002C5ECC" w:rsidRPr="00CB32B1" w:rsidRDefault="002C5ECC" w:rsidP="00572B99">
      <w:pPr>
        <w:pStyle w:val="Minorheading2"/>
        <w:rPr>
          <w:b w:val="0"/>
          <w:i/>
        </w:rPr>
      </w:pPr>
      <w:r w:rsidRPr="00CB32B1">
        <w:rPr>
          <w:b w:val="0"/>
          <w:i/>
        </w:rPr>
        <w:t>Issues with data quality for literature review</w:t>
      </w:r>
    </w:p>
    <w:p w:rsidR="002C5ECC" w:rsidRPr="00CB32B1" w:rsidRDefault="002C5ECC" w:rsidP="002C5ECC">
      <w:pPr>
        <w:pStyle w:val="PwCNormal"/>
      </w:pPr>
      <w:r w:rsidRPr="00CB32B1">
        <w:t xml:space="preserve">As a part of the review of literature, several broad areas relating to data quality were identified that present different sets of challenges in establishing the outcomes of births overseen by PPMs. </w:t>
      </w:r>
      <w:r w:rsidR="001A57CA">
        <w:t>This is in line with findings from other journals.</w:t>
      </w:r>
      <w:r w:rsidR="001A57CA">
        <w:rPr>
          <w:rStyle w:val="FootnoteReference"/>
        </w:rPr>
        <w:footnoteReference w:id="87"/>
      </w:r>
      <w:r w:rsidR="001A57CA">
        <w:t xml:space="preserve"> </w:t>
      </w:r>
      <w:r w:rsidRPr="00CB32B1">
        <w:t>These included:</w:t>
      </w:r>
    </w:p>
    <w:p w:rsidR="002C5ECC" w:rsidRPr="00CB32B1" w:rsidRDefault="002C5ECC" w:rsidP="00572B99">
      <w:pPr>
        <w:pStyle w:val="ListBullet"/>
      </w:pPr>
      <w:r w:rsidRPr="00CB32B1">
        <w:rPr>
          <w:b/>
          <w:color w:val="DC6900" w:themeColor="text2"/>
        </w:rPr>
        <w:t xml:space="preserve">Variation of key terms and definitions: </w:t>
      </w:r>
      <w:r w:rsidR="003747C2">
        <w:t>t</w:t>
      </w:r>
      <w:r w:rsidRPr="00CB32B1">
        <w:t xml:space="preserve">hese vary within the available data </w:t>
      </w:r>
      <w:r w:rsidR="00854DEF" w:rsidRPr="00CB32B1">
        <w:t>eg</w:t>
      </w:r>
      <w:r w:rsidRPr="00CB32B1">
        <w:t xml:space="preserve"> high/low</w:t>
      </w:r>
      <w:r w:rsidR="00873298">
        <w:t>-</w:t>
      </w:r>
      <w:r w:rsidRPr="00CB32B1">
        <w:t>risk (see Appendix J.5 for an example of the differences classifying high</w:t>
      </w:r>
      <w:r w:rsidR="008341BC">
        <w:t>-</w:t>
      </w:r>
      <w:r w:rsidRPr="00CB32B1">
        <w:t>risk across literature f</w:t>
      </w:r>
      <w:r w:rsidR="00CD0CA9" w:rsidRPr="00CB32B1">
        <w:t>rom Canada and the Netherlands)</w:t>
      </w:r>
    </w:p>
    <w:p w:rsidR="002C5ECC" w:rsidRPr="00CB32B1" w:rsidRDefault="002C5ECC" w:rsidP="00572B99">
      <w:pPr>
        <w:pStyle w:val="ListBullet"/>
      </w:pPr>
      <w:r w:rsidRPr="00CB32B1">
        <w:rPr>
          <w:b/>
          <w:color w:val="DC6900" w:themeColor="text2"/>
        </w:rPr>
        <w:t>Cohorts within studies:</w:t>
      </w:r>
      <w:r w:rsidRPr="00CB32B1">
        <w:t xml:space="preserve"> </w:t>
      </w:r>
      <w:r w:rsidR="003747C2">
        <w:t>t</w:t>
      </w:r>
      <w:r w:rsidRPr="00CB32B1">
        <w:t>he choice of cohorts</w:t>
      </w:r>
      <w:r w:rsidR="003747C2">
        <w:t xml:space="preserve"> within</w:t>
      </w:r>
      <w:r w:rsidRPr="00CB32B1">
        <w:t xml:space="preserve"> studies var</w:t>
      </w:r>
      <w:r w:rsidR="008341BC">
        <w:t>ies</w:t>
      </w:r>
      <w:r w:rsidRPr="00CB32B1">
        <w:t xml:space="preserve"> depending on how the terms are defined.</w:t>
      </w:r>
      <w:r w:rsidR="00002044" w:rsidRPr="00CB32B1">
        <w:rPr>
          <w:rStyle w:val="FootnoteReference"/>
        </w:rPr>
        <w:footnoteReference w:id="88"/>
      </w:r>
      <w:r w:rsidRPr="00CB32B1">
        <w:t xml:space="preserve"> As a result, this can have an impact on</w:t>
      </w:r>
      <w:r w:rsidR="00CD0CA9" w:rsidRPr="00CB32B1">
        <w:t xml:space="preserve"> study outcomes and conclusions</w:t>
      </w:r>
    </w:p>
    <w:p w:rsidR="002C5ECC" w:rsidRPr="00CB32B1" w:rsidRDefault="002C5ECC" w:rsidP="00572B99">
      <w:pPr>
        <w:pStyle w:val="ListBullet"/>
      </w:pPr>
      <w:r w:rsidRPr="00CB32B1">
        <w:rPr>
          <w:b/>
          <w:color w:val="DC6900" w:themeColor="text2"/>
        </w:rPr>
        <w:t xml:space="preserve">Data quality: </w:t>
      </w:r>
      <w:r w:rsidR="003747C2">
        <w:t>t</w:t>
      </w:r>
      <w:r w:rsidRPr="00CB32B1">
        <w:t xml:space="preserve">he data used </w:t>
      </w:r>
      <w:r w:rsidR="00873298">
        <w:t>may not be recent, could be</w:t>
      </w:r>
      <w:r w:rsidRPr="00CB32B1">
        <w:t xml:space="preserve"> incomplete, non-representative or statistically</w:t>
      </w:r>
      <w:r w:rsidR="003747C2">
        <w:t xml:space="preserve"> insignificant</w:t>
      </w:r>
      <w:r w:rsidR="00002044" w:rsidRPr="00CB32B1">
        <w:rPr>
          <w:rStyle w:val="FootnoteReference"/>
        </w:rPr>
        <w:footnoteReference w:id="89"/>
      </w:r>
    </w:p>
    <w:p w:rsidR="002C5ECC" w:rsidRPr="00CB32B1" w:rsidRDefault="002C5ECC" w:rsidP="00572B99">
      <w:pPr>
        <w:pStyle w:val="ListBullet"/>
      </w:pPr>
      <w:r w:rsidRPr="00CB32B1">
        <w:rPr>
          <w:b/>
          <w:color w:val="DC6900" w:themeColor="text2"/>
        </w:rPr>
        <w:t xml:space="preserve">Methodology: </w:t>
      </w:r>
      <w:r w:rsidR="003747C2">
        <w:t>w</w:t>
      </w:r>
      <w:r w:rsidRPr="00CB32B1">
        <w:t xml:space="preserve">here the preferred methodology (randomised control trials) is not possible, the </w:t>
      </w:r>
      <w:r w:rsidR="003747C2">
        <w:t>alternative study designs</w:t>
      </w:r>
      <w:r w:rsidRPr="00CB32B1">
        <w:t xml:space="preserve"> used </w:t>
      </w:r>
      <w:r w:rsidR="00873298">
        <w:t xml:space="preserve">may </w:t>
      </w:r>
      <w:r w:rsidR="00CD0CA9" w:rsidRPr="00CB32B1">
        <w:t>have been criticised</w:t>
      </w:r>
      <w:r w:rsidR="00002044" w:rsidRPr="00CB32B1">
        <w:rPr>
          <w:vertAlign w:val="superscript"/>
        </w:rPr>
        <w:footnoteReference w:id="90"/>
      </w:r>
      <w:r w:rsidRPr="00CB32B1">
        <w:rPr>
          <w:vertAlign w:val="superscript"/>
        </w:rPr>
        <w:t>,</w:t>
      </w:r>
      <w:r w:rsidR="008D0B4E" w:rsidRPr="00CB32B1">
        <w:rPr>
          <w:vertAlign w:val="superscript"/>
        </w:rPr>
        <w:t xml:space="preserve"> </w:t>
      </w:r>
      <w:r w:rsidR="00002044" w:rsidRPr="00CB32B1">
        <w:rPr>
          <w:vertAlign w:val="superscript"/>
        </w:rPr>
        <w:footnoteReference w:id="91"/>
      </w:r>
    </w:p>
    <w:p w:rsidR="002C5ECC" w:rsidRPr="00CB32B1" w:rsidRDefault="002C5ECC" w:rsidP="00572B99">
      <w:pPr>
        <w:pStyle w:val="ListBullet"/>
      </w:pPr>
      <w:r w:rsidRPr="00CB32B1">
        <w:rPr>
          <w:b/>
          <w:color w:val="DC6900" w:themeColor="text2"/>
        </w:rPr>
        <w:t xml:space="preserve">Bias and subjectivity: </w:t>
      </w:r>
      <w:r w:rsidR="003747C2">
        <w:t>f</w:t>
      </w:r>
      <w:r w:rsidRPr="00CB32B1">
        <w:t>indings and conclusions from the studies (and criticism of these findings and conclusions) can be biased or subjective (see Appendix J.6</w:t>
      </w:r>
      <w:r w:rsidR="00CD0CA9" w:rsidRPr="00CB32B1">
        <w:t>)</w:t>
      </w:r>
      <w:r w:rsidR="00002044" w:rsidRPr="00CB32B1">
        <w:rPr>
          <w:vertAlign w:val="superscript"/>
        </w:rPr>
        <w:footnoteReference w:id="92"/>
      </w:r>
    </w:p>
    <w:p w:rsidR="002C5ECC" w:rsidRPr="00CB32B1" w:rsidRDefault="002C5ECC" w:rsidP="00572B99">
      <w:pPr>
        <w:pStyle w:val="ListBullet"/>
      </w:pPr>
      <w:r w:rsidRPr="00CB32B1">
        <w:rPr>
          <w:b/>
          <w:color w:val="DC6900" w:themeColor="text2"/>
        </w:rPr>
        <w:t>Environmental factors:</w:t>
      </w:r>
      <w:r w:rsidRPr="00CB32B1">
        <w:t xml:space="preserve"> </w:t>
      </w:r>
      <w:r w:rsidR="003747C2">
        <w:t>t</w:t>
      </w:r>
      <w:r w:rsidRPr="00CB32B1">
        <w:t>he scope of practice and risk frameworks applied in studies (which may influence outcomes) can be dependent on the birthplace environment and location (see Appendix J.5</w:t>
      </w:r>
      <w:r w:rsidR="00CD0CA9" w:rsidRPr="00CB32B1">
        <w:t>)</w:t>
      </w:r>
    </w:p>
    <w:p w:rsidR="002C5ECC" w:rsidRPr="00CB32B1" w:rsidRDefault="002C5ECC" w:rsidP="00572B99">
      <w:pPr>
        <w:pStyle w:val="ListBullet"/>
      </w:pPr>
      <w:r w:rsidRPr="00CB32B1">
        <w:rPr>
          <w:b/>
          <w:color w:val="DC6900" w:themeColor="text2"/>
        </w:rPr>
        <w:t>Availability and specificity:</w:t>
      </w:r>
      <w:r w:rsidRPr="00CB32B1">
        <w:t xml:space="preserve"> </w:t>
      </w:r>
      <w:r w:rsidR="003747C2">
        <w:t>d</w:t>
      </w:r>
      <w:r w:rsidRPr="00CB32B1">
        <w:t xml:space="preserve">ata availability and the level of data collected may influence </w:t>
      </w:r>
      <w:r w:rsidR="00CD0CA9" w:rsidRPr="00CB32B1">
        <w:t>the outcomes that were recorded</w:t>
      </w:r>
    </w:p>
    <w:p w:rsidR="002C5ECC" w:rsidRPr="00CB32B1" w:rsidRDefault="002C5ECC" w:rsidP="00572B99">
      <w:pPr>
        <w:pStyle w:val="ListBullet"/>
      </w:pPr>
      <w:r w:rsidRPr="00CB32B1">
        <w:rPr>
          <w:b/>
          <w:color w:val="DC6900" w:themeColor="text2"/>
        </w:rPr>
        <w:t xml:space="preserve">Definition of adverse outcomes: </w:t>
      </w:r>
      <w:r w:rsidR="003747C2">
        <w:t>s</w:t>
      </w:r>
      <w:r w:rsidRPr="00CB32B1">
        <w:t>everal stakeholders believed that literature on the definition of adverse outcomes focused on physical outcomes (</w:t>
      </w:r>
      <w:r w:rsidR="00854DEF" w:rsidRPr="00CB32B1">
        <w:t>eg</w:t>
      </w:r>
      <w:r w:rsidRPr="00CB32B1">
        <w:t xml:space="preserve"> maternal morbidity), with limited considerations on the psycho-social outcomes for women if an option for homebirth was not available (</w:t>
      </w:r>
      <w:r w:rsidR="00854DEF" w:rsidRPr="00CB32B1">
        <w:t>eg</w:t>
      </w:r>
      <w:r w:rsidRPr="00CB32B1">
        <w:t xml:space="preserve"> stress as a result of past experiences in traditional health settings).</w:t>
      </w:r>
      <w:r w:rsidR="00002044" w:rsidRPr="00CB32B1">
        <w:rPr>
          <w:rStyle w:val="FootnoteReference"/>
        </w:rPr>
        <w:footnoteReference w:id="93"/>
      </w:r>
    </w:p>
    <w:p w:rsidR="002C5ECC" w:rsidRPr="00CB32B1" w:rsidRDefault="002C5ECC" w:rsidP="002C5ECC">
      <w:pPr>
        <w:pStyle w:val="PwCNormal"/>
      </w:pPr>
      <w:r w:rsidRPr="00CB32B1">
        <w:t>On review, there are a number of journal articles</w:t>
      </w:r>
      <w:r w:rsidR="008D0B4E" w:rsidRPr="00CB32B1">
        <w:rPr>
          <w:rStyle w:val="FootnoteReference"/>
        </w:rPr>
        <w:footnoteReference w:id="94"/>
      </w:r>
      <w:r w:rsidRPr="00CB32B1">
        <w:t xml:space="preserve"> which also critique the rigour and methodologies applied in reports. As an example, in Fahy &amp; Tracy (2007) a review was completed of the Cochrane systematic review</w:t>
      </w:r>
      <w:r w:rsidR="00002044" w:rsidRPr="00CB32B1">
        <w:rPr>
          <w:rStyle w:val="FootnoteReference"/>
        </w:rPr>
        <w:footnoteReference w:id="95"/>
      </w:r>
      <w:r w:rsidRPr="00CB32B1">
        <w:t xml:space="preserve"> where it presented a trend toward higher perinatal mortality in the home-like setting group, compared to a conventional hospital labour ward. From the review, Fahy &amp; Tracy (2007) held that 85% of the deaths were not associated with intrapartum care in a home-like setting.</w:t>
      </w:r>
    </w:p>
    <w:p w:rsidR="002C5ECC" w:rsidRPr="00CB32B1" w:rsidRDefault="002C5ECC" w:rsidP="00572B99">
      <w:pPr>
        <w:pStyle w:val="Minorheading2"/>
        <w:rPr>
          <w:b w:val="0"/>
          <w:i/>
        </w:rPr>
      </w:pPr>
      <w:r w:rsidRPr="00CB32B1">
        <w:rPr>
          <w:b w:val="0"/>
          <w:i/>
        </w:rPr>
        <w:t>Issues with adverse outcome studies – Australia</w:t>
      </w:r>
    </w:p>
    <w:p w:rsidR="002C5ECC" w:rsidRPr="00CB32B1" w:rsidRDefault="002C5ECC" w:rsidP="002C5ECC">
      <w:pPr>
        <w:pStyle w:val="PwCNormal"/>
      </w:pPr>
      <w:r w:rsidRPr="00CB32B1">
        <w:t>Statistical studies in Australia also do not provide certainty on the outcomes from homebirths because of insufficient data availability and other limitations such as:</w:t>
      </w:r>
    </w:p>
    <w:p w:rsidR="002C5ECC" w:rsidRPr="00CB32B1" w:rsidRDefault="001E6D25" w:rsidP="00572B99">
      <w:pPr>
        <w:pStyle w:val="ListBullet"/>
      </w:pPr>
      <w:r>
        <w:t>t</w:t>
      </w:r>
      <w:r w:rsidR="002C5ECC" w:rsidRPr="00CB32B1">
        <w:t>hey often do not distinguish between high and low-risk women which raise</w:t>
      </w:r>
      <w:r>
        <w:t>s</w:t>
      </w:r>
      <w:r w:rsidR="002C5ECC" w:rsidRPr="00CB32B1">
        <w:t xml:space="preserve"> the risk profile and suggests that there is a higher</w:t>
      </w:r>
      <w:r w:rsidR="00CD0CA9" w:rsidRPr="00CB32B1">
        <w:t xml:space="preserve"> likelihood of adverse outcomes</w:t>
      </w:r>
    </w:p>
    <w:p w:rsidR="002C5ECC" w:rsidRPr="00CB32B1" w:rsidRDefault="001E6D25" w:rsidP="00572B99">
      <w:pPr>
        <w:pStyle w:val="ListBullet"/>
      </w:pPr>
      <w:r>
        <w:t>t</w:t>
      </w:r>
      <w:r w:rsidR="002C5ECC" w:rsidRPr="00CB32B1">
        <w:t>he absence of a comparison of cohort groups in terms of comparing planned homebirth, planned midwife-led hospital birth and planned obstetric-le</w:t>
      </w:r>
      <w:r w:rsidR="00CD0CA9" w:rsidRPr="00CB32B1">
        <w:t>d hospital birth</w:t>
      </w:r>
    </w:p>
    <w:p w:rsidR="002C5ECC" w:rsidRPr="00CB32B1" w:rsidRDefault="001E6D25" w:rsidP="00572B99">
      <w:pPr>
        <w:pStyle w:val="ListBullet"/>
      </w:pPr>
      <w:r>
        <w:t>r</w:t>
      </w:r>
      <w:r w:rsidR="002C5ECC" w:rsidRPr="00CB32B1">
        <w:t xml:space="preserve">ecent studies (after 2000) to support homebirth outcomes have only </w:t>
      </w:r>
      <w:r w:rsidR="00CD0CA9" w:rsidRPr="00CB32B1">
        <w:t>been completed at a state-level</w:t>
      </w:r>
      <w:r w:rsidR="00397E40" w:rsidRPr="00CB32B1">
        <w:rPr>
          <w:vertAlign w:val="superscript"/>
        </w:rPr>
        <w:footnoteReference w:id="96"/>
      </w:r>
      <w:r w:rsidR="00397E40" w:rsidRPr="00CB32B1">
        <w:rPr>
          <w:vertAlign w:val="superscript"/>
        </w:rPr>
        <w:t>,</w:t>
      </w:r>
      <w:r w:rsidR="008D0B4E" w:rsidRPr="00CB32B1">
        <w:rPr>
          <w:vertAlign w:val="superscript"/>
        </w:rPr>
        <w:t xml:space="preserve"> </w:t>
      </w:r>
      <w:r w:rsidR="00397E40" w:rsidRPr="00CB32B1">
        <w:rPr>
          <w:vertAlign w:val="superscript"/>
        </w:rPr>
        <w:footnoteReference w:id="97"/>
      </w:r>
    </w:p>
    <w:p w:rsidR="002C5ECC" w:rsidRPr="00CB32B1" w:rsidRDefault="001E6D25" w:rsidP="00572B99">
      <w:pPr>
        <w:pStyle w:val="ListBullet"/>
      </w:pPr>
      <w:r>
        <w:t>t</w:t>
      </w:r>
      <w:r w:rsidR="002C5ECC" w:rsidRPr="00CB32B1">
        <w:t>he only national statistical studies completed</w:t>
      </w:r>
      <w:r w:rsidR="00CD0CA9" w:rsidRPr="00CB32B1">
        <w:t xml:space="preserve"> were undertaken prior to 2000</w:t>
      </w:r>
      <w:r w:rsidR="00397E40" w:rsidRPr="00CB32B1">
        <w:rPr>
          <w:vertAlign w:val="superscript"/>
        </w:rPr>
        <w:footnoteReference w:id="98"/>
      </w:r>
    </w:p>
    <w:p w:rsidR="002C5ECC" w:rsidRPr="00CB32B1" w:rsidRDefault="001E6D25" w:rsidP="00572B99">
      <w:pPr>
        <w:pStyle w:val="ListBullet"/>
      </w:pPr>
      <w:r>
        <w:t>t</w:t>
      </w:r>
      <w:r w:rsidR="002C5ECC" w:rsidRPr="00CB32B1">
        <w:t>he sample size for homebirths in Australia is small, given that, at most, only approximately 1,000 homebirths occur per year for all health practitioners.</w:t>
      </w:r>
      <w:r w:rsidR="00397E40" w:rsidRPr="00CB32B1">
        <w:rPr>
          <w:vertAlign w:val="superscript"/>
        </w:rPr>
        <w:footnoteReference w:id="99"/>
      </w:r>
      <w:r w:rsidR="002C5ECC" w:rsidRPr="00CB32B1">
        <w:t xml:space="preserve"> For example, Kennare et al</w:t>
      </w:r>
      <w:r w:rsidRPr="00CB32B1">
        <w:rPr>
          <w:vertAlign w:val="superscript"/>
        </w:rPr>
        <w:footnoteReference w:id="100"/>
      </w:r>
      <w:r w:rsidR="00873298">
        <w:t xml:space="preserve"> </w:t>
      </w:r>
      <w:r w:rsidR="002C5ECC" w:rsidRPr="00CB32B1">
        <w:t>used a sample size taken from South Australian data of 1,141 planned homebirths</w:t>
      </w:r>
      <w:r w:rsidR="00397E40" w:rsidRPr="00CB32B1">
        <w:rPr>
          <w:rStyle w:val="FootnoteReference"/>
        </w:rPr>
        <w:footnoteReference w:id="101"/>
      </w:r>
      <w:r w:rsidR="008D0B4E" w:rsidRPr="00CB32B1">
        <w:t xml:space="preserve"> </w:t>
      </w:r>
      <w:r w:rsidR="002C5ECC" w:rsidRPr="00CB32B1">
        <w:t xml:space="preserve">compared to 297,192 births performed </w:t>
      </w:r>
      <w:r w:rsidR="00873298">
        <w:t>within</w:t>
      </w:r>
      <w:r w:rsidR="002C5ECC" w:rsidRPr="00CB32B1">
        <w:t xml:space="preserve"> hosp</w:t>
      </w:r>
      <w:r w:rsidR="00CD0CA9" w:rsidRPr="00CB32B1">
        <w:t>itals over the period 1991</w:t>
      </w:r>
      <w:r w:rsidR="00873298">
        <w:t>-</w:t>
      </w:r>
      <w:r w:rsidR="00CD0CA9" w:rsidRPr="00CB32B1">
        <w:t>2006</w:t>
      </w:r>
      <w:r w:rsidR="001A57CA">
        <w:t>. In Catling-Paull, Coddington et al while a study of outcomes from nine publicly funded homebirth programs saw the rate of stillbirth and early neonatal death was 3.3 per 1,000 births, the sample size of 1,521 was recognised as potentially not having “sufficient power” to draw a conclusion about safety.</w:t>
      </w:r>
      <w:r w:rsidR="001A57CA">
        <w:rPr>
          <w:rStyle w:val="FootnoteReference"/>
        </w:rPr>
        <w:footnoteReference w:id="102"/>
      </w:r>
    </w:p>
    <w:p w:rsidR="002C5ECC" w:rsidRPr="00CB32B1" w:rsidRDefault="001E6D25" w:rsidP="00572B99">
      <w:pPr>
        <w:pStyle w:val="ListBullet"/>
        <w:keepNext/>
        <w:keepLines/>
        <w:ind w:left="562" w:hanging="562"/>
      </w:pPr>
      <w:r>
        <w:t>s</w:t>
      </w:r>
      <w:r w:rsidR="002C5ECC" w:rsidRPr="00CB32B1">
        <w:t xml:space="preserve">uitable alternate data sources </w:t>
      </w:r>
      <w:r>
        <w:t>being</w:t>
      </w:r>
      <w:r w:rsidR="002C5ECC" w:rsidRPr="00CB32B1">
        <w:t xml:space="preserve"> difficult to find as key stakeholders such as the ACM and RANZCOG use different literature to support their position about the likelihood of adverse outcomes arising (see Appendix J.6)</w:t>
      </w:r>
    </w:p>
    <w:p w:rsidR="002C5ECC" w:rsidRPr="00CB32B1" w:rsidRDefault="001E6D25" w:rsidP="00572B99">
      <w:pPr>
        <w:pStyle w:val="ListBullet"/>
        <w:keepNext/>
        <w:keepLines/>
        <w:ind w:left="562" w:hanging="562"/>
      </w:pPr>
      <w:r>
        <w:t>s</w:t>
      </w:r>
      <w:r w:rsidR="002C5ECC" w:rsidRPr="00CB32B1">
        <w:t xml:space="preserve">tudies </w:t>
      </w:r>
      <w:r>
        <w:t>not accessing</w:t>
      </w:r>
      <w:r w:rsidR="002C5ECC" w:rsidRPr="00CB32B1">
        <w:t xml:space="preserve"> a representative sample of the population who give birth; the types of births overseen by midwives are from mothers who appear to be </w:t>
      </w:r>
      <w:r>
        <w:t xml:space="preserve">both </w:t>
      </w:r>
      <w:r w:rsidR="002C5ECC" w:rsidRPr="00CB32B1">
        <w:t>of a higher socio-economic background and older.</w:t>
      </w:r>
      <w:r w:rsidR="00397E40" w:rsidRPr="00CB32B1">
        <w:rPr>
          <w:vertAlign w:val="superscript"/>
        </w:rPr>
        <w:footnoteReference w:id="103"/>
      </w:r>
      <w:r w:rsidR="008D0B4E" w:rsidRPr="00CB32B1">
        <w:rPr>
          <w:vertAlign w:val="superscript"/>
        </w:rPr>
        <w:t>,</w:t>
      </w:r>
      <w:r w:rsidR="002C5ECC" w:rsidRPr="00CB32B1">
        <w:t xml:space="preserve"> </w:t>
      </w:r>
      <w:r w:rsidR="00397E40" w:rsidRPr="00CB32B1">
        <w:rPr>
          <w:rStyle w:val="FootnoteReference"/>
        </w:rPr>
        <w:footnoteReference w:id="104"/>
      </w:r>
    </w:p>
    <w:p w:rsidR="002C5ECC" w:rsidRPr="00CB32B1" w:rsidRDefault="002C5ECC" w:rsidP="00572B99">
      <w:pPr>
        <w:pStyle w:val="Minorheading2"/>
        <w:rPr>
          <w:b w:val="0"/>
          <w:i/>
        </w:rPr>
      </w:pPr>
      <w:r w:rsidRPr="00CB32B1">
        <w:rPr>
          <w:b w:val="0"/>
          <w:i/>
        </w:rPr>
        <w:t>Issues with adverse outcome studies – international findings</w:t>
      </w:r>
    </w:p>
    <w:p w:rsidR="002C5ECC" w:rsidRPr="00CB32B1" w:rsidRDefault="002C5ECC" w:rsidP="002C5ECC">
      <w:pPr>
        <w:pStyle w:val="PwCNormal"/>
      </w:pPr>
      <w:r w:rsidRPr="00CB32B1">
        <w:t xml:space="preserve">Outcomes </w:t>
      </w:r>
      <w:r w:rsidR="0017185E">
        <w:t>for</w:t>
      </w:r>
      <w:r w:rsidRPr="00CB32B1">
        <w:t xml:space="preserve"> </w:t>
      </w:r>
      <w:r w:rsidR="0017185E">
        <w:t>PPMs</w:t>
      </w:r>
      <w:r w:rsidRPr="00CB32B1">
        <w:t xml:space="preserve"> or independent midwifery practice within other </w:t>
      </w:r>
      <w:r w:rsidR="00873298">
        <w:t>jurisdiction</w:t>
      </w:r>
      <w:r w:rsidRPr="00CB32B1">
        <w:t>s have been documented. These could provide more certainty in relation to homebirth outcomes given the relatively larger number of homebirths, and potential relative improvements in data quality. However, stakeholders consulted caution</w:t>
      </w:r>
      <w:r w:rsidR="00873298">
        <w:t>ed</w:t>
      </w:r>
      <w:r w:rsidRPr="00CB32B1">
        <w:t xml:space="preserve"> their application </w:t>
      </w:r>
      <w:r w:rsidR="00873298">
        <w:t>to</w:t>
      </w:r>
      <w:r w:rsidRPr="00CB32B1">
        <w:t xml:space="preserve"> Australia, highlighting that they may not be a relevant or appropriate substitute for </w:t>
      </w:r>
      <w:r w:rsidR="00873298">
        <w:t>local</w:t>
      </w:r>
      <w:r w:rsidRPr="00CB32B1">
        <w:t xml:space="preserve"> PPM activity. The quality of data and their collection also needs to be confirmed. </w:t>
      </w:r>
    </w:p>
    <w:p w:rsidR="002C5ECC" w:rsidRPr="00CB32B1" w:rsidRDefault="002C5ECC" w:rsidP="004E31E9">
      <w:pPr>
        <w:pStyle w:val="PwCNormal"/>
      </w:pPr>
      <w:r w:rsidRPr="00CB32B1">
        <w:t xml:space="preserve">International journals and researchers may not only have the same challenges as their Australian counterparts (as </w:t>
      </w:r>
      <w:r w:rsidR="00873298">
        <w:t xml:space="preserve">previously </w:t>
      </w:r>
      <w:r w:rsidRPr="00CB32B1">
        <w:t>outlined), but may also include examples of outcomes that result from births that have occurred within different operating environments. For example, the Netherlands has a higher proportion of homebirths than Australia so the scale is considered by those consulted to improve outcomes, and therefore to limit claims. However, it must also be taken in to account</w:t>
      </w:r>
      <w:r w:rsidR="00854DEF" w:rsidRPr="00CB32B1">
        <w:t xml:space="preserve"> </w:t>
      </w:r>
      <w:r w:rsidRPr="00CB32B1">
        <w:t>that the environment in which these homebirths occurred, including what some consulted with identify as a more supportive legal environment, social insurance schemes, and established clinical frameworks and systems for monitoring also impact upon the outcomes (see Chapter 4 for more information).</w:t>
      </w:r>
      <w:r w:rsidR="00397E40" w:rsidRPr="00CB32B1">
        <w:rPr>
          <w:rStyle w:val="FootnoteReference"/>
        </w:rPr>
        <w:footnoteReference w:id="105"/>
      </w:r>
      <w:r w:rsidR="008D0B4E" w:rsidRPr="00CB32B1">
        <w:t xml:space="preserve"> </w:t>
      </w:r>
      <w:r w:rsidR="005A16C9" w:rsidRPr="00CB32B1">
        <w:t>Therefore</w:t>
      </w:r>
      <w:r w:rsidRPr="00CB32B1">
        <w:t xml:space="preserve"> consideration of these broader environmental factors needs to be made when reviewing international literature.</w:t>
      </w:r>
    </w:p>
    <w:p w:rsidR="002C5ECC" w:rsidRPr="00CB32B1" w:rsidRDefault="002C5ECC" w:rsidP="002C5ECC">
      <w:pPr>
        <w:pStyle w:val="PwCNormal"/>
      </w:pPr>
      <w:r w:rsidRPr="00CB32B1">
        <w:t>As a result of the international review completed, it is inconclusive that homebirths result in better or poorer outcomes than births within other models. Given the challenges cited within literature studies at present (particularly data quality, risk levels of women and bias) a conclusive finding from literature may never be achieved. Instead, it must be reflected</w:t>
      </w:r>
      <w:r w:rsidR="004E31E9">
        <w:t xml:space="preserve"> and accepted</w:t>
      </w:r>
      <w:r w:rsidRPr="00CB32B1">
        <w:t xml:space="preserve"> that women will continue to choose to have homebirths, and as a result, despite inconclusive literature, indemnity options must be considered further to protect not only the PPM but the community more broadly.</w:t>
      </w:r>
    </w:p>
    <w:p w:rsidR="002C5ECC" w:rsidRPr="00CB32B1" w:rsidRDefault="002C5ECC" w:rsidP="00310441">
      <w:pPr>
        <w:pStyle w:val="Minorheading"/>
        <w:rPr>
          <w:b/>
          <w:i w:val="0"/>
          <w:sz w:val="20"/>
          <w:szCs w:val="20"/>
        </w:rPr>
      </w:pPr>
      <w:r w:rsidRPr="00CB32B1">
        <w:rPr>
          <w:b/>
          <w:i w:val="0"/>
          <w:sz w:val="20"/>
          <w:szCs w:val="20"/>
        </w:rPr>
        <w:t>C.</w:t>
      </w:r>
      <w:r w:rsidRPr="00CB32B1">
        <w:rPr>
          <w:b/>
          <w:i w:val="0"/>
          <w:sz w:val="20"/>
          <w:szCs w:val="20"/>
        </w:rPr>
        <w:tab/>
        <w:t>Situational influences</w:t>
      </w:r>
    </w:p>
    <w:p w:rsidR="002C5ECC" w:rsidRPr="00CB32B1" w:rsidRDefault="002C5ECC" w:rsidP="002C5ECC">
      <w:pPr>
        <w:pStyle w:val="PwCNormal"/>
      </w:pPr>
      <w:r w:rsidRPr="00CB32B1">
        <w:t xml:space="preserve">Situational influences are those events or conditions in the wider environment that may increase the likelihood of an adverse outcome in a birth, and as a result, an increased incidence of a claim arising. Having knowledge of and data on these influences may assist insurers when assessing the risk profile of PPMs. From </w:t>
      </w:r>
      <w:r w:rsidR="00873298">
        <w:t>a</w:t>
      </w:r>
      <w:r w:rsidRPr="00CB32B1">
        <w:t xml:space="preserve"> review of literature, four conditions </w:t>
      </w:r>
      <w:r w:rsidR="00873298">
        <w:t xml:space="preserve">were identified </w:t>
      </w:r>
      <w:r w:rsidRPr="00CB32B1">
        <w:t>as examples of situational influences:</w:t>
      </w:r>
    </w:p>
    <w:p w:rsidR="002C5ECC" w:rsidRPr="00CB32B1" w:rsidRDefault="002C5ECC" w:rsidP="00310441">
      <w:pPr>
        <w:pStyle w:val="ListBullet"/>
      </w:pPr>
      <w:r w:rsidRPr="00CB32B1">
        <w:rPr>
          <w:b/>
          <w:color w:val="DC6900" w:themeColor="text2"/>
        </w:rPr>
        <w:t>Risk profile of women:</w:t>
      </w:r>
      <w:r w:rsidRPr="00CB32B1">
        <w:t xml:space="preserve"> </w:t>
      </w:r>
      <w:r w:rsidR="0017185E">
        <w:t>s</w:t>
      </w:r>
      <w:r w:rsidRPr="00CB32B1">
        <w:t xml:space="preserve">ervices being provided in the home to a caseload of mixed risk women </w:t>
      </w:r>
      <w:r w:rsidR="0017185E">
        <w:t>(</w:t>
      </w:r>
      <w:r w:rsidR="00854DEF" w:rsidRPr="00CB32B1">
        <w:t>ie</w:t>
      </w:r>
      <w:r w:rsidR="00CD0CA9" w:rsidRPr="00CB32B1">
        <w:t xml:space="preserve"> both high and low-risk women</w:t>
      </w:r>
      <w:r w:rsidR="0017185E">
        <w:t>)</w:t>
      </w:r>
    </w:p>
    <w:p w:rsidR="002C5ECC" w:rsidRPr="00CB32B1" w:rsidRDefault="002C5ECC" w:rsidP="00310441">
      <w:pPr>
        <w:pStyle w:val="ListBullet"/>
      </w:pPr>
      <w:r w:rsidRPr="00CB32B1">
        <w:rPr>
          <w:b/>
          <w:color w:val="DC6900" w:themeColor="text2"/>
        </w:rPr>
        <w:t xml:space="preserve">Proximity to health services: </w:t>
      </w:r>
      <w:r w:rsidR="0017185E">
        <w:t>t</w:t>
      </w:r>
      <w:r w:rsidRPr="00CB32B1">
        <w:t>he location of health services relative to</w:t>
      </w:r>
      <w:r w:rsidR="00CD0CA9" w:rsidRPr="00CB32B1">
        <w:t xml:space="preserve"> the woman’s place of residence</w:t>
      </w:r>
    </w:p>
    <w:p w:rsidR="002C5ECC" w:rsidRPr="00CB32B1" w:rsidRDefault="002C5ECC" w:rsidP="00310441">
      <w:pPr>
        <w:pStyle w:val="ListBullet"/>
      </w:pPr>
      <w:r w:rsidRPr="00CB32B1">
        <w:rPr>
          <w:b/>
          <w:color w:val="DC6900" w:themeColor="text2"/>
        </w:rPr>
        <w:t xml:space="preserve">Practice of midwifery during homebirths: </w:t>
      </w:r>
      <w:r w:rsidR="0017185E">
        <w:t>t</w:t>
      </w:r>
      <w:r w:rsidRPr="00CB32B1">
        <w:t>he number and types of interventions which arise from PPM activity in homebirths given that PPMs are only meant to provide services for women having low</w:t>
      </w:r>
      <w:r w:rsidR="00873298">
        <w:t>-</w:t>
      </w:r>
      <w:r w:rsidRPr="00CB32B1">
        <w:t>risk labour and births in line wi</w:t>
      </w:r>
      <w:r w:rsidR="00CD0CA9" w:rsidRPr="00CB32B1">
        <w:t>th risk and clinical frameworks</w:t>
      </w:r>
    </w:p>
    <w:p w:rsidR="002C5ECC" w:rsidRPr="00CB32B1" w:rsidRDefault="002C5ECC" w:rsidP="00310441">
      <w:pPr>
        <w:pStyle w:val="ListBullet"/>
      </w:pPr>
      <w:r w:rsidRPr="00CB32B1">
        <w:rPr>
          <w:b/>
          <w:color w:val="DC6900" w:themeColor="text2"/>
        </w:rPr>
        <w:t xml:space="preserve">Transfers from home to hospital: </w:t>
      </w:r>
      <w:r w:rsidR="0017185E">
        <w:t>t</w:t>
      </w:r>
      <w:r w:rsidRPr="00CB32B1">
        <w:t xml:space="preserve">he outcomes from transfers to hospitals and the relative number of times that transfers occur. </w:t>
      </w:r>
    </w:p>
    <w:p w:rsidR="002C5ECC" w:rsidRPr="00CB32B1" w:rsidRDefault="002C5ECC" w:rsidP="002C5ECC">
      <w:pPr>
        <w:pStyle w:val="PwCNormal"/>
      </w:pPr>
      <w:r w:rsidRPr="00CB32B1">
        <w:t>Currently, given the information available, there may be uncertainty for an insurer around the situational influences. Please refer to Appendix J.5 for further information and discussion on each of these.</w:t>
      </w:r>
    </w:p>
    <w:p w:rsidR="002C5ECC" w:rsidRPr="00CB32B1" w:rsidRDefault="002C5ECC" w:rsidP="00310441">
      <w:pPr>
        <w:pStyle w:val="Minorheading"/>
      </w:pPr>
      <w:r w:rsidRPr="00CB32B1">
        <w:t>3.</w:t>
      </w:r>
      <w:r w:rsidRPr="00CB32B1">
        <w:tab/>
        <w:t>Number and quantum of claims</w:t>
      </w:r>
    </w:p>
    <w:p w:rsidR="002C5ECC" w:rsidRPr="00CB32B1" w:rsidRDefault="002C5ECC" w:rsidP="002C5ECC">
      <w:pPr>
        <w:pStyle w:val="PwCNormal"/>
      </w:pPr>
      <w:r w:rsidRPr="00CB32B1">
        <w:t>Both of the current insurers of PPM</w:t>
      </w:r>
      <w:r w:rsidR="00FD0F26">
        <w:t>s</w:t>
      </w:r>
      <w:r w:rsidRPr="00CB32B1">
        <w:t xml:space="preserve"> communicated that there was reluctance </w:t>
      </w:r>
      <w:r w:rsidR="00166874">
        <w:t xml:space="preserve">generally </w:t>
      </w:r>
      <w:r w:rsidRPr="00CB32B1">
        <w:t xml:space="preserve">for insurers and brokers to </w:t>
      </w:r>
      <w:r w:rsidR="00FD0F26">
        <w:t xml:space="preserve">provide PII for intrapartum care </w:t>
      </w:r>
      <w:r w:rsidRPr="00CB32B1">
        <w:t xml:space="preserve">due to a lack of information </w:t>
      </w:r>
      <w:r w:rsidR="00166874">
        <w:t>on</w:t>
      </w:r>
      <w:r w:rsidRPr="00CB32B1">
        <w:t xml:space="preserve"> insurance claims.</w:t>
      </w:r>
      <w:r w:rsidR="00397E40" w:rsidRPr="00CB32B1">
        <w:rPr>
          <w:vertAlign w:val="superscript"/>
        </w:rPr>
        <w:footnoteReference w:id="106"/>
      </w:r>
      <w:r w:rsidRPr="00CB32B1">
        <w:t xml:space="preserve"> The importance of </w:t>
      </w:r>
      <w:r w:rsidR="00642F68">
        <w:t xml:space="preserve">having an understanding of </w:t>
      </w:r>
      <w:r w:rsidRPr="00CB32B1">
        <w:t xml:space="preserve">the number and quantum of claims is that </w:t>
      </w:r>
      <w:r w:rsidR="00642F68">
        <w:t xml:space="preserve">without this historical data, it </w:t>
      </w:r>
      <w:r w:rsidRPr="00CB32B1">
        <w:t>is difficult for a potential insurer to know how much risk will be borne in providing a product (for example, what claims would be raised against them). As a result, it is difficult to set a premium which will allow the insurer to create a profitable commercial product at an affordable price for potential clients.</w:t>
      </w:r>
    </w:p>
    <w:p w:rsidR="002C5ECC" w:rsidRPr="00CB32B1" w:rsidRDefault="00166874" w:rsidP="002C5ECC">
      <w:pPr>
        <w:pStyle w:val="PwCNormal"/>
      </w:pPr>
      <w:r>
        <w:t>However, d</w:t>
      </w:r>
      <w:r w:rsidR="002C5ECC" w:rsidRPr="00CB32B1">
        <w:t>ata are not held in a central location but by different insurers and therefore, as a part of the scope of this report data were requested from commercial insurers on the number, timing and quantum of the claims made for the period prior to 2001 and the period from 2010 until present (no information was sought between 2002–2010 as no PII was available</w:t>
      </w:r>
      <w:r w:rsidR="00FD0F26">
        <w:t xml:space="preserve"> during this time</w:t>
      </w:r>
      <w:r w:rsidR="002C5ECC" w:rsidRPr="00CB32B1">
        <w:t>, see Chapter 2). Unfortunately, information on claims was unable to be obtained. While insurers and brokers declined to provide data, several did participate in consultations. During these consultations, it was conveyed that information could not be provided for several reasons including that:</w:t>
      </w:r>
    </w:p>
    <w:p w:rsidR="002C5ECC" w:rsidRPr="00CB32B1" w:rsidRDefault="00694F2D" w:rsidP="00310441">
      <w:pPr>
        <w:pStyle w:val="ListBullet"/>
      </w:pPr>
      <w:r>
        <w:t>t</w:t>
      </w:r>
      <w:r w:rsidR="002C5ECC" w:rsidRPr="00CB32B1">
        <w:t xml:space="preserve">he data </w:t>
      </w:r>
      <w:r w:rsidR="00CD0CA9" w:rsidRPr="00CB32B1">
        <w:t>were no longer recorded or held</w:t>
      </w:r>
    </w:p>
    <w:p w:rsidR="002C5ECC" w:rsidRPr="00CB32B1" w:rsidRDefault="00694F2D" w:rsidP="00310441">
      <w:pPr>
        <w:pStyle w:val="ListBullet"/>
      </w:pPr>
      <w:r>
        <w:t>t</w:t>
      </w:r>
      <w:r w:rsidR="002C5ECC" w:rsidRPr="00CB32B1">
        <w:t>he data were commercially sensitive (as they are commercial insurers and not government</w:t>
      </w:r>
      <w:r>
        <w:t xml:space="preserve"> </w:t>
      </w:r>
      <w:r w:rsidR="00CD0CA9" w:rsidRPr="00CB32B1">
        <w:t>agencies)</w:t>
      </w:r>
    </w:p>
    <w:p w:rsidR="002C5ECC" w:rsidRPr="00CB32B1" w:rsidRDefault="00694F2D" w:rsidP="00310441">
      <w:pPr>
        <w:pStyle w:val="ListBullet"/>
      </w:pPr>
      <w:r>
        <w:t>d</w:t>
      </w:r>
      <w:r w:rsidR="002C5ECC" w:rsidRPr="00CB32B1">
        <w:t>ata could identify clients, and refraining from providing the information respected the privacy of those who have been claimed against.</w:t>
      </w:r>
    </w:p>
    <w:p w:rsidR="002C5ECC" w:rsidRPr="00CB32B1" w:rsidRDefault="002C5ECC" w:rsidP="002C5ECC">
      <w:pPr>
        <w:pStyle w:val="PwCNormal"/>
      </w:pPr>
      <w:r w:rsidRPr="00CB32B1">
        <w:t xml:space="preserve">Since 2009, it appears that there have been incidences of notification to these two insurers as well as claims which have been formalised. Yet due to the low number of claims and incidences that have occurred, these have not </w:t>
      </w:r>
      <w:r w:rsidR="00642F68">
        <w:t>been provide</w:t>
      </w:r>
      <w:r w:rsidRPr="00CB32B1">
        <w:t xml:space="preserve">d </w:t>
      </w:r>
      <w:r w:rsidR="00642F68">
        <w:t>by insurers f</w:t>
      </w:r>
      <w:r w:rsidRPr="00CB32B1">
        <w:t>or privacy reasons. From publicly available information it however can be reported that:</w:t>
      </w:r>
    </w:p>
    <w:p w:rsidR="002C5ECC" w:rsidRPr="00CB32B1" w:rsidRDefault="00694F2D" w:rsidP="00310441">
      <w:pPr>
        <w:pStyle w:val="ListBullet"/>
      </w:pPr>
      <w:r>
        <w:t>t</w:t>
      </w:r>
      <w:r w:rsidR="002C5ECC" w:rsidRPr="00CB32B1">
        <w:t>here have been no claims for midwives drawn from run-off cover scheme since 2009</w:t>
      </w:r>
      <w:r w:rsidR="00676882" w:rsidRPr="00CB32B1">
        <w:rPr>
          <w:rStyle w:val="FootnoteReference"/>
        </w:rPr>
        <w:footnoteReference w:id="107"/>
      </w:r>
    </w:p>
    <w:p w:rsidR="002C5ECC" w:rsidRPr="00CB32B1" w:rsidRDefault="00694F2D" w:rsidP="00310441">
      <w:pPr>
        <w:pStyle w:val="ListBullet"/>
      </w:pPr>
      <w:r>
        <w:t>o</w:t>
      </w:r>
      <w:r w:rsidR="002C5ECC" w:rsidRPr="00CB32B1">
        <w:t xml:space="preserve">ther public reports for </w:t>
      </w:r>
      <w:r>
        <w:t>o</w:t>
      </w:r>
      <w:r w:rsidR="002C5ECC" w:rsidRPr="00CB32B1">
        <w:t xml:space="preserve">bstetrics and </w:t>
      </w:r>
      <w:r>
        <w:t>m</w:t>
      </w:r>
      <w:r w:rsidR="002C5ECC" w:rsidRPr="00CB32B1">
        <w:t xml:space="preserve">idwifery claims in the public health system demonstrate that there are high rates of compensation for </w:t>
      </w:r>
      <w:r>
        <w:t>o</w:t>
      </w:r>
      <w:r w:rsidR="002C5ECC" w:rsidRPr="00CB32B1">
        <w:t>bstetric claims each year.</w:t>
      </w:r>
      <w:r w:rsidR="00676882" w:rsidRPr="00CB32B1">
        <w:rPr>
          <w:rStyle w:val="FootnoteReference"/>
        </w:rPr>
        <w:footnoteReference w:id="108"/>
      </w:r>
    </w:p>
    <w:p w:rsidR="002C5ECC" w:rsidRDefault="002C5ECC" w:rsidP="002C5ECC">
      <w:pPr>
        <w:pStyle w:val="PwCNormal"/>
      </w:pPr>
      <w:r w:rsidRPr="00CB32B1">
        <w:t xml:space="preserve">We identified a number of alternative data sources </w:t>
      </w:r>
      <w:r w:rsidR="00694F2D">
        <w:t>for</w:t>
      </w:r>
      <w:r w:rsidRPr="00CB32B1">
        <w:t xml:space="preserve"> the number, timing and quantum of claims. However each of these (tribunals and court cases, international insurers and other professions), have limitations. Information obtained from other jurisdictions was available but only to varying degrees.</w:t>
      </w:r>
    </w:p>
    <w:p w:rsidR="00166874" w:rsidRPr="00CB32B1" w:rsidRDefault="00166874" w:rsidP="002C5ECC">
      <w:pPr>
        <w:pStyle w:val="PwCNormal"/>
      </w:pPr>
      <w:r>
        <w:t xml:space="preserve">This provides a challenge, as insurers appear unwilling to participate and provide a PII product for PPMs without historical data, while those that have or currently do provide insurance, are not required to share this information at the level of PPMs publicly. This is evident in the AIHW report, </w:t>
      </w:r>
      <w:r>
        <w:rPr>
          <w:i/>
        </w:rPr>
        <w:t>Australia’s medical indemnity claims 2011-12</w:t>
      </w:r>
      <w:r>
        <w:t>, where information was presented on midwifery claims, but not PPM claims specifically.</w:t>
      </w:r>
      <w:r>
        <w:rPr>
          <w:rStyle w:val="FootnoteReference"/>
        </w:rPr>
        <w:footnoteReference w:id="109"/>
      </w:r>
    </w:p>
    <w:p w:rsidR="002C5ECC" w:rsidRPr="00CB32B1" w:rsidRDefault="002C5ECC" w:rsidP="00310441">
      <w:pPr>
        <w:pStyle w:val="Minorheading2"/>
      </w:pPr>
      <w:r w:rsidRPr="00CB32B1">
        <w:t>Tribunals and court cases</w:t>
      </w:r>
    </w:p>
    <w:p w:rsidR="002C5ECC" w:rsidRPr="00CB32B1" w:rsidRDefault="002C5ECC" w:rsidP="002C5ECC">
      <w:pPr>
        <w:pStyle w:val="PwCNormal"/>
      </w:pPr>
      <w:r w:rsidRPr="00CB32B1">
        <w:t xml:space="preserve">PPMs may be held accountable for their actions when individuals or organisations advance claims for redress. Depending on the preferred process and the general outcome sought, as shown in </w:t>
      </w:r>
      <w:r w:rsidR="009129A6">
        <w:fldChar w:fldCharType="begin"/>
      </w:r>
      <w:r w:rsidR="006F6F1A">
        <w:instrText xml:space="preserve"> REF _Ref361753698 \h </w:instrText>
      </w:r>
      <w:r w:rsidR="009129A6">
        <w:fldChar w:fldCharType="separate"/>
      </w:r>
      <w:r w:rsidR="008816B4" w:rsidRPr="00CB32B1">
        <w:t xml:space="preserve">Figure </w:t>
      </w:r>
      <w:r w:rsidR="008816B4">
        <w:rPr>
          <w:noProof/>
        </w:rPr>
        <w:t>9</w:t>
      </w:r>
      <w:r w:rsidR="009129A6">
        <w:fldChar w:fldCharType="end"/>
      </w:r>
      <w:r w:rsidRPr="00CB32B1">
        <w:t xml:space="preserve">, claims against PPMs in the homebirth context may be made in relation to: </w:t>
      </w:r>
    </w:p>
    <w:p w:rsidR="002C5ECC" w:rsidRPr="00CB32B1" w:rsidRDefault="002C5ECC" w:rsidP="00310441">
      <w:pPr>
        <w:pStyle w:val="ListBullet"/>
      </w:pPr>
      <w:r w:rsidRPr="00CB32B1">
        <w:rPr>
          <w:b/>
          <w:color w:val="DC6900" w:themeColor="text2"/>
        </w:rPr>
        <w:t xml:space="preserve">Professional negligence: </w:t>
      </w:r>
      <w:r w:rsidR="006F6F1A">
        <w:t>w</w:t>
      </w:r>
      <w:r w:rsidRPr="00CB32B1">
        <w:t>hen an act or omission occurs during a homebirth that is below the</w:t>
      </w:r>
      <w:r w:rsidR="00310441" w:rsidRPr="00CB32B1">
        <w:t> </w:t>
      </w:r>
      <w:r w:rsidRPr="00CB32B1">
        <w:t>accepted standard of midwifery practice and this act or omission directly results in injury or</w:t>
      </w:r>
      <w:r w:rsidR="00310441" w:rsidRPr="00CB32B1">
        <w:t> </w:t>
      </w:r>
      <w:r w:rsidR="00CD0CA9" w:rsidRPr="00CB32B1">
        <w:t>death</w:t>
      </w:r>
    </w:p>
    <w:p w:rsidR="002C5ECC" w:rsidRPr="00CB32B1" w:rsidRDefault="002C5ECC" w:rsidP="00310441">
      <w:pPr>
        <w:pStyle w:val="ListBullet"/>
      </w:pPr>
      <w:r w:rsidRPr="00CB32B1">
        <w:rPr>
          <w:b/>
          <w:color w:val="DC6900" w:themeColor="text2"/>
        </w:rPr>
        <w:t xml:space="preserve">Professional conduct </w:t>
      </w:r>
      <w:r w:rsidRPr="00CB32B1">
        <w:t>(</w:t>
      </w:r>
      <w:r w:rsidR="00854DEF" w:rsidRPr="00CB32B1">
        <w:t>ie</w:t>
      </w:r>
      <w:r w:rsidRPr="00CB32B1">
        <w:t xml:space="preserve"> Professional Misconduct, Unprofessional Conduct or Unsatisfactory Professional Performance)</w:t>
      </w:r>
      <w:r w:rsidRPr="00CB32B1">
        <w:rPr>
          <w:b/>
          <w:color w:val="DC6900" w:themeColor="text2"/>
        </w:rPr>
        <w:t xml:space="preserve">: </w:t>
      </w:r>
      <w:r w:rsidR="006F6F1A">
        <w:t>t</w:t>
      </w:r>
      <w:r w:rsidRPr="00CB32B1">
        <w:t xml:space="preserve">his includes conduct for which liability would not ordinarily be imposed in legal proceedings but which offends the traditions of the profession, even if the </w:t>
      </w:r>
      <w:r w:rsidR="00FD0F26">
        <w:t>person</w:t>
      </w:r>
      <w:r w:rsidRPr="00CB32B1">
        <w:t xml:space="preserve"> suffers no loss or injury.</w:t>
      </w:r>
    </w:p>
    <w:p w:rsidR="00310441" w:rsidRPr="00CB32B1" w:rsidRDefault="00310441" w:rsidP="00270634">
      <w:pPr>
        <w:pStyle w:val="NumericCaption"/>
      </w:pPr>
      <w:bookmarkStart w:id="34" w:name="_Ref361753698"/>
      <w:r w:rsidRPr="00CB32B1">
        <w:t xml:space="preserve">Figure </w:t>
      </w:r>
      <w:r w:rsidR="009129A6" w:rsidRPr="00CB32B1">
        <w:fldChar w:fldCharType="begin"/>
      </w:r>
      <w:r w:rsidR="00D16456" w:rsidRPr="00CB32B1">
        <w:instrText xml:space="preserve"> SEQ Figure \* ARABIC </w:instrText>
      </w:r>
      <w:r w:rsidR="009129A6" w:rsidRPr="00CB32B1">
        <w:fldChar w:fldCharType="separate"/>
      </w:r>
      <w:r w:rsidR="008816B4">
        <w:rPr>
          <w:noProof/>
        </w:rPr>
        <w:t>9</w:t>
      </w:r>
      <w:r w:rsidR="009129A6" w:rsidRPr="00CB32B1">
        <w:fldChar w:fldCharType="end"/>
      </w:r>
      <w:bookmarkEnd w:id="34"/>
      <w:r w:rsidRPr="00CB32B1">
        <w:t>: Overview of allegation process for tribunals and courts</w:t>
      </w:r>
    </w:p>
    <w:p w:rsidR="00310441" w:rsidRPr="00CB32B1" w:rsidRDefault="00A44E81" w:rsidP="002C5ECC">
      <w:pPr>
        <w:pStyle w:val="PwCNormal"/>
      </w:pPr>
      <w:r w:rsidRPr="00CB32B1">
        <w:rPr>
          <w:noProof/>
          <w:lang w:val="en-US"/>
        </w:rPr>
        <w:drawing>
          <wp:inline distT="0" distB="0" distL="0" distR="0">
            <wp:extent cx="5760720" cy="1445106"/>
            <wp:effectExtent l="0" t="0" r="0" b="0"/>
            <wp:docPr id="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cstate="print"/>
                    <a:srcRect/>
                    <a:stretch>
                      <a:fillRect/>
                    </a:stretch>
                  </pic:blipFill>
                  <pic:spPr bwMode="auto">
                    <a:xfrm>
                      <a:off x="0" y="0"/>
                      <a:ext cx="5760720" cy="1445106"/>
                    </a:xfrm>
                    <a:prstGeom prst="rect">
                      <a:avLst/>
                    </a:prstGeom>
                    <a:noFill/>
                    <a:ln w="9525">
                      <a:noFill/>
                      <a:miter lim="800000"/>
                      <a:headEnd/>
                      <a:tailEnd/>
                    </a:ln>
                  </pic:spPr>
                </pic:pic>
              </a:graphicData>
            </a:graphic>
          </wp:inline>
        </w:drawing>
      </w:r>
    </w:p>
    <w:p w:rsidR="002C5ECC" w:rsidRPr="00CB32B1" w:rsidRDefault="002C5ECC" w:rsidP="002C5ECC">
      <w:pPr>
        <w:pStyle w:val="PwCNormal"/>
      </w:pPr>
      <w:r w:rsidRPr="00CB32B1">
        <w:t>Tribunals present those a</w:t>
      </w:r>
      <w:r w:rsidR="00FD0F26">
        <w:t>llegations that have gone to a</w:t>
      </w:r>
      <w:r w:rsidRPr="00CB32B1">
        <w:t xml:space="preserve"> </w:t>
      </w:r>
      <w:r w:rsidR="005E48F6">
        <w:t>Regulatory Authority</w:t>
      </w:r>
      <w:r w:rsidRPr="00CB32B1">
        <w:t xml:space="preserve"> for consideration of issues such as professional misconduct. While tribunals may demonstrate the number of potential incidences related to a claim raised against a PPM, they may not be reflective of claims or assist insurers because:</w:t>
      </w:r>
    </w:p>
    <w:p w:rsidR="002C5ECC" w:rsidRPr="00CB32B1" w:rsidRDefault="006F6F1A" w:rsidP="00310441">
      <w:pPr>
        <w:pStyle w:val="ListBullet"/>
      </w:pPr>
      <w:r>
        <w:t>n</w:t>
      </w:r>
      <w:r w:rsidR="002C5ECC" w:rsidRPr="00CB32B1">
        <w:t>ot all cases made to tribunals also have a civil claim ra</w:t>
      </w:r>
      <w:r w:rsidR="00CD0CA9" w:rsidRPr="00CB32B1">
        <w:t xml:space="preserve">ised against them </w:t>
      </w:r>
      <w:r w:rsidR="00CD0CA9" w:rsidRPr="00CB32B1">
        <w:rPr>
          <w:b/>
          <w:color w:val="DC6900" w:themeColor="text2"/>
        </w:rPr>
        <w:t>(probability)</w:t>
      </w:r>
    </w:p>
    <w:p w:rsidR="002C5ECC" w:rsidRPr="00CB32B1" w:rsidRDefault="006F6F1A" w:rsidP="00310441">
      <w:pPr>
        <w:pStyle w:val="ListBullet"/>
      </w:pPr>
      <w:r>
        <w:t>n</w:t>
      </w:r>
      <w:r w:rsidR="002C5ECC" w:rsidRPr="00CB32B1">
        <w:t xml:space="preserve">o financial compensation is sought or provided in tribunal cases </w:t>
      </w:r>
      <w:r w:rsidR="002C5ECC" w:rsidRPr="00CB32B1">
        <w:rPr>
          <w:b/>
          <w:color w:val="DC6900" w:themeColor="text2"/>
        </w:rPr>
        <w:t>(quantum)</w:t>
      </w:r>
      <w:r w:rsidR="002C5ECC" w:rsidRPr="00CB32B1">
        <w:t>.</w:t>
      </w:r>
    </w:p>
    <w:p w:rsidR="002C5ECC" w:rsidRPr="00CB32B1" w:rsidRDefault="002C5ECC" w:rsidP="002C5ECC">
      <w:pPr>
        <w:pStyle w:val="PwCNormal"/>
      </w:pPr>
      <w:r w:rsidRPr="00CB32B1">
        <w:t xml:space="preserve">For more information on the number of tribunal cases made each year and the timing of those cases see PwC </w:t>
      </w:r>
      <w:r w:rsidRPr="00CB32B1">
        <w:rPr>
          <w:i/>
        </w:rPr>
        <w:t>Claims Report 2013</w:t>
      </w:r>
      <w:r w:rsidR="00CB1BAB" w:rsidRPr="00CB32B1">
        <w:t xml:space="preserve"> and Appendix K</w:t>
      </w:r>
      <w:r w:rsidRPr="00CB32B1">
        <w:t>.</w:t>
      </w:r>
    </w:p>
    <w:p w:rsidR="002C5ECC" w:rsidRPr="00CB32B1" w:rsidRDefault="002C5ECC" w:rsidP="002C5ECC">
      <w:pPr>
        <w:pStyle w:val="PwCNormal"/>
      </w:pPr>
      <w:r w:rsidRPr="00CB32B1">
        <w:t xml:space="preserve">The number of court cases related to homebirths provided by </w:t>
      </w:r>
      <w:r w:rsidR="00727D37">
        <w:t>PPMs</w:t>
      </w:r>
      <w:r w:rsidRPr="00CB32B1">
        <w:t xml:space="preserve"> could also be used as an alternative data source, as insurance payouts may be required as a result of court cases. However again, there are limitations in using this, as the number of court cases may not reflect the number or size of claims as:</w:t>
      </w:r>
    </w:p>
    <w:p w:rsidR="002C5ECC" w:rsidRPr="00CB32B1" w:rsidRDefault="002C5ECC" w:rsidP="00310441">
      <w:pPr>
        <w:pStyle w:val="ListBullet"/>
      </w:pPr>
      <w:r w:rsidRPr="00CB32B1">
        <w:t>PPMs were operating for a large part of the period analysed (2001–2012) without PII. Therefore claims or court cases may not have been raised in the ab</w:t>
      </w:r>
      <w:r w:rsidR="00CD0CA9" w:rsidRPr="00CB32B1">
        <w:t>sence of financial compensation</w:t>
      </w:r>
    </w:p>
    <w:p w:rsidR="002C5ECC" w:rsidRPr="00CB32B1" w:rsidRDefault="006F6F1A" w:rsidP="00310441">
      <w:pPr>
        <w:pStyle w:val="ListBullet"/>
      </w:pPr>
      <w:r>
        <w:t>c</w:t>
      </w:r>
      <w:r w:rsidR="002C5ECC" w:rsidRPr="00CB32B1">
        <w:t>laims may not reflect the incidence of claims as:</w:t>
      </w:r>
    </w:p>
    <w:p w:rsidR="002C5ECC" w:rsidRPr="00CB32B1" w:rsidRDefault="006F6F1A" w:rsidP="00310441">
      <w:pPr>
        <w:pStyle w:val="ListBullet2"/>
      </w:pPr>
      <w:r>
        <w:t>b</w:t>
      </w:r>
      <w:r w:rsidR="002C5ECC" w:rsidRPr="00CB32B1">
        <w:t>ringing a case to court can be emotional for the plaintiff and therefore may no</w:t>
      </w:r>
      <w:r w:rsidR="00CD0CA9" w:rsidRPr="00CB32B1">
        <w:t>t be raised or brought to court</w:t>
      </w:r>
    </w:p>
    <w:p w:rsidR="002C5ECC" w:rsidRPr="00CB32B1" w:rsidRDefault="006F6F1A" w:rsidP="00310441">
      <w:pPr>
        <w:pStyle w:val="ListBullet2"/>
      </w:pPr>
      <w:r>
        <w:t>f</w:t>
      </w:r>
      <w:r w:rsidR="002C5ECC" w:rsidRPr="00CB32B1">
        <w:t>rom consultations and discussions with legal representatives, insurers and professional associations, cases may be settled outside of court.</w:t>
      </w:r>
    </w:p>
    <w:p w:rsidR="002C5ECC" w:rsidRPr="00CB32B1" w:rsidRDefault="002C5ECC" w:rsidP="002C5ECC">
      <w:pPr>
        <w:pStyle w:val="PwCNormal"/>
      </w:pPr>
      <w:r w:rsidRPr="00CB32B1">
        <w:t xml:space="preserve">For more information on the number of court cases made each year and the timing of those cases, see PwC, </w:t>
      </w:r>
      <w:r w:rsidRPr="00CB32B1">
        <w:rPr>
          <w:i/>
        </w:rPr>
        <w:t>Claims Report 2013</w:t>
      </w:r>
      <w:r w:rsidRPr="00CB32B1">
        <w:t xml:space="preserve"> and Appendix K.</w:t>
      </w:r>
    </w:p>
    <w:p w:rsidR="002C5ECC" w:rsidRPr="00CB32B1" w:rsidRDefault="002C5ECC" w:rsidP="00310441">
      <w:pPr>
        <w:pStyle w:val="Minorheading2"/>
      </w:pPr>
      <w:r w:rsidRPr="00CB32B1">
        <w:t>International insurance claims</w:t>
      </w:r>
    </w:p>
    <w:p w:rsidR="002C5ECC" w:rsidRPr="00CB32B1" w:rsidRDefault="002C5ECC" w:rsidP="002C5ECC">
      <w:pPr>
        <w:pStyle w:val="PwCNormal"/>
      </w:pPr>
      <w:r w:rsidRPr="00CB32B1">
        <w:t>International insurance data provides information on the number and quantum of claims. International data were able to be collected for the province of Ontario (see Chapter 4</w:t>
      </w:r>
      <w:r w:rsidR="00FD0F26">
        <w:t xml:space="preserve"> and Appendix K</w:t>
      </w:r>
      <w:r w:rsidRPr="00CB32B1">
        <w:t>).</w:t>
      </w:r>
      <w:r w:rsidR="00676882" w:rsidRPr="00CB32B1">
        <w:rPr>
          <w:rStyle w:val="FootnoteReference"/>
        </w:rPr>
        <w:footnoteReference w:id="110"/>
      </w:r>
      <w:r w:rsidRPr="00CB32B1">
        <w:t xml:space="preserve"> While international claims can be useful for Australian insurers to understand the extent of claims, a careful consideration of the environments and systems in which independent midwives operate in these </w:t>
      </w:r>
      <w:r w:rsidR="00496AD4">
        <w:t>jurisdiction</w:t>
      </w:r>
      <w:r w:rsidRPr="00CB32B1">
        <w:t xml:space="preserve">s is needed before any application is made. </w:t>
      </w:r>
    </w:p>
    <w:p w:rsidR="002C5ECC" w:rsidRPr="00CB32B1" w:rsidRDefault="002C5ECC" w:rsidP="00310441">
      <w:pPr>
        <w:pStyle w:val="Minorheading2"/>
      </w:pPr>
      <w:r w:rsidRPr="00CB32B1">
        <w:t>National obstetric claims</w:t>
      </w:r>
    </w:p>
    <w:p w:rsidR="002C5ECC" w:rsidRPr="00CB32B1" w:rsidRDefault="002C5ECC" w:rsidP="002C5ECC">
      <w:pPr>
        <w:pStyle w:val="PwCNormal"/>
      </w:pPr>
      <w:r w:rsidRPr="00CB32B1">
        <w:t>The size of the claim may, under limited circumstances be compared to the size of the clai</w:t>
      </w:r>
      <w:r w:rsidR="00C31E74">
        <w:t>m for other maternity services (</w:t>
      </w:r>
      <w:r w:rsidR="00854DEF" w:rsidRPr="00CB32B1">
        <w:t>eg</w:t>
      </w:r>
      <w:r w:rsidRPr="00CB32B1">
        <w:t xml:space="preserve"> obstetric claims or hospital claims</w:t>
      </w:r>
      <w:r w:rsidR="00C31E74">
        <w:t>)</w:t>
      </w:r>
      <w:r w:rsidRPr="00CB32B1">
        <w:t>. For instance, in 2007</w:t>
      </w:r>
      <w:r w:rsidR="00FD0F26">
        <w:t>-</w:t>
      </w:r>
      <w:r w:rsidRPr="00CB32B1">
        <w:t>08 the average size of a medical indemnity claim was just over $80,000, and obstetric claims are believed, on average, to be higher than the average medical claim.</w:t>
      </w:r>
      <w:r w:rsidR="00C31E74" w:rsidRPr="00CB32B1">
        <w:rPr>
          <w:rStyle w:val="FootnoteReference"/>
        </w:rPr>
        <w:footnoteReference w:id="111"/>
      </w:r>
      <w:r w:rsidRPr="00CB32B1">
        <w:t xml:space="preserve"> However consultations again identified limitations in using this information including:</w:t>
      </w:r>
    </w:p>
    <w:p w:rsidR="002C5ECC" w:rsidRPr="00CB32B1" w:rsidRDefault="002C5ECC" w:rsidP="00310441">
      <w:pPr>
        <w:pStyle w:val="ListBullet"/>
      </w:pPr>
      <w:r w:rsidRPr="00CB32B1">
        <w:rPr>
          <w:b/>
          <w:color w:val="DC6900" w:themeColor="text2"/>
        </w:rPr>
        <w:t>Scope of practice:</w:t>
      </w:r>
      <w:r w:rsidRPr="00CB32B1">
        <w:t xml:space="preserve"> </w:t>
      </w:r>
      <w:r w:rsidR="00C31E74">
        <w:t>a</w:t>
      </w:r>
      <w:r w:rsidRPr="00CB32B1">
        <w:t xml:space="preserve"> PPM’s scope of practice is limited to providing care for a normal vaginal birth, while both of the alternative data sets (obstetric or hospital) consider </w:t>
      </w:r>
      <w:r w:rsidR="00661921">
        <w:t>obstetric intervention</w:t>
      </w:r>
      <w:r w:rsidRPr="00CB32B1">
        <w:t xml:space="preserve">s as well. The complexity (and associated risk) of the women and babies is expected to be higher for obstetricians and </w:t>
      </w:r>
      <w:r w:rsidR="00CD0CA9" w:rsidRPr="00CB32B1">
        <w:t>hospitals when compared to PPMs</w:t>
      </w:r>
    </w:p>
    <w:p w:rsidR="002C5ECC" w:rsidRPr="00CB32B1" w:rsidRDefault="002C5ECC" w:rsidP="00310441">
      <w:pPr>
        <w:pStyle w:val="ListBullet"/>
      </w:pPr>
      <w:r w:rsidRPr="00CB32B1">
        <w:rPr>
          <w:b/>
          <w:color w:val="DC6900" w:themeColor="text2"/>
        </w:rPr>
        <w:t>Models of care:</w:t>
      </w:r>
      <w:r w:rsidRPr="00CB32B1">
        <w:t xml:space="preserve"> PPMs have different models of care and services, as well as a different caseload, when compared to obstetricians and hospital staff, which could impact upon any comparisons. </w:t>
      </w:r>
    </w:p>
    <w:p w:rsidR="002C5ECC" w:rsidRPr="00CB32B1" w:rsidRDefault="002C5ECC" w:rsidP="00B97DA3">
      <w:pPr>
        <w:pStyle w:val="Majorheading"/>
        <w:keepNext w:val="0"/>
        <w:keepLines w:val="0"/>
      </w:pPr>
      <w:r w:rsidRPr="00CB32B1">
        <w:t>Finding 3: Data relationships</w:t>
      </w:r>
    </w:p>
    <w:tbl>
      <w:tblPr>
        <w:tblStyle w:val="TableGrid"/>
        <w:tblW w:w="0" w:type="auto"/>
        <w:tblBorders>
          <w:top w:val="single" w:sz="4" w:space="0" w:color="DC6900" w:themeColor="text2"/>
          <w:left w:val="single" w:sz="4" w:space="0" w:color="DC6900" w:themeColor="text2"/>
          <w:bottom w:val="single" w:sz="4" w:space="0" w:color="DC6900" w:themeColor="text2"/>
          <w:right w:val="single" w:sz="4" w:space="0" w:color="DC6900" w:themeColor="text2"/>
          <w:insideH w:val="none" w:sz="0" w:space="0" w:color="auto"/>
          <w:insideV w:val="none" w:sz="0" w:space="0" w:color="auto"/>
        </w:tblBorders>
        <w:tblLook w:val="04A0"/>
      </w:tblPr>
      <w:tblGrid>
        <w:gridCol w:w="9285"/>
      </w:tblGrid>
      <w:tr w:rsidR="00310441" w:rsidRPr="00CB32B1" w:rsidTr="00310441">
        <w:tc>
          <w:tcPr>
            <w:tcW w:w="9288" w:type="dxa"/>
          </w:tcPr>
          <w:p w:rsidR="00310441" w:rsidRPr="00CB32B1" w:rsidRDefault="00310441" w:rsidP="00B97DA3">
            <w:pPr>
              <w:pStyle w:val="TableTextNormal"/>
              <w:rPr>
                <w:b/>
                <w:color w:val="DC6900" w:themeColor="text2"/>
              </w:rPr>
            </w:pPr>
            <w:r w:rsidRPr="00CB32B1">
              <w:rPr>
                <w:b/>
                <w:color w:val="DC6900" w:themeColor="text2"/>
              </w:rPr>
              <w:t>Currently, the relationship between incidence and claims is not well understood, and the lack of sufficient substitute data adds to uncertainty over a PPM's risk profile</w:t>
            </w:r>
            <w:r w:rsidR="00FD0F26">
              <w:rPr>
                <w:b/>
                <w:color w:val="DC6900" w:themeColor="text2"/>
              </w:rPr>
              <w:t xml:space="preserve">, </w:t>
            </w:r>
            <w:r w:rsidR="006959C5">
              <w:rPr>
                <w:b/>
                <w:color w:val="DC6900" w:themeColor="text2"/>
              </w:rPr>
              <w:t>causing</w:t>
            </w:r>
            <w:r w:rsidR="00FD0F26">
              <w:rPr>
                <w:b/>
                <w:color w:val="DC6900" w:themeColor="text2"/>
              </w:rPr>
              <w:t xml:space="preserve"> uncertainty over a PPM’s risk profile</w:t>
            </w:r>
            <w:r w:rsidRPr="00CB32B1">
              <w:rPr>
                <w:b/>
                <w:color w:val="DC6900" w:themeColor="text2"/>
              </w:rPr>
              <w:t>.</w:t>
            </w:r>
          </w:p>
        </w:tc>
      </w:tr>
    </w:tbl>
    <w:p w:rsidR="002C5ECC" w:rsidRPr="00CB32B1" w:rsidRDefault="002C5ECC" w:rsidP="00B97DA3">
      <w:pPr>
        <w:pStyle w:val="PwCNormal"/>
        <w:spacing w:before="120"/>
      </w:pPr>
      <w:r w:rsidRPr="00CB32B1">
        <w:t>The uncertainty around the relationship between incidences and claims builds on Finding 2 which showed that at present, there are a limited meaningful data and statistics available around the practice of PPMs.</w:t>
      </w:r>
    </w:p>
    <w:p w:rsidR="002C5ECC" w:rsidRPr="00CB32B1" w:rsidRDefault="002C5ECC" w:rsidP="00310441">
      <w:pPr>
        <w:pStyle w:val="Minorheading"/>
      </w:pPr>
      <w:r w:rsidRPr="00CB32B1">
        <w:t>Data relationships</w:t>
      </w:r>
    </w:p>
    <w:p w:rsidR="002C5ECC" w:rsidRPr="00CB32B1" w:rsidRDefault="002C5ECC" w:rsidP="00310441">
      <w:pPr>
        <w:pStyle w:val="Minorheading2"/>
      </w:pPr>
      <w:r w:rsidRPr="00CB32B1">
        <w:t>Data points in isolation</w:t>
      </w:r>
    </w:p>
    <w:p w:rsidR="002C5ECC" w:rsidRPr="00CB32B1" w:rsidRDefault="002C5ECC" w:rsidP="002C5ECC">
      <w:pPr>
        <w:pStyle w:val="PwCNormal"/>
      </w:pPr>
      <w:r w:rsidRPr="00CB32B1">
        <w:t xml:space="preserve">Even if information on data points could be obtained for those outlined in </w:t>
      </w:r>
      <w:r w:rsidR="009129A6" w:rsidRPr="00CB32B1">
        <w:fldChar w:fldCharType="begin"/>
      </w:r>
      <w:r w:rsidR="00EB2051" w:rsidRPr="00CB32B1">
        <w:instrText xml:space="preserve"> REF _Ref361223773 \h </w:instrText>
      </w:r>
      <w:r w:rsidR="009129A6" w:rsidRPr="00CB32B1">
        <w:fldChar w:fldCharType="separate"/>
      </w:r>
      <w:r w:rsidR="008816B4" w:rsidRPr="00CB32B1">
        <w:t xml:space="preserve">Table </w:t>
      </w:r>
      <w:r w:rsidR="008816B4">
        <w:rPr>
          <w:noProof/>
        </w:rPr>
        <w:t>9</w:t>
      </w:r>
      <w:r w:rsidR="009129A6" w:rsidRPr="00CB32B1">
        <w:fldChar w:fldCharType="end"/>
      </w:r>
      <w:r w:rsidRPr="00CB32B1">
        <w:t xml:space="preserve"> (</w:t>
      </w:r>
      <w:r w:rsidR="00854DEF" w:rsidRPr="00CB32B1">
        <w:t>eg</w:t>
      </w:r>
      <w:r w:rsidRPr="00CB32B1">
        <w:t xml:space="preserve"> homebirth statistics, incidence and adverse outcomes), there is currently an insufficient understanding of their interrelationships. For example, the following questions </w:t>
      </w:r>
      <w:r w:rsidR="00661921">
        <w:t>may provide</w:t>
      </w:r>
      <w:r w:rsidRPr="00CB32B1">
        <w:t xml:space="preserve"> key information to defining a risk profile:</w:t>
      </w:r>
    </w:p>
    <w:p w:rsidR="002C5ECC" w:rsidRPr="00CB32B1" w:rsidRDefault="002C5ECC" w:rsidP="00310441">
      <w:pPr>
        <w:pStyle w:val="ListBullet"/>
      </w:pPr>
      <w:r w:rsidRPr="00CB32B1">
        <w:t>What situational factors or combination of factors are more likely to result in an incident?</w:t>
      </w:r>
    </w:p>
    <w:p w:rsidR="002C5ECC" w:rsidRPr="00CB32B1" w:rsidRDefault="002C5ECC" w:rsidP="00310441">
      <w:pPr>
        <w:pStyle w:val="ListBullet"/>
      </w:pPr>
      <w:r w:rsidRPr="00CB32B1">
        <w:t>What adverse outcomes are more likely to result in a claim?</w:t>
      </w:r>
    </w:p>
    <w:p w:rsidR="002C5ECC" w:rsidRPr="00CB32B1" w:rsidRDefault="002C5ECC" w:rsidP="00310441">
      <w:pPr>
        <w:pStyle w:val="ListBullet"/>
      </w:pPr>
      <w:r w:rsidRPr="00CB32B1">
        <w:t>What adverse outcomes are more likely to result in larger claims?</w:t>
      </w:r>
    </w:p>
    <w:p w:rsidR="002C5ECC" w:rsidRPr="00CB32B1" w:rsidRDefault="002C5ECC" w:rsidP="00310441">
      <w:pPr>
        <w:pStyle w:val="ListBullet"/>
      </w:pPr>
      <w:r w:rsidRPr="00CB32B1">
        <w:t>What aspects of PPM practice, skills and competency are more likely to see a claim?</w:t>
      </w:r>
    </w:p>
    <w:p w:rsidR="002C5ECC" w:rsidRPr="00CB32B1" w:rsidRDefault="009129A6" w:rsidP="002C5ECC">
      <w:pPr>
        <w:pStyle w:val="PwCNormal"/>
      </w:pPr>
      <w:r w:rsidRPr="00CB32B1">
        <w:fldChar w:fldCharType="begin"/>
      </w:r>
      <w:r w:rsidR="007232A8" w:rsidRPr="00CB32B1">
        <w:instrText xml:space="preserve"> REF _Ref361223773 \h </w:instrText>
      </w:r>
      <w:r w:rsidRPr="00CB32B1">
        <w:fldChar w:fldCharType="separate"/>
      </w:r>
      <w:r w:rsidR="008816B4" w:rsidRPr="00CB32B1">
        <w:t xml:space="preserve">Table </w:t>
      </w:r>
      <w:r w:rsidR="008816B4">
        <w:rPr>
          <w:noProof/>
        </w:rPr>
        <w:t>9</w:t>
      </w:r>
      <w:r w:rsidRPr="00CB32B1">
        <w:fldChar w:fldCharType="end"/>
      </w:r>
      <w:r w:rsidR="007232A8">
        <w:t xml:space="preserve"> provides i</w:t>
      </w:r>
      <w:r w:rsidR="002C5ECC" w:rsidRPr="00CB32B1">
        <w:t>nsurance data f</w:t>
      </w:r>
      <w:r w:rsidR="007232A8">
        <w:t xml:space="preserve">rom HIROC (province of Ontario), and </w:t>
      </w:r>
      <w:r w:rsidR="002C5ECC" w:rsidRPr="00CB32B1">
        <w:t>show</w:t>
      </w:r>
      <w:r w:rsidR="007232A8">
        <w:t>s</w:t>
      </w:r>
      <w:r w:rsidR="002C5ECC" w:rsidRPr="00CB32B1">
        <w:t xml:space="preserve"> the number of</w:t>
      </w:r>
      <w:r w:rsidR="007232A8">
        <w:t xml:space="preserve"> claims made is very small.</w:t>
      </w:r>
    </w:p>
    <w:p w:rsidR="00310441" w:rsidRPr="00CB32B1" w:rsidRDefault="00310441" w:rsidP="00310441">
      <w:pPr>
        <w:pStyle w:val="NumericCaption"/>
      </w:pPr>
      <w:bookmarkStart w:id="35" w:name="_Ref361223773"/>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9</w:t>
      </w:r>
      <w:r w:rsidR="009129A6" w:rsidRPr="00CB32B1">
        <w:fldChar w:fldCharType="end"/>
      </w:r>
      <w:bookmarkEnd w:id="35"/>
      <w:r w:rsidRPr="00CB32B1">
        <w:t>: Insurance data for the province of Ontario</w:t>
      </w:r>
      <w:r w:rsidR="00650BD4">
        <w:rPr>
          <w:rStyle w:val="FootnoteReference"/>
        </w:rPr>
        <w:footnoteReference w:id="112"/>
      </w:r>
    </w:p>
    <w:tbl>
      <w:tblPr>
        <w:tblStyle w:val="PwCTableStyle1"/>
        <w:tblW w:w="5000" w:type="pct"/>
        <w:tblLayout w:type="fixed"/>
        <w:tblLook w:val="04A0"/>
      </w:tblPr>
      <w:tblGrid>
        <w:gridCol w:w="1103"/>
        <w:gridCol w:w="1274"/>
        <w:gridCol w:w="1558"/>
        <w:gridCol w:w="1274"/>
        <w:gridCol w:w="2128"/>
        <w:gridCol w:w="1948"/>
      </w:tblGrid>
      <w:tr w:rsidR="00B97DA3" w:rsidRPr="00CB32B1" w:rsidTr="00B97DA3">
        <w:trPr>
          <w:cnfStyle w:val="100000000000"/>
          <w:trHeight w:val="300"/>
        </w:trPr>
        <w:tc>
          <w:tcPr>
            <w:cnfStyle w:val="001000000000"/>
            <w:tcW w:w="594" w:type="pct"/>
            <w:shd w:val="clear" w:color="auto" w:fill="DC6900" w:themeFill="text2"/>
            <w:noWrap/>
            <w:vAlign w:val="center"/>
            <w:hideMark/>
          </w:tcPr>
          <w:p w:rsidR="00310441" w:rsidRPr="00CB32B1" w:rsidRDefault="00310441" w:rsidP="003B21A7">
            <w:pPr>
              <w:pStyle w:val="NumericTableColumnHeadingNormal"/>
              <w:rPr>
                <w:rFonts w:asciiTheme="majorHAnsi" w:hAnsiTheme="majorHAnsi"/>
              </w:rPr>
            </w:pPr>
            <w:r w:rsidRPr="00CB32B1">
              <w:rPr>
                <w:rFonts w:asciiTheme="majorHAnsi" w:hAnsiTheme="majorHAnsi"/>
              </w:rPr>
              <w:t>Year</w:t>
            </w:r>
          </w:p>
        </w:tc>
        <w:tc>
          <w:tcPr>
            <w:tcW w:w="686" w:type="pct"/>
            <w:shd w:val="clear" w:color="auto" w:fill="DC6900" w:themeFill="text2"/>
            <w:noWrap/>
            <w:vAlign w:val="center"/>
            <w:hideMark/>
          </w:tcPr>
          <w:p w:rsidR="00310441" w:rsidRPr="00CB32B1" w:rsidRDefault="00310441" w:rsidP="003B21A7">
            <w:pPr>
              <w:pStyle w:val="NumericTableColumnHeadingNormal"/>
              <w:cnfStyle w:val="100000000000"/>
              <w:rPr>
                <w:rFonts w:asciiTheme="majorHAnsi" w:hAnsiTheme="majorHAnsi"/>
              </w:rPr>
            </w:pPr>
            <w:r w:rsidRPr="00CB32B1">
              <w:rPr>
                <w:rFonts w:asciiTheme="majorHAnsi" w:hAnsiTheme="majorHAnsi"/>
              </w:rPr>
              <w:t>Total births by midwives</w:t>
            </w:r>
          </w:p>
        </w:tc>
        <w:tc>
          <w:tcPr>
            <w:tcW w:w="839" w:type="pct"/>
            <w:shd w:val="clear" w:color="auto" w:fill="DC6900" w:themeFill="text2"/>
            <w:noWrap/>
            <w:vAlign w:val="center"/>
            <w:hideMark/>
          </w:tcPr>
          <w:p w:rsidR="00310441" w:rsidRPr="00CB32B1" w:rsidRDefault="00310441" w:rsidP="003B21A7">
            <w:pPr>
              <w:pStyle w:val="NumericTableColumnHeadingNormal"/>
              <w:cnfStyle w:val="100000000000"/>
              <w:rPr>
                <w:rFonts w:asciiTheme="majorHAnsi" w:hAnsiTheme="majorHAnsi"/>
              </w:rPr>
            </w:pPr>
            <w:r w:rsidRPr="00CB32B1">
              <w:rPr>
                <w:rFonts w:asciiTheme="majorHAnsi" w:hAnsiTheme="majorHAnsi"/>
              </w:rPr>
              <w:t>Homebirths</w:t>
            </w:r>
          </w:p>
        </w:tc>
        <w:tc>
          <w:tcPr>
            <w:tcW w:w="686" w:type="pct"/>
            <w:shd w:val="clear" w:color="auto" w:fill="DC6900" w:themeFill="text2"/>
            <w:noWrap/>
            <w:vAlign w:val="center"/>
            <w:hideMark/>
          </w:tcPr>
          <w:p w:rsidR="00310441" w:rsidRPr="00CB32B1" w:rsidRDefault="00310441" w:rsidP="003B21A7">
            <w:pPr>
              <w:pStyle w:val="NumericTableColumnHeadingNormal"/>
              <w:cnfStyle w:val="100000000000"/>
              <w:rPr>
                <w:rFonts w:asciiTheme="majorHAnsi" w:hAnsiTheme="majorHAnsi"/>
              </w:rPr>
            </w:pPr>
            <w:r w:rsidRPr="00CB32B1">
              <w:rPr>
                <w:rFonts w:asciiTheme="majorHAnsi" w:hAnsiTheme="majorHAnsi"/>
              </w:rPr>
              <w:t>Number of midwives</w:t>
            </w:r>
          </w:p>
        </w:tc>
        <w:tc>
          <w:tcPr>
            <w:tcW w:w="1146" w:type="pct"/>
            <w:shd w:val="clear" w:color="auto" w:fill="DC6900" w:themeFill="text2"/>
            <w:noWrap/>
            <w:vAlign w:val="center"/>
            <w:hideMark/>
          </w:tcPr>
          <w:p w:rsidR="00310441" w:rsidRPr="00CB32B1" w:rsidRDefault="00B97DA3" w:rsidP="00B97DA3">
            <w:pPr>
              <w:pStyle w:val="NumericTableColumnHeadingNormal"/>
              <w:cnfStyle w:val="100000000000"/>
              <w:rPr>
                <w:rFonts w:asciiTheme="majorHAnsi" w:hAnsiTheme="majorHAnsi"/>
              </w:rPr>
            </w:pPr>
            <w:r>
              <w:rPr>
                <w:rFonts w:asciiTheme="majorHAnsi" w:hAnsiTheme="majorHAnsi"/>
              </w:rPr>
              <w:t xml:space="preserve">Number </w:t>
            </w:r>
            <w:r w:rsidR="003B21A7" w:rsidRPr="00CB32B1">
              <w:rPr>
                <w:rFonts w:asciiTheme="majorHAnsi" w:hAnsiTheme="majorHAnsi"/>
              </w:rPr>
              <w:t>Potential Loss and</w:t>
            </w:r>
            <w:r w:rsidR="00310441" w:rsidRPr="00CB32B1">
              <w:rPr>
                <w:rFonts w:asciiTheme="majorHAnsi" w:hAnsiTheme="majorHAnsi"/>
              </w:rPr>
              <w:t xml:space="preserve"> Damage Claims</w:t>
            </w:r>
          </w:p>
        </w:tc>
        <w:tc>
          <w:tcPr>
            <w:tcW w:w="1050" w:type="pct"/>
            <w:shd w:val="clear" w:color="auto" w:fill="DC6900" w:themeFill="text2"/>
            <w:noWrap/>
            <w:vAlign w:val="center"/>
            <w:hideMark/>
          </w:tcPr>
          <w:p w:rsidR="00310441" w:rsidRPr="00CB32B1" w:rsidRDefault="00B97DA3" w:rsidP="003B21A7">
            <w:pPr>
              <w:pStyle w:val="NumericTableColumnHeadingNormal"/>
              <w:cnfStyle w:val="100000000000"/>
              <w:rPr>
                <w:rFonts w:asciiTheme="majorHAnsi" w:hAnsiTheme="majorHAnsi"/>
              </w:rPr>
            </w:pPr>
            <w:r>
              <w:rPr>
                <w:rFonts w:asciiTheme="majorHAnsi" w:hAnsiTheme="majorHAnsi"/>
              </w:rPr>
              <w:t xml:space="preserve">Number </w:t>
            </w:r>
            <w:r w:rsidR="00310441" w:rsidRPr="00CB32B1">
              <w:rPr>
                <w:rFonts w:asciiTheme="majorHAnsi" w:hAnsiTheme="majorHAnsi"/>
              </w:rPr>
              <w:t xml:space="preserve">Actual Loss </w:t>
            </w:r>
            <w:r w:rsidR="003B21A7" w:rsidRPr="00CB32B1">
              <w:rPr>
                <w:rFonts w:asciiTheme="majorHAnsi" w:hAnsiTheme="majorHAnsi"/>
              </w:rPr>
              <w:t xml:space="preserve">and </w:t>
            </w:r>
            <w:r w:rsidR="00310441" w:rsidRPr="00CB32B1">
              <w:rPr>
                <w:rFonts w:asciiTheme="majorHAnsi" w:hAnsiTheme="majorHAnsi"/>
              </w:rPr>
              <w:t>Damages Claims</w:t>
            </w:r>
            <w:r w:rsidR="00D15816" w:rsidRPr="00CB32B1">
              <w:rPr>
                <w:rStyle w:val="FootnoteReference"/>
                <w:rFonts w:asciiTheme="majorHAnsi" w:hAnsiTheme="majorHAnsi"/>
                <w:b w:val="0"/>
                <w:sz w:val="22"/>
              </w:rPr>
              <w:footnoteReference w:id="113"/>
            </w:r>
          </w:p>
        </w:tc>
      </w:tr>
      <w:tr w:rsidR="00B97DA3" w:rsidRPr="00CB32B1" w:rsidTr="00B97DA3">
        <w:trPr>
          <w:trHeight w:val="300"/>
        </w:trPr>
        <w:tc>
          <w:tcPr>
            <w:cnfStyle w:val="001000000000"/>
            <w:tcW w:w="594" w:type="pct"/>
            <w:noWrap/>
            <w:hideMark/>
          </w:tcPr>
          <w:p w:rsidR="00310441" w:rsidRPr="00CB32B1" w:rsidRDefault="00310441" w:rsidP="00310441">
            <w:pPr>
              <w:pStyle w:val="NumericTableTextNormal"/>
              <w:rPr>
                <w:rFonts w:asciiTheme="majorHAnsi" w:hAnsiTheme="majorHAnsi"/>
                <w:color w:val="DC6900" w:themeColor="text2"/>
              </w:rPr>
            </w:pPr>
            <w:r w:rsidRPr="00CB32B1">
              <w:rPr>
                <w:rFonts w:asciiTheme="majorHAnsi" w:hAnsiTheme="majorHAnsi"/>
                <w:color w:val="DC6900" w:themeColor="text2"/>
              </w:rPr>
              <w:t>2003-04</w:t>
            </w:r>
          </w:p>
        </w:tc>
        <w:tc>
          <w:tcPr>
            <w:tcW w:w="686" w:type="pct"/>
            <w:noWrap/>
            <w:hideMark/>
          </w:tcPr>
          <w:p w:rsidR="00310441" w:rsidRPr="00CB32B1" w:rsidRDefault="00310441" w:rsidP="00310441">
            <w:pPr>
              <w:pStyle w:val="NumericTableTextNormal"/>
              <w:jc w:val="right"/>
              <w:cnfStyle w:val="000000000000"/>
              <w:rPr>
                <w:rFonts w:asciiTheme="majorHAnsi" w:hAnsiTheme="majorHAnsi"/>
              </w:rPr>
            </w:pPr>
            <w:r w:rsidRPr="00CB32B1">
              <w:rPr>
                <w:rFonts w:asciiTheme="majorHAnsi" w:hAnsiTheme="majorHAnsi"/>
              </w:rPr>
              <w:t>7,766</w:t>
            </w:r>
          </w:p>
        </w:tc>
        <w:tc>
          <w:tcPr>
            <w:tcW w:w="839" w:type="pct"/>
            <w:noWrap/>
            <w:hideMark/>
          </w:tcPr>
          <w:p w:rsidR="00310441" w:rsidRPr="00CB32B1" w:rsidRDefault="00310441" w:rsidP="00310441">
            <w:pPr>
              <w:pStyle w:val="NumericTableTextNormal"/>
              <w:jc w:val="right"/>
              <w:cnfStyle w:val="000000000000"/>
              <w:rPr>
                <w:rFonts w:asciiTheme="majorHAnsi" w:hAnsiTheme="majorHAnsi"/>
              </w:rPr>
            </w:pPr>
            <w:r w:rsidRPr="00CB32B1">
              <w:rPr>
                <w:rFonts w:asciiTheme="majorHAnsi" w:hAnsiTheme="majorHAnsi"/>
              </w:rPr>
              <w:t>1,919</w:t>
            </w:r>
          </w:p>
        </w:tc>
        <w:tc>
          <w:tcPr>
            <w:tcW w:w="686" w:type="pct"/>
            <w:noWrap/>
            <w:hideMark/>
          </w:tcPr>
          <w:p w:rsidR="00310441" w:rsidRPr="00CB32B1" w:rsidRDefault="00310441" w:rsidP="00310441">
            <w:pPr>
              <w:pStyle w:val="NumericTableTextNormal"/>
              <w:jc w:val="right"/>
              <w:cnfStyle w:val="000000000000"/>
              <w:rPr>
                <w:rFonts w:asciiTheme="majorHAnsi" w:hAnsiTheme="majorHAnsi"/>
              </w:rPr>
            </w:pPr>
            <w:r w:rsidRPr="00CB32B1">
              <w:rPr>
                <w:rFonts w:asciiTheme="majorHAnsi" w:hAnsiTheme="majorHAnsi"/>
              </w:rPr>
              <w:t>256</w:t>
            </w:r>
          </w:p>
        </w:tc>
        <w:tc>
          <w:tcPr>
            <w:tcW w:w="1146" w:type="pct"/>
            <w:noWrap/>
            <w:hideMark/>
          </w:tcPr>
          <w:p w:rsidR="00310441" w:rsidRPr="00CB32B1" w:rsidRDefault="00310441" w:rsidP="00310441">
            <w:pPr>
              <w:pStyle w:val="NumericTableTextNormal"/>
              <w:jc w:val="center"/>
              <w:cnfStyle w:val="000000000000"/>
              <w:rPr>
                <w:rFonts w:asciiTheme="majorHAnsi" w:hAnsiTheme="majorHAnsi"/>
              </w:rPr>
            </w:pPr>
            <w:r w:rsidRPr="00CB32B1">
              <w:rPr>
                <w:rFonts w:asciiTheme="majorHAnsi" w:hAnsiTheme="majorHAnsi"/>
              </w:rPr>
              <w:t>36</w:t>
            </w:r>
          </w:p>
        </w:tc>
        <w:tc>
          <w:tcPr>
            <w:tcW w:w="1050" w:type="pct"/>
            <w:noWrap/>
            <w:hideMark/>
          </w:tcPr>
          <w:p w:rsidR="00310441" w:rsidRPr="00CB32B1" w:rsidRDefault="00310441" w:rsidP="00310441">
            <w:pPr>
              <w:pStyle w:val="NumericTableTextNormal"/>
              <w:jc w:val="center"/>
              <w:cnfStyle w:val="000000000000"/>
              <w:rPr>
                <w:rFonts w:asciiTheme="majorHAnsi" w:hAnsiTheme="majorHAnsi"/>
              </w:rPr>
            </w:pPr>
            <w:r w:rsidRPr="00CB32B1">
              <w:rPr>
                <w:rFonts w:asciiTheme="majorHAnsi" w:hAnsiTheme="majorHAnsi"/>
              </w:rPr>
              <w:t>0</w:t>
            </w:r>
          </w:p>
        </w:tc>
      </w:tr>
      <w:tr w:rsidR="00B97DA3" w:rsidRPr="00CB32B1" w:rsidTr="00B97DA3">
        <w:trPr>
          <w:trHeight w:val="300"/>
        </w:trPr>
        <w:tc>
          <w:tcPr>
            <w:cnfStyle w:val="001000000000"/>
            <w:tcW w:w="594" w:type="pct"/>
            <w:noWrap/>
            <w:hideMark/>
          </w:tcPr>
          <w:p w:rsidR="00310441" w:rsidRPr="00CB32B1" w:rsidRDefault="00310441" w:rsidP="00310441">
            <w:pPr>
              <w:pStyle w:val="NumericTableTextNormal"/>
              <w:rPr>
                <w:rFonts w:asciiTheme="majorHAnsi" w:hAnsiTheme="majorHAnsi"/>
                <w:color w:val="DC6900" w:themeColor="text2"/>
              </w:rPr>
            </w:pPr>
            <w:r w:rsidRPr="00CB32B1">
              <w:rPr>
                <w:rFonts w:asciiTheme="majorHAnsi" w:hAnsiTheme="majorHAnsi"/>
                <w:color w:val="DC6900" w:themeColor="text2"/>
              </w:rPr>
              <w:t>2004-05</w:t>
            </w:r>
          </w:p>
        </w:tc>
        <w:tc>
          <w:tcPr>
            <w:tcW w:w="686" w:type="pct"/>
            <w:noWrap/>
            <w:hideMark/>
          </w:tcPr>
          <w:p w:rsidR="00310441" w:rsidRPr="00CB32B1" w:rsidRDefault="00310441" w:rsidP="00310441">
            <w:pPr>
              <w:pStyle w:val="NumericTableTextNormal"/>
              <w:jc w:val="right"/>
              <w:cnfStyle w:val="000000000000"/>
              <w:rPr>
                <w:rFonts w:asciiTheme="majorHAnsi" w:hAnsiTheme="majorHAnsi"/>
              </w:rPr>
            </w:pPr>
            <w:r w:rsidRPr="00CB32B1">
              <w:rPr>
                <w:rFonts w:asciiTheme="majorHAnsi" w:hAnsiTheme="majorHAnsi"/>
              </w:rPr>
              <w:t>8,629</w:t>
            </w:r>
          </w:p>
        </w:tc>
        <w:tc>
          <w:tcPr>
            <w:tcW w:w="839" w:type="pct"/>
            <w:noWrap/>
            <w:hideMark/>
          </w:tcPr>
          <w:p w:rsidR="00310441" w:rsidRPr="00CB32B1" w:rsidRDefault="00310441" w:rsidP="00310441">
            <w:pPr>
              <w:pStyle w:val="NumericTableTextNormal"/>
              <w:jc w:val="right"/>
              <w:cnfStyle w:val="000000000000"/>
              <w:rPr>
                <w:rFonts w:asciiTheme="majorHAnsi" w:hAnsiTheme="majorHAnsi"/>
              </w:rPr>
            </w:pPr>
            <w:r w:rsidRPr="00CB32B1">
              <w:rPr>
                <w:rFonts w:asciiTheme="majorHAnsi" w:hAnsiTheme="majorHAnsi"/>
              </w:rPr>
              <w:t>1,848</w:t>
            </w:r>
          </w:p>
        </w:tc>
        <w:tc>
          <w:tcPr>
            <w:tcW w:w="686" w:type="pct"/>
            <w:noWrap/>
            <w:hideMark/>
          </w:tcPr>
          <w:p w:rsidR="00310441" w:rsidRPr="00CB32B1" w:rsidRDefault="00310441" w:rsidP="00310441">
            <w:pPr>
              <w:pStyle w:val="NumericTableTextNormal"/>
              <w:jc w:val="right"/>
              <w:cnfStyle w:val="000000000000"/>
              <w:rPr>
                <w:rFonts w:asciiTheme="majorHAnsi" w:hAnsiTheme="majorHAnsi"/>
              </w:rPr>
            </w:pPr>
            <w:r w:rsidRPr="00CB32B1">
              <w:rPr>
                <w:rFonts w:asciiTheme="majorHAnsi" w:hAnsiTheme="majorHAnsi"/>
              </w:rPr>
              <w:t>275</w:t>
            </w:r>
          </w:p>
        </w:tc>
        <w:tc>
          <w:tcPr>
            <w:tcW w:w="1146" w:type="pct"/>
            <w:noWrap/>
            <w:hideMark/>
          </w:tcPr>
          <w:p w:rsidR="00310441" w:rsidRPr="00CB32B1" w:rsidRDefault="00310441" w:rsidP="00310441">
            <w:pPr>
              <w:pStyle w:val="NumericTableTextNormal"/>
              <w:jc w:val="center"/>
              <w:cnfStyle w:val="000000000000"/>
              <w:rPr>
                <w:rFonts w:asciiTheme="majorHAnsi" w:hAnsiTheme="majorHAnsi"/>
              </w:rPr>
            </w:pPr>
            <w:r w:rsidRPr="00CB32B1">
              <w:rPr>
                <w:rFonts w:asciiTheme="majorHAnsi" w:hAnsiTheme="majorHAnsi"/>
              </w:rPr>
              <w:t>61</w:t>
            </w:r>
          </w:p>
        </w:tc>
        <w:tc>
          <w:tcPr>
            <w:tcW w:w="1050" w:type="pct"/>
            <w:noWrap/>
            <w:hideMark/>
          </w:tcPr>
          <w:p w:rsidR="00310441" w:rsidRPr="00CB32B1" w:rsidRDefault="00310441" w:rsidP="00310441">
            <w:pPr>
              <w:pStyle w:val="NumericTableTextNormal"/>
              <w:jc w:val="center"/>
              <w:cnfStyle w:val="000000000000"/>
              <w:rPr>
                <w:rFonts w:asciiTheme="majorHAnsi" w:hAnsiTheme="majorHAnsi"/>
              </w:rPr>
            </w:pPr>
            <w:r w:rsidRPr="00CB32B1">
              <w:rPr>
                <w:rFonts w:asciiTheme="majorHAnsi" w:hAnsiTheme="majorHAnsi"/>
              </w:rPr>
              <w:t>0</w:t>
            </w:r>
          </w:p>
        </w:tc>
      </w:tr>
      <w:tr w:rsidR="00B97DA3" w:rsidRPr="00CB32B1" w:rsidTr="00B97DA3">
        <w:trPr>
          <w:trHeight w:val="300"/>
        </w:trPr>
        <w:tc>
          <w:tcPr>
            <w:cnfStyle w:val="001000000000"/>
            <w:tcW w:w="594" w:type="pct"/>
            <w:noWrap/>
            <w:hideMark/>
          </w:tcPr>
          <w:p w:rsidR="00310441" w:rsidRPr="00CB32B1" w:rsidRDefault="00310441" w:rsidP="00310441">
            <w:pPr>
              <w:pStyle w:val="NumericTableTextNormal"/>
              <w:rPr>
                <w:rFonts w:asciiTheme="majorHAnsi" w:hAnsiTheme="majorHAnsi"/>
                <w:color w:val="DC6900" w:themeColor="text2"/>
              </w:rPr>
            </w:pPr>
            <w:r w:rsidRPr="00CB32B1">
              <w:rPr>
                <w:rFonts w:asciiTheme="majorHAnsi" w:hAnsiTheme="majorHAnsi"/>
                <w:color w:val="DC6900" w:themeColor="text2"/>
              </w:rPr>
              <w:t>2005-06</w:t>
            </w:r>
          </w:p>
        </w:tc>
        <w:tc>
          <w:tcPr>
            <w:tcW w:w="686" w:type="pct"/>
            <w:noWrap/>
            <w:hideMark/>
          </w:tcPr>
          <w:p w:rsidR="00310441" w:rsidRPr="00CB32B1" w:rsidRDefault="00310441" w:rsidP="00310441">
            <w:pPr>
              <w:pStyle w:val="NumericTableTextNormal"/>
              <w:jc w:val="right"/>
              <w:cnfStyle w:val="000000000000"/>
              <w:rPr>
                <w:rFonts w:asciiTheme="majorHAnsi" w:hAnsiTheme="majorHAnsi"/>
              </w:rPr>
            </w:pPr>
            <w:r w:rsidRPr="00CB32B1">
              <w:rPr>
                <w:rFonts w:asciiTheme="majorHAnsi" w:hAnsiTheme="majorHAnsi"/>
              </w:rPr>
              <w:t>9,568</w:t>
            </w:r>
          </w:p>
        </w:tc>
        <w:tc>
          <w:tcPr>
            <w:tcW w:w="839" w:type="pct"/>
            <w:noWrap/>
            <w:hideMark/>
          </w:tcPr>
          <w:p w:rsidR="00310441" w:rsidRPr="00CB32B1" w:rsidRDefault="00310441" w:rsidP="00310441">
            <w:pPr>
              <w:pStyle w:val="NumericTableTextNormal"/>
              <w:jc w:val="right"/>
              <w:cnfStyle w:val="000000000000"/>
              <w:rPr>
                <w:rFonts w:asciiTheme="majorHAnsi" w:hAnsiTheme="majorHAnsi"/>
              </w:rPr>
            </w:pPr>
            <w:r w:rsidRPr="00CB32B1">
              <w:rPr>
                <w:rFonts w:asciiTheme="majorHAnsi" w:hAnsiTheme="majorHAnsi"/>
              </w:rPr>
              <w:t>1,940</w:t>
            </w:r>
          </w:p>
        </w:tc>
        <w:tc>
          <w:tcPr>
            <w:tcW w:w="686" w:type="pct"/>
            <w:noWrap/>
            <w:hideMark/>
          </w:tcPr>
          <w:p w:rsidR="00310441" w:rsidRPr="00CB32B1" w:rsidRDefault="00310441" w:rsidP="00310441">
            <w:pPr>
              <w:pStyle w:val="NumericTableTextNormal"/>
              <w:jc w:val="right"/>
              <w:cnfStyle w:val="000000000000"/>
              <w:rPr>
                <w:rFonts w:asciiTheme="majorHAnsi" w:hAnsiTheme="majorHAnsi"/>
              </w:rPr>
            </w:pPr>
            <w:r w:rsidRPr="00CB32B1">
              <w:rPr>
                <w:rFonts w:asciiTheme="majorHAnsi" w:hAnsiTheme="majorHAnsi"/>
              </w:rPr>
              <w:t>302</w:t>
            </w:r>
          </w:p>
        </w:tc>
        <w:tc>
          <w:tcPr>
            <w:tcW w:w="1146" w:type="pct"/>
            <w:noWrap/>
            <w:hideMark/>
          </w:tcPr>
          <w:p w:rsidR="00310441" w:rsidRPr="00CB32B1" w:rsidRDefault="00310441" w:rsidP="00310441">
            <w:pPr>
              <w:pStyle w:val="NumericTableTextNormal"/>
              <w:jc w:val="center"/>
              <w:cnfStyle w:val="000000000000"/>
              <w:rPr>
                <w:rFonts w:asciiTheme="majorHAnsi" w:hAnsiTheme="majorHAnsi"/>
              </w:rPr>
            </w:pPr>
            <w:r w:rsidRPr="00CB32B1">
              <w:rPr>
                <w:rFonts w:asciiTheme="majorHAnsi" w:hAnsiTheme="majorHAnsi"/>
              </w:rPr>
              <w:t>91</w:t>
            </w:r>
          </w:p>
        </w:tc>
        <w:tc>
          <w:tcPr>
            <w:tcW w:w="1050" w:type="pct"/>
            <w:noWrap/>
            <w:hideMark/>
          </w:tcPr>
          <w:p w:rsidR="00310441" w:rsidRPr="00CB32B1" w:rsidRDefault="00310441" w:rsidP="00310441">
            <w:pPr>
              <w:pStyle w:val="NumericTableTextNormal"/>
              <w:jc w:val="center"/>
              <w:cnfStyle w:val="000000000000"/>
              <w:rPr>
                <w:rFonts w:asciiTheme="majorHAnsi" w:hAnsiTheme="majorHAnsi"/>
              </w:rPr>
            </w:pPr>
            <w:r w:rsidRPr="00CB32B1">
              <w:rPr>
                <w:rFonts w:asciiTheme="majorHAnsi" w:hAnsiTheme="majorHAnsi"/>
              </w:rPr>
              <w:t>1</w:t>
            </w:r>
          </w:p>
        </w:tc>
      </w:tr>
      <w:tr w:rsidR="00B97DA3" w:rsidRPr="00CB32B1" w:rsidTr="00B97DA3">
        <w:trPr>
          <w:trHeight w:val="300"/>
        </w:trPr>
        <w:tc>
          <w:tcPr>
            <w:cnfStyle w:val="001000000000"/>
            <w:tcW w:w="594" w:type="pct"/>
            <w:noWrap/>
            <w:hideMark/>
          </w:tcPr>
          <w:p w:rsidR="00310441" w:rsidRPr="00CB32B1" w:rsidRDefault="00310441" w:rsidP="00310441">
            <w:pPr>
              <w:pStyle w:val="NumericTableTextNormal"/>
              <w:rPr>
                <w:rFonts w:asciiTheme="majorHAnsi" w:hAnsiTheme="majorHAnsi"/>
                <w:color w:val="DC6900" w:themeColor="text2"/>
              </w:rPr>
            </w:pPr>
            <w:r w:rsidRPr="00CB32B1">
              <w:rPr>
                <w:rFonts w:asciiTheme="majorHAnsi" w:hAnsiTheme="majorHAnsi"/>
                <w:color w:val="DC6900" w:themeColor="text2"/>
              </w:rPr>
              <w:t>2006-07</w:t>
            </w:r>
          </w:p>
        </w:tc>
        <w:tc>
          <w:tcPr>
            <w:tcW w:w="686" w:type="pct"/>
            <w:noWrap/>
            <w:hideMark/>
          </w:tcPr>
          <w:p w:rsidR="00310441" w:rsidRPr="00CB32B1" w:rsidRDefault="00310441" w:rsidP="00310441">
            <w:pPr>
              <w:pStyle w:val="NumericTableTextNormal"/>
              <w:jc w:val="right"/>
              <w:cnfStyle w:val="000000000000"/>
              <w:rPr>
                <w:rFonts w:asciiTheme="majorHAnsi" w:hAnsiTheme="majorHAnsi"/>
              </w:rPr>
            </w:pPr>
            <w:r w:rsidRPr="00CB32B1">
              <w:rPr>
                <w:rFonts w:asciiTheme="majorHAnsi" w:hAnsiTheme="majorHAnsi"/>
              </w:rPr>
              <w:t>10,395</w:t>
            </w:r>
          </w:p>
        </w:tc>
        <w:tc>
          <w:tcPr>
            <w:tcW w:w="839" w:type="pct"/>
            <w:noWrap/>
            <w:hideMark/>
          </w:tcPr>
          <w:p w:rsidR="00310441" w:rsidRPr="00CB32B1" w:rsidRDefault="00310441" w:rsidP="00310441">
            <w:pPr>
              <w:pStyle w:val="NumericTableTextNormal"/>
              <w:jc w:val="right"/>
              <w:cnfStyle w:val="000000000000"/>
              <w:rPr>
                <w:rFonts w:asciiTheme="majorHAnsi" w:hAnsiTheme="majorHAnsi"/>
              </w:rPr>
            </w:pPr>
            <w:r w:rsidRPr="00CB32B1">
              <w:rPr>
                <w:rFonts w:asciiTheme="majorHAnsi" w:hAnsiTheme="majorHAnsi"/>
              </w:rPr>
              <w:t>2,043</w:t>
            </w:r>
          </w:p>
        </w:tc>
        <w:tc>
          <w:tcPr>
            <w:tcW w:w="686" w:type="pct"/>
            <w:noWrap/>
            <w:hideMark/>
          </w:tcPr>
          <w:p w:rsidR="00310441" w:rsidRPr="00CB32B1" w:rsidRDefault="00310441" w:rsidP="00310441">
            <w:pPr>
              <w:pStyle w:val="NumericTableTextNormal"/>
              <w:jc w:val="right"/>
              <w:cnfStyle w:val="000000000000"/>
              <w:rPr>
                <w:rFonts w:asciiTheme="majorHAnsi" w:hAnsiTheme="majorHAnsi"/>
              </w:rPr>
            </w:pPr>
            <w:r w:rsidRPr="00CB32B1">
              <w:rPr>
                <w:rFonts w:asciiTheme="majorHAnsi" w:hAnsiTheme="majorHAnsi"/>
              </w:rPr>
              <w:t>334</w:t>
            </w:r>
          </w:p>
        </w:tc>
        <w:tc>
          <w:tcPr>
            <w:tcW w:w="1146" w:type="pct"/>
            <w:noWrap/>
            <w:hideMark/>
          </w:tcPr>
          <w:p w:rsidR="00310441" w:rsidRPr="00CB32B1" w:rsidRDefault="00310441" w:rsidP="00310441">
            <w:pPr>
              <w:pStyle w:val="NumericTableTextNormal"/>
              <w:jc w:val="center"/>
              <w:cnfStyle w:val="000000000000"/>
              <w:rPr>
                <w:rFonts w:asciiTheme="majorHAnsi" w:hAnsiTheme="majorHAnsi"/>
              </w:rPr>
            </w:pPr>
            <w:r w:rsidRPr="00CB32B1">
              <w:rPr>
                <w:rFonts w:asciiTheme="majorHAnsi" w:hAnsiTheme="majorHAnsi"/>
              </w:rPr>
              <w:t>102</w:t>
            </w:r>
          </w:p>
        </w:tc>
        <w:tc>
          <w:tcPr>
            <w:tcW w:w="1050" w:type="pct"/>
            <w:noWrap/>
            <w:hideMark/>
          </w:tcPr>
          <w:p w:rsidR="00310441" w:rsidRPr="00CB32B1" w:rsidRDefault="00310441" w:rsidP="00310441">
            <w:pPr>
              <w:pStyle w:val="NumericTableTextNormal"/>
              <w:jc w:val="center"/>
              <w:cnfStyle w:val="000000000000"/>
              <w:rPr>
                <w:rFonts w:asciiTheme="majorHAnsi" w:hAnsiTheme="majorHAnsi"/>
              </w:rPr>
            </w:pPr>
            <w:r w:rsidRPr="00CB32B1">
              <w:rPr>
                <w:rFonts w:asciiTheme="majorHAnsi" w:hAnsiTheme="majorHAnsi"/>
              </w:rPr>
              <w:t>1</w:t>
            </w:r>
          </w:p>
        </w:tc>
      </w:tr>
      <w:tr w:rsidR="00B97DA3" w:rsidRPr="00CB32B1" w:rsidTr="00B97DA3">
        <w:trPr>
          <w:trHeight w:val="300"/>
        </w:trPr>
        <w:tc>
          <w:tcPr>
            <w:cnfStyle w:val="001000000000"/>
            <w:tcW w:w="594" w:type="pct"/>
            <w:noWrap/>
            <w:hideMark/>
          </w:tcPr>
          <w:p w:rsidR="00310441" w:rsidRPr="00CB32B1" w:rsidRDefault="00310441" w:rsidP="00310441">
            <w:pPr>
              <w:pStyle w:val="NumericTableTextNormal"/>
              <w:rPr>
                <w:rFonts w:asciiTheme="majorHAnsi" w:hAnsiTheme="majorHAnsi"/>
                <w:color w:val="DC6900" w:themeColor="text2"/>
              </w:rPr>
            </w:pPr>
            <w:r w:rsidRPr="00CB32B1">
              <w:rPr>
                <w:rFonts w:asciiTheme="majorHAnsi" w:hAnsiTheme="majorHAnsi"/>
                <w:color w:val="DC6900" w:themeColor="text2"/>
              </w:rPr>
              <w:t>2007-08</w:t>
            </w:r>
          </w:p>
        </w:tc>
        <w:tc>
          <w:tcPr>
            <w:tcW w:w="686" w:type="pct"/>
            <w:noWrap/>
            <w:hideMark/>
          </w:tcPr>
          <w:p w:rsidR="00310441" w:rsidRPr="00CB32B1" w:rsidRDefault="00310441" w:rsidP="00310441">
            <w:pPr>
              <w:pStyle w:val="NumericTableTextNormal"/>
              <w:jc w:val="right"/>
              <w:cnfStyle w:val="000000000000"/>
              <w:rPr>
                <w:rFonts w:asciiTheme="majorHAnsi" w:hAnsiTheme="majorHAnsi"/>
              </w:rPr>
            </w:pPr>
            <w:r w:rsidRPr="00CB32B1">
              <w:rPr>
                <w:rFonts w:asciiTheme="majorHAnsi" w:hAnsiTheme="majorHAnsi"/>
              </w:rPr>
              <w:t>9,420</w:t>
            </w:r>
          </w:p>
        </w:tc>
        <w:tc>
          <w:tcPr>
            <w:tcW w:w="839" w:type="pct"/>
            <w:noWrap/>
            <w:hideMark/>
          </w:tcPr>
          <w:p w:rsidR="00310441" w:rsidRPr="00CB32B1" w:rsidRDefault="00310441" w:rsidP="00310441">
            <w:pPr>
              <w:pStyle w:val="NumericTableTextNormal"/>
              <w:jc w:val="right"/>
              <w:cnfStyle w:val="000000000000"/>
              <w:rPr>
                <w:rFonts w:asciiTheme="majorHAnsi" w:hAnsiTheme="majorHAnsi"/>
              </w:rPr>
            </w:pPr>
            <w:r w:rsidRPr="00CB32B1">
              <w:rPr>
                <w:rFonts w:asciiTheme="majorHAnsi" w:hAnsiTheme="majorHAnsi"/>
              </w:rPr>
              <w:t>2,268</w:t>
            </w:r>
          </w:p>
        </w:tc>
        <w:tc>
          <w:tcPr>
            <w:tcW w:w="686" w:type="pct"/>
            <w:noWrap/>
            <w:hideMark/>
          </w:tcPr>
          <w:p w:rsidR="00310441" w:rsidRPr="00CB32B1" w:rsidRDefault="00310441" w:rsidP="00310441">
            <w:pPr>
              <w:pStyle w:val="NumericTableTextNormal"/>
              <w:jc w:val="right"/>
              <w:cnfStyle w:val="000000000000"/>
              <w:rPr>
                <w:rFonts w:asciiTheme="majorHAnsi" w:hAnsiTheme="majorHAnsi"/>
              </w:rPr>
            </w:pPr>
            <w:r w:rsidRPr="00CB32B1">
              <w:rPr>
                <w:rFonts w:asciiTheme="majorHAnsi" w:hAnsiTheme="majorHAnsi"/>
              </w:rPr>
              <w:t>380</w:t>
            </w:r>
          </w:p>
        </w:tc>
        <w:tc>
          <w:tcPr>
            <w:tcW w:w="1146" w:type="pct"/>
            <w:noWrap/>
            <w:hideMark/>
          </w:tcPr>
          <w:p w:rsidR="00310441" w:rsidRPr="00CB32B1" w:rsidRDefault="00310441" w:rsidP="00310441">
            <w:pPr>
              <w:pStyle w:val="NumericTableTextNormal"/>
              <w:jc w:val="center"/>
              <w:cnfStyle w:val="000000000000"/>
              <w:rPr>
                <w:rFonts w:asciiTheme="majorHAnsi" w:hAnsiTheme="majorHAnsi"/>
              </w:rPr>
            </w:pPr>
            <w:r w:rsidRPr="00CB32B1">
              <w:rPr>
                <w:rFonts w:asciiTheme="majorHAnsi" w:hAnsiTheme="majorHAnsi"/>
              </w:rPr>
              <w:t>114</w:t>
            </w:r>
          </w:p>
        </w:tc>
        <w:tc>
          <w:tcPr>
            <w:tcW w:w="1050" w:type="pct"/>
            <w:noWrap/>
            <w:hideMark/>
          </w:tcPr>
          <w:p w:rsidR="00310441" w:rsidRPr="00CB32B1" w:rsidRDefault="00310441" w:rsidP="00310441">
            <w:pPr>
              <w:pStyle w:val="NumericTableTextNormal"/>
              <w:jc w:val="center"/>
              <w:cnfStyle w:val="000000000000"/>
              <w:rPr>
                <w:rFonts w:asciiTheme="majorHAnsi" w:hAnsiTheme="majorHAnsi"/>
              </w:rPr>
            </w:pPr>
            <w:r w:rsidRPr="00CB32B1">
              <w:rPr>
                <w:rFonts w:asciiTheme="majorHAnsi" w:hAnsiTheme="majorHAnsi"/>
              </w:rPr>
              <w:t>0</w:t>
            </w:r>
          </w:p>
        </w:tc>
      </w:tr>
      <w:tr w:rsidR="00B97DA3" w:rsidRPr="00CB32B1" w:rsidTr="00B97DA3">
        <w:trPr>
          <w:trHeight w:val="300"/>
        </w:trPr>
        <w:tc>
          <w:tcPr>
            <w:cnfStyle w:val="001000000000"/>
            <w:tcW w:w="594" w:type="pct"/>
            <w:noWrap/>
            <w:hideMark/>
          </w:tcPr>
          <w:p w:rsidR="00310441" w:rsidRPr="00CB32B1" w:rsidRDefault="00310441" w:rsidP="00310441">
            <w:pPr>
              <w:pStyle w:val="NumericTableTextNormal"/>
              <w:rPr>
                <w:rFonts w:asciiTheme="majorHAnsi" w:hAnsiTheme="majorHAnsi"/>
                <w:color w:val="DC6900" w:themeColor="text2"/>
              </w:rPr>
            </w:pPr>
            <w:r w:rsidRPr="00CB32B1">
              <w:rPr>
                <w:rFonts w:asciiTheme="majorHAnsi" w:hAnsiTheme="majorHAnsi"/>
                <w:color w:val="DC6900" w:themeColor="text2"/>
              </w:rPr>
              <w:t>2008-09</w:t>
            </w:r>
          </w:p>
        </w:tc>
        <w:tc>
          <w:tcPr>
            <w:tcW w:w="686" w:type="pct"/>
            <w:noWrap/>
            <w:hideMark/>
          </w:tcPr>
          <w:p w:rsidR="00310441" w:rsidRPr="00CB32B1" w:rsidRDefault="00310441" w:rsidP="00310441">
            <w:pPr>
              <w:pStyle w:val="NumericTableTextNormal"/>
              <w:jc w:val="right"/>
              <w:cnfStyle w:val="000000000000"/>
              <w:rPr>
                <w:rFonts w:asciiTheme="majorHAnsi" w:hAnsiTheme="majorHAnsi"/>
              </w:rPr>
            </w:pPr>
            <w:r w:rsidRPr="00CB32B1">
              <w:rPr>
                <w:rFonts w:asciiTheme="majorHAnsi" w:hAnsiTheme="majorHAnsi"/>
              </w:rPr>
              <w:t>10,570</w:t>
            </w:r>
          </w:p>
        </w:tc>
        <w:tc>
          <w:tcPr>
            <w:tcW w:w="839" w:type="pct"/>
            <w:noWrap/>
            <w:hideMark/>
          </w:tcPr>
          <w:p w:rsidR="00310441" w:rsidRPr="00CB32B1" w:rsidRDefault="00310441" w:rsidP="00310441">
            <w:pPr>
              <w:pStyle w:val="NumericTableTextNormal"/>
              <w:jc w:val="right"/>
              <w:cnfStyle w:val="000000000000"/>
              <w:rPr>
                <w:rFonts w:asciiTheme="majorHAnsi" w:hAnsiTheme="majorHAnsi"/>
              </w:rPr>
            </w:pPr>
            <w:r w:rsidRPr="00CB32B1">
              <w:rPr>
                <w:rFonts w:asciiTheme="majorHAnsi" w:hAnsiTheme="majorHAnsi"/>
              </w:rPr>
              <w:t>2,360</w:t>
            </w:r>
          </w:p>
        </w:tc>
        <w:tc>
          <w:tcPr>
            <w:tcW w:w="686" w:type="pct"/>
            <w:noWrap/>
            <w:hideMark/>
          </w:tcPr>
          <w:p w:rsidR="00310441" w:rsidRPr="00CB32B1" w:rsidRDefault="00310441" w:rsidP="00310441">
            <w:pPr>
              <w:pStyle w:val="NumericTableTextNormal"/>
              <w:jc w:val="right"/>
              <w:cnfStyle w:val="000000000000"/>
              <w:rPr>
                <w:rFonts w:asciiTheme="majorHAnsi" w:hAnsiTheme="majorHAnsi"/>
              </w:rPr>
            </w:pPr>
            <w:r w:rsidRPr="00CB32B1">
              <w:rPr>
                <w:rFonts w:asciiTheme="majorHAnsi" w:hAnsiTheme="majorHAnsi"/>
              </w:rPr>
              <w:t>369</w:t>
            </w:r>
          </w:p>
        </w:tc>
        <w:tc>
          <w:tcPr>
            <w:tcW w:w="1146" w:type="pct"/>
            <w:noWrap/>
            <w:hideMark/>
          </w:tcPr>
          <w:p w:rsidR="00310441" w:rsidRPr="00CB32B1" w:rsidRDefault="00310441" w:rsidP="00310441">
            <w:pPr>
              <w:pStyle w:val="NumericTableTextNormal"/>
              <w:jc w:val="center"/>
              <w:cnfStyle w:val="000000000000"/>
              <w:rPr>
                <w:rFonts w:asciiTheme="majorHAnsi" w:hAnsiTheme="majorHAnsi"/>
              </w:rPr>
            </w:pPr>
            <w:r w:rsidRPr="00CB32B1">
              <w:rPr>
                <w:rFonts w:asciiTheme="majorHAnsi" w:hAnsiTheme="majorHAnsi"/>
              </w:rPr>
              <w:t>109</w:t>
            </w:r>
          </w:p>
        </w:tc>
        <w:tc>
          <w:tcPr>
            <w:tcW w:w="1050" w:type="pct"/>
            <w:noWrap/>
            <w:hideMark/>
          </w:tcPr>
          <w:p w:rsidR="00310441" w:rsidRPr="00CB32B1" w:rsidRDefault="00310441" w:rsidP="00310441">
            <w:pPr>
              <w:pStyle w:val="NumericTableTextNormal"/>
              <w:jc w:val="center"/>
              <w:cnfStyle w:val="000000000000"/>
              <w:rPr>
                <w:rFonts w:asciiTheme="majorHAnsi" w:hAnsiTheme="majorHAnsi"/>
              </w:rPr>
            </w:pPr>
            <w:r w:rsidRPr="00CB32B1">
              <w:rPr>
                <w:rFonts w:asciiTheme="majorHAnsi" w:hAnsiTheme="majorHAnsi"/>
              </w:rPr>
              <w:t>0</w:t>
            </w:r>
          </w:p>
        </w:tc>
      </w:tr>
      <w:tr w:rsidR="00B97DA3" w:rsidRPr="00CB32B1" w:rsidTr="00B97DA3">
        <w:trPr>
          <w:trHeight w:val="300"/>
        </w:trPr>
        <w:tc>
          <w:tcPr>
            <w:cnfStyle w:val="001000000000"/>
            <w:tcW w:w="594" w:type="pct"/>
            <w:noWrap/>
            <w:hideMark/>
          </w:tcPr>
          <w:p w:rsidR="00310441" w:rsidRPr="00CB32B1" w:rsidRDefault="00310441" w:rsidP="00310441">
            <w:pPr>
              <w:pStyle w:val="NumericTableTextNormal"/>
              <w:rPr>
                <w:rFonts w:asciiTheme="majorHAnsi" w:hAnsiTheme="majorHAnsi"/>
                <w:color w:val="DC6900" w:themeColor="text2"/>
              </w:rPr>
            </w:pPr>
            <w:r w:rsidRPr="00CB32B1">
              <w:rPr>
                <w:rFonts w:asciiTheme="majorHAnsi" w:hAnsiTheme="majorHAnsi"/>
                <w:color w:val="DC6900" w:themeColor="text2"/>
              </w:rPr>
              <w:t>2009-10</w:t>
            </w:r>
          </w:p>
        </w:tc>
        <w:tc>
          <w:tcPr>
            <w:tcW w:w="686" w:type="pct"/>
            <w:noWrap/>
            <w:hideMark/>
          </w:tcPr>
          <w:p w:rsidR="00310441" w:rsidRPr="00CB32B1" w:rsidRDefault="00310441" w:rsidP="00310441">
            <w:pPr>
              <w:pStyle w:val="NumericTableTextNormal"/>
              <w:jc w:val="right"/>
              <w:cnfStyle w:val="000000000000"/>
              <w:rPr>
                <w:rFonts w:asciiTheme="majorHAnsi" w:hAnsiTheme="majorHAnsi"/>
              </w:rPr>
            </w:pPr>
            <w:r w:rsidRPr="00CB32B1">
              <w:rPr>
                <w:rFonts w:asciiTheme="majorHAnsi" w:hAnsiTheme="majorHAnsi"/>
              </w:rPr>
              <w:t>11,244</w:t>
            </w:r>
          </w:p>
        </w:tc>
        <w:tc>
          <w:tcPr>
            <w:tcW w:w="839" w:type="pct"/>
            <w:noWrap/>
            <w:hideMark/>
          </w:tcPr>
          <w:p w:rsidR="00310441" w:rsidRPr="00CB32B1" w:rsidRDefault="00310441" w:rsidP="00310441">
            <w:pPr>
              <w:pStyle w:val="NumericTableTextNormal"/>
              <w:jc w:val="right"/>
              <w:cnfStyle w:val="000000000000"/>
              <w:rPr>
                <w:rFonts w:asciiTheme="majorHAnsi" w:hAnsiTheme="majorHAnsi"/>
              </w:rPr>
            </w:pPr>
            <w:r w:rsidRPr="00CB32B1">
              <w:rPr>
                <w:rFonts w:asciiTheme="majorHAnsi" w:hAnsiTheme="majorHAnsi"/>
              </w:rPr>
              <w:t>2,741</w:t>
            </w:r>
          </w:p>
        </w:tc>
        <w:tc>
          <w:tcPr>
            <w:tcW w:w="686" w:type="pct"/>
            <w:noWrap/>
            <w:hideMark/>
          </w:tcPr>
          <w:p w:rsidR="00310441" w:rsidRPr="00CB32B1" w:rsidRDefault="00310441" w:rsidP="00310441">
            <w:pPr>
              <w:pStyle w:val="NumericTableTextNormal"/>
              <w:jc w:val="right"/>
              <w:cnfStyle w:val="000000000000"/>
              <w:rPr>
                <w:rFonts w:asciiTheme="majorHAnsi" w:hAnsiTheme="majorHAnsi"/>
              </w:rPr>
            </w:pPr>
            <w:r w:rsidRPr="00CB32B1">
              <w:rPr>
                <w:rFonts w:asciiTheme="majorHAnsi" w:hAnsiTheme="majorHAnsi"/>
              </w:rPr>
              <w:t>405</w:t>
            </w:r>
          </w:p>
        </w:tc>
        <w:tc>
          <w:tcPr>
            <w:tcW w:w="1146" w:type="pct"/>
            <w:noWrap/>
            <w:hideMark/>
          </w:tcPr>
          <w:p w:rsidR="00310441" w:rsidRPr="00CB32B1" w:rsidRDefault="00310441" w:rsidP="00310441">
            <w:pPr>
              <w:pStyle w:val="NumericTableTextNormal"/>
              <w:jc w:val="center"/>
              <w:cnfStyle w:val="000000000000"/>
              <w:rPr>
                <w:rFonts w:asciiTheme="majorHAnsi" w:hAnsiTheme="majorHAnsi"/>
              </w:rPr>
            </w:pPr>
            <w:r w:rsidRPr="00CB32B1">
              <w:rPr>
                <w:rFonts w:asciiTheme="majorHAnsi" w:hAnsiTheme="majorHAnsi"/>
              </w:rPr>
              <w:t>54</w:t>
            </w:r>
          </w:p>
        </w:tc>
        <w:tc>
          <w:tcPr>
            <w:tcW w:w="1050" w:type="pct"/>
            <w:noWrap/>
            <w:hideMark/>
          </w:tcPr>
          <w:p w:rsidR="00310441" w:rsidRPr="00CB32B1" w:rsidRDefault="00310441" w:rsidP="00310441">
            <w:pPr>
              <w:pStyle w:val="NumericTableTextNormal"/>
              <w:jc w:val="center"/>
              <w:cnfStyle w:val="000000000000"/>
              <w:rPr>
                <w:rFonts w:asciiTheme="majorHAnsi" w:hAnsiTheme="majorHAnsi"/>
              </w:rPr>
            </w:pPr>
            <w:r w:rsidRPr="00CB32B1">
              <w:rPr>
                <w:rFonts w:asciiTheme="majorHAnsi" w:hAnsiTheme="majorHAnsi"/>
              </w:rPr>
              <w:t>0</w:t>
            </w:r>
          </w:p>
        </w:tc>
      </w:tr>
      <w:tr w:rsidR="00B97DA3" w:rsidRPr="00CB32B1" w:rsidTr="00B97DA3">
        <w:trPr>
          <w:trHeight w:val="300"/>
        </w:trPr>
        <w:tc>
          <w:tcPr>
            <w:cnfStyle w:val="001000000000"/>
            <w:tcW w:w="594" w:type="pct"/>
            <w:noWrap/>
          </w:tcPr>
          <w:p w:rsidR="00310441" w:rsidRPr="00CB32B1" w:rsidRDefault="009E135F" w:rsidP="00310441">
            <w:pPr>
              <w:pStyle w:val="NumericTableTextNormal"/>
              <w:rPr>
                <w:rFonts w:asciiTheme="majorHAnsi" w:hAnsiTheme="majorHAnsi"/>
                <w:b/>
                <w:color w:val="DC6900" w:themeColor="text2"/>
              </w:rPr>
            </w:pPr>
            <w:r w:rsidRPr="00CB32B1">
              <w:rPr>
                <w:rFonts w:asciiTheme="majorHAnsi" w:hAnsiTheme="majorHAnsi"/>
                <w:b/>
                <w:color w:val="DC6900" w:themeColor="text2"/>
              </w:rPr>
              <w:t>P</w:t>
            </w:r>
            <w:r w:rsidR="00310441" w:rsidRPr="00CB32B1">
              <w:rPr>
                <w:rFonts w:asciiTheme="majorHAnsi" w:hAnsiTheme="majorHAnsi"/>
                <w:b/>
                <w:color w:val="DC6900" w:themeColor="text2"/>
              </w:rPr>
              <w:t>eriod</w:t>
            </w:r>
            <w:r w:rsidRPr="00CB32B1">
              <w:rPr>
                <w:rFonts w:asciiTheme="majorHAnsi" w:hAnsiTheme="majorHAnsi"/>
                <w:b/>
                <w:color w:val="DC6900" w:themeColor="text2"/>
              </w:rPr>
              <w:t xml:space="preserve"> total</w:t>
            </w:r>
          </w:p>
        </w:tc>
        <w:tc>
          <w:tcPr>
            <w:tcW w:w="686" w:type="pct"/>
            <w:noWrap/>
          </w:tcPr>
          <w:p w:rsidR="00310441" w:rsidRPr="00063EE3" w:rsidRDefault="00310441" w:rsidP="00310441">
            <w:pPr>
              <w:pStyle w:val="NumericTableTextNormal"/>
              <w:jc w:val="right"/>
              <w:cnfStyle w:val="000000000000"/>
              <w:rPr>
                <w:rFonts w:asciiTheme="majorHAnsi" w:hAnsiTheme="majorHAnsi"/>
                <w:b/>
                <w:color w:val="DC6900" w:themeColor="text2"/>
              </w:rPr>
            </w:pPr>
            <w:r w:rsidRPr="00063EE3">
              <w:rPr>
                <w:rFonts w:asciiTheme="majorHAnsi" w:hAnsiTheme="majorHAnsi"/>
                <w:b/>
                <w:color w:val="DC6900" w:themeColor="text2"/>
              </w:rPr>
              <w:t>67,592</w:t>
            </w:r>
          </w:p>
        </w:tc>
        <w:tc>
          <w:tcPr>
            <w:tcW w:w="839" w:type="pct"/>
            <w:noWrap/>
          </w:tcPr>
          <w:p w:rsidR="00310441" w:rsidRPr="00063EE3" w:rsidRDefault="00310441" w:rsidP="00310441">
            <w:pPr>
              <w:pStyle w:val="NumericTableTextNormal"/>
              <w:jc w:val="right"/>
              <w:cnfStyle w:val="000000000000"/>
              <w:rPr>
                <w:rFonts w:asciiTheme="majorHAnsi" w:hAnsiTheme="majorHAnsi"/>
                <w:b/>
                <w:color w:val="DC6900" w:themeColor="text2"/>
              </w:rPr>
            </w:pPr>
            <w:r w:rsidRPr="00063EE3">
              <w:rPr>
                <w:rFonts w:asciiTheme="majorHAnsi" w:hAnsiTheme="majorHAnsi"/>
                <w:b/>
                <w:color w:val="DC6900" w:themeColor="text2"/>
              </w:rPr>
              <w:t>15,119</w:t>
            </w:r>
          </w:p>
        </w:tc>
        <w:tc>
          <w:tcPr>
            <w:tcW w:w="686" w:type="pct"/>
            <w:noWrap/>
          </w:tcPr>
          <w:p w:rsidR="00310441" w:rsidRPr="00063EE3" w:rsidRDefault="00310441" w:rsidP="00310441">
            <w:pPr>
              <w:pStyle w:val="NumericTableTextNormal"/>
              <w:jc w:val="right"/>
              <w:cnfStyle w:val="000000000000"/>
              <w:rPr>
                <w:rFonts w:asciiTheme="majorHAnsi" w:hAnsiTheme="majorHAnsi"/>
                <w:b/>
                <w:color w:val="DC6900" w:themeColor="text2"/>
              </w:rPr>
            </w:pPr>
            <w:r w:rsidRPr="00063EE3">
              <w:rPr>
                <w:rFonts w:asciiTheme="majorHAnsi" w:hAnsiTheme="majorHAnsi"/>
                <w:b/>
                <w:color w:val="DC6900" w:themeColor="text2"/>
              </w:rPr>
              <w:t>2,321</w:t>
            </w:r>
          </w:p>
        </w:tc>
        <w:tc>
          <w:tcPr>
            <w:tcW w:w="1146" w:type="pct"/>
            <w:noWrap/>
          </w:tcPr>
          <w:p w:rsidR="00310441" w:rsidRPr="00063EE3" w:rsidRDefault="00310441" w:rsidP="00310441">
            <w:pPr>
              <w:pStyle w:val="NumericTableTextNormal"/>
              <w:jc w:val="center"/>
              <w:cnfStyle w:val="000000000000"/>
              <w:rPr>
                <w:rFonts w:asciiTheme="majorHAnsi" w:hAnsiTheme="majorHAnsi"/>
                <w:b/>
                <w:color w:val="DC6900" w:themeColor="text2"/>
              </w:rPr>
            </w:pPr>
            <w:r w:rsidRPr="00063EE3">
              <w:rPr>
                <w:rFonts w:asciiTheme="majorHAnsi" w:hAnsiTheme="majorHAnsi"/>
                <w:b/>
                <w:color w:val="DC6900" w:themeColor="text2"/>
              </w:rPr>
              <w:t>567</w:t>
            </w:r>
          </w:p>
        </w:tc>
        <w:tc>
          <w:tcPr>
            <w:tcW w:w="1050" w:type="pct"/>
            <w:noWrap/>
          </w:tcPr>
          <w:p w:rsidR="00310441" w:rsidRPr="00063EE3" w:rsidRDefault="00310441" w:rsidP="00310441">
            <w:pPr>
              <w:pStyle w:val="NumericTableTextNormal"/>
              <w:jc w:val="center"/>
              <w:cnfStyle w:val="000000000000"/>
              <w:rPr>
                <w:rFonts w:asciiTheme="majorHAnsi" w:hAnsiTheme="majorHAnsi"/>
                <w:b/>
                <w:color w:val="DC6900" w:themeColor="text2"/>
              </w:rPr>
            </w:pPr>
            <w:r w:rsidRPr="00063EE3">
              <w:rPr>
                <w:rFonts w:asciiTheme="majorHAnsi" w:hAnsiTheme="majorHAnsi"/>
                <w:b/>
                <w:color w:val="DC6900" w:themeColor="text2"/>
              </w:rPr>
              <w:t>2</w:t>
            </w:r>
          </w:p>
        </w:tc>
      </w:tr>
    </w:tbl>
    <w:p w:rsidR="002C5ECC" w:rsidRPr="00CB32B1" w:rsidRDefault="002C5ECC" w:rsidP="00310441">
      <w:pPr>
        <w:pStyle w:val="NumericSources"/>
        <w:rPr>
          <w:rFonts w:asciiTheme="majorHAnsi" w:hAnsiTheme="majorHAnsi"/>
        </w:rPr>
      </w:pPr>
      <w:r w:rsidRPr="00CB32B1">
        <w:rPr>
          <w:rFonts w:asciiTheme="majorHAnsi" w:hAnsiTheme="majorHAnsi"/>
          <w:b/>
        </w:rPr>
        <w:t>Source:</w:t>
      </w:r>
      <w:r w:rsidRPr="00CB32B1">
        <w:rPr>
          <w:rFonts w:asciiTheme="majorHAnsi" w:hAnsiTheme="majorHAnsi"/>
        </w:rPr>
        <w:t xml:space="preserve"> HIROC, Insurance Data, April 2013.</w:t>
      </w:r>
    </w:p>
    <w:p w:rsidR="002C5ECC" w:rsidRPr="00CB32B1" w:rsidRDefault="002C5ECC" w:rsidP="005A6ACA">
      <w:pPr>
        <w:pStyle w:val="PwCNormal"/>
        <w:keepNext/>
        <w:keepLines/>
      </w:pPr>
      <w:r w:rsidRPr="00CB32B1">
        <w:t>These data shows that from 2003-04 to 2009-10:</w:t>
      </w:r>
      <w:r w:rsidR="00063EE3">
        <w:rPr>
          <w:rStyle w:val="FootnoteReference"/>
        </w:rPr>
        <w:footnoteReference w:id="114"/>
      </w:r>
    </w:p>
    <w:p w:rsidR="002C5ECC" w:rsidRPr="00CB32B1" w:rsidRDefault="002C5ECC" w:rsidP="005A6ACA">
      <w:pPr>
        <w:pStyle w:val="ListBullet"/>
        <w:keepNext/>
        <w:keepLines/>
      </w:pPr>
      <w:r w:rsidRPr="00CB32B1">
        <w:t>2 in 15,119 of homebirths resulted in an actual claim (0.013%)</w:t>
      </w:r>
    </w:p>
    <w:p w:rsidR="002C5ECC" w:rsidRPr="00CB32B1" w:rsidRDefault="002C5ECC" w:rsidP="00310441">
      <w:pPr>
        <w:pStyle w:val="ListBullet"/>
      </w:pPr>
      <w:r w:rsidRPr="00CB32B1">
        <w:t>2 in 2,321 of midwives will be involved in an actual claim (0.086%)</w:t>
      </w:r>
    </w:p>
    <w:p w:rsidR="002C5ECC" w:rsidRPr="00CB32B1" w:rsidRDefault="002C5ECC" w:rsidP="00310441">
      <w:pPr>
        <w:pStyle w:val="ListBullet"/>
      </w:pPr>
      <w:r w:rsidRPr="00CB32B1">
        <w:t>2 in every 567 potential L&amp;D claims lead to an actual claim. (0.36%).</w:t>
      </w:r>
    </w:p>
    <w:p w:rsidR="002C5ECC" w:rsidRPr="00CB32B1" w:rsidRDefault="002C5ECC" w:rsidP="002C5ECC">
      <w:pPr>
        <w:pStyle w:val="PwCNormal"/>
      </w:pPr>
      <w:r w:rsidRPr="00CB32B1">
        <w:t xml:space="preserve">What this information alone does not quantify is </w:t>
      </w:r>
      <w:r w:rsidRPr="00CB32B1">
        <w:rPr>
          <w:i/>
        </w:rPr>
        <w:t>why</w:t>
      </w:r>
      <w:r w:rsidRPr="00CB32B1">
        <w:t xml:space="preserve"> only a small number of incidents and subsequent claims arose. Quantitative data are not only required (Finding 2), but required at a sufficiently </w:t>
      </w:r>
      <w:r w:rsidR="00661921">
        <w:t>detailed</w:t>
      </w:r>
      <w:r w:rsidRPr="00CB32B1">
        <w:t xml:space="preserve"> level to be able to demonstrate the relationship between situational factors, practice and competency to adverse outcomes and resulting claims.</w:t>
      </w:r>
    </w:p>
    <w:p w:rsidR="002C5ECC" w:rsidRPr="00CB32B1" w:rsidRDefault="002C5ECC" w:rsidP="00310441">
      <w:pPr>
        <w:pStyle w:val="Minorheading2"/>
      </w:pPr>
      <w:r w:rsidRPr="00CB32B1">
        <w:t>Future incidents – responding to a changing environment</w:t>
      </w:r>
    </w:p>
    <w:p w:rsidR="002C5ECC" w:rsidRPr="00CB32B1" w:rsidRDefault="002C5ECC" w:rsidP="005E48F6">
      <w:pPr>
        <w:pStyle w:val="PwCNormal"/>
      </w:pPr>
      <w:r w:rsidRPr="00CB32B1">
        <w:t xml:space="preserve">Actuaries develop an insurance premium through, in particular, assessing data from past incidents and claims. As outlined, the relationship between these two points is not well understood at present. Additional quantitative data on situational factors and practice </w:t>
      </w:r>
      <w:r w:rsidR="00FD0F26">
        <w:t>could</w:t>
      </w:r>
      <w:r w:rsidRPr="00CB32B1">
        <w:t xml:space="preserve"> assist in understanding when a claim is more likely to occur in a particular setting. It is also important to understand the factors that drive incidents and claims (and not just statistics on how many have arisen), as these factors may change over time. For example, factors driving insurance claims prior to 2002 for PPMs will need to be considered, as they may no longer be relevant to a current PPM</w:t>
      </w:r>
      <w:r w:rsidR="00FD0F26">
        <w:t xml:space="preserve"> given the regulatory and industry changes seen</w:t>
      </w:r>
      <w:r w:rsidRPr="00CB32B1">
        <w:t>.</w:t>
      </w:r>
    </w:p>
    <w:p w:rsidR="002C5ECC" w:rsidRPr="00CB32B1" w:rsidRDefault="002C5ECC" w:rsidP="002C5ECC">
      <w:pPr>
        <w:pStyle w:val="PwCNormal"/>
      </w:pPr>
      <w:r w:rsidRPr="00CB32B1">
        <w:t>Understanding future relevant events and their potential impact on the relationship between incidents and claims will also need to be well understood, or at least considered. As an example:</w:t>
      </w:r>
    </w:p>
    <w:p w:rsidR="002C5ECC" w:rsidRPr="00CB32B1" w:rsidRDefault="002C5ECC" w:rsidP="00310441">
      <w:pPr>
        <w:pStyle w:val="ListBullet"/>
      </w:pPr>
      <w:r w:rsidRPr="00CB32B1">
        <w:rPr>
          <w:b/>
          <w:color w:val="DC6900" w:themeColor="text2"/>
        </w:rPr>
        <w:t xml:space="preserve">Insurance market: </w:t>
      </w:r>
      <w:r w:rsidR="006E7D84">
        <w:t>t</w:t>
      </w:r>
      <w:r w:rsidRPr="00CB32B1">
        <w:t xml:space="preserve">he introduction of </w:t>
      </w:r>
      <w:r w:rsidR="008F2394">
        <w:t>DisabilityCare Australia</w:t>
      </w:r>
      <w:r w:rsidRPr="00CB32B1">
        <w:t xml:space="preserve">. In other </w:t>
      </w:r>
      <w:r w:rsidR="00FD0F26">
        <w:t>jurisdictions</w:t>
      </w:r>
      <w:r w:rsidRPr="00CB32B1">
        <w:t xml:space="preserve"> such as New Zealand and the Netherlands where social insurance exists, these appear to reduce the potential quantum of claims and the impact on premiums</w:t>
      </w:r>
      <w:r w:rsidR="009B706C" w:rsidRPr="00CB32B1">
        <w:rPr>
          <w:rStyle w:val="FootnoteReference"/>
        </w:rPr>
        <w:footnoteReference w:id="115"/>
      </w:r>
    </w:p>
    <w:p w:rsidR="002C5ECC" w:rsidRPr="00CB32B1" w:rsidRDefault="002C5ECC" w:rsidP="00310441">
      <w:pPr>
        <w:pStyle w:val="ListBullet"/>
      </w:pPr>
      <w:r w:rsidRPr="00CB32B1">
        <w:rPr>
          <w:b/>
          <w:color w:val="DC6900" w:themeColor="text2"/>
        </w:rPr>
        <w:t>Complexity of practice:</w:t>
      </w:r>
      <w:r w:rsidRPr="00CB32B1">
        <w:t xml:space="preserve"> </w:t>
      </w:r>
      <w:r w:rsidR="006E7D84">
        <w:t>c</w:t>
      </w:r>
      <w:r w:rsidRPr="00CB32B1">
        <w:t xml:space="preserve">onsultations indicated that there is not only increasing complexity in practice, but also changes to how care is provided as a result of advances in technology and best practice. As a result, the precedent set from past outcomes may not always hold true and be reliable </w:t>
      </w:r>
      <w:r w:rsidR="00CD0CA9" w:rsidRPr="00CB32B1">
        <w:t>in predicting future outcomes</w:t>
      </w:r>
    </w:p>
    <w:p w:rsidR="002C5ECC" w:rsidRPr="00CB32B1" w:rsidRDefault="002C5ECC" w:rsidP="00310441">
      <w:pPr>
        <w:pStyle w:val="ListBullet"/>
      </w:pPr>
      <w:r w:rsidRPr="00CB32B1">
        <w:rPr>
          <w:b/>
          <w:color w:val="DC6900" w:themeColor="text2"/>
        </w:rPr>
        <w:t xml:space="preserve">Litigious culture: </w:t>
      </w:r>
      <w:r w:rsidR="006E7D84">
        <w:t>w</w:t>
      </w:r>
      <w:r w:rsidRPr="00CB32B1">
        <w:t xml:space="preserve">hile unproven, several stakeholders consulted felt that Australia is becoming more litigious. The absence of PII for PPMs means that there may be a limited understanding for insurers on the propensity for claims that could be made if PII for intrapartum care was </w:t>
      </w:r>
      <w:r w:rsidR="00FD0F26">
        <w:t>offere</w:t>
      </w:r>
      <w:r w:rsidRPr="00CB32B1">
        <w:t>d.</w:t>
      </w:r>
    </w:p>
    <w:p w:rsidR="002C5ECC" w:rsidRPr="00CB32B1" w:rsidRDefault="002C5ECC" w:rsidP="00310441">
      <w:pPr>
        <w:pStyle w:val="Minorheading"/>
      </w:pPr>
      <w:r w:rsidRPr="00CB32B1">
        <w:t>Alternative data sources</w:t>
      </w:r>
    </w:p>
    <w:p w:rsidR="002C5ECC" w:rsidRPr="00CB32B1" w:rsidRDefault="002C5ECC" w:rsidP="002C5ECC">
      <w:pPr>
        <w:pStyle w:val="PwCNormal"/>
      </w:pPr>
      <w:r w:rsidRPr="00CB32B1">
        <w:t xml:space="preserve">In the absence of information supporting these data relationships, at best, other data sources can be used. Two examples </w:t>
      </w:r>
      <w:r w:rsidR="00FD0F26">
        <w:t xml:space="preserve">as identified in Finding 2 </w:t>
      </w:r>
      <w:r w:rsidRPr="00CB32B1">
        <w:t xml:space="preserve">are tribunals and courts, as well as information from other </w:t>
      </w:r>
      <w:r w:rsidR="00FD0F26">
        <w:t>international jurisdictions</w:t>
      </w:r>
      <w:r w:rsidRPr="00CB32B1">
        <w:t xml:space="preserve">. Again, as with Finding 2, there are also challenges in using these, which are </w:t>
      </w:r>
      <w:r w:rsidR="00FD0F26">
        <w:t xml:space="preserve">further </w:t>
      </w:r>
      <w:r w:rsidRPr="00CB32B1">
        <w:t>outlined.</w:t>
      </w:r>
    </w:p>
    <w:p w:rsidR="002C5ECC" w:rsidRPr="00CB32B1" w:rsidRDefault="002C5ECC" w:rsidP="00310441">
      <w:pPr>
        <w:pStyle w:val="Minorheading2"/>
      </w:pPr>
      <w:r w:rsidRPr="00CB32B1">
        <w:t>National courts and tribunals</w:t>
      </w:r>
    </w:p>
    <w:p w:rsidR="002C5ECC" w:rsidRPr="00CB32B1" w:rsidRDefault="002C5ECC" w:rsidP="002C5ECC">
      <w:pPr>
        <w:pStyle w:val="PwCNormal"/>
      </w:pPr>
      <w:r w:rsidRPr="00CB32B1">
        <w:t>Using court and/or tribunal data may be useful to demonstrate how an incident could lead to a claim. These data may also suggest potential claims outcomes in the future. Courts and tribunals however represent different litigation routes</w:t>
      </w:r>
      <w:r w:rsidR="00881706">
        <w:t>.</w:t>
      </w:r>
      <w:r w:rsidRPr="00CB32B1">
        <w:t xml:space="preserve"> </w:t>
      </w:r>
      <w:r w:rsidR="00881706">
        <w:t>T</w:t>
      </w:r>
      <w:r w:rsidRPr="00CB32B1">
        <w:t xml:space="preserve">herefore, </w:t>
      </w:r>
      <w:r w:rsidR="00881706">
        <w:t>as an example using</w:t>
      </w:r>
      <w:r w:rsidRPr="00CB32B1">
        <w:t xml:space="preserve"> tribunals to </w:t>
      </w:r>
      <w:r w:rsidR="00881706">
        <w:t>understand</w:t>
      </w:r>
      <w:r w:rsidRPr="00CB32B1">
        <w:t xml:space="preserve"> the relationship between claims and claim outcomes may be challenging.</w:t>
      </w:r>
    </w:p>
    <w:p w:rsidR="002C5ECC" w:rsidRPr="00CB32B1" w:rsidRDefault="002C5ECC" w:rsidP="00310441">
      <w:pPr>
        <w:pStyle w:val="Minorheading3"/>
      </w:pPr>
      <w:r w:rsidRPr="00CB32B1">
        <w:t>Courts data</w:t>
      </w:r>
    </w:p>
    <w:p w:rsidR="002C5ECC" w:rsidRPr="00CB32B1" w:rsidRDefault="002C5ECC" w:rsidP="002C5ECC">
      <w:pPr>
        <w:pStyle w:val="PwCNormal"/>
      </w:pPr>
      <w:r w:rsidRPr="00CB32B1">
        <w:t xml:space="preserve">Courts </w:t>
      </w:r>
      <w:r w:rsidR="000F5269">
        <w:t>in some circumstances can</w:t>
      </w:r>
      <w:r w:rsidRPr="00CB32B1">
        <w:t xml:space="preserve"> be a good alternative data source to demonstrate the relationship between incidents and claims, as claims are often the result of court outcomes. The information provided in the court can shed light on when and what makes a claim more likely. However, there are challenges with using court data that should be considered. These include:</w:t>
      </w:r>
    </w:p>
    <w:p w:rsidR="002C5ECC" w:rsidRPr="00CB32B1" w:rsidRDefault="00D57B42" w:rsidP="00310441">
      <w:pPr>
        <w:pStyle w:val="ListBullet"/>
      </w:pPr>
      <w:r>
        <w:t>t</w:t>
      </w:r>
      <w:r w:rsidR="002C5ECC" w:rsidRPr="00CB32B1">
        <w:t>here may be one or more allegations raised that can</w:t>
      </w:r>
      <w:r w:rsidR="00CD0CA9" w:rsidRPr="00CB32B1">
        <w:t xml:space="preserve"> result in one or more outcomes</w:t>
      </w:r>
    </w:p>
    <w:p w:rsidR="002C5ECC" w:rsidRPr="00CB32B1" w:rsidRDefault="00D57B42" w:rsidP="00310441">
      <w:pPr>
        <w:pStyle w:val="ListBullet"/>
      </w:pPr>
      <w:r>
        <w:t>c</w:t>
      </w:r>
      <w:r w:rsidR="002C5ECC" w:rsidRPr="00CB32B1">
        <w:t>ourt findings can vary by legal system found across different states and territories; therefore, the claims outcome m</w:t>
      </w:r>
      <w:r w:rsidR="00CD0CA9" w:rsidRPr="00CB32B1">
        <w:t>ay be different in another case</w:t>
      </w:r>
      <w:r w:rsidR="00FD0F26">
        <w:t xml:space="preserve"> held in a different jurisdiction</w:t>
      </w:r>
    </w:p>
    <w:p w:rsidR="002C5ECC" w:rsidRPr="00CB32B1" w:rsidRDefault="00D57B42" w:rsidP="00310441">
      <w:pPr>
        <w:pStyle w:val="ListBullet"/>
      </w:pPr>
      <w:r>
        <w:t>d</w:t>
      </w:r>
      <w:r w:rsidR="002C5ECC" w:rsidRPr="00CB32B1">
        <w:t>ue to the emotional trauma and cost of court proceedings, not all adverse outcomes will result in clai</w:t>
      </w:r>
      <w:r w:rsidR="002C5ECC" w:rsidRPr="00D57B42">
        <w:t>ms</w:t>
      </w:r>
      <w:r w:rsidR="002C5ECC" w:rsidRPr="00CB32B1">
        <w:t xml:space="preserve"> being raised as it is reliant on the woman’s willingness to rai</w:t>
      </w:r>
      <w:r w:rsidR="00CD0CA9" w:rsidRPr="00CB32B1">
        <w:t>se the case</w:t>
      </w:r>
    </w:p>
    <w:p w:rsidR="002C5ECC" w:rsidRPr="00CB32B1" w:rsidRDefault="00D57B42" w:rsidP="00310441">
      <w:pPr>
        <w:pStyle w:val="ListBullet"/>
      </w:pPr>
      <w:r>
        <w:t>d</w:t>
      </w:r>
      <w:r w:rsidR="002C5ECC" w:rsidRPr="00CB32B1">
        <w:t>ifferent interpretations of risk translate to varying scenarios in which a court may find a PPM</w:t>
      </w:r>
      <w:r>
        <w:t xml:space="preserve"> </w:t>
      </w:r>
      <w:r w:rsidR="002C5ECC" w:rsidRPr="00CB32B1">
        <w:t xml:space="preserve">liable. </w:t>
      </w:r>
    </w:p>
    <w:p w:rsidR="002C5ECC" w:rsidRPr="00CB32B1" w:rsidRDefault="002C5ECC" w:rsidP="002C5ECC">
      <w:pPr>
        <w:pStyle w:val="PwCNormal"/>
      </w:pPr>
      <w:r w:rsidRPr="00CB32B1">
        <w:t>The courts have only had a limited number of cases and therefore have not been presented with different types of cases relating to PPMs. Limited numbers of cases have occurred because:</w:t>
      </w:r>
    </w:p>
    <w:p w:rsidR="002C5ECC" w:rsidRPr="00CB32B1" w:rsidRDefault="002C5ECC" w:rsidP="00310441">
      <w:pPr>
        <w:pStyle w:val="ListBullet"/>
      </w:pPr>
      <w:r w:rsidRPr="00CB32B1">
        <w:t xml:space="preserve">PPMs have rarely had PII </w:t>
      </w:r>
      <w:r w:rsidR="00FD0F26">
        <w:t xml:space="preserve">available </w:t>
      </w:r>
      <w:r w:rsidRPr="00CB32B1">
        <w:t>over the past ten years and therefore compensation would be limited to the</w:t>
      </w:r>
      <w:r w:rsidR="00CD0CA9" w:rsidRPr="00CB32B1">
        <w:t xml:space="preserve"> value of their personal assets</w:t>
      </w:r>
    </w:p>
    <w:p w:rsidR="002C5ECC" w:rsidRPr="00CB32B1" w:rsidRDefault="00D57B42" w:rsidP="00310441">
      <w:pPr>
        <w:pStyle w:val="ListBullet"/>
      </w:pPr>
      <w:r>
        <w:t>t</w:t>
      </w:r>
      <w:r w:rsidR="002C5ECC" w:rsidRPr="00CB32B1">
        <w:t>he long tail or lag between incident and outcome for insurance cases for PPMs mean that current insurance cases appear unlikely to be taken up until six years from the claim.</w:t>
      </w:r>
      <w:r w:rsidR="009B706C" w:rsidRPr="00CB32B1">
        <w:rPr>
          <w:rStyle w:val="FootnoteReference"/>
        </w:rPr>
        <w:footnoteReference w:id="116"/>
      </w:r>
    </w:p>
    <w:p w:rsidR="002C5ECC" w:rsidRPr="00CB32B1" w:rsidRDefault="002C5ECC" w:rsidP="002C5ECC">
      <w:pPr>
        <w:pStyle w:val="PwCNormal"/>
      </w:pPr>
      <w:r w:rsidRPr="00CB32B1">
        <w:t>Therefore, court data may be of limited use when establishing the link between incidents and outcomes for the purpose of determining the PPM risk profile.</w:t>
      </w:r>
    </w:p>
    <w:p w:rsidR="002C5ECC" w:rsidRPr="00CB32B1" w:rsidRDefault="002C5ECC" w:rsidP="00310441">
      <w:pPr>
        <w:pStyle w:val="Minorheading3"/>
      </w:pPr>
      <w:r w:rsidRPr="00CB32B1">
        <w:t>Tribunal data</w:t>
      </w:r>
    </w:p>
    <w:p w:rsidR="002C5ECC" w:rsidRPr="00CB32B1" w:rsidRDefault="002C5ECC" w:rsidP="002C5ECC">
      <w:pPr>
        <w:pStyle w:val="PwCNormal"/>
      </w:pPr>
      <w:r w:rsidRPr="00CB32B1">
        <w:t xml:space="preserve">Tribunal information can provide alternate insight into the practice of PPMs and into activity where professional misconduct may result in a claim. However, there are challenges </w:t>
      </w:r>
      <w:r w:rsidR="00FD0F26">
        <w:t>in</w:t>
      </w:r>
      <w:r w:rsidRPr="00CB32B1">
        <w:t xml:space="preserve"> understanding the relationships between the allegations and the outcomes of tribunal hearings:</w:t>
      </w:r>
    </w:p>
    <w:p w:rsidR="002C5ECC" w:rsidRPr="00CB32B1" w:rsidRDefault="00F51FC2" w:rsidP="00310441">
      <w:pPr>
        <w:pStyle w:val="ListBullet"/>
      </w:pPr>
      <w:r>
        <w:t>a</w:t>
      </w:r>
      <w:r w:rsidR="002C5ECC" w:rsidRPr="00CB32B1">
        <w:t>s with court cases, one or more allegations can</w:t>
      </w:r>
      <w:r w:rsidR="00CD0CA9" w:rsidRPr="00CB32B1">
        <w:t xml:space="preserve"> result in one or more outcomes</w:t>
      </w:r>
    </w:p>
    <w:p w:rsidR="002C5ECC" w:rsidRPr="00CB32B1" w:rsidRDefault="00F51FC2" w:rsidP="00310441">
      <w:pPr>
        <w:pStyle w:val="ListBullet"/>
      </w:pPr>
      <w:r>
        <w:t>t</w:t>
      </w:r>
      <w:r w:rsidR="002C5ECC" w:rsidRPr="00CB32B1">
        <w:t>ribunal hearings relate to professional misconduct rather than negligence that results in</w:t>
      </w:r>
      <w:r>
        <w:t xml:space="preserve"> </w:t>
      </w:r>
      <w:r w:rsidR="00CD0CA9" w:rsidRPr="00CB32B1">
        <w:t>claims</w:t>
      </w:r>
    </w:p>
    <w:p w:rsidR="002C5ECC" w:rsidRPr="00CB32B1" w:rsidRDefault="00F51FC2" w:rsidP="00310441">
      <w:pPr>
        <w:pStyle w:val="ListBullet"/>
      </w:pPr>
      <w:r>
        <w:t>n</w:t>
      </w:r>
      <w:r w:rsidR="002C5ECC" w:rsidRPr="00CB32B1">
        <w:t>ot all tribunal cases also have claims raised.</w:t>
      </w:r>
    </w:p>
    <w:p w:rsidR="002C5ECC" w:rsidRPr="00CB32B1" w:rsidRDefault="002C5ECC" w:rsidP="00FD0F26">
      <w:pPr>
        <w:pStyle w:val="PwCNormal"/>
      </w:pPr>
      <w:r w:rsidRPr="00CB32B1">
        <w:t xml:space="preserve">Tribunals can demonstrate how, and how often, caring for high-risk women can lead to a restriction on practice. However, the care of high-risk women in itself does not lead to a case, and not all high-risk births lead to either professional misconduct or a claim. Why information on high-risk might be of interest to an insurer is that taking on high-risk </w:t>
      </w:r>
      <w:r w:rsidR="00FF75B4">
        <w:t xml:space="preserve">women </w:t>
      </w:r>
      <w:r w:rsidRPr="00CB32B1">
        <w:t xml:space="preserve">may be more likely to lead to an adverse outcome and therefore </w:t>
      </w:r>
      <w:r w:rsidR="00FF75B4">
        <w:t>this would need to be better understood.</w:t>
      </w:r>
    </w:p>
    <w:p w:rsidR="002C5ECC" w:rsidRPr="00CB32B1" w:rsidRDefault="002C5ECC" w:rsidP="003E6ABC">
      <w:pPr>
        <w:pStyle w:val="Minorheading2"/>
      </w:pPr>
      <w:r w:rsidRPr="00CB32B1">
        <w:t>International insurers</w:t>
      </w:r>
    </w:p>
    <w:p w:rsidR="00FB27F4" w:rsidRPr="00CB32B1" w:rsidRDefault="002C5ECC" w:rsidP="00484F50">
      <w:pPr>
        <w:pStyle w:val="PwCNormal"/>
      </w:pPr>
      <w:r w:rsidRPr="00CB32B1">
        <w:t xml:space="preserve">The use of international insurance data could be useful to understanding the relationship between incidences and claims (as seen in the example given in </w:t>
      </w:r>
      <w:fldSimple w:instr=" REF _Ref361223773 \h  \* MERGEFORMAT ">
        <w:r w:rsidR="008816B4" w:rsidRPr="00CB32B1">
          <w:t xml:space="preserve">Table </w:t>
        </w:r>
        <w:r w:rsidR="008816B4">
          <w:t>9</w:t>
        </w:r>
      </w:fldSimple>
      <w:r w:rsidRPr="00CB32B1">
        <w:t xml:space="preserve">). Other claims information sourced from consultations, shown in </w:t>
      </w:r>
      <w:fldSimple w:instr=" REF _Ref361755245 \h  \* MERGEFORMAT ">
        <w:r w:rsidR="008816B4" w:rsidRPr="008816B4">
          <w:t>Table 10</w:t>
        </w:r>
      </w:fldSimple>
      <w:r w:rsidR="00FD0F26">
        <w:t xml:space="preserve"> b</w:t>
      </w:r>
      <w:r w:rsidR="00F51FC2" w:rsidRPr="00F51FC2">
        <w:t>uilds</w:t>
      </w:r>
      <w:r w:rsidRPr="00CB32B1">
        <w:t xml:space="preserve"> a picture of the types of claims that are brought against midwives providing homebirths.</w:t>
      </w:r>
      <w:bookmarkStart w:id="36" w:name="_Ref361223800"/>
    </w:p>
    <w:p w:rsidR="00484F50" w:rsidRPr="00CB32B1" w:rsidRDefault="00484F50" w:rsidP="00484F50">
      <w:pPr>
        <w:pStyle w:val="PwCNormal"/>
        <w:rPr>
          <w:b/>
          <w:color w:val="DC6900" w:themeColor="text2"/>
        </w:rPr>
      </w:pPr>
      <w:bookmarkStart w:id="37" w:name="_Ref361755245"/>
      <w:r w:rsidRPr="00CB32B1">
        <w:rPr>
          <w:b/>
          <w:color w:val="DC6900" w:themeColor="text2"/>
        </w:rPr>
        <w:t xml:space="preserve">Table </w:t>
      </w:r>
      <w:r w:rsidR="009129A6" w:rsidRPr="00CB32B1">
        <w:rPr>
          <w:b/>
          <w:color w:val="DC6900" w:themeColor="text2"/>
        </w:rPr>
        <w:fldChar w:fldCharType="begin"/>
      </w:r>
      <w:r w:rsidR="00D16456" w:rsidRPr="00CB32B1">
        <w:rPr>
          <w:b/>
          <w:color w:val="DC6900" w:themeColor="text2"/>
        </w:rPr>
        <w:instrText xml:space="preserve"> SEQ Table \* ARABIC </w:instrText>
      </w:r>
      <w:r w:rsidR="009129A6" w:rsidRPr="00CB32B1">
        <w:rPr>
          <w:b/>
          <w:color w:val="DC6900" w:themeColor="text2"/>
        </w:rPr>
        <w:fldChar w:fldCharType="separate"/>
      </w:r>
      <w:r w:rsidR="008816B4">
        <w:rPr>
          <w:b/>
          <w:noProof/>
          <w:color w:val="DC6900" w:themeColor="text2"/>
        </w:rPr>
        <w:t>10</w:t>
      </w:r>
      <w:r w:rsidR="009129A6" w:rsidRPr="00CB32B1">
        <w:rPr>
          <w:b/>
          <w:color w:val="DC6900" w:themeColor="text2"/>
        </w:rPr>
        <w:fldChar w:fldCharType="end"/>
      </w:r>
      <w:bookmarkEnd w:id="36"/>
      <w:bookmarkEnd w:id="37"/>
      <w:r w:rsidRPr="00CB32B1">
        <w:rPr>
          <w:b/>
          <w:color w:val="DC6900" w:themeColor="text2"/>
        </w:rPr>
        <w:t>: Types of midwifery claims</w:t>
      </w:r>
    </w:p>
    <w:tbl>
      <w:tblPr>
        <w:tblStyle w:val="PwCTableStyle1"/>
        <w:tblW w:w="5000" w:type="pct"/>
        <w:tblLook w:val="04A0"/>
      </w:tblPr>
      <w:tblGrid>
        <w:gridCol w:w="2375"/>
        <w:gridCol w:w="2834"/>
        <w:gridCol w:w="4076"/>
      </w:tblGrid>
      <w:tr w:rsidR="00484F50" w:rsidRPr="00CB32B1" w:rsidTr="00FD0F26">
        <w:trPr>
          <w:cnfStyle w:val="100000000000"/>
        </w:trPr>
        <w:tc>
          <w:tcPr>
            <w:cnfStyle w:val="001000000000"/>
            <w:tcW w:w="1279" w:type="pct"/>
            <w:shd w:val="clear" w:color="auto" w:fill="DC6900" w:themeFill="text2"/>
            <w:vAlign w:val="center"/>
          </w:tcPr>
          <w:p w:rsidR="00484F50" w:rsidRPr="00CB32B1" w:rsidRDefault="00484F50" w:rsidP="009D37C7">
            <w:pPr>
              <w:pStyle w:val="TableColumnHeadingNormal"/>
            </w:pPr>
            <w:r w:rsidRPr="00CB32B1">
              <w:t>Type of claim</w:t>
            </w:r>
          </w:p>
        </w:tc>
        <w:tc>
          <w:tcPr>
            <w:tcW w:w="1526" w:type="pct"/>
            <w:shd w:val="clear" w:color="auto" w:fill="DC6900" w:themeFill="text2"/>
            <w:vAlign w:val="center"/>
          </w:tcPr>
          <w:p w:rsidR="00484F50" w:rsidRPr="00CB32B1" w:rsidRDefault="00484F50" w:rsidP="009D37C7">
            <w:pPr>
              <w:pStyle w:val="TableColumnHeadingNormal"/>
              <w:cnfStyle w:val="100000000000"/>
            </w:pPr>
            <w:r w:rsidRPr="00CB32B1">
              <w:t>Features of claim</w:t>
            </w:r>
          </w:p>
        </w:tc>
        <w:tc>
          <w:tcPr>
            <w:tcW w:w="2195" w:type="pct"/>
            <w:shd w:val="clear" w:color="auto" w:fill="DC6900" w:themeFill="text2"/>
            <w:vAlign w:val="center"/>
          </w:tcPr>
          <w:p w:rsidR="00484F50" w:rsidRPr="00CB32B1" w:rsidRDefault="00484F50" w:rsidP="009D37C7">
            <w:pPr>
              <w:pStyle w:val="TableColumnHeadingNormal"/>
              <w:cnfStyle w:val="100000000000"/>
            </w:pPr>
            <w:r w:rsidRPr="00CB32B1">
              <w:t>Approximate value of claim</w:t>
            </w:r>
          </w:p>
        </w:tc>
      </w:tr>
      <w:tr w:rsidR="00484F50" w:rsidRPr="00CB32B1" w:rsidTr="00FD0F26">
        <w:tc>
          <w:tcPr>
            <w:cnfStyle w:val="001000000000"/>
            <w:tcW w:w="1279" w:type="pct"/>
          </w:tcPr>
          <w:p w:rsidR="00484F50" w:rsidRPr="00CB32B1" w:rsidRDefault="00484F50" w:rsidP="00484F50">
            <w:pPr>
              <w:pStyle w:val="TableTextNormal"/>
            </w:pPr>
            <w:r w:rsidRPr="00CB32B1">
              <w:t>Maternal dissatisfaction with service</w:t>
            </w:r>
          </w:p>
        </w:tc>
        <w:tc>
          <w:tcPr>
            <w:tcW w:w="1526" w:type="pct"/>
          </w:tcPr>
          <w:p w:rsidR="00484F50" w:rsidRPr="00CB32B1" w:rsidRDefault="00484F50" w:rsidP="00484F50">
            <w:pPr>
              <w:pStyle w:val="TableBullet1Normal"/>
              <w:cnfStyle w:val="000000000000"/>
            </w:pPr>
            <w:r w:rsidRPr="00CB32B1">
              <w:t>Incidence reported</w:t>
            </w:r>
          </w:p>
          <w:p w:rsidR="00484F50" w:rsidRPr="00CB32B1" w:rsidRDefault="00484F50" w:rsidP="00484F50">
            <w:pPr>
              <w:pStyle w:val="TableBullet1Normal"/>
              <w:cnfStyle w:val="000000000000"/>
            </w:pPr>
            <w:r w:rsidRPr="00CB32B1">
              <w:t>Litigation fee</w:t>
            </w:r>
          </w:p>
        </w:tc>
        <w:tc>
          <w:tcPr>
            <w:tcW w:w="2195" w:type="pct"/>
          </w:tcPr>
          <w:p w:rsidR="00484F50" w:rsidRPr="00CB32B1" w:rsidRDefault="00484F50" w:rsidP="00484F50">
            <w:pPr>
              <w:pStyle w:val="TableTextNormal"/>
              <w:cnfStyle w:val="000000000000"/>
            </w:pPr>
            <w:r w:rsidRPr="00CB32B1">
              <w:t>&lt;$50,000</w:t>
            </w:r>
          </w:p>
        </w:tc>
      </w:tr>
      <w:tr w:rsidR="00484F50" w:rsidRPr="00CB32B1" w:rsidTr="00FD0F26">
        <w:tc>
          <w:tcPr>
            <w:cnfStyle w:val="001000000000"/>
            <w:tcW w:w="1279" w:type="pct"/>
          </w:tcPr>
          <w:p w:rsidR="00484F50" w:rsidRPr="00CB32B1" w:rsidRDefault="00484F50" w:rsidP="00484F50">
            <w:pPr>
              <w:pStyle w:val="TableTextNormal"/>
            </w:pPr>
            <w:r w:rsidRPr="00CB32B1">
              <w:t>Coronial investigation, death of either woman or baby</w:t>
            </w:r>
          </w:p>
        </w:tc>
        <w:tc>
          <w:tcPr>
            <w:tcW w:w="1526" w:type="pct"/>
          </w:tcPr>
          <w:p w:rsidR="00484F50" w:rsidRPr="00CB32B1" w:rsidRDefault="00484F50" w:rsidP="00484F50">
            <w:pPr>
              <w:pStyle w:val="TableBullet1Normal"/>
              <w:cnfStyle w:val="000000000000"/>
            </w:pPr>
            <w:r w:rsidRPr="00CB32B1">
              <w:t>High cost of coronial investigation</w:t>
            </w:r>
          </w:p>
        </w:tc>
        <w:tc>
          <w:tcPr>
            <w:tcW w:w="2195" w:type="pct"/>
          </w:tcPr>
          <w:p w:rsidR="00484F50" w:rsidRPr="00CB32B1" w:rsidRDefault="00484F50" w:rsidP="00484F50">
            <w:pPr>
              <w:pStyle w:val="TableTextNormal"/>
              <w:cnfStyle w:val="000000000000"/>
            </w:pPr>
            <w:r w:rsidRPr="00CB32B1">
              <w:t>Overall greater than $100,000 (CAD) is not to be unexpected, highly unlikely to be in millions</w:t>
            </w:r>
            <w:r w:rsidRPr="00CB32B1">
              <w:rPr>
                <w:vertAlign w:val="superscript"/>
              </w:rPr>
              <w:footnoteReference w:id="117"/>
            </w:r>
          </w:p>
          <w:p w:rsidR="00484F50" w:rsidRPr="00CB32B1" w:rsidRDefault="00484F50" w:rsidP="00FD0F26">
            <w:pPr>
              <w:pStyle w:val="TableBullet1Normal"/>
              <w:numPr>
                <w:ilvl w:val="0"/>
                <w:numId w:val="0"/>
              </w:numPr>
              <w:cnfStyle w:val="000000000000"/>
            </w:pPr>
            <w:r w:rsidRPr="00CB32B1">
              <w:t>Non-pecuniary damages are stated to be up to $117,000 (CAD) for the claim regarding a child $40,000</w:t>
            </w:r>
            <w:r w:rsidR="00FD0F26">
              <w:t xml:space="preserve"> </w:t>
            </w:r>
            <w:r w:rsidR="00FD0F26" w:rsidRPr="00CB32B1">
              <w:t>(CAD)</w:t>
            </w:r>
            <w:r w:rsidRPr="00CB32B1">
              <w:t xml:space="preserve"> for a mother </w:t>
            </w:r>
          </w:p>
        </w:tc>
      </w:tr>
      <w:tr w:rsidR="00484F50" w:rsidRPr="00CB32B1" w:rsidTr="00FD0F26">
        <w:tc>
          <w:tcPr>
            <w:cnfStyle w:val="001000000000"/>
            <w:tcW w:w="1279" w:type="pct"/>
          </w:tcPr>
          <w:p w:rsidR="00484F50" w:rsidRPr="00CB32B1" w:rsidRDefault="00484F50" w:rsidP="00FB27F4">
            <w:pPr>
              <w:pStyle w:val="TableTextNormal"/>
              <w:keepNext/>
              <w:keepLines/>
            </w:pPr>
            <w:r w:rsidRPr="00CB32B1">
              <w:t>Life disability to the baby occurs during complication in labour</w:t>
            </w:r>
          </w:p>
        </w:tc>
        <w:tc>
          <w:tcPr>
            <w:tcW w:w="1526" w:type="pct"/>
          </w:tcPr>
          <w:p w:rsidR="00484F50" w:rsidRPr="00CB32B1" w:rsidRDefault="00403836" w:rsidP="00FB27F4">
            <w:pPr>
              <w:pStyle w:val="TableBullet1Normal"/>
              <w:keepNext/>
              <w:keepLines/>
              <w:cnfStyle w:val="000000000000"/>
            </w:pPr>
            <w:r>
              <w:t>Long tail (</w:t>
            </w:r>
            <w:r w:rsidR="00854DEF" w:rsidRPr="00CB32B1">
              <w:t>ie</w:t>
            </w:r>
            <w:r>
              <w:t xml:space="preserve"> </w:t>
            </w:r>
            <w:r w:rsidR="00FD0F26">
              <w:t>&gt;</w:t>
            </w:r>
            <w:r>
              <w:t xml:space="preserve"> 5 years </w:t>
            </w:r>
            <w:r w:rsidR="00484F50" w:rsidRPr="00CB32B1">
              <w:t>old</w:t>
            </w:r>
            <w:r>
              <w:t>)</w:t>
            </w:r>
          </w:p>
          <w:p w:rsidR="00484F50" w:rsidRPr="00CB32B1" w:rsidRDefault="00484F50" w:rsidP="00FB27F4">
            <w:pPr>
              <w:pStyle w:val="TableBullet1Normal"/>
              <w:keepNext/>
              <w:keepLines/>
              <w:cnfStyle w:val="000000000000"/>
            </w:pPr>
            <w:r w:rsidRPr="00CB32B1">
              <w:t>Long duration</w:t>
            </w:r>
          </w:p>
          <w:p w:rsidR="00484F50" w:rsidRPr="00CB32B1" w:rsidRDefault="00484F50" w:rsidP="00FB27F4">
            <w:pPr>
              <w:pStyle w:val="TableBullet1Normal"/>
              <w:keepNext/>
              <w:keepLines/>
              <w:cnfStyle w:val="000000000000"/>
            </w:pPr>
            <w:r w:rsidRPr="00CB32B1">
              <w:t>Complex</w:t>
            </w:r>
          </w:p>
          <w:p w:rsidR="00484F50" w:rsidRPr="00CB32B1" w:rsidRDefault="00484F50" w:rsidP="00FB27F4">
            <w:pPr>
              <w:pStyle w:val="TableBullet1Normal"/>
              <w:keepNext/>
              <w:keepLines/>
              <w:cnfStyle w:val="000000000000"/>
            </w:pPr>
            <w:r w:rsidRPr="00CB32B1">
              <w:t>Numerous stakeholders</w:t>
            </w:r>
          </w:p>
        </w:tc>
        <w:tc>
          <w:tcPr>
            <w:tcW w:w="2195" w:type="pct"/>
          </w:tcPr>
          <w:p w:rsidR="00484F50" w:rsidRPr="00CB32B1" w:rsidRDefault="00484F50" w:rsidP="00FD0F26">
            <w:pPr>
              <w:pStyle w:val="TableTextNormal"/>
              <w:keepNext/>
              <w:keepLines/>
              <w:cnfStyle w:val="000000000000"/>
            </w:pPr>
            <w:r w:rsidRPr="00CB32B1">
              <w:t>In the millions, estimated between $2</w:t>
            </w:r>
            <w:r w:rsidR="00FD0F26">
              <w:t>-</w:t>
            </w:r>
            <w:r w:rsidRPr="00CB32B1">
              <w:t xml:space="preserve">9 million in cases of alleged negligence. </w:t>
            </w:r>
          </w:p>
        </w:tc>
      </w:tr>
    </w:tbl>
    <w:p w:rsidR="002C5ECC" w:rsidRPr="00CB32B1" w:rsidRDefault="002C5ECC" w:rsidP="00484F50">
      <w:pPr>
        <w:pStyle w:val="Sources"/>
      </w:pPr>
      <w:r w:rsidRPr="00CB32B1">
        <w:rPr>
          <w:b/>
        </w:rPr>
        <w:t>Source</w:t>
      </w:r>
      <w:r w:rsidR="00FA152C" w:rsidRPr="00CB32B1">
        <w:rPr>
          <w:b/>
        </w:rPr>
        <w:t>s</w:t>
      </w:r>
      <w:r w:rsidRPr="00CB32B1">
        <w:rPr>
          <w:b/>
        </w:rPr>
        <w:t>:</w:t>
      </w:r>
      <w:r w:rsidRPr="00CB32B1">
        <w:t xml:space="preserve"> Personal communication with national and international insurers, 2012; Government of Canada 200</w:t>
      </w:r>
      <w:r w:rsidR="002B6E59" w:rsidRPr="00CB32B1">
        <w:t>9</w:t>
      </w:r>
      <w:r w:rsidRPr="00CB32B1">
        <w:t>; Government of Canada 2008</w:t>
      </w:r>
      <w:r w:rsidR="00711B07" w:rsidRPr="00CB32B1">
        <w:t>b</w:t>
      </w:r>
      <w:r w:rsidRPr="00CB32B1">
        <w:t>.</w:t>
      </w:r>
    </w:p>
    <w:p w:rsidR="002C5ECC" w:rsidRPr="00CB32B1" w:rsidRDefault="002C5ECC" w:rsidP="0061475D">
      <w:pPr>
        <w:pStyle w:val="PwCNormal"/>
      </w:pPr>
      <w:r w:rsidRPr="00CB32B1">
        <w:t>Consultations with a range of different national and international stakeholders identified types of insurance claims that had been seen against midwives providing homebirth services. Examples of the claims against midwives providing homebirths included poor working relationships between woman and PPMs (the Netherlands).</w:t>
      </w:r>
      <w:r w:rsidR="00C133AF" w:rsidRPr="00CB32B1">
        <w:rPr>
          <w:vertAlign w:val="superscript"/>
        </w:rPr>
        <w:footnoteReference w:id="118"/>
      </w:r>
      <w:r w:rsidR="0061475D">
        <w:t xml:space="preserve"> </w:t>
      </w:r>
      <w:r w:rsidRPr="00CB32B1">
        <w:t>However, it should be highlighted that, as discussed in Chapter 4, international insurers operate in very different health systems, insurance and legal environments. The relationships between claims and incidences may therefore not be similar across jurisdictions. A further point to note is an element of uncertainty as to when a claim may occur. This is because it is up to a woman</w:t>
      </w:r>
      <w:r w:rsidR="0061475D">
        <w:t xml:space="preserve"> or a child</w:t>
      </w:r>
      <w:r w:rsidRPr="00CB32B1">
        <w:t xml:space="preserve"> to raise a claim. Therefore, insurance data are only relevant up to a certain point and may only provide limited assistance in predicting w</w:t>
      </w:r>
      <w:r w:rsidR="004D6C43">
        <w:t>hen a claim is likely to occur.</w:t>
      </w:r>
    </w:p>
    <w:p w:rsidR="002C5ECC" w:rsidRPr="00CB32B1" w:rsidRDefault="002C5ECC" w:rsidP="00FD0F26">
      <w:pPr>
        <w:pStyle w:val="Heading6"/>
        <w:keepNext w:val="0"/>
        <w:keepLines w:val="0"/>
      </w:pPr>
      <w:bookmarkStart w:id="38" w:name="_Toc362975053"/>
      <w:r w:rsidRPr="00CB32B1">
        <w:t>Inherent risks within maternity services</w:t>
      </w:r>
      <w:bookmarkEnd w:id="38"/>
    </w:p>
    <w:p w:rsidR="00FB27F4" w:rsidRPr="00CB32B1" w:rsidRDefault="002C5ECC" w:rsidP="00FD0F26">
      <w:pPr>
        <w:pStyle w:val="PwCNormal"/>
      </w:pPr>
      <w:r w:rsidRPr="00CB32B1">
        <w:t xml:space="preserve">The second key theme of the literature review and stakeholder consultations was that there are certain key factors which could make </w:t>
      </w:r>
      <w:r w:rsidR="00FD0F26">
        <w:t>professional indemnity insurance for privately practising midwives</w:t>
      </w:r>
      <w:r w:rsidRPr="00CB32B1">
        <w:t xml:space="preserve"> not financially viable for private insurers. There appears to be barriers for a private insurer to be able to offer a commercial product and be able to generate profits from the product as a result of the risk within maternity services (and therefore PPM practice).</w:t>
      </w:r>
    </w:p>
    <w:p w:rsidR="00484F50" w:rsidRPr="00CB32B1" w:rsidRDefault="00484F50" w:rsidP="005A6ACA">
      <w:pPr>
        <w:pStyle w:val="PwCNormal"/>
        <w:keepNext/>
        <w:keepLines/>
        <w:rPr>
          <w:b/>
          <w:color w:val="DC6900" w:themeColor="text2"/>
        </w:rPr>
      </w:pPr>
      <w:r w:rsidRPr="00CB32B1">
        <w:rPr>
          <w:b/>
          <w:color w:val="DC6900" w:themeColor="text2"/>
        </w:rPr>
        <w:t xml:space="preserve">Table </w:t>
      </w:r>
      <w:r w:rsidR="009129A6" w:rsidRPr="00CB32B1">
        <w:rPr>
          <w:b/>
          <w:color w:val="DC6900" w:themeColor="text2"/>
        </w:rPr>
        <w:fldChar w:fldCharType="begin"/>
      </w:r>
      <w:r w:rsidR="00D16456" w:rsidRPr="00CB32B1">
        <w:rPr>
          <w:b/>
          <w:color w:val="DC6900" w:themeColor="text2"/>
        </w:rPr>
        <w:instrText xml:space="preserve"> SEQ Table \* ARABIC </w:instrText>
      </w:r>
      <w:r w:rsidR="009129A6" w:rsidRPr="00CB32B1">
        <w:rPr>
          <w:b/>
          <w:color w:val="DC6900" w:themeColor="text2"/>
        </w:rPr>
        <w:fldChar w:fldCharType="separate"/>
      </w:r>
      <w:r w:rsidR="008816B4">
        <w:rPr>
          <w:b/>
          <w:noProof/>
          <w:color w:val="DC6900" w:themeColor="text2"/>
        </w:rPr>
        <w:t>11</w:t>
      </w:r>
      <w:r w:rsidR="009129A6" w:rsidRPr="00CB32B1">
        <w:rPr>
          <w:b/>
          <w:color w:val="DC6900" w:themeColor="text2"/>
        </w:rPr>
        <w:fldChar w:fldCharType="end"/>
      </w:r>
      <w:r w:rsidRPr="00CB32B1">
        <w:rPr>
          <w:b/>
          <w:color w:val="DC6900" w:themeColor="text2"/>
        </w:rPr>
        <w:t>: Key findings precluding the development of a commercial PII for</w:t>
      </w:r>
      <w:r w:rsidR="004D6C43">
        <w:rPr>
          <w:b/>
          <w:color w:val="DC6900" w:themeColor="text2"/>
        </w:rPr>
        <w:t xml:space="preserve"> </w:t>
      </w:r>
      <w:r w:rsidR="00FD0F26">
        <w:rPr>
          <w:b/>
          <w:color w:val="DC6900" w:themeColor="text2"/>
        </w:rPr>
        <w:t>PPMs</w:t>
      </w:r>
    </w:p>
    <w:tbl>
      <w:tblPr>
        <w:tblStyle w:val="PwCTableStyle1"/>
        <w:tblW w:w="5000" w:type="pct"/>
        <w:tblLook w:val="04A0"/>
      </w:tblPr>
      <w:tblGrid>
        <w:gridCol w:w="1116"/>
        <w:gridCol w:w="2455"/>
        <w:gridCol w:w="5714"/>
      </w:tblGrid>
      <w:tr w:rsidR="00484F50" w:rsidRPr="00CB32B1" w:rsidTr="009D37C7">
        <w:trPr>
          <w:cnfStyle w:val="100000000000"/>
        </w:trPr>
        <w:tc>
          <w:tcPr>
            <w:cnfStyle w:val="001000000000"/>
            <w:tcW w:w="601" w:type="pct"/>
            <w:shd w:val="clear" w:color="auto" w:fill="DC6900" w:themeFill="text2"/>
            <w:vAlign w:val="center"/>
          </w:tcPr>
          <w:p w:rsidR="00484F50" w:rsidRPr="00CB32B1" w:rsidRDefault="00484F50" w:rsidP="009D37C7">
            <w:pPr>
              <w:pStyle w:val="TableColumnHeadingNormal"/>
            </w:pPr>
            <w:r w:rsidRPr="00CB32B1">
              <w:t>Number</w:t>
            </w:r>
          </w:p>
        </w:tc>
        <w:tc>
          <w:tcPr>
            <w:tcW w:w="1322" w:type="pct"/>
            <w:shd w:val="clear" w:color="auto" w:fill="DC6900" w:themeFill="text2"/>
            <w:vAlign w:val="center"/>
          </w:tcPr>
          <w:p w:rsidR="00484F50" w:rsidRPr="00CB32B1" w:rsidRDefault="00484F50" w:rsidP="009D37C7">
            <w:pPr>
              <w:pStyle w:val="TableColumnHeadingNormal"/>
              <w:cnfStyle w:val="100000000000"/>
            </w:pPr>
            <w:r w:rsidRPr="00CB32B1">
              <w:t>Topic</w:t>
            </w:r>
          </w:p>
        </w:tc>
        <w:tc>
          <w:tcPr>
            <w:tcW w:w="3077" w:type="pct"/>
            <w:shd w:val="clear" w:color="auto" w:fill="DC6900" w:themeFill="text2"/>
            <w:vAlign w:val="center"/>
          </w:tcPr>
          <w:p w:rsidR="00484F50" w:rsidRPr="00CB32B1" w:rsidRDefault="00484F50" w:rsidP="009D37C7">
            <w:pPr>
              <w:pStyle w:val="TableColumnHeadingNormal"/>
              <w:cnfStyle w:val="100000000000"/>
            </w:pPr>
            <w:r w:rsidRPr="00CB32B1">
              <w:t>Finding</w:t>
            </w:r>
          </w:p>
        </w:tc>
      </w:tr>
      <w:tr w:rsidR="00484F50" w:rsidRPr="00CB32B1" w:rsidTr="00484F50">
        <w:tc>
          <w:tcPr>
            <w:cnfStyle w:val="001000000000"/>
            <w:tcW w:w="601" w:type="pct"/>
          </w:tcPr>
          <w:p w:rsidR="00484F50" w:rsidRPr="00CB32B1" w:rsidRDefault="00484F50" w:rsidP="00484F50">
            <w:pPr>
              <w:pStyle w:val="TableTextNormal"/>
            </w:pPr>
            <w:r w:rsidRPr="00CB32B1">
              <w:t>1</w:t>
            </w:r>
          </w:p>
        </w:tc>
        <w:tc>
          <w:tcPr>
            <w:tcW w:w="1322" w:type="pct"/>
          </w:tcPr>
          <w:p w:rsidR="00484F50" w:rsidRPr="00CB32B1" w:rsidRDefault="00484F50" w:rsidP="00484F50">
            <w:pPr>
              <w:pStyle w:val="TableTextNormal"/>
              <w:cnfStyle w:val="000000000000"/>
            </w:pPr>
            <w:r w:rsidRPr="00CB32B1">
              <w:t>Scale</w:t>
            </w:r>
          </w:p>
        </w:tc>
        <w:tc>
          <w:tcPr>
            <w:tcW w:w="3077" w:type="pct"/>
          </w:tcPr>
          <w:p w:rsidR="00484F50" w:rsidRPr="00FD0F26" w:rsidRDefault="00484F50" w:rsidP="00BE2C2A">
            <w:pPr>
              <w:pStyle w:val="TableTextNormal"/>
              <w:cnfStyle w:val="000000000000"/>
              <w:rPr>
                <w:i/>
              </w:rPr>
            </w:pPr>
            <w:r w:rsidRPr="00FD0F26">
              <w:rPr>
                <w:i/>
              </w:rPr>
              <w:t xml:space="preserve">The number/volume of PPMs practising </w:t>
            </w:r>
            <w:r w:rsidR="00BE2C2A" w:rsidRPr="00FD0F26">
              <w:rPr>
                <w:i/>
              </w:rPr>
              <w:t xml:space="preserve">currently is not </w:t>
            </w:r>
            <w:r w:rsidRPr="00FD0F26">
              <w:rPr>
                <w:i/>
              </w:rPr>
              <w:t>sufficient for commercial insurers to provide a financially viable product.</w:t>
            </w:r>
          </w:p>
        </w:tc>
      </w:tr>
      <w:tr w:rsidR="00484F50" w:rsidRPr="00CB32B1" w:rsidTr="00484F50">
        <w:tc>
          <w:tcPr>
            <w:cnfStyle w:val="001000000000"/>
            <w:tcW w:w="601" w:type="pct"/>
          </w:tcPr>
          <w:p w:rsidR="00484F50" w:rsidRPr="00CB32B1" w:rsidRDefault="00484F50" w:rsidP="00484F50">
            <w:pPr>
              <w:pStyle w:val="TableTextNormal"/>
            </w:pPr>
            <w:r w:rsidRPr="00CB32B1">
              <w:t>2</w:t>
            </w:r>
          </w:p>
        </w:tc>
        <w:tc>
          <w:tcPr>
            <w:tcW w:w="1322" w:type="pct"/>
          </w:tcPr>
          <w:p w:rsidR="00484F50" w:rsidRPr="00CB32B1" w:rsidRDefault="00484F50" w:rsidP="00484F50">
            <w:pPr>
              <w:pStyle w:val="TableTextNormal"/>
              <w:cnfStyle w:val="000000000000"/>
            </w:pPr>
            <w:r w:rsidRPr="00CB32B1">
              <w:t>Inherent risks of birth</w:t>
            </w:r>
          </w:p>
        </w:tc>
        <w:tc>
          <w:tcPr>
            <w:tcW w:w="3077" w:type="pct"/>
          </w:tcPr>
          <w:p w:rsidR="00484F50" w:rsidRPr="00FD0F26" w:rsidRDefault="00484F50" w:rsidP="00484F50">
            <w:pPr>
              <w:pStyle w:val="TableTextNormal"/>
              <w:cnfStyle w:val="000000000000"/>
              <w:rPr>
                <w:i/>
              </w:rPr>
            </w:pPr>
            <w:r w:rsidRPr="00FD0F26">
              <w:rPr>
                <w:i/>
              </w:rPr>
              <w:t>PPMs</w:t>
            </w:r>
            <w:r w:rsidR="00BE2C2A" w:rsidRPr="00FD0F26">
              <w:rPr>
                <w:i/>
              </w:rPr>
              <w:t>,</w:t>
            </w:r>
            <w:r w:rsidRPr="00FD0F26">
              <w:rPr>
                <w:i/>
              </w:rPr>
              <w:t xml:space="preserve"> as maternity service providers</w:t>
            </w:r>
            <w:r w:rsidR="00BE2C2A" w:rsidRPr="00FD0F26">
              <w:rPr>
                <w:i/>
              </w:rPr>
              <w:t>,</w:t>
            </w:r>
            <w:r w:rsidRPr="00FD0F26">
              <w:rPr>
                <w:i/>
              </w:rPr>
              <w:t xml:space="preserve"> will always have inherent risks in practice that cannot be fully mitigated. </w:t>
            </w:r>
          </w:p>
        </w:tc>
      </w:tr>
      <w:tr w:rsidR="00484F50" w:rsidRPr="00CB32B1" w:rsidTr="00484F50">
        <w:tc>
          <w:tcPr>
            <w:cnfStyle w:val="001000000000"/>
            <w:tcW w:w="601" w:type="pct"/>
          </w:tcPr>
          <w:p w:rsidR="00484F50" w:rsidRPr="00CB32B1" w:rsidRDefault="00484F50" w:rsidP="00484F50">
            <w:pPr>
              <w:pStyle w:val="TableTextNormal"/>
            </w:pPr>
            <w:r w:rsidRPr="00CB32B1">
              <w:t>3</w:t>
            </w:r>
          </w:p>
        </w:tc>
        <w:tc>
          <w:tcPr>
            <w:tcW w:w="1322" w:type="pct"/>
          </w:tcPr>
          <w:p w:rsidR="00484F50" w:rsidRPr="00CB32B1" w:rsidRDefault="00484F50" w:rsidP="00484F50">
            <w:pPr>
              <w:pStyle w:val="TableTextNormal"/>
              <w:cnfStyle w:val="000000000000"/>
            </w:pPr>
            <w:r w:rsidRPr="00CB32B1">
              <w:t>High expected value of claims</w:t>
            </w:r>
          </w:p>
        </w:tc>
        <w:tc>
          <w:tcPr>
            <w:tcW w:w="3077" w:type="pct"/>
          </w:tcPr>
          <w:p w:rsidR="00484F50" w:rsidRPr="00FD0F26" w:rsidRDefault="00484F50" w:rsidP="00484F50">
            <w:pPr>
              <w:pStyle w:val="TableTextNormal"/>
              <w:cnfStyle w:val="000000000000"/>
              <w:rPr>
                <w:i/>
              </w:rPr>
            </w:pPr>
            <w:r w:rsidRPr="00FD0F26">
              <w:rPr>
                <w:i/>
              </w:rPr>
              <w:t>Claims can be relatively significant as they relate to human life and death or potential ongoing and long term disability.</w:t>
            </w:r>
          </w:p>
        </w:tc>
      </w:tr>
    </w:tbl>
    <w:p w:rsidR="002C5ECC" w:rsidRPr="00CB32B1" w:rsidRDefault="002C5ECC" w:rsidP="00FB27F4">
      <w:pPr>
        <w:pStyle w:val="Majorheading"/>
      </w:pPr>
      <w:r w:rsidRPr="00CB32B1">
        <w:t>Finding 4: Scale</w:t>
      </w:r>
    </w:p>
    <w:tbl>
      <w:tblPr>
        <w:tblStyle w:val="TableGrid"/>
        <w:tblW w:w="0" w:type="auto"/>
        <w:tblBorders>
          <w:top w:val="single" w:sz="4" w:space="0" w:color="DC6900" w:themeColor="text2"/>
          <w:left w:val="single" w:sz="4" w:space="0" w:color="DC6900" w:themeColor="text2"/>
          <w:bottom w:val="single" w:sz="4" w:space="0" w:color="DC6900" w:themeColor="text2"/>
          <w:right w:val="single" w:sz="4" w:space="0" w:color="DC6900" w:themeColor="text2"/>
          <w:insideH w:val="none" w:sz="0" w:space="0" w:color="auto"/>
          <w:insideV w:val="none" w:sz="0" w:space="0" w:color="auto"/>
        </w:tblBorders>
        <w:tblLook w:val="04A0"/>
      </w:tblPr>
      <w:tblGrid>
        <w:gridCol w:w="9285"/>
      </w:tblGrid>
      <w:tr w:rsidR="00484F50" w:rsidRPr="00CB32B1" w:rsidTr="00484F50">
        <w:tc>
          <w:tcPr>
            <w:tcW w:w="9288" w:type="dxa"/>
            <w:shd w:val="clear" w:color="auto" w:fill="auto"/>
          </w:tcPr>
          <w:p w:rsidR="00484F50" w:rsidRPr="00CB32B1" w:rsidRDefault="00484F50" w:rsidP="00FB27F4">
            <w:pPr>
              <w:pStyle w:val="TableTextNormal"/>
              <w:keepNext/>
              <w:keepLines/>
              <w:rPr>
                <w:b/>
                <w:color w:val="DC6900" w:themeColor="text2"/>
              </w:rPr>
            </w:pPr>
            <w:r w:rsidRPr="00CB32B1">
              <w:rPr>
                <w:b/>
                <w:color w:val="DC6900" w:themeColor="text2"/>
              </w:rPr>
              <w:t xml:space="preserve">The number of PPMs practising </w:t>
            </w:r>
            <w:r w:rsidR="00BE2C2A" w:rsidRPr="00CB32B1">
              <w:rPr>
                <w:b/>
                <w:color w:val="DC6900" w:themeColor="text2"/>
              </w:rPr>
              <w:t>currently is not</w:t>
            </w:r>
            <w:r w:rsidRPr="00CB32B1">
              <w:rPr>
                <w:b/>
                <w:color w:val="DC6900" w:themeColor="text2"/>
              </w:rPr>
              <w:t xml:space="preserve"> sufficient for commercial insurers to provide a financially viable product. </w:t>
            </w:r>
          </w:p>
        </w:tc>
      </w:tr>
    </w:tbl>
    <w:p w:rsidR="002C5ECC" w:rsidRPr="00CB32B1" w:rsidRDefault="002C5ECC" w:rsidP="00484F50">
      <w:pPr>
        <w:pStyle w:val="PwCNormal"/>
        <w:spacing w:before="120"/>
      </w:pPr>
      <w:r w:rsidRPr="00CB32B1">
        <w:t>The size of the PPM cohort may not be large enough to develop a financially viable product in terms of the impact that size has on the probability of risk borne by the insurer. While previously the number of PPMs was not known, our survey identified at least 57 PPMs who are currently practising (see Appendix J.1). While this number may not be a true representation of the number of PPMs supporting homebirths, it is still a rel</w:t>
      </w:r>
      <w:r w:rsidRPr="00F51FC2">
        <w:t>a</w:t>
      </w:r>
      <w:r w:rsidRPr="00CB32B1">
        <w:t xml:space="preserve">tively low cohort, given there were nearly 33,000 midwives registered as both a nurse and midwife and an additional 2,377 </w:t>
      </w:r>
      <w:r w:rsidR="00FD0F26">
        <w:t xml:space="preserve">registered only as a </w:t>
      </w:r>
      <w:r w:rsidRPr="00CB32B1">
        <w:t>midwi</w:t>
      </w:r>
      <w:r w:rsidR="00FD0F26">
        <w:t>fe</w:t>
      </w:r>
      <w:r w:rsidRPr="00CB32B1">
        <w:t xml:space="preserve"> with the NMBA as at December 2012.</w:t>
      </w:r>
      <w:r w:rsidR="00C133AF" w:rsidRPr="00CB32B1">
        <w:rPr>
          <w:rStyle w:val="FootnoteReference"/>
        </w:rPr>
        <w:footnoteReference w:id="119"/>
      </w:r>
      <w:r w:rsidRPr="00CB32B1">
        <w:t xml:space="preserve"> As</w:t>
      </w:r>
      <w:r w:rsidR="00854DEF" w:rsidRPr="00CB32B1">
        <w:t xml:space="preserve"> </w:t>
      </w:r>
      <w:r w:rsidRPr="00CB32B1">
        <w:t>they all register and sign as competent, it could be assumed that they all have the capacity to practise privately.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778"/>
        <w:gridCol w:w="342"/>
        <w:gridCol w:w="3168"/>
      </w:tblGrid>
      <w:tr w:rsidR="00484F50" w:rsidRPr="00CB32B1" w:rsidTr="00484F50">
        <w:tc>
          <w:tcPr>
            <w:tcW w:w="5778" w:type="dxa"/>
          </w:tcPr>
          <w:p w:rsidR="00484F50" w:rsidRPr="00CB32B1" w:rsidRDefault="00484F50" w:rsidP="00484F50">
            <w:pPr>
              <w:pStyle w:val="PwCNormal"/>
            </w:pPr>
            <w:r w:rsidRPr="00CB32B1">
              <w:t>To reduce cross-subsidisation of risk, the Tito report recommended the implementation of premium pools.</w:t>
            </w:r>
            <w:r w:rsidR="00C133AF" w:rsidRPr="00CB32B1">
              <w:rPr>
                <w:rStyle w:val="FootnoteReference"/>
              </w:rPr>
              <w:footnoteReference w:id="120"/>
            </w:r>
            <w:r w:rsidRPr="00CB32B1">
              <w:t xml:space="preserve"> These pool the premiums of separate products, or in this case, professions. With premium pools in place, there needs to be a sufficient market to purchase products to make the funds within the pool sufficient to cover a claim payout arising from that profession. </w:t>
            </w:r>
          </w:p>
          <w:p w:rsidR="00484F50" w:rsidRPr="00CB32B1" w:rsidRDefault="00484F50" w:rsidP="004D6C43">
            <w:pPr>
              <w:pStyle w:val="PwCNormal"/>
            </w:pPr>
            <w:r w:rsidRPr="00CB32B1">
              <w:t xml:space="preserve">While the probability of any individual claim remains unchanged regardless of the number of </w:t>
            </w:r>
            <w:r w:rsidR="00727D37">
              <w:t>PPMs</w:t>
            </w:r>
            <w:r w:rsidRPr="00CB32B1">
              <w:t xml:space="preserve"> (</w:t>
            </w:r>
            <w:r w:rsidR="00854DEF" w:rsidRPr="00CB32B1">
              <w:t>eg</w:t>
            </w:r>
            <w:r w:rsidRPr="00CB32B1">
              <w:t xml:space="preserve"> the probability of the claim arising between </w:t>
            </w:r>
            <w:r w:rsidR="004D6C43">
              <w:t>one</w:t>
            </w:r>
            <w:r w:rsidRPr="00CB32B1">
              <w:t xml:space="preserve"> or 1,000 PPMs should in theory be similar), the size of the profession affects the impact of a claim arising on the insurer. As the number of PPMs fall, the insurer is at an increased risk that any claim raised is larger than the funds from the collected premiums to cover.</w:t>
            </w:r>
          </w:p>
        </w:tc>
        <w:tc>
          <w:tcPr>
            <w:tcW w:w="342" w:type="dxa"/>
          </w:tcPr>
          <w:p w:rsidR="00484F50" w:rsidRPr="00CB32B1" w:rsidRDefault="00484F50" w:rsidP="00F6676A">
            <w:pPr>
              <w:pStyle w:val="TableTextNormal"/>
            </w:pPr>
          </w:p>
        </w:tc>
        <w:tc>
          <w:tcPr>
            <w:tcW w:w="3168" w:type="dxa"/>
            <w:shd w:val="clear" w:color="auto" w:fill="DC6900" w:themeFill="text2"/>
            <w:vAlign w:val="center"/>
          </w:tcPr>
          <w:p w:rsidR="00484F50" w:rsidRPr="004D6C43" w:rsidRDefault="00484F50" w:rsidP="00484F50">
            <w:pPr>
              <w:pStyle w:val="TableTextNormal"/>
              <w:rPr>
                <w:b/>
                <w:i/>
                <w:color w:val="FFFFFF" w:themeColor="background1"/>
              </w:rPr>
            </w:pPr>
            <w:r w:rsidRPr="00CB32B1">
              <w:rPr>
                <w:b/>
                <w:color w:val="FFFFFF" w:themeColor="background1"/>
              </w:rPr>
              <w:t xml:space="preserve">In the UK: </w:t>
            </w:r>
            <w:r w:rsidRPr="004D6C43">
              <w:rPr>
                <w:b/>
                <w:i/>
                <w:color w:val="FFFFFF" w:themeColor="background1"/>
              </w:rPr>
              <w:t>“awards of damages of circa £6m are no longer uncommon and predictions...foresee awards in excess of £10m in the near future.</w:t>
            </w:r>
            <w:r w:rsidR="00FD0F26">
              <w:rPr>
                <w:b/>
                <w:i/>
                <w:color w:val="FFFFFF" w:themeColor="background1"/>
              </w:rPr>
              <w:t xml:space="preserve"> </w:t>
            </w:r>
            <w:r w:rsidRPr="004D6C43">
              <w:rPr>
                <w:b/>
                <w:i/>
                <w:color w:val="FFFFFF" w:themeColor="background1"/>
              </w:rPr>
              <w:t>Sums of this magnitude are too high for an insurer to be able to offer a viable insurance proposition having regard to the number of midwives currently operating independently of the NHS”.</w:t>
            </w:r>
          </w:p>
          <w:p w:rsidR="00484F50" w:rsidRPr="00CB32B1" w:rsidRDefault="0083432B" w:rsidP="0083432B">
            <w:pPr>
              <w:pStyle w:val="TableTextNormal"/>
              <w:jc w:val="right"/>
              <w:rPr>
                <w:i/>
                <w:sz w:val="16"/>
                <w:szCs w:val="16"/>
              </w:rPr>
            </w:pPr>
            <w:r w:rsidRPr="00CB32B1">
              <w:rPr>
                <w:i/>
                <w:color w:val="FFFFFF" w:themeColor="background1"/>
                <w:sz w:val="16"/>
                <w:szCs w:val="16"/>
              </w:rPr>
              <w:t>(</w:t>
            </w:r>
            <w:r w:rsidR="00484F50" w:rsidRPr="00CB32B1">
              <w:rPr>
                <w:i/>
                <w:color w:val="FFFFFF" w:themeColor="background1"/>
                <w:sz w:val="16"/>
                <w:szCs w:val="16"/>
              </w:rPr>
              <w:t>Flaxman Partners</w:t>
            </w:r>
            <w:r w:rsidRPr="00CB32B1">
              <w:rPr>
                <w:i/>
                <w:color w:val="FFFFFF" w:themeColor="background1"/>
                <w:sz w:val="16"/>
                <w:szCs w:val="16"/>
              </w:rPr>
              <w:t xml:space="preserve"> 2011)</w:t>
            </w:r>
          </w:p>
        </w:tc>
      </w:tr>
      <w:tr w:rsidR="00484F50" w:rsidRPr="00CB32B1" w:rsidTr="00484F50">
        <w:trPr>
          <w:trHeight w:hRule="exact" w:val="86"/>
        </w:trPr>
        <w:tc>
          <w:tcPr>
            <w:tcW w:w="5778" w:type="dxa"/>
          </w:tcPr>
          <w:p w:rsidR="00484F50" w:rsidRPr="00CB32B1" w:rsidRDefault="00484F50" w:rsidP="00F6676A">
            <w:pPr>
              <w:pStyle w:val="TableTextNormal"/>
            </w:pPr>
          </w:p>
        </w:tc>
        <w:tc>
          <w:tcPr>
            <w:tcW w:w="342" w:type="dxa"/>
            <w:shd w:val="clear" w:color="auto" w:fill="DC6900" w:themeFill="text2"/>
          </w:tcPr>
          <w:p w:rsidR="00484F50" w:rsidRPr="00CB32B1" w:rsidRDefault="00484F50" w:rsidP="00F6676A">
            <w:pPr>
              <w:pStyle w:val="TableTextNormal"/>
            </w:pPr>
          </w:p>
        </w:tc>
        <w:tc>
          <w:tcPr>
            <w:tcW w:w="3168" w:type="dxa"/>
          </w:tcPr>
          <w:p w:rsidR="00484F50" w:rsidRPr="00CB32B1" w:rsidRDefault="00484F50" w:rsidP="00F6676A">
            <w:pPr>
              <w:pStyle w:val="TableTextNormal"/>
            </w:pPr>
          </w:p>
        </w:tc>
      </w:tr>
    </w:tbl>
    <w:p w:rsidR="002C5ECC" w:rsidRPr="00CB32B1" w:rsidRDefault="0083432B" w:rsidP="002C5ECC">
      <w:pPr>
        <w:pStyle w:val="PwCNormal"/>
      </w:pPr>
      <w:r w:rsidRPr="00CB32B1">
        <w:br/>
      </w:r>
      <w:r w:rsidR="002C5ECC" w:rsidRPr="00CB32B1">
        <w:t>Many insurance stakeholder consultations identified this as a key reason not to participate in the market.</w:t>
      </w:r>
      <w:r w:rsidR="00701D69" w:rsidRPr="00CB32B1">
        <w:rPr>
          <w:rStyle w:val="FootnoteReference"/>
        </w:rPr>
        <w:footnoteReference w:id="121"/>
      </w:r>
      <w:r w:rsidR="002C5ECC" w:rsidRPr="00CB32B1">
        <w:t xml:space="preserve"> This is compounded by the profit margin and administrative costs also borne. While this risk can be mitigated by increasing the premiums, as seen post-2010 this could occur to an extent that which the premium becomes unaffordable</w:t>
      </w:r>
      <w:r w:rsidR="00FD0F26">
        <w:t xml:space="preserve"> to PPMs to purchase</w:t>
      </w:r>
      <w:r w:rsidR="002C5ECC" w:rsidRPr="00CB32B1">
        <w:t>.</w:t>
      </w:r>
    </w:p>
    <w:p w:rsidR="002C5ECC" w:rsidRPr="00CB32B1" w:rsidRDefault="002C5ECC" w:rsidP="002C5ECC">
      <w:pPr>
        <w:pStyle w:val="PwCNormal"/>
      </w:pPr>
      <w:r w:rsidRPr="00CB32B1">
        <w:t xml:space="preserve">The issue of unaffordable cover has been mitigated in other professions through government intervention. An example of this is the Premium Support Scheme. This is an Australian Government scheme that helps eligible </w:t>
      </w:r>
      <w:r w:rsidR="00FD0F26">
        <w:t>medical practitioners</w:t>
      </w:r>
      <w:r w:rsidRPr="00CB32B1">
        <w:t xml:space="preserve"> with the costs of </w:t>
      </w:r>
      <w:r w:rsidR="00E25231">
        <w:t>PII</w:t>
      </w:r>
      <w:r w:rsidRPr="00CB32B1">
        <w:t xml:space="preserve"> through the reduction of premiums paid. If gross indemnity costs exceed 7.5 per cent of the </w:t>
      </w:r>
      <w:r w:rsidR="00FD0F26">
        <w:t>medical practitioner</w:t>
      </w:r>
      <w:r w:rsidRPr="00CB32B1">
        <w:t>’s gross private medical income, a premium subsidy will be applied (60% of cost on or after 1 July 2013).</w:t>
      </w:r>
      <w:r w:rsidR="00701D69" w:rsidRPr="00CB32B1">
        <w:rPr>
          <w:rStyle w:val="FootnoteReference"/>
        </w:rPr>
        <w:footnoteReference w:id="122"/>
      </w:r>
      <w:r w:rsidR="00854DEF" w:rsidRPr="00CB32B1">
        <w:t xml:space="preserve"> </w:t>
      </w:r>
      <w:r w:rsidRPr="00CB32B1">
        <w:t>Some consultations</w:t>
      </w:r>
      <w:r w:rsidR="00FF75B4">
        <w:t>, while not providing a rationale,</w:t>
      </w:r>
      <w:r w:rsidRPr="00CB32B1">
        <w:t xml:space="preserve"> highlighted concern over the same scheme being applied to PPMs, and have held that PPMs should only be provided with a product if it is commercially viable for insurers.</w:t>
      </w:r>
      <w:r w:rsidR="00FD0F26">
        <w:t xml:space="preserve"> It still stands however, as an option to assist in the development of a PII product for intrapartum care that may be considered (see Chapter 5).</w:t>
      </w:r>
    </w:p>
    <w:p w:rsidR="002C5ECC" w:rsidRPr="00CB32B1" w:rsidRDefault="002C5ECC" w:rsidP="00FB27F4">
      <w:pPr>
        <w:pStyle w:val="Majorheading"/>
      </w:pPr>
      <w:r w:rsidRPr="00CB32B1">
        <w:t>Finding 5: Inherent risks of birth</w:t>
      </w:r>
    </w:p>
    <w:tbl>
      <w:tblPr>
        <w:tblStyle w:val="TableGrid"/>
        <w:tblW w:w="0" w:type="auto"/>
        <w:tblBorders>
          <w:top w:val="single" w:sz="4" w:space="0" w:color="DC6900" w:themeColor="text2"/>
          <w:left w:val="single" w:sz="4" w:space="0" w:color="DC6900" w:themeColor="text2"/>
          <w:bottom w:val="single" w:sz="4" w:space="0" w:color="DC6900" w:themeColor="text2"/>
          <w:right w:val="single" w:sz="4" w:space="0" w:color="DC6900" w:themeColor="text2"/>
          <w:insideH w:val="none" w:sz="0" w:space="0" w:color="auto"/>
          <w:insideV w:val="none" w:sz="0" w:space="0" w:color="auto"/>
        </w:tblBorders>
        <w:tblLook w:val="04A0"/>
      </w:tblPr>
      <w:tblGrid>
        <w:gridCol w:w="9285"/>
      </w:tblGrid>
      <w:tr w:rsidR="00484F50" w:rsidRPr="00CB32B1" w:rsidTr="00484F50">
        <w:tc>
          <w:tcPr>
            <w:tcW w:w="9288" w:type="dxa"/>
          </w:tcPr>
          <w:p w:rsidR="00484F50" w:rsidRPr="00CB32B1" w:rsidRDefault="00484F50" w:rsidP="00FB27F4">
            <w:pPr>
              <w:pStyle w:val="TableTextNormal"/>
              <w:keepNext/>
              <w:keepLines/>
              <w:rPr>
                <w:b/>
                <w:color w:val="DC6900" w:themeColor="text2"/>
              </w:rPr>
            </w:pPr>
            <w:r w:rsidRPr="00CB32B1">
              <w:rPr>
                <w:b/>
                <w:color w:val="DC6900" w:themeColor="text2"/>
              </w:rPr>
              <w:t>PPMs</w:t>
            </w:r>
            <w:r w:rsidR="00BE2C2A" w:rsidRPr="00CB32B1">
              <w:rPr>
                <w:b/>
                <w:color w:val="DC6900" w:themeColor="text2"/>
              </w:rPr>
              <w:t>,</w:t>
            </w:r>
            <w:r w:rsidRPr="00CB32B1">
              <w:rPr>
                <w:b/>
                <w:color w:val="DC6900" w:themeColor="text2"/>
              </w:rPr>
              <w:t xml:space="preserve"> as maternity service providers</w:t>
            </w:r>
            <w:r w:rsidR="00BE2C2A" w:rsidRPr="00CB32B1">
              <w:rPr>
                <w:b/>
                <w:color w:val="DC6900" w:themeColor="text2"/>
              </w:rPr>
              <w:t>,</w:t>
            </w:r>
            <w:r w:rsidRPr="00CB32B1">
              <w:rPr>
                <w:b/>
                <w:color w:val="DC6900" w:themeColor="text2"/>
              </w:rPr>
              <w:t xml:space="preserve"> will always have inherent risks in practice that cannot be fully mitigated. While not a central part of the research for this report, it is widely recognised that other maternity providers have higher risks due to their qualifications, training and client profile and can access insurance cover.</w:t>
            </w:r>
          </w:p>
        </w:tc>
      </w:tr>
    </w:tbl>
    <w:p w:rsidR="002C5ECC" w:rsidRPr="00CB32B1" w:rsidRDefault="002C5ECC" w:rsidP="00484F50">
      <w:pPr>
        <w:pStyle w:val="PwCNormal"/>
        <w:spacing w:before="120"/>
      </w:pPr>
      <w:r w:rsidRPr="00CB32B1">
        <w:t>Birth is a natural act and the risk of death or disability is inherent. In the absence of disaggregated data it appears that in comparison with other health professionals, both the probability of a claim arising, and the size of the claim arising from an adverse outcome, may be higher for those professions involved in birthing services,</w:t>
      </w:r>
      <w:r w:rsidR="00701D69" w:rsidRPr="00CB32B1">
        <w:rPr>
          <w:rStyle w:val="FootnoteReference"/>
        </w:rPr>
        <w:footnoteReference w:id="123"/>
      </w:r>
      <w:r w:rsidR="00854DEF" w:rsidRPr="00CB32B1">
        <w:t xml:space="preserve"> </w:t>
      </w:r>
      <w:r w:rsidRPr="00CB32B1">
        <w:t xml:space="preserve">including </w:t>
      </w:r>
      <w:r w:rsidR="00831C6A">
        <w:t>PPMs</w:t>
      </w:r>
      <w:r w:rsidRPr="00CB32B1">
        <w:t xml:space="preserve">. </w:t>
      </w:r>
    </w:p>
    <w:p w:rsidR="002C5ECC" w:rsidRPr="00CB32B1" w:rsidRDefault="002C5ECC" w:rsidP="002C5ECC">
      <w:pPr>
        <w:pStyle w:val="PwCNormal"/>
      </w:pPr>
      <w:r w:rsidRPr="00CB32B1">
        <w:t>In the United Kingdom (UK), the obstetrics profession had the highest payout and assessment in insurance risk.</w:t>
      </w:r>
      <w:r w:rsidR="00701D69" w:rsidRPr="00CB32B1">
        <w:rPr>
          <w:rStyle w:val="FootnoteReference"/>
        </w:rPr>
        <w:footnoteReference w:id="124"/>
      </w:r>
      <w:r w:rsidR="00854DEF" w:rsidRPr="00CB32B1">
        <w:t xml:space="preserve"> </w:t>
      </w:r>
      <w:r w:rsidRPr="00CB32B1">
        <w:t xml:space="preserve">Similarly, </w:t>
      </w:r>
      <w:r w:rsidR="00FD0F26">
        <w:t xml:space="preserve">in </w:t>
      </w:r>
      <w:r w:rsidRPr="00CB32B1">
        <w:t>Australia</w:t>
      </w:r>
      <w:r w:rsidR="00FD0F26">
        <w:t xml:space="preserve">n </w:t>
      </w:r>
      <w:r w:rsidRPr="00CB32B1">
        <w:t xml:space="preserve">obstetricians </w:t>
      </w:r>
      <w:r w:rsidR="00FD0F26">
        <w:t>are recorded as having</w:t>
      </w:r>
      <w:r w:rsidRPr="00CB32B1">
        <w:t xml:space="preserve"> the highest</w:t>
      </w:r>
      <w:r w:rsidR="00FD0F26">
        <w:t xml:space="preserve"> insurance</w:t>
      </w:r>
      <w:r w:rsidRPr="00CB32B1">
        <w:t xml:space="preserve"> premium of all health professionals.</w:t>
      </w:r>
      <w:r w:rsidR="00701D69" w:rsidRPr="00CB32B1">
        <w:rPr>
          <w:rStyle w:val="FootnoteReference"/>
        </w:rPr>
        <w:footnoteReference w:id="125"/>
      </w:r>
      <w:r w:rsidR="00854DEF" w:rsidRPr="00CB32B1">
        <w:t xml:space="preserve"> </w:t>
      </w:r>
      <w:r w:rsidRPr="00CB32B1">
        <w:t xml:space="preserve">This raises an issue of whether PPMs are grouped with, or the risk is assessed in line with obstetrics (which occurs in UK data). The </w:t>
      </w:r>
      <w:r w:rsidR="00FD0F26">
        <w:t xml:space="preserve">practice </w:t>
      </w:r>
      <w:r w:rsidRPr="00CB32B1">
        <w:t xml:space="preserve">risk associated with obstetrics practice, as a result of their scope of practice and their undertaking of complex, is held by those consulted to be higher than that associated with a PPM. However, without quality data that disaggregates </w:t>
      </w:r>
      <w:r w:rsidR="001F2631">
        <w:t xml:space="preserve">the </w:t>
      </w:r>
      <w:r w:rsidRPr="00CB32B1">
        <w:t xml:space="preserve">risk for obstetricians and PPMs, commercial insurers appear </w:t>
      </w:r>
      <w:r w:rsidR="001F2631">
        <w:t xml:space="preserve">in some cases, </w:t>
      </w:r>
      <w:r w:rsidRPr="00CB32B1">
        <w:t>to judge the probability of risk</w:t>
      </w:r>
      <w:r w:rsidR="001F2631">
        <w:t xml:space="preserve"> the same, and as a result, it becomes too high for them to develop an </w:t>
      </w:r>
      <w:r w:rsidRPr="00CB32B1">
        <w:t xml:space="preserve">affordable product for PPMs. </w:t>
      </w:r>
    </w:p>
    <w:p w:rsidR="002C5ECC" w:rsidRPr="00CB32B1" w:rsidRDefault="002C5ECC" w:rsidP="002C5ECC">
      <w:pPr>
        <w:pStyle w:val="PwCNormal"/>
      </w:pPr>
      <w:r w:rsidRPr="00CB32B1">
        <w:t xml:space="preserve">Data for PPMs specifically are difficult to obtain. </w:t>
      </w:r>
      <w:r w:rsidR="00D76345">
        <w:t>This project</w:t>
      </w:r>
      <w:r w:rsidRPr="00CB32B1">
        <w:t xml:space="preserve"> found that insurance agencies were unable and/or unwilling to share any relevant information relating to past or current products. As a result of this, data have been difficult to access relating to past and current PII products to understand the actual claims impact of services (see Findings 2, 3). However its usefulness, given that PII cover for PPMs providing intrapartum care has not been available since 2001, is limited</w:t>
      </w:r>
      <w:r w:rsidR="001F2631">
        <w:t xml:space="preserve"> as intrapartum care is recognised to be the point of highest risk in the birthing pathway</w:t>
      </w:r>
      <w:r w:rsidRPr="00CB32B1">
        <w:t>. Therefore an understanding of the inherent risks around PPM practice was only able to be expressed qualitatively through consultations.</w:t>
      </w:r>
    </w:p>
    <w:p w:rsidR="002C5ECC" w:rsidRPr="00CB32B1" w:rsidRDefault="002C5ECC" w:rsidP="002C5ECC">
      <w:pPr>
        <w:pStyle w:val="PwCNormal"/>
      </w:pPr>
      <w:r w:rsidRPr="00CB32B1">
        <w:t>Even if data quality could be improved from its current state (see Finding 2), the risk profile of maternity services, whether provided as a PPM or as another health professional, will always have some inherent risk attached to their practice. To overcome the impact of this inherent risk on the premiums set</w:t>
      </w:r>
      <w:r w:rsidR="001F2631">
        <w:t xml:space="preserve"> as previously mentioned</w:t>
      </w:r>
      <w:r w:rsidRPr="00CB32B1">
        <w:t>, other health professionals in Australia providing maternity services have had government assistance. For example, obstetricians in Australia have Commonwealth Government supported care to reduce the risk premiums.</w:t>
      </w:r>
    </w:p>
    <w:p w:rsidR="002C5ECC" w:rsidRPr="00CB32B1" w:rsidRDefault="002C5ECC" w:rsidP="00484F50">
      <w:pPr>
        <w:pStyle w:val="PwCNormal"/>
        <w:keepNext/>
        <w:keepLines/>
      </w:pPr>
      <w:r w:rsidRPr="00CB32B1">
        <w:t>While not raised in consultations with insurance agencies or brokers in Australia, international consultations identified that risk frameworks relating to practice can assist in reducing the risk profile and help establish an insurance product, given the practice’s inherent risks as a maternity service care provider. These frameworks would support these aims by:</w:t>
      </w:r>
    </w:p>
    <w:p w:rsidR="002C5ECC" w:rsidRPr="00CB32B1" w:rsidRDefault="00831C6A" w:rsidP="00484F50">
      <w:pPr>
        <w:pStyle w:val="ListBullet"/>
        <w:keepNext/>
        <w:keepLines/>
      </w:pPr>
      <w:r>
        <w:t>d</w:t>
      </w:r>
      <w:r w:rsidR="002C5ECC" w:rsidRPr="00CB32B1">
        <w:t xml:space="preserve">etermining the range of practice environments </w:t>
      </w:r>
      <w:r>
        <w:t xml:space="preserve">for which </w:t>
      </w:r>
      <w:r w:rsidR="002C5ECC" w:rsidRPr="00CB32B1">
        <w:t>an i</w:t>
      </w:r>
      <w:r w:rsidR="00CD0CA9" w:rsidRPr="00CB32B1">
        <w:t>nsurance product provides cover</w:t>
      </w:r>
    </w:p>
    <w:p w:rsidR="002C5ECC" w:rsidRPr="00CB32B1" w:rsidRDefault="00831C6A" w:rsidP="00484F50">
      <w:pPr>
        <w:pStyle w:val="ListBullet"/>
        <w:keepNext/>
        <w:keepLines/>
      </w:pPr>
      <w:r>
        <w:t>s</w:t>
      </w:r>
      <w:r w:rsidR="002C5ECC" w:rsidRPr="00CB32B1">
        <w:t>etting uniform standards, including framewor</w:t>
      </w:r>
      <w:r w:rsidR="00CD0CA9" w:rsidRPr="00CB32B1">
        <w:t>ks relating to risk and quality</w:t>
      </w:r>
    </w:p>
    <w:p w:rsidR="002C5ECC" w:rsidRPr="00CB32B1" w:rsidRDefault="00831C6A" w:rsidP="00484F50">
      <w:pPr>
        <w:pStyle w:val="ListBullet"/>
        <w:keepNext/>
        <w:keepLines/>
      </w:pPr>
      <w:r>
        <w:t>a</w:t>
      </w:r>
      <w:r w:rsidR="002C5ECC" w:rsidRPr="00CB32B1">
        <w:t>dvocating for PPMs through the professional associations to develop and determine appropriate products for PPMs.</w:t>
      </w:r>
    </w:p>
    <w:p w:rsidR="002C5ECC" w:rsidRPr="00CB32B1" w:rsidRDefault="002C5ECC" w:rsidP="002C5ECC">
      <w:pPr>
        <w:pStyle w:val="PwCNormal"/>
      </w:pPr>
      <w:r w:rsidRPr="00CB32B1">
        <w:t xml:space="preserve">Tools which can be used to mitigate the risks include </w:t>
      </w:r>
      <w:r w:rsidR="00217C21">
        <w:t>credentialing</w:t>
      </w:r>
      <w:r w:rsidRPr="00CB32B1">
        <w:t>, education and competency, monitoring, a defined scope of practice</w:t>
      </w:r>
      <w:r w:rsidR="00831C6A">
        <w:t xml:space="preserve"> and access rights to hospitals</w:t>
      </w:r>
      <w:r w:rsidRPr="00CB32B1">
        <w:t xml:space="preserve"> </w:t>
      </w:r>
      <w:r w:rsidR="00831C6A">
        <w:t>(</w:t>
      </w:r>
      <w:r w:rsidR="00FF75B4">
        <w:t>through</w:t>
      </w:r>
      <w:r w:rsidRPr="00CB32B1">
        <w:t xml:space="preserve"> collaborative arrangements</w:t>
      </w:r>
      <w:r w:rsidR="00831C6A">
        <w:t>)</w:t>
      </w:r>
      <w:r w:rsidRPr="00CB32B1">
        <w:t xml:space="preserve"> (see Appendix E). </w:t>
      </w:r>
    </w:p>
    <w:p w:rsidR="002C5ECC" w:rsidRPr="00CB32B1" w:rsidRDefault="002C5ECC" w:rsidP="00484F50">
      <w:pPr>
        <w:pStyle w:val="Majorheading"/>
      </w:pPr>
      <w:r w:rsidRPr="00CB32B1">
        <w:t xml:space="preserve">Finding 6: High expected value of claims </w:t>
      </w:r>
    </w:p>
    <w:tbl>
      <w:tblPr>
        <w:tblStyle w:val="TableGrid"/>
        <w:tblW w:w="0" w:type="auto"/>
        <w:tblBorders>
          <w:top w:val="single" w:sz="4" w:space="0" w:color="DC6900" w:themeColor="text2"/>
          <w:left w:val="single" w:sz="4" w:space="0" w:color="DC6900" w:themeColor="text2"/>
          <w:bottom w:val="single" w:sz="4" w:space="0" w:color="DC6900" w:themeColor="text2"/>
          <w:right w:val="single" w:sz="4" w:space="0" w:color="DC6900" w:themeColor="text2"/>
          <w:insideH w:val="none" w:sz="0" w:space="0" w:color="auto"/>
          <w:insideV w:val="none" w:sz="0" w:space="0" w:color="auto"/>
        </w:tblBorders>
        <w:tblLook w:val="04A0"/>
      </w:tblPr>
      <w:tblGrid>
        <w:gridCol w:w="9285"/>
      </w:tblGrid>
      <w:tr w:rsidR="00484F50" w:rsidRPr="00CB32B1" w:rsidTr="00484F50">
        <w:tc>
          <w:tcPr>
            <w:tcW w:w="9288" w:type="dxa"/>
          </w:tcPr>
          <w:p w:rsidR="00484F50" w:rsidRPr="00CB32B1" w:rsidRDefault="00484F50" w:rsidP="00484F50">
            <w:pPr>
              <w:pStyle w:val="TableTextNormal"/>
              <w:rPr>
                <w:b/>
                <w:color w:val="DC6900" w:themeColor="text2"/>
              </w:rPr>
            </w:pPr>
            <w:r w:rsidRPr="00CB32B1">
              <w:rPr>
                <w:b/>
                <w:color w:val="DC6900" w:themeColor="text2"/>
              </w:rPr>
              <w:t>Claims can be relatively significant as they relate to human life and death or potential ongoing and long term disability.</w:t>
            </w:r>
          </w:p>
        </w:tc>
      </w:tr>
    </w:tbl>
    <w:p w:rsidR="002C5ECC" w:rsidRPr="00CB32B1" w:rsidRDefault="002C5ECC" w:rsidP="00484F50">
      <w:pPr>
        <w:pStyle w:val="PwCNormal"/>
        <w:spacing w:before="120"/>
      </w:pPr>
      <w:r w:rsidRPr="00CB32B1">
        <w:t xml:space="preserve">Building on the inherent probability that a claim may arise due to the nature of the practice provided by </w:t>
      </w:r>
      <w:r w:rsidR="00727D37">
        <w:t>PPMs</w:t>
      </w:r>
      <w:r w:rsidRPr="00CB32B1">
        <w:t xml:space="preserve">, a challenge is that this may result in a high quantum or size of a claim occurring. </w:t>
      </w:r>
    </w:p>
    <w:p w:rsidR="002C5ECC" w:rsidRPr="00CB32B1" w:rsidRDefault="002C5ECC" w:rsidP="002C5ECC">
      <w:pPr>
        <w:pStyle w:val="PwCNormal"/>
      </w:pPr>
      <w:r w:rsidRPr="00CB32B1">
        <w:t xml:space="preserve">When developing a premium, the relative risk of a health professional’s practice is taken into consideration by actuaries to assess the </w:t>
      </w:r>
      <w:r w:rsidR="00D17D7E">
        <w:t>probability of a claim arising</w:t>
      </w:r>
      <w:r w:rsidRPr="00CB32B1">
        <w:t>.</w:t>
      </w:r>
      <w:r w:rsidR="00D17D7E">
        <w:rPr>
          <w:rStyle w:val="FootnoteReference"/>
        </w:rPr>
        <w:footnoteReference w:id="126"/>
      </w:r>
      <w:r w:rsidRPr="00CB32B1">
        <w:t xml:space="preserve"> Even though limited high quality data exists publicly to assess this, from what data are available, and from the use of other data sources (</w:t>
      </w:r>
      <w:r w:rsidR="00854DEF" w:rsidRPr="00CB32B1">
        <w:t>eg</w:t>
      </w:r>
      <w:r w:rsidRPr="00CB32B1">
        <w:t xml:space="preserve"> other maternity services professionals, even though these other data sources have their limitations), if a claim were to occur, there is a high probability that it would be </w:t>
      </w:r>
      <w:r w:rsidR="00D17D7E">
        <w:t>relatively larger compared to other health professionals</w:t>
      </w:r>
      <w:r w:rsidRPr="00CB32B1">
        <w:t xml:space="preserve">. </w:t>
      </w:r>
    </w:p>
    <w:p w:rsidR="002C5ECC" w:rsidRPr="00CB32B1" w:rsidRDefault="002C5ECC" w:rsidP="002C5ECC">
      <w:pPr>
        <w:pStyle w:val="PwCNormal"/>
      </w:pPr>
      <w:r w:rsidRPr="00CB32B1">
        <w:t xml:space="preserve">The quantum of the claims is considered to be relatively </w:t>
      </w:r>
      <w:r w:rsidR="00D17D7E">
        <w:t>large</w:t>
      </w:r>
      <w:r w:rsidRPr="00CB32B1">
        <w:t xml:space="preserve"> because:</w:t>
      </w:r>
    </w:p>
    <w:p w:rsidR="002C5ECC" w:rsidRPr="00CB32B1" w:rsidRDefault="002C5ECC" w:rsidP="00484F50">
      <w:pPr>
        <w:pStyle w:val="ListBullet"/>
      </w:pPr>
      <w:r w:rsidRPr="00CB32B1">
        <w:rPr>
          <w:b/>
          <w:color w:val="DC6900" w:themeColor="text2"/>
        </w:rPr>
        <w:t xml:space="preserve">Large claims for life of a baby: </w:t>
      </w:r>
      <w:r w:rsidR="003271D1">
        <w:t>t</w:t>
      </w:r>
      <w:r w:rsidRPr="00CB32B1">
        <w:t>he baby may be impacted for the whole of its life by the</w:t>
      </w:r>
      <w:r w:rsidR="003271D1">
        <w:t xml:space="preserve"> </w:t>
      </w:r>
      <w:r w:rsidR="00CD0CA9" w:rsidRPr="00CB32B1">
        <w:t>incident</w:t>
      </w:r>
    </w:p>
    <w:p w:rsidR="002C5ECC" w:rsidRPr="00CB32B1" w:rsidRDefault="002C5ECC" w:rsidP="00484F50">
      <w:pPr>
        <w:pStyle w:val="ListBullet"/>
      </w:pPr>
      <w:r w:rsidRPr="00CB32B1">
        <w:rPr>
          <w:b/>
          <w:color w:val="DC6900" w:themeColor="text2"/>
        </w:rPr>
        <w:t xml:space="preserve">Long tail of claims: </w:t>
      </w:r>
      <w:r w:rsidR="003271D1">
        <w:t>t</w:t>
      </w:r>
      <w:r w:rsidRPr="00CB32B1">
        <w:t>his is the time between a claim being lodged to its determination. It has been identified that medical negligence cases can be historically long. For example, obstetric claims are long tail and the costs increase over the time of the claim occurring</w:t>
      </w:r>
      <w:r w:rsidR="00B0587D" w:rsidRPr="00CB32B1">
        <w:rPr>
          <w:rStyle w:val="FootnoteReference"/>
        </w:rPr>
        <w:footnoteReference w:id="127"/>
      </w:r>
    </w:p>
    <w:p w:rsidR="002C5ECC" w:rsidRPr="00CB32B1" w:rsidRDefault="002C5ECC" w:rsidP="00484F50">
      <w:pPr>
        <w:pStyle w:val="ListBullet"/>
      </w:pPr>
      <w:r w:rsidRPr="00CB32B1">
        <w:rPr>
          <w:b/>
          <w:color w:val="DC6900" w:themeColor="text2"/>
        </w:rPr>
        <w:t xml:space="preserve">Timing of claims raised: </w:t>
      </w:r>
      <w:r w:rsidR="003271D1">
        <w:t>a</w:t>
      </w:r>
      <w:r w:rsidRPr="00CB32B1">
        <w:t xml:space="preserve">s identified in the </w:t>
      </w:r>
      <w:r w:rsidRPr="00CB32B1">
        <w:rPr>
          <w:i/>
        </w:rPr>
        <w:t>Simpson v Diamond</w:t>
      </w:r>
      <w:r w:rsidRPr="00CB32B1">
        <w:t xml:space="preserve"> case, there can be a lag in maternity service claims being raised after an incident. This can provide uncertainty for insurers in terms of outstanding liabilities that they present. For the </w:t>
      </w:r>
      <w:r w:rsidRPr="00CB32B1">
        <w:rPr>
          <w:i/>
        </w:rPr>
        <w:t>Simpson v Diamond</w:t>
      </w:r>
      <w:r w:rsidRPr="00CB32B1">
        <w:t xml:space="preserve"> case, there was a 22-year lag between incident and claim. This is the result of the inherent nature of cases in which disability may</w:t>
      </w:r>
      <w:r w:rsidR="00CD0CA9" w:rsidRPr="00CB32B1">
        <w:t xml:space="preserve"> not have been identified</w:t>
      </w:r>
    </w:p>
    <w:p w:rsidR="002C5ECC" w:rsidRPr="00CB32B1" w:rsidRDefault="002C5ECC" w:rsidP="00484F50">
      <w:pPr>
        <w:pStyle w:val="ListBullet"/>
      </w:pPr>
      <w:r w:rsidRPr="00CB32B1">
        <w:rPr>
          <w:b/>
          <w:color w:val="DC6900" w:themeColor="text2"/>
        </w:rPr>
        <w:t>Legal and other associated costs:</w:t>
      </w:r>
      <w:r w:rsidRPr="00CB32B1">
        <w:t xml:space="preserve"> </w:t>
      </w:r>
      <w:r w:rsidR="003271D1">
        <w:t>w</w:t>
      </w:r>
      <w:r w:rsidRPr="00CB32B1">
        <w:t>here allegations go to court or tribunal, legal costs can be incurred to defend the health professional. Consultations with insurers and brokers have identified that in the past, separate insurance has been offered for legal costs as they can be</w:t>
      </w:r>
      <w:r w:rsidR="003271D1">
        <w:t xml:space="preserve"> </w:t>
      </w:r>
      <w:r w:rsidRPr="00CB32B1">
        <w:t>significant</w:t>
      </w:r>
      <w:r w:rsidR="00B0587D" w:rsidRPr="00CB32B1">
        <w:rPr>
          <w:rStyle w:val="FootnoteReference"/>
        </w:rPr>
        <w:footnoteReference w:id="128"/>
      </w:r>
    </w:p>
    <w:p w:rsidR="002C5ECC" w:rsidRPr="00CB32B1" w:rsidRDefault="002C5ECC" w:rsidP="00484F50">
      <w:pPr>
        <w:pStyle w:val="ListBullet"/>
      </w:pPr>
      <w:r w:rsidRPr="00CB32B1">
        <w:rPr>
          <w:b/>
          <w:color w:val="DC6900" w:themeColor="text2"/>
        </w:rPr>
        <w:t xml:space="preserve">Past claims, tribunal and court outcomes: </w:t>
      </w:r>
      <w:r w:rsidR="003271D1">
        <w:t>t</w:t>
      </w:r>
      <w:r w:rsidRPr="00CB32B1">
        <w:t xml:space="preserve">he precedence of past pay-outs can provide guidance to set appropriate premiums. While Australian claims information is not publicly accessible, as outlined in the </w:t>
      </w:r>
      <w:r w:rsidRPr="00D17D7E">
        <w:rPr>
          <w:i/>
        </w:rPr>
        <w:t>PwC Claims Report 2013</w:t>
      </w:r>
      <w:r w:rsidRPr="00CB32B1">
        <w:t>, data from other jurisdictions highlight that while there have not been many claims raised, those</w:t>
      </w:r>
      <w:r w:rsidR="00CD0CA9" w:rsidRPr="00CB32B1">
        <w:t xml:space="preserve"> that have been are substantial</w:t>
      </w:r>
    </w:p>
    <w:p w:rsidR="002C5ECC" w:rsidRPr="00CB32B1" w:rsidRDefault="002C5ECC" w:rsidP="00484F50">
      <w:pPr>
        <w:pStyle w:val="ListBullet"/>
      </w:pPr>
      <w:r w:rsidRPr="00CB32B1">
        <w:rPr>
          <w:b/>
          <w:color w:val="DC6900" w:themeColor="text2"/>
        </w:rPr>
        <w:t>Other schemes:</w:t>
      </w:r>
      <w:r w:rsidRPr="00CB32B1">
        <w:t xml:space="preserve"> </w:t>
      </w:r>
      <w:r w:rsidR="003271D1">
        <w:t>i</w:t>
      </w:r>
      <w:r w:rsidRPr="00CB32B1">
        <w:t xml:space="preserve">n Australia, insurers provide cover for both damages and ongoing care (including disability support), of which, the latter is believed to be a material amount (although the extent and number of large payments is unknown as a result of the lack of data available). This is unlike other </w:t>
      </w:r>
      <w:r w:rsidR="00D17D7E">
        <w:t>jurisdictions</w:t>
      </w:r>
      <w:r w:rsidRPr="00CB32B1">
        <w:t>, such as New Zealand which has no-fault compensation policies in place, or the Netherlands which has a social insurance scheme. Consultations with both New Zealand and Dutch insurers and brokers identified that these schemes have reduced the premium required based on the claims paid out only relating to damages</w:t>
      </w:r>
      <w:r w:rsidR="008D0B4E" w:rsidRPr="00CB32B1">
        <w:t>.</w:t>
      </w:r>
      <w:r w:rsidR="00997CFA" w:rsidRPr="00CB32B1">
        <w:rPr>
          <w:rStyle w:val="FootnoteReference"/>
        </w:rPr>
        <w:footnoteReference w:id="129"/>
      </w:r>
      <w:r w:rsidRPr="00CB32B1">
        <w:t xml:space="preserve"> </w:t>
      </w:r>
    </w:p>
    <w:p w:rsidR="002C5ECC" w:rsidRPr="00CB32B1" w:rsidRDefault="002C5ECC" w:rsidP="002C5ECC">
      <w:pPr>
        <w:pStyle w:val="PwCNormal"/>
      </w:pPr>
      <w:r w:rsidRPr="00CB32B1">
        <w:t xml:space="preserve">Currently, it appears that there is sufficient uncertainty relating to all of these factors to prevent a product being developed, due </w:t>
      </w:r>
      <w:r w:rsidR="00D17D7E">
        <w:t xml:space="preserve">in particular, </w:t>
      </w:r>
      <w:r w:rsidRPr="00CB32B1">
        <w:t>to the limited level of data available</w:t>
      </w:r>
      <w:r w:rsidR="00217C21">
        <w:t xml:space="preserve"> that is acceptable to the insurance industry</w:t>
      </w:r>
      <w:r w:rsidRPr="00CB32B1">
        <w:t xml:space="preserve">. While the level of impact or relevance that each of these factors has on developing a premium is unknown, it is known that even if data quality is available and a premium can be set, it will not change whether the potential claims incurred are high or low. </w:t>
      </w:r>
    </w:p>
    <w:p w:rsidR="002C5ECC" w:rsidRPr="00CB32B1" w:rsidRDefault="002C5ECC" w:rsidP="002C5ECC">
      <w:pPr>
        <w:pStyle w:val="PwCNormal"/>
      </w:pPr>
      <w:r w:rsidRPr="00CB32B1">
        <w:t xml:space="preserve">Medical indemnity claims are modelled on the premise that small claims are generally notified and paid out in the first years of development, and larger claims </w:t>
      </w:r>
      <w:r w:rsidR="003271D1">
        <w:t>(</w:t>
      </w:r>
      <w:r w:rsidR="00854DEF" w:rsidRPr="00CB32B1">
        <w:t>ie</w:t>
      </w:r>
      <w:r w:rsidRPr="00CB32B1">
        <w:t xml:space="preserve"> for</w:t>
      </w:r>
      <w:r w:rsidR="00217C21">
        <w:t xml:space="preserve"> conditions such as</w:t>
      </w:r>
      <w:r w:rsidRPr="00CB32B1">
        <w:t xml:space="preserve"> cerebral palsy</w:t>
      </w:r>
      <w:r w:rsidR="003271D1">
        <w:t>)</w:t>
      </w:r>
      <w:r w:rsidRPr="00CB32B1">
        <w:t xml:space="preserve"> are often notified or claimed later as the extent of disability (and required support) is determined. </w:t>
      </w:r>
      <w:r w:rsidR="009129A6" w:rsidRPr="00CB32B1">
        <w:fldChar w:fldCharType="begin"/>
      </w:r>
      <w:r w:rsidR="00EB2051" w:rsidRPr="00CB32B1">
        <w:instrText xml:space="preserve"> REF _Ref361223582 \h </w:instrText>
      </w:r>
      <w:r w:rsidR="009129A6" w:rsidRPr="00CB32B1">
        <w:fldChar w:fldCharType="separate"/>
      </w:r>
      <w:r w:rsidR="008816B4" w:rsidRPr="00CB32B1">
        <w:t xml:space="preserve">Figure </w:t>
      </w:r>
      <w:r w:rsidR="008816B4">
        <w:rPr>
          <w:noProof/>
        </w:rPr>
        <w:t>10</w:t>
      </w:r>
      <w:r w:rsidR="009129A6" w:rsidRPr="00CB32B1">
        <w:fldChar w:fldCharType="end"/>
      </w:r>
      <w:r w:rsidRPr="00CB32B1">
        <w:t xml:space="preserve"> shows the profile for the gross average size of a claim based on the year that the claim is notified</w:t>
      </w:r>
      <w:r w:rsidR="00D17D7E">
        <w:t xml:space="preserve"> in Australia</w:t>
      </w:r>
      <w:r w:rsidRPr="00CB32B1">
        <w:t>. It shows that as the notification time of a claim increases, the higher the gross average size of a claim is expected to be for medical indemnity cases.</w:t>
      </w:r>
      <w:r w:rsidR="00997CFA" w:rsidRPr="00CB32B1">
        <w:rPr>
          <w:rStyle w:val="FootnoteReference"/>
        </w:rPr>
        <w:footnoteReference w:id="130"/>
      </w:r>
      <w:r w:rsidR="00854DEF" w:rsidRPr="00CB32B1">
        <w:t xml:space="preserve"> </w:t>
      </w:r>
      <w:r w:rsidRPr="00CB32B1">
        <w:t xml:space="preserve">Therefore, these later claims as shown in the figure over a 20-year period can have a serious impact on the expected value of a claim. </w:t>
      </w:r>
    </w:p>
    <w:p w:rsidR="00573668" w:rsidRDefault="00573668" w:rsidP="009E135F">
      <w:pPr>
        <w:pStyle w:val="NumericCaption"/>
      </w:pPr>
      <w:bookmarkStart w:id="39" w:name="_Ref361223582"/>
      <w:r w:rsidRPr="00CB32B1">
        <w:t xml:space="preserve">Figure </w:t>
      </w:r>
      <w:r w:rsidR="009129A6" w:rsidRPr="00CB32B1">
        <w:fldChar w:fldCharType="begin"/>
      </w:r>
      <w:r w:rsidR="00D16456" w:rsidRPr="00CB32B1">
        <w:instrText xml:space="preserve"> SEQ Figure \* ARABIC </w:instrText>
      </w:r>
      <w:r w:rsidR="009129A6" w:rsidRPr="00CB32B1">
        <w:fldChar w:fldCharType="separate"/>
      </w:r>
      <w:r w:rsidR="008816B4">
        <w:rPr>
          <w:noProof/>
        </w:rPr>
        <w:t>10</w:t>
      </w:r>
      <w:r w:rsidR="009129A6" w:rsidRPr="00CB32B1">
        <w:fldChar w:fldCharType="end"/>
      </w:r>
      <w:bookmarkEnd w:id="39"/>
      <w:r w:rsidRPr="00CB32B1">
        <w:t>: Gross average size of a claim</w:t>
      </w:r>
    </w:p>
    <w:p w:rsidR="001E2724" w:rsidRDefault="001E2724" w:rsidP="001E2724">
      <w:pPr>
        <w:pStyle w:val="NumericCaption"/>
        <w:jc w:val="center"/>
      </w:pPr>
      <w:r w:rsidRPr="001E2724">
        <w:rPr>
          <w:noProof/>
          <w:lang w:val="en-US"/>
        </w:rPr>
        <w:drawing>
          <wp:inline distT="0" distB="0" distL="0" distR="0">
            <wp:extent cx="4261899" cy="2328266"/>
            <wp:effectExtent l="0" t="0" r="5715"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64707" cy="2329800"/>
                    </a:xfrm>
                    <a:prstGeom prst="rect">
                      <a:avLst/>
                    </a:prstGeom>
                    <a:noFill/>
                    <a:ln>
                      <a:noFill/>
                    </a:ln>
                  </pic:spPr>
                </pic:pic>
              </a:graphicData>
            </a:graphic>
          </wp:inline>
        </w:drawing>
      </w:r>
    </w:p>
    <w:p w:rsidR="002C5ECC" w:rsidRPr="00CB32B1" w:rsidRDefault="002C5ECC" w:rsidP="00573668">
      <w:pPr>
        <w:pStyle w:val="Sources"/>
      </w:pPr>
      <w:r w:rsidRPr="00CB32B1">
        <w:rPr>
          <w:b/>
        </w:rPr>
        <w:t>Source:</w:t>
      </w:r>
      <w:r w:rsidRPr="00CB32B1">
        <w:t xml:space="preserve"> Australian Government Actuary</w:t>
      </w:r>
      <w:r w:rsidR="00D17D7E">
        <w:t>,</w:t>
      </w:r>
      <w:r w:rsidR="00FB27F4" w:rsidRPr="00CB32B1">
        <w:t xml:space="preserve"> </w:t>
      </w:r>
      <w:r w:rsidRPr="00CB32B1">
        <w:t>2012.</w:t>
      </w:r>
    </w:p>
    <w:p w:rsidR="002C5ECC" w:rsidRPr="00CB32B1" w:rsidRDefault="002C5ECC" w:rsidP="002C5ECC">
      <w:pPr>
        <w:pStyle w:val="PwCNormal"/>
      </w:pPr>
      <w:r w:rsidRPr="00CB32B1">
        <w:t>However, the expected value of a claim is not just a factor of the size of the claim being high but also the probability of that claim being high. This is because the expected value of a claim will be a weighted average of the cost of claims made. Actuarial modelling is highly sensitive to the proportion of these late and high</w:t>
      </w:r>
      <w:r w:rsidR="00D17D7E">
        <w:t>-</w:t>
      </w:r>
      <w:r w:rsidRPr="00CB32B1">
        <w:t xml:space="preserve">claims being </w:t>
      </w:r>
      <w:r w:rsidR="005A6ACA">
        <w:t>rea</w:t>
      </w:r>
      <w:r w:rsidRPr="00CB32B1">
        <w:t>lised.</w:t>
      </w:r>
      <w:r w:rsidR="00332803" w:rsidRPr="00CB32B1">
        <w:rPr>
          <w:rStyle w:val="FootnoteReference"/>
        </w:rPr>
        <w:footnoteReference w:id="131"/>
      </w:r>
      <w:r w:rsidR="00854DEF" w:rsidRPr="00CB32B1">
        <w:t xml:space="preserve"> </w:t>
      </w:r>
      <w:r w:rsidRPr="00CB32B1">
        <w:t xml:space="preserve">To illustrate, </w:t>
      </w:r>
      <w:r w:rsidR="009129A6" w:rsidRPr="00CB32B1">
        <w:fldChar w:fldCharType="begin"/>
      </w:r>
      <w:r w:rsidR="00EB2051" w:rsidRPr="00CB32B1">
        <w:instrText xml:space="preserve"> REF _Ref361223591 \h </w:instrText>
      </w:r>
      <w:r w:rsidR="009129A6" w:rsidRPr="00CB32B1">
        <w:fldChar w:fldCharType="separate"/>
      </w:r>
      <w:r w:rsidR="008816B4" w:rsidRPr="00CB32B1">
        <w:t xml:space="preserve">Figure </w:t>
      </w:r>
      <w:r w:rsidR="008816B4">
        <w:rPr>
          <w:noProof/>
        </w:rPr>
        <w:t>11</w:t>
      </w:r>
      <w:r w:rsidR="009129A6" w:rsidRPr="00CB32B1">
        <w:fldChar w:fldCharType="end"/>
      </w:r>
      <w:r w:rsidRPr="00CB32B1">
        <w:t xml:space="preserve"> shows what may happen when a greater proportion of the high cost claims are made in the later years. From the base data</w:t>
      </w:r>
      <w:r w:rsidR="00332803" w:rsidRPr="00CB32B1">
        <w:rPr>
          <w:rStyle w:val="FootnoteReference"/>
        </w:rPr>
        <w:footnoteReference w:id="132"/>
      </w:r>
      <w:r w:rsidR="00854DEF" w:rsidRPr="00CB32B1">
        <w:t xml:space="preserve"> </w:t>
      </w:r>
      <w:r w:rsidRPr="00CB32B1">
        <w:t xml:space="preserve">it is shown that an insurer will have paid out 75 per cent of the total claims made by the fifth year. However, by spreading evenly 2.5 per cent of the claims made in the first ten years in the second ten years, the insurer will not have paid out the 75 per cent of total claims for an additional one to two years. Similarly, five per cent spread evenly over the second ten years will extend out the 75 per cent payment of claims even further. </w:t>
      </w:r>
    </w:p>
    <w:p w:rsidR="00573668" w:rsidRDefault="00573668" w:rsidP="00270634">
      <w:pPr>
        <w:pStyle w:val="NumericCaption"/>
      </w:pPr>
      <w:bookmarkStart w:id="40" w:name="_Ref361223591"/>
      <w:r w:rsidRPr="00CB32B1">
        <w:t xml:space="preserve">Figure </w:t>
      </w:r>
      <w:r w:rsidR="009129A6" w:rsidRPr="00CB32B1">
        <w:fldChar w:fldCharType="begin"/>
      </w:r>
      <w:r w:rsidR="00D16456" w:rsidRPr="00CB32B1">
        <w:instrText xml:space="preserve"> SEQ Figure \* ARABIC </w:instrText>
      </w:r>
      <w:r w:rsidR="009129A6" w:rsidRPr="00CB32B1">
        <w:fldChar w:fldCharType="separate"/>
      </w:r>
      <w:r w:rsidR="008816B4">
        <w:rPr>
          <w:noProof/>
        </w:rPr>
        <w:t>11</w:t>
      </w:r>
      <w:r w:rsidR="009129A6" w:rsidRPr="00CB32B1">
        <w:fldChar w:fldCharType="end"/>
      </w:r>
      <w:bookmarkEnd w:id="40"/>
      <w:r w:rsidRPr="00CB32B1">
        <w:t>:</w:t>
      </w:r>
      <w:r w:rsidR="00854DEF" w:rsidRPr="00CB32B1">
        <w:t xml:space="preserve"> </w:t>
      </w:r>
      <w:r w:rsidRPr="00CB32B1">
        <w:t>Cumulative share of total claims for different probabilities of high claims</w:t>
      </w:r>
    </w:p>
    <w:p w:rsidR="001E2724" w:rsidRDefault="001E2724" w:rsidP="007B421B">
      <w:pPr>
        <w:pStyle w:val="NumericCaption"/>
        <w:jc w:val="center"/>
      </w:pPr>
      <w:r w:rsidRPr="001E2724">
        <w:rPr>
          <w:noProof/>
          <w:lang w:val="en-US"/>
        </w:rPr>
        <w:drawing>
          <wp:inline distT="0" distB="0" distL="0" distR="0">
            <wp:extent cx="4271311" cy="2332096"/>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74260" cy="2333706"/>
                    </a:xfrm>
                    <a:prstGeom prst="rect">
                      <a:avLst/>
                    </a:prstGeom>
                    <a:noFill/>
                    <a:ln>
                      <a:noFill/>
                    </a:ln>
                  </pic:spPr>
                </pic:pic>
              </a:graphicData>
            </a:graphic>
          </wp:inline>
        </w:drawing>
      </w:r>
    </w:p>
    <w:p w:rsidR="002C5ECC" w:rsidRPr="00CB32B1" w:rsidRDefault="002C5ECC" w:rsidP="00573668">
      <w:pPr>
        <w:pStyle w:val="Sources"/>
      </w:pPr>
      <w:r w:rsidRPr="00CB32B1">
        <w:rPr>
          <w:b/>
        </w:rPr>
        <w:t>Source:</w:t>
      </w:r>
      <w:r w:rsidRPr="00CB32B1">
        <w:t xml:space="preserve"> Australian Government Actuary</w:t>
      </w:r>
      <w:r w:rsidR="00D17D7E">
        <w:t>,</w:t>
      </w:r>
      <w:r w:rsidR="00FB27F4" w:rsidRPr="00CB32B1">
        <w:t xml:space="preserve"> </w:t>
      </w:r>
      <w:r w:rsidRPr="00CB32B1">
        <w:t>2012.</w:t>
      </w:r>
    </w:p>
    <w:p w:rsidR="002C5ECC" w:rsidRPr="00CB32B1" w:rsidRDefault="002C5ECC" w:rsidP="002C5ECC">
      <w:pPr>
        <w:pStyle w:val="PwCNormal"/>
      </w:pPr>
      <w:r w:rsidRPr="00CB32B1">
        <w:t xml:space="preserve">Importantly, the high expected value of the claim will drive down profits for the insurer, as more of the premium pool will have to be paid out to claimants. However, the delay in the claim arising means that the probability of high claims later on will influence when an insurer can reward itself for profit. Insurers are unlikely to want to reward profits until the insurer has the comfort of knowing that a significant proportion of the claims have been paid. </w:t>
      </w:r>
    </w:p>
    <w:p w:rsidR="005C74B7" w:rsidRDefault="002C5ECC" w:rsidP="002704E9">
      <w:pPr>
        <w:pStyle w:val="PwCNormal"/>
        <w:numPr>
          <w:ilvl w:val="0"/>
          <w:numId w:val="0"/>
        </w:numPr>
      </w:pPr>
      <w:r w:rsidRPr="00CB32B1">
        <w:t>As a result,</w:t>
      </w:r>
      <w:r w:rsidR="00BE2C2A" w:rsidRPr="00CB32B1">
        <w:t xml:space="preserve"> a number of</w:t>
      </w:r>
      <w:r w:rsidRPr="00CB32B1">
        <w:t xml:space="preserve"> stakeholders believe that only changes to the support provided to PPMs and/or the infrastructure and environment in which they provide services (</w:t>
      </w:r>
      <w:r w:rsidR="00854DEF" w:rsidRPr="00CB32B1">
        <w:t>eg</w:t>
      </w:r>
      <w:r w:rsidRPr="00CB32B1">
        <w:t xml:space="preserve"> government regulation, insurance market or legal system), can influence the size of claims in the future.</w:t>
      </w:r>
    </w:p>
    <w:p w:rsidR="004D73D2" w:rsidRDefault="005C74B7" w:rsidP="005C74B7">
      <w:pPr>
        <w:kinsoku/>
        <w:overflowPunct/>
        <w:autoSpaceDE/>
        <w:autoSpaceDN/>
        <w:adjustRightInd/>
        <w:snapToGrid/>
      </w:pPr>
      <w:r>
        <w:br w:type="page"/>
      </w:r>
    </w:p>
    <w:p w:rsidR="005C74B7" w:rsidRPr="00CB32B1" w:rsidRDefault="005C74B7" w:rsidP="005C74B7">
      <w:pPr>
        <w:pStyle w:val="FirstPagePanelFrame"/>
        <w:framePr w:wrap="notBeside"/>
        <w:rPr>
          <w:lang w:val="en-AU"/>
        </w:rPr>
      </w:pPr>
    </w:p>
    <w:p w:rsidR="002C5ECC" w:rsidRPr="00CB32B1" w:rsidRDefault="002C5ECC" w:rsidP="004D73D2">
      <w:pPr>
        <w:pStyle w:val="Heading2"/>
      </w:pPr>
      <w:bookmarkStart w:id="41" w:name="_Toc362975054"/>
      <w:r w:rsidRPr="00CB32B1">
        <w:t>International insights</w:t>
      </w:r>
      <w:bookmarkEnd w:id="41"/>
    </w:p>
    <w:p w:rsidR="002C5ECC" w:rsidRPr="00CB32B1" w:rsidRDefault="002C5ECC" w:rsidP="00573668">
      <w:pPr>
        <w:pStyle w:val="Heading6"/>
      </w:pPr>
      <w:bookmarkStart w:id="42" w:name="_Toc362975055"/>
      <w:r w:rsidRPr="00CB32B1">
        <w:t>Introduction</w:t>
      </w:r>
      <w:bookmarkEnd w:id="42"/>
    </w:p>
    <w:p w:rsidR="002C5ECC" w:rsidRPr="00CB32B1" w:rsidRDefault="002C5ECC" w:rsidP="002C5ECC">
      <w:pPr>
        <w:pStyle w:val="PwCNormal"/>
      </w:pPr>
      <w:r w:rsidRPr="00CB32B1">
        <w:t xml:space="preserve">As part of the scope of this report, a review of the claims raised against </w:t>
      </w:r>
      <w:r w:rsidR="00727D37">
        <w:t>PPMs</w:t>
      </w:r>
      <w:r w:rsidRPr="00CB32B1">
        <w:t xml:space="preserve"> or independent midwives in four</w:t>
      </w:r>
      <w:r w:rsidR="00E2778D">
        <w:t xml:space="preserve"> international</w:t>
      </w:r>
      <w:r w:rsidRPr="00CB32B1">
        <w:t xml:space="preserve"> jurisdictions was conducted. The jurisdictions selected</w:t>
      </w:r>
      <w:r w:rsidR="00E2778D">
        <w:t xml:space="preserve"> by the NMBA</w:t>
      </w:r>
      <w:r w:rsidRPr="00CB32B1">
        <w:t xml:space="preserve"> were:</w:t>
      </w:r>
    </w:p>
    <w:p w:rsidR="002C5ECC" w:rsidRPr="00CB32B1" w:rsidRDefault="002C5ECC" w:rsidP="00573668">
      <w:pPr>
        <w:pStyle w:val="ListBullet"/>
      </w:pPr>
      <w:r w:rsidRPr="00CB32B1">
        <w:t>England, United Kingdom</w:t>
      </w:r>
    </w:p>
    <w:p w:rsidR="002C5ECC" w:rsidRPr="00CB32B1" w:rsidRDefault="002C5ECC" w:rsidP="00573668">
      <w:pPr>
        <w:pStyle w:val="ListBullet"/>
      </w:pPr>
      <w:r w:rsidRPr="00CB32B1">
        <w:t>New Zealand</w:t>
      </w:r>
    </w:p>
    <w:p w:rsidR="002C5ECC" w:rsidRPr="00CB32B1" w:rsidRDefault="002C5ECC" w:rsidP="00573668">
      <w:pPr>
        <w:pStyle w:val="ListBullet"/>
      </w:pPr>
      <w:r w:rsidRPr="00CB32B1">
        <w:t>the province of Ontario, Canada</w:t>
      </w:r>
    </w:p>
    <w:p w:rsidR="002C5ECC" w:rsidRPr="00CB32B1" w:rsidRDefault="002C5ECC" w:rsidP="00573668">
      <w:pPr>
        <w:pStyle w:val="ListBullet"/>
      </w:pPr>
      <w:r w:rsidRPr="00CB32B1">
        <w:t>the Netherlands.</w:t>
      </w:r>
    </w:p>
    <w:p w:rsidR="002C5ECC" w:rsidRPr="00CB32B1" w:rsidRDefault="002C5ECC" w:rsidP="002C5ECC">
      <w:pPr>
        <w:pStyle w:val="PwCNormal"/>
      </w:pPr>
      <w:r w:rsidRPr="00CB32B1">
        <w:t>As stated in Chapter 3 from research completed and consultations conducted, claims, including the number, frequency and quantum, were in part the result of how PPMs practise and the environment in which they provide maternity services. Therefore, direct comparisons have not been made between jurisdictions.</w:t>
      </w:r>
      <w:r w:rsidR="00E2778D">
        <w:t xml:space="preserve"> </w:t>
      </w:r>
      <w:r w:rsidRPr="00CB32B1">
        <w:t>The international models for providing PII for PPMs provide insights into the:</w:t>
      </w:r>
    </w:p>
    <w:p w:rsidR="002C5ECC" w:rsidRPr="00CB32B1" w:rsidRDefault="0012784B" w:rsidP="00573668">
      <w:pPr>
        <w:pStyle w:val="ListBullet"/>
      </w:pPr>
      <w:r>
        <w:t>pr</w:t>
      </w:r>
      <w:r w:rsidR="002C5ECC" w:rsidRPr="00CB32B1">
        <w:t>ofessional indemnity offerings and the various factors that supported a product being</w:t>
      </w:r>
      <w:r>
        <w:t xml:space="preserve"> </w:t>
      </w:r>
      <w:r w:rsidR="002C5ECC" w:rsidRPr="00CB32B1">
        <w:t>developed</w:t>
      </w:r>
    </w:p>
    <w:p w:rsidR="002C5ECC" w:rsidRPr="00CB32B1" w:rsidRDefault="0012784B" w:rsidP="00573668">
      <w:pPr>
        <w:pStyle w:val="ListBullet"/>
      </w:pPr>
      <w:r>
        <w:t>a</w:t>
      </w:r>
      <w:r w:rsidR="002C5ECC" w:rsidRPr="00CB32B1">
        <w:t>ssociated claims raised, and, where possible the size, frequency and quantum of claims</w:t>
      </w:r>
    </w:p>
    <w:p w:rsidR="002C5ECC" w:rsidRPr="00CB32B1" w:rsidRDefault="0012784B" w:rsidP="00573668">
      <w:pPr>
        <w:pStyle w:val="ListBullet"/>
      </w:pPr>
      <w:r>
        <w:t>f</w:t>
      </w:r>
      <w:r w:rsidR="00E2778D">
        <w:t>eatures of each jurisdiction’s</w:t>
      </w:r>
      <w:r w:rsidR="002C5ECC" w:rsidRPr="00CB32B1">
        <w:t xml:space="preserve"> health or insurance policies that may be transferable for resolving the issue of intrapartum care PII for PPMs providing care within the home, in Australia. </w:t>
      </w:r>
    </w:p>
    <w:p w:rsidR="002C5ECC" w:rsidRPr="00CB32B1" w:rsidRDefault="002C5ECC" w:rsidP="002C5ECC">
      <w:pPr>
        <w:pStyle w:val="PwCNormal"/>
      </w:pPr>
      <w:r w:rsidRPr="00CB32B1">
        <w:t>The enablers of each model must be considered in the context of the environment in which midwives practice and not independently or exclusively. However, as they have been identified as supporting the insurance model in the jurisdiction, consideration should be made as to their applicability to the Australian PPM practice.</w:t>
      </w:r>
    </w:p>
    <w:p w:rsidR="002C5ECC" w:rsidRPr="00CB32B1" w:rsidRDefault="002C5ECC" w:rsidP="00573668">
      <w:pPr>
        <w:pStyle w:val="Majorheading"/>
      </w:pPr>
      <w:r w:rsidRPr="00CB32B1">
        <w:t xml:space="preserve">International PII models </w:t>
      </w:r>
    </w:p>
    <w:p w:rsidR="002C5ECC" w:rsidRPr="00CB32B1" w:rsidRDefault="002C5ECC" w:rsidP="002C5ECC">
      <w:pPr>
        <w:pStyle w:val="PwCNormal"/>
      </w:pPr>
      <w:r w:rsidRPr="00CB32B1">
        <w:t xml:space="preserve">The different models for </w:t>
      </w:r>
      <w:r w:rsidR="00E2778D">
        <w:t>professional indemnity insurance</w:t>
      </w:r>
      <w:r w:rsidRPr="00CB32B1">
        <w:t xml:space="preserve"> are enabled through factors which relate to the practice of PPM and the environment in which they operate. These factors include: </w:t>
      </w:r>
    </w:p>
    <w:p w:rsidR="002C5ECC" w:rsidRPr="00CB32B1" w:rsidRDefault="002C5ECC" w:rsidP="00573668">
      <w:pPr>
        <w:pStyle w:val="ListBullet"/>
      </w:pPr>
      <w:r w:rsidRPr="00CB32B1">
        <w:rPr>
          <w:b/>
          <w:color w:val="DC6900" w:themeColor="text2"/>
        </w:rPr>
        <w:t>Different aspects of the PPM practice:</w:t>
      </w:r>
      <w:r w:rsidRPr="00CB32B1">
        <w:t xml:space="preserve"> </w:t>
      </w:r>
      <w:r w:rsidR="0012784B">
        <w:t>i</w:t>
      </w:r>
      <w:r w:rsidRPr="00CB32B1">
        <w:t>ncluding the operating models, scope of practice, frameworks and pro</w:t>
      </w:r>
      <w:r w:rsidR="00E2778D">
        <w:t>fessional associations involved</w:t>
      </w:r>
    </w:p>
    <w:p w:rsidR="002C5ECC" w:rsidRPr="00CB32B1" w:rsidRDefault="002C5ECC" w:rsidP="00573668">
      <w:pPr>
        <w:pStyle w:val="ListBullet"/>
      </w:pPr>
      <w:r w:rsidRPr="00CB32B1">
        <w:rPr>
          <w:b/>
          <w:color w:val="DC6900" w:themeColor="text2"/>
        </w:rPr>
        <w:t>The health system:</w:t>
      </w:r>
      <w:r w:rsidRPr="00CB32B1">
        <w:t xml:space="preserve"> </w:t>
      </w:r>
      <w:r w:rsidR="0012784B">
        <w:t>i</w:t>
      </w:r>
      <w:r w:rsidRPr="00CB32B1">
        <w:t xml:space="preserve">ncluding the relationships between PPMs and the broader health system </w:t>
      </w:r>
      <w:r w:rsidR="00CD0CA9" w:rsidRPr="00CB32B1">
        <w:t>(including access arrangements)</w:t>
      </w:r>
    </w:p>
    <w:p w:rsidR="002C5ECC" w:rsidRPr="00CB32B1" w:rsidRDefault="002C5ECC" w:rsidP="00573668">
      <w:pPr>
        <w:pStyle w:val="ListBullet"/>
      </w:pPr>
      <w:r w:rsidRPr="00CB32B1">
        <w:rPr>
          <w:b/>
          <w:color w:val="DC6900" w:themeColor="text2"/>
        </w:rPr>
        <w:t>Regulation of PPMs:</w:t>
      </w:r>
      <w:r w:rsidRPr="00CB32B1">
        <w:t xml:space="preserve"> </w:t>
      </w:r>
      <w:r w:rsidR="0012784B">
        <w:t>i</w:t>
      </w:r>
      <w:r w:rsidRPr="00CB32B1">
        <w:t>ncluding registration, professional status of PPMs and perform</w:t>
      </w:r>
      <w:r w:rsidR="00CD0CA9" w:rsidRPr="00CB32B1">
        <w:t>ance or disciplinary frameworks</w:t>
      </w:r>
    </w:p>
    <w:p w:rsidR="002C5ECC" w:rsidRPr="00CB32B1" w:rsidRDefault="002C5ECC" w:rsidP="00573668">
      <w:pPr>
        <w:pStyle w:val="ListBullet"/>
      </w:pPr>
      <w:r w:rsidRPr="00CB32B1">
        <w:rPr>
          <w:b/>
          <w:color w:val="DC6900" w:themeColor="text2"/>
        </w:rPr>
        <w:t xml:space="preserve">Insurance system: </w:t>
      </w:r>
      <w:r w:rsidR="0012784B">
        <w:t>s</w:t>
      </w:r>
      <w:r w:rsidRPr="00CB32B1">
        <w:t>pecifically including the number of, and type of insurance model (</w:t>
      </w:r>
      <w:r w:rsidR="00854DEF" w:rsidRPr="00CB32B1">
        <w:t>eg</w:t>
      </w:r>
      <w:r w:rsidRPr="00CB32B1">
        <w:t xml:space="preserve"> commercial, NFP) and</w:t>
      </w:r>
      <w:r w:rsidR="00CD0CA9" w:rsidRPr="00CB32B1">
        <w:t xml:space="preserve"> other social insurance schemes</w:t>
      </w:r>
    </w:p>
    <w:p w:rsidR="002C5ECC" w:rsidRPr="00CB32B1" w:rsidRDefault="002C5ECC" w:rsidP="00573668">
      <w:pPr>
        <w:pStyle w:val="ListBullet"/>
      </w:pPr>
      <w:r w:rsidRPr="00CB32B1">
        <w:rPr>
          <w:b/>
          <w:color w:val="DC6900" w:themeColor="text2"/>
        </w:rPr>
        <w:t>Legal system:</w:t>
      </w:r>
      <w:r w:rsidRPr="00CB32B1">
        <w:t xml:space="preserve"> </w:t>
      </w:r>
      <w:r w:rsidR="0012784B">
        <w:t>i</w:t>
      </w:r>
      <w:r w:rsidRPr="00CB32B1">
        <w:t xml:space="preserve">ncluding the claims process and precedent for </w:t>
      </w:r>
      <w:r w:rsidR="00CD0CA9" w:rsidRPr="00CB32B1">
        <w:t>quantum of claims</w:t>
      </w:r>
    </w:p>
    <w:p w:rsidR="002C5ECC" w:rsidRPr="00CB32B1" w:rsidRDefault="002C5ECC" w:rsidP="00573668">
      <w:pPr>
        <w:pStyle w:val="ListBullet"/>
      </w:pPr>
      <w:r w:rsidRPr="00CB32B1">
        <w:rPr>
          <w:b/>
          <w:color w:val="DC6900" w:themeColor="text2"/>
        </w:rPr>
        <w:t xml:space="preserve">Culture: </w:t>
      </w:r>
      <w:r w:rsidR="0012784B">
        <w:t>i</w:t>
      </w:r>
      <w:r w:rsidRPr="00CB32B1">
        <w:t>ncluding people’s preference of birth location and litigious attitudes.</w:t>
      </w:r>
    </w:p>
    <w:p w:rsidR="002C5ECC" w:rsidRPr="00CB32B1" w:rsidRDefault="002C5ECC" w:rsidP="002C5ECC">
      <w:pPr>
        <w:pStyle w:val="PwCNormal"/>
      </w:pPr>
      <w:r w:rsidRPr="00CB32B1">
        <w:t xml:space="preserve">The analysis of these </w:t>
      </w:r>
      <w:r w:rsidR="006959C5">
        <w:t>jurisdiction</w:t>
      </w:r>
      <w:r w:rsidR="006959C5" w:rsidRPr="00CB32B1">
        <w:t>s</w:t>
      </w:r>
      <w:r w:rsidRPr="00CB32B1">
        <w:t xml:space="preserve"> generally observed that the combination of several of these broader macro-environmental factors within each jurisdiction facilitated PII for the full care service provision for</w:t>
      </w:r>
      <w:r w:rsidR="00CD0CA9" w:rsidRPr="00CB32B1">
        <w:t xml:space="preserve"> PPMs (or independent midwives). </w:t>
      </w:r>
      <w:r w:rsidRPr="00CB32B1">
        <w:t xml:space="preserve">The key findings for each jurisdiction are outlined in </w:t>
      </w:r>
      <w:r w:rsidR="009129A6" w:rsidRPr="00CB32B1">
        <w:fldChar w:fldCharType="begin"/>
      </w:r>
      <w:r w:rsidR="00A33BD9" w:rsidRPr="00CB32B1">
        <w:instrText xml:space="preserve"> REF _Ref361223810 \h </w:instrText>
      </w:r>
      <w:r w:rsidR="009129A6" w:rsidRPr="00CB32B1">
        <w:fldChar w:fldCharType="separate"/>
      </w:r>
      <w:r w:rsidR="008816B4" w:rsidRPr="00CB32B1">
        <w:t xml:space="preserve">Table </w:t>
      </w:r>
      <w:r w:rsidR="008816B4">
        <w:rPr>
          <w:noProof/>
        </w:rPr>
        <w:t>12</w:t>
      </w:r>
      <w:r w:rsidR="009129A6" w:rsidRPr="00CB32B1">
        <w:fldChar w:fldCharType="end"/>
      </w:r>
      <w:r w:rsidRPr="00CB32B1">
        <w:t xml:space="preserve">. </w:t>
      </w:r>
    </w:p>
    <w:p w:rsidR="00573668" w:rsidRPr="00CB32B1" w:rsidRDefault="00573668" w:rsidP="00573668">
      <w:pPr>
        <w:pStyle w:val="Caption"/>
      </w:pPr>
      <w:bookmarkStart w:id="43" w:name="_Ref361223810"/>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12</w:t>
      </w:r>
      <w:r w:rsidR="009129A6" w:rsidRPr="00CB32B1">
        <w:fldChar w:fldCharType="end"/>
      </w:r>
      <w:bookmarkEnd w:id="43"/>
      <w:r w:rsidRPr="00CB32B1">
        <w:t>: Insurance products</w:t>
      </w:r>
    </w:p>
    <w:tbl>
      <w:tblPr>
        <w:tblStyle w:val="PwCTableStyle1"/>
        <w:tblW w:w="5000" w:type="pct"/>
        <w:tblLook w:val="04A0"/>
      </w:tblPr>
      <w:tblGrid>
        <w:gridCol w:w="1473"/>
        <w:gridCol w:w="1817"/>
        <w:gridCol w:w="1460"/>
        <w:gridCol w:w="2075"/>
        <w:gridCol w:w="2460"/>
      </w:tblGrid>
      <w:tr w:rsidR="00573668" w:rsidRPr="00CB32B1" w:rsidTr="009D37C7">
        <w:trPr>
          <w:cnfStyle w:val="100000000000"/>
        </w:trPr>
        <w:tc>
          <w:tcPr>
            <w:cnfStyle w:val="001000000000"/>
            <w:tcW w:w="704" w:type="pct"/>
            <w:shd w:val="clear" w:color="auto" w:fill="DC6900" w:themeFill="text2"/>
            <w:vAlign w:val="center"/>
          </w:tcPr>
          <w:p w:rsidR="00573668" w:rsidRPr="00CB32B1" w:rsidRDefault="00496AD4" w:rsidP="009D37C7">
            <w:pPr>
              <w:pStyle w:val="TableColumnHeadingNormal"/>
            </w:pPr>
            <w:r>
              <w:t>Jurisdiction</w:t>
            </w:r>
          </w:p>
        </w:tc>
        <w:tc>
          <w:tcPr>
            <w:tcW w:w="978" w:type="pct"/>
            <w:shd w:val="clear" w:color="auto" w:fill="DC6900" w:themeFill="text2"/>
            <w:vAlign w:val="center"/>
          </w:tcPr>
          <w:p w:rsidR="00573668" w:rsidRPr="00CB32B1" w:rsidRDefault="00573668" w:rsidP="009D37C7">
            <w:pPr>
              <w:pStyle w:val="TableColumnHeadingNormal"/>
              <w:cnfStyle w:val="100000000000"/>
            </w:pPr>
            <w:r w:rsidRPr="00CB32B1">
              <w:t>Insurance mandatory for registration</w:t>
            </w:r>
          </w:p>
        </w:tc>
        <w:tc>
          <w:tcPr>
            <w:tcW w:w="816" w:type="pct"/>
            <w:shd w:val="clear" w:color="auto" w:fill="DC6900" w:themeFill="text2"/>
            <w:vAlign w:val="center"/>
          </w:tcPr>
          <w:p w:rsidR="00573668" w:rsidRPr="00CB32B1" w:rsidRDefault="00573668" w:rsidP="009D37C7">
            <w:pPr>
              <w:pStyle w:val="TableColumnHeadingNormal"/>
              <w:cnfStyle w:val="100000000000"/>
            </w:pPr>
            <w:r w:rsidRPr="00CB32B1">
              <w:t>Insurance product offered</w:t>
            </w:r>
          </w:p>
        </w:tc>
        <w:tc>
          <w:tcPr>
            <w:tcW w:w="1147" w:type="pct"/>
            <w:shd w:val="clear" w:color="auto" w:fill="DC6900" w:themeFill="text2"/>
            <w:vAlign w:val="center"/>
          </w:tcPr>
          <w:p w:rsidR="00573668" w:rsidRPr="00CB32B1" w:rsidRDefault="00573668" w:rsidP="009D37C7">
            <w:pPr>
              <w:pStyle w:val="TableColumnHeadingNormal"/>
              <w:cnfStyle w:val="100000000000"/>
            </w:pPr>
            <w:r w:rsidRPr="00CB32B1">
              <w:t>Enablers – practising environment</w:t>
            </w:r>
          </w:p>
        </w:tc>
        <w:tc>
          <w:tcPr>
            <w:tcW w:w="1354" w:type="pct"/>
            <w:shd w:val="clear" w:color="auto" w:fill="DC6900" w:themeFill="text2"/>
            <w:vAlign w:val="center"/>
          </w:tcPr>
          <w:p w:rsidR="00573668" w:rsidRPr="00CB32B1" w:rsidRDefault="00573668" w:rsidP="009D37C7">
            <w:pPr>
              <w:pStyle w:val="TableColumnHeadingNormal"/>
              <w:cnfStyle w:val="100000000000"/>
            </w:pPr>
            <w:r w:rsidRPr="00CB32B1">
              <w:t>Enablers –</w:t>
            </w:r>
          </w:p>
          <w:p w:rsidR="00573668" w:rsidRPr="00CB32B1" w:rsidRDefault="00573668" w:rsidP="009D37C7">
            <w:pPr>
              <w:pStyle w:val="TableColumnHeadingNormal"/>
              <w:cnfStyle w:val="100000000000"/>
            </w:pPr>
            <w:r w:rsidRPr="00CB32B1">
              <w:t>insurance incidents and claims</w:t>
            </w:r>
          </w:p>
        </w:tc>
      </w:tr>
      <w:tr w:rsidR="00573668" w:rsidRPr="00CB32B1" w:rsidTr="00CD0CA9">
        <w:tc>
          <w:tcPr>
            <w:cnfStyle w:val="001000000000"/>
            <w:tcW w:w="704" w:type="pct"/>
          </w:tcPr>
          <w:p w:rsidR="00573668" w:rsidRPr="00CB32B1" w:rsidRDefault="00573668" w:rsidP="00573668">
            <w:pPr>
              <w:pStyle w:val="TableTextNormal"/>
            </w:pPr>
            <w:r w:rsidRPr="00CB32B1">
              <w:t>England</w:t>
            </w:r>
          </w:p>
        </w:tc>
        <w:tc>
          <w:tcPr>
            <w:tcW w:w="978" w:type="pct"/>
          </w:tcPr>
          <w:p w:rsidR="00573668" w:rsidRPr="00CB32B1" w:rsidRDefault="00573668" w:rsidP="00E2778D">
            <w:pPr>
              <w:pStyle w:val="TableTextNormal"/>
              <w:cnfStyle w:val="000000000000"/>
            </w:pPr>
            <w:r w:rsidRPr="00CB32B1">
              <w:t xml:space="preserve">Not currently but changing under </w:t>
            </w:r>
            <w:r w:rsidRPr="00E2778D">
              <w:rPr>
                <w:i/>
              </w:rPr>
              <w:t xml:space="preserve">EU </w:t>
            </w:r>
            <w:r w:rsidR="00E2778D">
              <w:rPr>
                <w:i/>
              </w:rPr>
              <w:t>D</w:t>
            </w:r>
            <w:r w:rsidRPr="00E2778D">
              <w:rPr>
                <w:i/>
              </w:rPr>
              <w:t>irective</w:t>
            </w:r>
            <w:r w:rsidRPr="00CB32B1">
              <w:t xml:space="preserve"> (2014) and Finlay Scott recommendations</w:t>
            </w:r>
          </w:p>
        </w:tc>
        <w:tc>
          <w:tcPr>
            <w:tcW w:w="816" w:type="pct"/>
          </w:tcPr>
          <w:p w:rsidR="00573668" w:rsidRPr="00CB32B1" w:rsidRDefault="00573668" w:rsidP="00573668">
            <w:pPr>
              <w:pStyle w:val="TableTextNormal"/>
              <w:cnfStyle w:val="000000000000"/>
            </w:pPr>
            <w:r w:rsidRPr="00CB32B1">
              <w:t>Yes, a commercial insurance is available if an independent midwife is practising through a legal entity</w:t>
            </w:r>
          </w:p>
        </w:tc>
        <w:tc>
          <w:tcPr>
            <w:tcW w:w="1147" w:type="pct"/>
          </w:tcPr>
          <w:p w:rsidR="00573668" w:rsidRPr="00CB32B1" w:rsidRDefault="00573668" w:rsidP="00573668">
            <w:pPr>
              <w:pStyle w:val="TableTextNormal"/>
              <w:cnfStyle w:val="000000000000"/>
            </w:pPr>
            <w:r w:rsidRPr="00CB32B1">
              <w:t>Insurance available if there is a sufficient scale of practice and there is evidence of strong risk and quality frameworks in the legal entity.</w:t>
            </w:r>
          </w:p>
          <w:p w:rsidR="00573668" w:rsidRPr="00CB32B1" w:rsidRDefault="00573668" w:rsidP="00573668">
            <w:pPr>
              <w:pStyle w:val="TableTextNormal"/>
              <w:cnfStyle w:val="000000000000"/>
            </w:pPr>
            <w:r w:rsidRPr="00CB32B1">
              <w:t>Group practice is enabling private practice to find insurance.</w:t>
            </w:r>
          </w:p>
        </w:tc>
        <w:tc>
          <w:tcPr>
            <w:tcW w:w="1354" w:type="pct"/>
          </w:tcPr>
          <w:p w:rsidR="00573668" w:rsidRPr="00CB32B1" w:rsidRDefault="00573668" w:rsidP="0012784B">
            <w:pPr>
              <w:pStyle w:val="TableTextNormal"/>
              <w:cnfStyle w:val="000000000000"/>
            </w:pPr>
            <w:r w:rsidRPr="00CB32B1">
              <w:t>The product is only for p</w:t>
            </w:r>
            <w:r w:rsidR="0012784B">
              <w:t>rivate practice which has scale (</w:t>
            </w:r>
            <w:r w:rsidR="00854DEF" w:rsidRPr="00CB32B1">
              <w:t>ie</w:t>
            </w:r>
            <w:r w:rsidRPr="00CB32B1">
              <w:t xml:space="preserve"> sole practitioners will not have the viability to be insured under the scheme</w:t>
            </w:r>
            <w:r w:rsidR="0012784B">
              <w:t>)</w:t>
            </w:r>
          </w:p>
        </w:tc>
      </w:tr>
      <w:tr w:rsidR="00573668" w:rsidRPr="00CB32B1" w:rsidTr="00CD0CA9">
        <w:tc>
          <w:tcPr>
            <w:cnfStyle w:val="001000000000"/>
            <w:tcW w:w="704" w:type="pct"/>
          </w:tcPr>
          <w:p w:rsidR="00573668" w:rsidRPr="00CB32B1" w:rsidRDefault="00573668" w:rsidP="00573668">
            <w:pPr>
              <w:pStyle w:val="TableTextNormal"/>
            </w:pPr>
            <w:r w:rsidRPr="00CB32B1">
              <w:t>province of Ontario</w:t>
            </w:r>
          </w:p>
        </w:tc>
        <w:tc>
          <w:tcPr>
            <w:tcW w:w="978" w:type="pct"/>
          </w:tcPr>
          <w:p w:rsidR="00573668" w:rsidRPr="00CB32B1" w:rsidRDefault="00573668" w:rsidP="00573668">
            <w:pPr>
              <w:pStyle w:val="TableTextNormal"/>
              <w:cnfStyle w:val="000000000000"/>
            </w:pPr>
            <w:r w:rsidRPr="00CB32B1">
              <w:t>Yes</w:t>
            </w:r>
          </w:p>
        </w:tc>
        <w:tc>
          <w:tcPr>
            <w:tcW w:w="816" w:type="pct"/>
          </w:tcPr>
          <w:p w:rsidR="00573668" w:rsidRPr="00CB32B1" w:rsidRDefault="00573668" w:rsidP="00573668">
            <w:pPr>
              <w:pStyle w:val="TableTextNormal"/>
              <w:cnfStyle w:val="000000000000"/>
            </w:pPr>
            <w:r w:rsidRPr="00CB32B1">
              <w:t>Yes, insurance is available through Not For Profit (NFP) arrangement for all midwives</w:t>
            </w:r>
          </w:p>
        </w:tc>
        <w:tc>
          <w:tcPr>
            <w:tcW w:w="1147" w:type="pct"/>
          </w:tcPr>
          <w:p w:rsidR="00573668" w:rsidRPr="00CB32B1" w:rsidRDefault="00573668" w:rsidP="00E2778D">
            <w:pPr>
              <w:pStyle w:val="TableTextNormal"/>
              <w:cnfStyle w:val="000000000000"/>
            </w:pPr>
            <w:r w:rsidRPr="00CB32B1">
              <w:t xml:space="preserve">All midwives are insured by the insurer, who are monitored by and have a close relationship with the </w:t>
            </w:r>
            <w:r w:rsidR="00E2778D">
              <w:t>Association of Ontario Midwives (AOM)</w:t>
            </w:r>
          </w:p>
        </w:tc>
        <w:tc>
          <w:tcPr>
            <w:tcW w:w="1354" w:type="pct"/>
          </w:tcPr>
          <w:p w:rsidR="00573668" w:rsidRPr="00CB32B1" w:rsidRDefault="00573668" w:rsidP="00E2778D">
            <w:pPr>
              <w:pStyle w:val="TableTextNormal"/>
              <w:cnfStyle w:val="000000000000"/>
            </w:pPr>
            <w:r w:rsidRPr="00CB32B1">
              <w:t xml:space="preserve">The product pools all midwives premiums. Separate products are provided on a </w:t>
            </w:r>
            <w:r w:rsidR="00E2778D">
              <w:t>province</w:t>
            </w:r>
            <w:r w:rsidRPr="00CB32B1">
              <w:t xml:space="preserve"> by </w:t>
            </w:r>
            <w:r w:rsidR="00E2778D">
              <w:t>province</w:t>
            </w:r>
            <w:r w:rsidRPr="00CB32B1">
              <w:t xml:space="preserve"> basis</w:t>
            </w:r>
          </w:p>
        </w:tc>
      </w:tr>
      <w:tr w:rsidR="00573668" w:rsidRPr="00CB32B1" w:rsidTr="00CD0CA9">
        <w:tc>
          <w:tcPr>
            <w:cnfStyle w:val="001000000000"/>
            <w:tcW w:w="704" w:type="pct"/>
          </w:tcPr>
          <w:p w:rsidR="00573668" w:rsidRPr="00CB32B1" w:rsidRDefault="00573668" w:rsidP="00573668">
            <w:pPr>
              <w:pStyle w:val="TableTextNormal"/>
            </w:pPr>
            <w:r w:rsidRPr="00CB32B1">
              <w:t>the Netherlands</w:t>
            </w:r>
          </w:p>
        </w:tc>
        <w:tc>
          <w:tcPr>
            <w:tcW w:w="978" w:type="pct"/>
          </w:tcPr>
          <w:p w:rsidR="00573668" w:rsidRPr="00CB32B1" w:rsidRDefault="00573668" w:rsidP="00573668">
            <w:pPr>
              <w:pStyle w:val="TableTextNormal"/>
              <w:cnfStyle w:val="000000000000"/>
            </w:pPr>
            <w:r w:rsidRPr="00CB32B1">
              <w:t>No</w:t>
            </w:r>
          </w:p>
        </w:tc>
        <w:tc>
          <w:tcPr>
            <w:tcW w:w="816" w:type="pct"/>
          </w:tcPr>
          <w:p w:rsidR="00573668" w:rsidRPr="00CB32B1" w:rsidRDefault="00573668" w:rsidP="00573668">
            <w:pPr>
              <w:pStyle w:val="TableTextNormal"/>
              <w:cnfStyle w:val="000000000000"/>
            </w:pPr>
            <w:r w:rsidRPr="00CB32B1">
              <w:t>Yes, multiple commercial products are available</w:t>
            </w:r>
          </w:p>
        </w:tc>
        <w:tc>
          <w:tcPr>
            <w:tcW w:w="1147" w:type="pct"/>
          </w:tcPr>
          <w:p w:rsidR="00573668" w:rsidRPr="00CB32B1" w:rsidRDefault="00573668" w:rsidP="00573668">
            <w:pPr>
              <w:pStyle w:val="TableTextNormal"/>
              <w:cnfStyle w:val="000000000000"/>
            </w:pPr>
            <w:r w:rsidRPr="00CB32B1">
              <w:t>Quality and normal registers for midwives are held so midwives are able to have two forms of registration to</w:t>
            </w:r>
            <w:r w:rsidR="00E2778D">
              <w:t xml:space="preserve"> verify the quality of practice</w:t>
            </w:r>
          </w:p>
        </w:tc>
        <w:tc>
          <w:tcPr>
            <w:tcW w:w="1354" w:type="pct"/>
          </w:tcPr>
          <w:p w:rsidR="00573668" w:rsidRPr="00CB32B1" w:rsidRDefault="00573668" w:rsidP="00573668">
            <w:pPr>
              <w:pStyle w:val="TableTextNormal"/>
              <w:cnfStyle w:val="000000000000"/>
            </w:pPr>
            <w:r w:rsidRPr="00CB32B1">
              <w:t>Low litigious culture and role of independent midwives affects the commerciality of produ</w:t>
            </w:r>
            <w:r w:rsidR="00E2778D">
              <w:t>ct</w:t>
            </w:r>
          </w:p>
          <w:p w:rsidR="00573668" w:rsidRPr="00CB32B1" w:rsidRDefault="00573668" w:rsidP="00CD0CA9">
            <w:pPr>
              <w:pStyle w:val="TableTextNormal"/>
              <w:cnfStyle w:val="000000000000"/>
            </w:pPr>
            <w:r w:rsidRPr="00CB32B1">
              <w:t>Insurance co-payments are paid, where both the woman an</w:t>
            </w:r>
            <w:r w:rsidR="00E2778D">
              <w:t>d the midwife pay for insurance</w:t>
            </w:r>
          </w:p>
        </w:tc>
      </w:tr>
      <w:tr w:rsidR="00573668" w:rsidRPr="00CB32B1" w:rsidTr="00CD0CA9">
        <w:tc>
          <w:tcPr>
            <w:cnfStyle w:val="001000000000"/>
            <w:tcW w:w="704" w:type="pct"/>
          </w:tcPr>
          <w:p w:rsidR="00573668" w:rsidRPr="00CB32B1" w:rsidRDefault="00573668" w:rsidP="00573668">
            <w:pPr>
              <w:pStyle w:val="TableTextNormal"/>
              <w:keepNext/>
              <w:keepLines/>
            </w:pPr>
            <w:r w:rsidRPr="00CB32B1">
              <w:t>New Zealand</w:t>
            </w:r>
          </w:p>
        </w:tc>
        <w:tc>
          <w:tcPr>
            <w:tcW w:w="978" w:type="pct"/>
          </w:tcPr>
          <w:p w:rsidR="00573668" w:rsidRPr="00CB32B1" w:rsidRDefault="00573668" w:rsidP="00573668">
            <w:pPr>
              <w:pStyle w:val="TableTextNormal"/>
              <w:keepNext/>
              <w:keepLines/>
              <w:cnfStyle w:val="000000000000"/>
            </w:pPr>
            <w:r w:rsidRPr="00CB32B1">
              <w:t>Yes</w:t>
            </w:r>
          </w:p>
        </w:tc>
        <w:tc>
          <w:tcPr>
            <w:tcW w:w="816" w:type="pct"/>
          </w:tcPr>
          <w:p w:rsidR="00573668" w:rsidRPr="00CB32B1" w:rsidRDefault="00573668" w:rsidP="00573668">
            <w:pPr>
              <w:pStyle w:val="TableTextNormal"/>
              <w:keepNext/>
              <w:keepLines/>
              <w:cnfStyle w:val="000000000000"/>
            </w:pPr>
            <w:r w:rsidRPr="00CB32B1">
              <w:t>Yes, insurance provided through New Zealand College of Midwives (NZCOM) who broker a commercial product</w:t>
            </w:r>
          </w:p>
        </w:tc>
        <w:tc>
          <w:tcPr>
            <w:tcW w:w="1147" w:type="pct"/>
          </w:tcPr>
          <w:p w:rsidR="00573668" w:rsidRPr="00CB32B1" w:rsidRDefault="00573668" w:rsidP="008341BC">
            <w:pPr>
              <w:pStyle w:val="TableTextNormal"/>
              <w:keepNext/>
              <w:keepLines/>
              <w:cnfStyle w:val="000000000000"/>
            </w:pPr>
            <w:r w:rsidRPr="00CB32B1">
              <w:t xml:space="preserve">All midwives insured by </w:t>
            </w:r>
            <w:r w:rsidR="008341BC">
              <w:t>the C</w:t>
            </w:r>
            <w:r w:rsidRPr="00CB32B1">
              <w:t>ollege, which increases the size of the premium pool as all mid</w:t>
            </w:r>
            <w:r w:rsidR="00E2778D">
              <w:t>wives are part of the same pool</w:t>
            </w:r>
          </w:p>
        </w:tc>
        <w:tc>
          <w:tcPr>
            <w:tcW w:w="1354" w:type="pct"/>
          </w:tcPr>
          <w:p w:rsidR="00573668" w:rsidRPr="00CB32B1" w:rsidRDefault="00573668" w:rsidP="00573668">
            <w:pPr>
              <w:pStyle w:val="TableTextNormal"/>
              <w:keepNext/>
              <w:keepLines/>
              <w:cnfStyle w:val="000000000000"/>
            </w:pPr>
            <w:r w:rsidRPr="00CB32B1">
              <w:t>No-fault system, where regardless of the incidence, a person injured will receive a specific pay-out relating to the accident through their insurance. This reduces the size of claim. Increases ability of broker t</w:t>
            </w:r>
            <w:r w:rsidR="00E2778D">
              <w:t>o rely heavily on the no-faults</w:t>
            </w:r>
          </w:p>
        </w:tc>
      </w:tr>
    </w:tbl>
    <w:p w:rsidR="002C5ECC" w:rsidRPr="00CB32B1" w:rsidRDefault="002C5ECC" w:rsidP="00573668">
      <w:pPr>
        <w:pStyle w:val="PwCNormal"/>
        <w:spacing w:before="120"/>
      </w:pPr>
      <w:r w:rsidRPr="00CB32B1">
        <w:t xml:space="preserve">When comparing the insurance models, as shown in </w:t>
      </w:r>
      <w:r w:rsidR="009129A6" w:rsidRPr="00CB32B1">
        <w:fldChar w:fldCharType="begin"/>
      </w:r>
      <w:r w:rsidR="00EB2051" w:rsidRPr="00CB32B1">
        <w:instrText xml:space="preserve"> REF _Ref361223601 \h </w:instrText>
      </w:r>
      <w:r w:rsidR="009129A6" w:rsidRPr="00CB32B1">
        <w:fldChar w:fldCharType="separate"/>
      </w:r>
      <w:r w:rsidR="008816B4" w:rsidRPr="00CB32B1">
        <w:t xml:space="preserve">Figure </w:t>
      </w:r>
      <w:r w:rsidR="008816B4">
        <w:rPr>
          <w:noProof/>
        </w:rPr>
        <w:t>12</w:t>
      </w:r>
      <w:r w:rsidR="009129A6" w:rsidRPr="00CB32B1">
        <w:fldChar w:fldCharType="end"/>
      </w:r>
      <w:r w:rsidRPr="00CB32B1">
        <w:t>, of particular note is the range of insurance providers, from commercial insurers to NFPs. As also shown, there are stipulations on what type of insurance is offered to different models of PPM practice (</w:t>
      </w:r>
      <w:r w:rsidR="00854DEF" w:rsidRPr="00CB32B1">
        <w:t>eg</w:t>
      </w:r>
      <w:r w:rsidRPr="00CB32B1">
        <w:t xml:space="preserve"> sole or groups).</w:t>
      </w:r>
    </w:p>
    <w:p w:rsidR="00573668" w:rsidRPr="00CB32B1" w:rsidRDefault="00573668" w:rsidP="00270634">
      <w:pPr>
        <w:pStyle w:val="NumericCaption"/>
      </w:pPr>
      <w:bookmarkStart w:id="44" w:name="_Ref361223601"/>
      <w:r w:rsidRPr="00CB32B1">
        <w:t xml:space="preserve">Figure </w:t>
      </w:r>
      <w:r w:rsidR="009129A6" w:rsidRPr="00CB32B1">
        <w:fldChar w:fldCharType="begin"/>
      </w:r>
      <w:r w:rsidR="00D16456" w:rsidRPr="00CB32B1">
        <w:instrText xml:space="preserve"> SEQ Figure \* ARABIC </w:instrText>
      </w:r>
      <w:r w:rsidR="009129A6" w:rsidRPr="00CB32B1">
        <w:fldChar w:fldCharType="separate"/>
      </w:r>
      <w:r w:rsidR="008816B4">
        <w:rPr>
          <w:noProof/>
        </w:rPr>
        <w:t>12</w:t>
      </w:r>
      <w:r w:rsidR="009129A6" w:rsidRPr="00CB32B1">
        <w:fldChar w:fldCharType="end"/>
      </w:r>
      <w:bookmarkEnd w:id="44"/>
      <w:r w:rsidRPr="00CB32B1">
        <w:t>: Insurance operator models for different practice by jurisdiction</w:t>
      </w:r>
    </w:p>
    <w:p w:rsidR="00C72388" w:rsidRPr="00CB32B1" w:rsidRDefault="00BE2C2A" w:rsidP="00BE2C2A">
      <w:pPr>
        <w:jc w:val="center"/>
      </w:pPr>
      <w:r w:rsidRPr="00CB32B1">
        <w:rPr>
          <w:noProof/>
          <w:lang w:val="en-US"/>
        </w:rPr>
        <w:drawing>
          <wp:inline distT="0" distB="0" distL="0" distR="0">
            <wp:extent cx="5070535" cy="2487741"/>
            <wp:effectExtent l="19050" t="0" r="0" b="0"/>
            <wp:docPr id="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srcRect/>
                    <a:stretch>
                      <a:fillRect/>
                    </a:stretch>
                  </pic:blipFill>
                  <pic:spPr bwMode="auto">
                    <a:xfrm>
                      <a:off x="0" y="0"/>
                      <a:ext cx="5068922" cy="2486949"/>
                    </a:xfrm>
                    <a:prstGeom prst="rect">
                      <a:avLst/>
                    </a:prstGeom>
                    <a:noFill/>
                    <a:ln w="9525">
                      <a:noFill/>
                      <a:miter lim="800000"/>
                      <a:headEnd/>
                      <a:tailEnd/>
                    </a:ln>
                  </pic:spPr>
                </pic:pic>
              </a:graphicData>
            </a:graphic>
          </wp:inline>
        </w:drawing>
      </w:r>
    </w:p>
    <w:p w:rsidR="002C5ECC" w:rsidRPr="00CB32B1" w:rsidRDefault="002C5ECC" w:rsidP="002C5ECC">
      <w:pPr>
        <w:pStyle w:val="PwCNormal"/>
      </w:pPr>
    </w:p>
    <w:p w:rsidR="002C5ECC" w:rsidRPr="00CB32B1" w:rsidRDefault="002C5ECC" w:rsidP="002C5ECC">
      <w:pPr>
        <w:pStyle w:val="PwCNormal"/>
      </w:pPr>
      <w:r w:rsidRPr="00CB32B1">
        <w:t>The key findings are presented for each jurisdiction through the following headings:</w:t>
      </w:r>
    </w:p>
    <w:p w:rsidR="002C5ECC" w:rsidRPr="00CB32B1" w:rsidRDefault="002C5ECC" w:rsidP="00573668">
      <w:pPr>
        <w:pStyle w:val="ListBullet"/>
      </w:pPr>
      <w:r w:rsidRPr="00CB32B1">
        <w:rPr>
          <w:b/>
          <w:color w:val="DC6900" w:themeColor="text2"/>
        </w:rPr>
        <w:t>Homebirth midwifery at a glance:</w:t>
      </w:r>
      <w:r w:rsidRPr="00CB32B1">
        <w:t xml:space="preserve"> </w:t>
      </w:r>
      <w:r w:rsidR="0012784B">
        <w:t>t</w:t>
      </w:r>
      <w:r w:rsidRPr="00CB32B1">
        <w:t>his provides a brief outline of homebirth practice as well as key statistics to provide insight into the size and extent of</w:t>
      </w:r>
      <w:r w:rsidR="00C72388" w:rsidRPr="00CB32B1">
        <w:t xml:space="preserve"> activity in the jurisdiction</w:t>
      </w:r>
    </w:p>
    <w:p w:rsidR="002C5ECC" w:rsidRPr="00CB32B1" w:rsidRDefault="002C5ECC" w:rsidP="00573668">
      <w:pPr>
        <w:pStyle w:val="ListBullet"/>
      </w:pPr>
      <w:r w:rsidRPr="00CB32B1">
        <w:rPr>
          <w:b/>
          <w:color w:val="DC6900" w:themeColor="text2"/>
        </w:rPr>
        <w:t xml:space="preserve">Insurance history: </w:t>
      </w:r>
      <w:r w:rsidR="0012784B">
        <w:t>t</w:t>
      </w:r>
      <w:r w:rsidRPr="00CB32B1">
        <w:t>his provides context into the insurance being provided within the jurisdiction, inclu</w:t>
      </w:r>
      <w:r w:rsidR="00C72388" w:rsidRPr="00CB32B1">
        <w:t>ding drivers for certain models</w:t>
      </w:r>
    </w:p>
    <w:p w:rsidR="002C5ECC" w:rsidRPr="00CB32B1" w:rsidRDefault="002C5ECC" w:rsidP="00573668">
      <w:pPr>
        <w:pStyle w:val="ListBullet"/>
      </w:pPr>
      <w:r w:rsidRPr="00CB32B1">
        <w:rPr>
          <w:b/>
          <w:color w:val="DC6900" w:themeColor="text2"/>
        </w:rPr>
        <w:t>Insurance model:</w:t>
      </w:r>
      <w:r w:rsidRPr="00CB32B1">
        <w:t xml:space="preserve"> </w:t>
      </w:r>
      <w:r w:rsidR="0012784B">
        <w:t>t</w:t>
      </w:r>
      <w:r w:rsidRPr="00CB32B1">
        <w:t xml:space="preserve">his outlines of the insurance </w:t>
      </w:r>
      <w:r w:rsidR="00C72388" w:rsidRPr="00CB32B1">
        <w:t>provided and its key components</w:t>
      </w:r>
    </w:p>
    <w:p w:rsidR="002C5ECC" w:rsidRPr="00CB32B1" w:rsidRDefault="002C5ECC" w:rsidP="00573668">
      <w:pPr>
        <w:pStyle w:val="ListBullet"/>
      </w:pPr>
      <w:r w:rsidRPr="00CB32B1">
        <w:rPr>
          <w:b/>
          <w:color w:val="DC6900" w:themeColor="text2"/>
        </w:rPr>
        <w:t xml:space="preserve">Enablers of insurance: </w:t>
      </w:r>
      <w:r w:rsidR="0012784B">
        <w:t>t</w:t>
      </w:r>
      <w:r w:rsidRPr="00CB32B1">
        <w:t>his highlights key factors that have facilitated the development of an insurance product, either as a feature of the product, or the practice or environment in which it is provided.</w:t>
      </w:r>
    </w:p>
    <w:p w:rsidR="002C5ECC" w:rsidRPr="00CB32B1" w:rsidRDefault="002C5ECC" w:rsidP="002C5ECC">
      <w:pPr>
        <w:pStyle w:val="PwCNormal"/>
      </w:pPr>
      <w:r w:rsidRPr="00CB32B1">
        <w:t xml:space="preserve">Further details about the operating environment for </w:t>
      </w:r>
      <w:r w:rsidR="00727D37">
        <w:t>PPMs</w:t>
      </w:r>
      <w:r w:rsidRPr="00CB32B1">
        <w:t xml:space="preserve"> for each jurisdiction, including statistics, can be found in Appendix K.</w:t>
      </w:r>
    </w:p>
    <w:p w:rsidR="002C5ECC" w:rsidRPr="00CB32B1" w:rsidRDefault="002C5ECC" w:rsidP="00573668">
      <w:pPr>
        <w:pStyle w:val="Heading6"/>
      </w:pPr>
      <w:bookmarkStart w:id="45" w:name="_Toc362975056"/>
      <w:r w:rsidRPr="00CB32B1">
        <w:t>England</w:t>
      </w:r>
      <w:r w:rsidR="00E2778D">
        <w:t xml:space="preserve">, </w:t>
      </w:r>
      <w:r w:rsidRPr="00CB32B1">
        <w:t>United Kingdom</w:t>
      </w:r>
      <w:bookmarkEnd w:id="45"/>
    </w:p>
    <w:p w:rsidR="002C5ECC" w:rsidRPr="00CB32B1" w:rsidRDefault="002C5ECC" w:rsidP="00573668">
      <w:pPr>
        <w:pStyle w:val="Majorheading"/>
      </w:pPr>
      <w:r w:rsidRPr="00CB32B1">
        <w:t>Homebirth at a glance</w:t>
      </w:r>
    </w:p>
    <w:p w:rsidR="002C5ECC" w:rsidRPr="00CB32B1" w:rsidRDefault="002C5ECC" w:rsidP="002C5ECC">
      <w:pPr>
        <w:pStyle w:val="PwCNormal"/>
      </w:pPr>
      <w:r w:rsidRPr="00CB32B1">
        <w:t>In England, maternity services are predominantly provided through the public health service, the National Health Service (NHS). This is a free service at the point of use, accessible to women through the networks of health services (Trusts). With the dominance of the NHS service, only approximately 2.4% of women in England and Wales in 2011 gave birth at home, equalling 17,200 of 716,040 women who gave birth in that year.</w:t>
      </w:r>
      <w:r w:rsidR="007C32FB" w:rsidRPr="00CB32B1">
        <w:rPr>
          <w:rStyle w:val="FootnoteReference"/>
        </w:rPr>
        <w:footnoteReference w:id="133"/>
      </w:r>
      <w:r w:rsidRPr="00CB32B1">
        <w:rPr>
          <w:rStyle w:val="FootnoteReference"/>
        </w:rPr>
        <w:t>,</w:t>
      </w:r>
      <w:r w:rsidR="008D0B4E" w:rsidRPr="00CB32B1">
        <w:rPr>
          <w:rStyle w:val="FootnoteReference"/>
        </w:rPr>
        <w:t xml:space="preserve"> </w:t>
      </w:r>
      <w:r w:rsidR="007C32FB" w:rsidRPr="00CB32B1">
        <w:rPr>
          <w:rStyle w:val="FootnoteReference"/>
        </w:rPr>
        <w:footnoteReference w:id="134"/>
      </w:r>
      <w:r w:rsidR="00854DEF" w:rsidRPr="00CB32B1">
        <w:rPr>
          <w:rStyle w:val="FootnoteReference"/>
        </w:rPr>
        <w:t xml:space="preserve"> </w:t>
      </w:r>
      <w:r w:rsidRPr="00CB32B1">
        <w:t>Note that the health practitioner in attendance (</w:t>
      </w:r>
      <w:r w:rsidR="00854DEF" w:rsidRPr="00CB32B1">
        <w:t>eg</w:t>
      </w:r>
      <w:r w:rsidRPr="00CB32B1">
        <w:t xml:space="preserve"> services provided by the NHS, an independent midwife or other private practice</w:t>
      </w:r>
      <w:r w:rsidR="00E2778D">
        <w:t>), if any, is not specifically record</w:t>
      </w:r>
      <w:r w:rsidRPr="00CB32B1">
        <w:t>ed in data, nor is the intent of h</w:t>
      </w:r>
      <w:r w:rsidR="00E2778D">
        <w:t>aving a birth at home</w:t>
      </w:r>
      <w:r w:rsidRPr="00CB32B1">
        <w:t>.</w:t>
      </w:r>
    </w:p>
    <w:p w:rsidR="002C5ECC" w:rsidRPr="00CB32B1" w:rsidRDefault="002C5ECC" w:rsidP="002C5ECC">
      <w:pPr>
        <w:pStyle w:val="PwCNormal"/>
      </w:pPr>
      <w:r w:rsidRPr="00CB32B1">
        <w:t>The approximate equivalent of an Australian PPM is called an ‘independent midwife’ in England. Independent midwives are defined as “midwives practising alone or in groups but not as employees of the NHS, other healthcare organisations or local authorities”.</w:t>
      </w:r>
      <w:r w:rsidR="007C32FB" w:rsidRPr="00CB32B1">
        <w:rPr>
          <w:rStyle w:val="FootnoteReference"/>
        </w:rPr>
        <w:footnoteReference w:id="135"/>
      </w:r>
      <w:r w:rsidR="00854DEF" w:rsidRPr="00CB32B1">
        <w:t xml:space="preserve"> </w:t>
      </w:r>
      <w:r w:rsidRPr="00CB32B1">
        <w:t>At present, the UK (including England) currently has approximately 170 independent midwives.</w:t>
      </w:r>
      <w:r w:rsidR="007C32FB" w:rsidRPr="00CB32B1">
        <w:rPr>
          <w:rStyle w:val="FootnoteReference"/>
        </w:rPr>
        <w:footnoteReference w:id="136"/>
      </w:r>
      <w:r w:rsidRPr="00CB32B1">
        <w:t xml:space="preserve"> </w:t>
      </w:r>
    </w:p>
    <w:p w:rsidR="002C5ECC" w:rsidRPr="00CB32B1" w:rsidRDefault="002C5ECC" w:rsidP="002C5ECC">
      <w:pPr>
        <w:pStyle w:val="PwCNormal"/>
      </w:pPr>
      <w:r w:rsidRPr="00CB32B1">
        <w:t>Currently independent midwives operate under three different models:</w:t>
      </w:r>
      <w:r w:rsidR="007C32FB" w:rsidRPr="00CB32B1">
        <w:rPr>
          <w:rStyle w:val="FootnoteReference"/>
        </w:rPr>
        <w:footnoteReference w:id="137"/>
      </w:r>
      <w:r w:rsidRPr="00CB32B1">
        <w:t xml:space="preserve"> </w:t>
      </w:r>
    </w:p>
    <w:p w:rsidR="002C5ECC" w:rsidRPr="00CB32B1" w:rsidRDefault="002C5ECC" w:rsidP="00573668">
      <w:pPr>
        <w:pStyle w:val="ListBullet"/>
      </w:pPr>
      <w:r w:rsidRPr="00CB32B1">
        <w:rPr>
          <w:b/>
          <w:color w:val="DC6900" w:themeColor="text2"/>
        </w:rPr>
        <w:t xml:space="preserve">Sole: </w:t>
      </w:r>
      <w:r w:rsidR="009167E1">
        <w:t>t</w:t>
      </w:r>
      <w:r w:rsidRPr="00CB32B1">
        <w:t>hey operate alone, or outside of a formal legal entity or structure</w:t>
      </w:r>
      <w:r w:rsidR="007C32FB" w:rsidRPr="00CB32B1">
        <w:rPr>
          <w:rStyle w:val="FootnoteReference"/>
        </w:rPr>
        <w:footnoteReference w:id="138"/>
      </w:r>
      <w:r w:rsidR="00854DEF" w:rsidRPr="00CB32B1">
        <w:t xml:space="preserve"> </w:t>
      </w:r>
    </w:p>
    <w:p w:rsidR="002C5ECC" w:rsidRPr="00CB32B1" w:rsidRDefault="002C5ECC" w:rsidP="00573668">
      <w:pPr>
        <w:pStyle w:val="ListBullet"/>
      </w:pPr>
      <w:r w:rsidRPr="00CB32B1">
        <w:rPr>
          <w:b/>
          <w:color w:val="DC6900" w:themeColor="text2"/>
        </w:rPr>
        <w:t xml:space="preserve">Private model: </w:t>
      </w:r>
      <w:r w:rsidR="009167E1">
        <w:t>a</w:t>
      </w:r>
      <w:r w:rsidRPr="00CB32B1">
        <w:t xml:space="preserve"> legal entity owned by private independent midwives that work in partnership with, and under contract of NHS services.</w:t>
      </w:r>
      <w:r w:rsidR="007C32FB" w:rsidRPr="00CB32B1">
        <w:rPr>
          <w:rStyle w:val="FootnoteReference"/>
        </w:rPr>
        <w:footnoteReference w:id="139"/>
      </w:r>
      <w:r w:rsidR="00854DEF" w:rsidRPr="00CB32B1">
        <w:t xml:space="preserve"> </w:t>
      </w:r>
      <w:r w:rsidRPr="00CB32B1">
        <w:t>One midwife cares for each woman and works with staff within the NHS to make sure that the woman is correctly referred to GPs, obstetricians and other health professionals</w:t>
      </w:r>
      <w:r w:rsidR="007C32FB" w:rsidRPr="00CB32B1">
        <w:rPr>
          <w:rStyle w:val="FootnoteReference"/>
        </w:rPr>
        <w:footnoteReference w:id="140"/>
      </w:r>
    </w:p>
    <w:p w:rsidR="002C5ECC" w:rsidRPr="00CB32B1" w:rsidRDefault="002C5ECC" w:rsidP="00573668">
      <w:pPr>
        <w:pStyle w:val="ListBullet"/>
      </w:pPr>
      <w:r w:rsidRPr="00CB32B1">
        <w:rPr>
          <w:b/>
          <w:color w:val="DC6900" w:themeColor="text2"/>
        </w:rPr>
        <w:t xml:space="preserve">Social enterprise company (SEC): </w:t>
      </w:r>
      <w:r w:rsidR="009167E1">
        <w:t>a</w:t>
      </w:r>
      <w:r w:rsidRPr="00CB32B1">
        <w:t xml:space="preserve"> legal entity owned and operated by independent midwives. It is in effect a form of partnership whereby profits are shared. It also holds contractual arrangements with the NHS.</w:t>
      </w:r>
      <w:r w:rsidR="007C32FB" w:rsidRPr="00CB32B1">
        <w:rPr>
          <w:rStyle w:val="FootnoteReference"/>
        </w:rPr>
        <w:footnoteReference w:id="141"/>
      </w:r>
      <w:r w:rsidRPr="00CB32B1">
        <w:t xml:space="preserve"> </w:t>
      </w:r>
    </w:p>
    <w:p w:rsidR="002C5ECC" w:rsidRPr="00CB32B1" w:rsidRDefault="002C5ECC" w:rsidP="002C5ECC">
      <w:pPr>
        <w:pStyle w:val="PwCNormal"/>
      </w:pPr>
      <w:r w:rsidRPr="00CB32B1">
        <w:t xml:space="preserve">Independent midwives, like Australian </w:t>
      </w:r>
      <w:r w:rsidR="009167E1">
        <w:t>PPMs</w:t>
      </w:r>
      <w:r w:rsidRPr="00CB32B1">
        <w:t xml:space="preserve"> are required to be registered with the national regulatory body, The Nursing and Midwifery Council (NMC-UK). Otherwise, there are no other or specific requirements on independent midwives to provide maternity services within the home. The models of care (private and social enterprise company) are, however, required to meet quality and safety standards set by the national health regulatory, the Care Quality Commission (CQC) as a result of being legal entities</w:t>
      </w:r>
      <w:r w:rsidR="00E2778D">
        <w:t xml:space="preserve"> providing health services</w:t>
      </w:r>
      <w:r w:rsidRPr="00CB32B1">
        <w:t>.</w:t>
      </w:r>
    </w:p>
    <w:p w:rsidR="002C5ECC" w:rsidRPr="00CB32B1" w:rsidRDefault="002C5ECC" w:rsidP="00573668">
      <w:pPr>
        <w:pStyle w:val="Majorheading"/>
      </w:pPr>
      <w:r w:rsidRPr="00CB32B1">
        <w:t>Indemnity insurance history</w:t>
      </w:r>
    </w:p>
    <w:p w:rsidR="002C5ECC" w:rsidRPr="00CB32B1" w:rsidRDefault="002C5ECC" w:rsidP="00573668">
      <w:pPr>
        <w:pStyle w:val="Minorheading"/>
      </w:pPr>
      <w:r w:rsidRPr="00CB32B1">
        <w:t>History of past products</w:t>
      </w:r>
    </w:p>
    <w:p w:rsidR="002C5ECC" w:rsidRPr="00CB32B1" w:rsidRDefault="002C5ECC" w:rsidP="002C5ECC">
      <w:pPr>
        <w:pStyle w:val="PwCNormal"/>
      </w:pPr>
      <w:r w:rsidRPr="00CB32B1">
        <w:t>Historically independent midwives were able to obtain indemnity insurance through the Royal College of Midwives (RCM).</w:t>
      </w:r>
      <w:r w:rsidR="007C32FB" w:rsidRPr="00CB32B1">
        <w:rPr>
          <w:rStyle w:val="FootnoteReference"/>
        </w:rPr>
        <w:footnoteReference w:id="142"/>
      </w:r>
      <w:r w:rsidR="00854DEF" w:rsidRPr="00CB32B1">
        <w:t xml:space="preserve"> </w:t>
      </w:r>
      <w:r w:rsidRPr="00CB32B1">
        <w:t xml:space="preserve">Through the payment of membership fees to the RCM, insurance was available to all RCM members including those who were employed by either the NHS or other private health care settings, or who practised as independent midwives (irrespective of practice model, </w:t>
      </w:r>
      <w:r w:rsidR="00854DEF" w:rsidRPr="00CB32B1">
        <w:t>eg</w:t>
      </w:r>
      <w:r w:rsidRPr="00CB32B1">
        <w:t xml:space="preserve"> sole, private or SEC models). The cover for midwives employed by the NHS and private health settings was in addition to the vicarious liability of employers.</w:t>
      </w:r>
    </w:p>
    <w:p w:rsidR="002C5ECC" w:rsidRPr="00CB32B1" w:rsidRDefault="002C5ECC" w:rsidP="002C5ECC">
      <w:pPr>
        <w:pStyle w:val="PwCNormal"/>
      </w:pPr>
      <w:r w:rsidRPr="00CB32B1">
        <w:t>In 1993, as a result of two large claims relating to one self-employed independent midwife,</w:t>
      </w:r>
      <w:r w:rsidR="00134EA3" w:rsidRPr="00CB32B1">
        <w:rPr>
          <w:rStyle w:val="FootnoteReference"/>
        </w:rPr>
        <w:footnoteReference w:id="143"/>
      </w:r>
      <w:r w:rsidR="00854DEF" w:rsidRPr="00CB32B1">
        <w:t xml:space="preserve"> </w:t>
      </w:r>
      <w:r w:rsidRPr="00CB32B1">
        <w:t>insurance premiums were expected to rise significantly (believed to be £0.5 million for the RCM).</w:t>
      </w:r>
      <w:r w:rsidR="00134EA3" w:rsidRPr="00CB32B1">
        <w:rPr>
          <w:rStyle w:val="FootnoteReference"/>
        </w:rPr>
        <w:footnoteReference w:id="144"/>
      </w:r>
      <w:r w:rsidR="00854DEF" w:rsidRPr="00CB32B1">
        <w:t xml:space="preserve"> </w:t>
      </w:r>
      <w:r w:rsidRPr="00CB32B1">
        <w:t>As a result of a failed vote by members to increase membership fees to cover the additional costs, the RCM withdrew insurance cover for independent midwives to keep premiums affordable.</w:t>
      </w:r>
      <w:r w:rsidR="00134EA3" w:rsidRPr="00CB32B1">
        <w:rPr>
          <w:rStyle w:val="FootnoteReference"/>
        </w:rPr>
        <w:footnoteReference w:id="145"/>
      </w:r>
      <w:r w:rsidR="00854DEF" w:rsidRPr="00CB32B1">
        <w:t xml:space="preserve"> </w:t>
      </w:r>
      <w:r w:rsidRPr="00CB32B1">
        <w:t>Until 2002, all other employed midwives were able to receive cover, at which point insurance cover was then restricted to only NHS-employed midwives.</w:t>
      </w:r>
    </w:p>
    <w:p w:rsidR="002C5ECC" w:rsidRPr="00CB32B1" w:rsidRDefault="002C5ECC" w:rsidP="002C5ECC">
      <w:pPr>
        <w:pStyle w:val="PwCNormal"/>
      </w:pPr>
      <w:r w:rsidRPr="00CB32B1">
        <w:t>From 1994 until 2002, some independent midwives were able to obtain insurance through commercial insurers. While it is believed that there were no claims for independent midwives during this period,</w:t>
      </w:r>
      <w:r w:rsidR="00854DEF" w:rsidRPr="00CB32B1">
        <w:t xml:space="preserve"> </w:t>
      </w:r>
      <w:r w:rsidRPr="00CB32B1">
        <w:t>increasing payouts for obstetricians saw premiums rise for all maternity service providers.</w:t>
      </w:r>
      <w:r w:rsidR="007A6D86" w:rsidRPr="00CB32B1">
        <w:rPr>
          <w:rStyle w:val="FootnoteReference"/>
        </w:rPr>
        <w:footnoteReference w:id="146"/>
      </w:r>
      <w:r w:rsidRPr="00CB32B1">
        <w:t xml:space="preserve"> By 2002, it became unfeasible for independent midwives to purchase insurance, with the cost of the premium estimated to be approximately £18,000</w:t>
      </w:r>
      <w:r w:rsidR="00E2778D">
        <w:t>-</w:t>
      </w:r>
      <w:r w:rsidRPr="00CB32B1">
        <w:t>£20,000/annum.</w:t>
      </w:r>
      <w:r w:rsidR="00FB3959" w:rsidRPr="00CB32B1">
        <w:rPr>
          <w:rStyle w:val="FootnoteReference"/>
        </w:rPr>
        <w:footnoteReference w:id="147"/>
      </w:r>
      <w:r w:rsidR="00854DEF" w:rsidRPr="00CB32B1">
        <w:t xml:space="preserve"> </w:t>
      </w:r>
      <w:r w:rsidRPr="00CB32B1">
        <w:t>Similar to Australia, it is believed that after 2002, independent midwives practised without</w:t>
      </w:r>
      <w:r w:rsidR="00FB7956">
        <w:t xml:space="preserve"> offsetting their person liability through</w:t>
      </w:r>
      <w:r w:rsidRPr="00CB32B1">
        <w:t xml:space="preserve"> indemnity cover.</w:t>
      </w:r>
    </w:p>
    <w:p w:rsidR="002C5ECC" w:rsidRPr="00CB32B1" w:rsidRDefault="002C5ECC" w:rsidP="00573668">
      <w:pPr>
        <w:pStyle w:val="Minorheading"/>
      </w:pPr>
      <w:r w:rsidRPr="00CB32B1">
        <w:t>The prospect of mandatory indemnity insurance</w:t>
      </w:r>
    </w:p>
    <w:p w:rsidR="00E2778D" w:rsidRDefault="002C5ECC" w:rsidP="003E6ABC">
      <w:pPr>
        <w:pStyle w:val="PwCNormal"/>
      </w:pPr>
      <w:r w:rsidRPr="00CB32B1">
        <w:t xml:space="preserve">Currently, indemnity cover is not compulsory in England. However, it is expected to become compulsory under </w:t>
      </w:r>
      <w:r w:rsidRPr="00CB32B1">
        <w:rPr>
          <w:i/>
        </w:rPr>
        <w:t>The European Union Directive (2011/24/EU)</w:t>
      </w:r>
      <w:r w:rsidRPr="00CB32B1">
        <w:t xml:space="preserve"> (the Directive) as the Directive requires all European Union (EU) </w:t>
      </w:r>
      <w:r w:rsidR="00496AD4">
        <w:t>jurisdiction</w:t>
      </w:r>
      <w:r w:rsidRPr="00CB32B1">
        <w:t>s (including the UK) to provide systems of professional liability insurance.</w:t>
      </w:r>
      <w:r w:rsidR="00FB3959" w:rsidRPr="00CB32B1">
        <w:rPr>
          <w:rStyle w:val="FootnoteReference"/>
        </w:rPr>
        <w:footnoteReference w:id="148"/>
      </w:r>
      <w:r w:rsidR="00854DEF" w:rsidRPr="00CB32B1">
        <w:t xml:space="preserve"> </w:t>
      </w:r>
      <w:r w:rsidRPr="00CB32B1">
        <w:t xml:space="preserve">In response to the Directive, the four UK Health Departments (the Departments) commissioned </w:t>
      </w:r>
      <w:r w:rsidRPr="00E2778D">
        <w:rPr>
          <w:i/>
        </w:rPr>
        <w:t>The Finlay Scott Review</w:t>
      </w:r>
      <w:r w:rsidRPr="00CB32B1">
        <w:t xml:space="preserve"> (Scott review),</w:t>
      </w:r>
      <w:r w:rsidR="00854DEF" w:rsidRPr="00CB32B1">
        <w:t xml:space="preserve"> </w:t>
      </w:r>
      <w:r w:rsidRPr="00CB32B1">
        <w:t>an independent review of the requirement to have insurance or indemnity as a condition of registration.</w:t>
      </w:r>
      <w:r w:rsidR="007A6D86" w:rsidRPr="00CB32B1">
        <w:rPr>
          <w:rStyle w:val="FootnoteReference"/>
        </w:rPr>
        <w:footnoteReference w:id="149"/>
      </w:r>
      <w:r w:rsidRPr="00CB32B1">
        <w:t xml:space="preserve"> Out of this review, 20 recommendations were made including that:</w:t>
      </w:r>
      <w:r w:rsidR="00E2778D" w:rsidRPr="00E2778D">
        <w:rPr>
          <w:rStyle w:val="FootnoteReference"/>
        </w:rPr>
        <w:t xml:space="preserve"> </w:t>
      </w:r>
      <w:r w:rsidR="00E2778D" w:rsidRPr="00CB32B1">
        <w:rPr>
          <w:rStyle w:val="FootnoteReference"/>
        </w:rPr>
        <w:footnoteReference w:id="150"/>
      </w:r>
    </w:p>
    <w:p w:rsidR="003E6ABC" w:rsidRPr="007D314F" w:rsidRDefault="003E6ABC" w:rsidP="007D314F">
      <w:pPr>
        <w:pStyle w:val="Indent1"/>
        <w:rPr>
          <w:i/>
          <w:color w:val="DC6900" w:themeColor="text2"/>
        </w:rPr>
      </w:pPr>
      <w:r w:rsidRPr="007D314F">
        <w:rPr>
          <w:i/>
          <w:color w:val="DC6900" w:themeColor="text2"/>
        </w:rPr>
        <w:t>“there should be a statutory duty upon registrants to have insurance or indemnity.”</w:t>
      </w:r>
    </w:p>
    <w:tbl>
      <w:tblPr>
        <w:tblStyle w:val="TableGrid"/>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598"/>
        <w:gridCol w:w="360"/>
        <w:gridCol w:w="3330"/>
      </w:tblGrid>
      <w:tr w:rsidR="003A7C34" w:rsidRPr="00CB32B1" w:rsidTr="003E6ABC">
        <w:tc>
          <w:tcPr>
            <w:tcW w:w="5598" w:type="dxa"/>
          </w:tcPr>
          <w:p w:rsidR="003A7C34" w:rsidRPr="00CB32B1" w:rsidRDefault="003E6ABC" w:rsidP="003E6ABC">
            <w:pPr>
              <w:pStyle w:val="PwCNormal"/>
            </w:pPr>
            <w:r w:rsidRPr="00CB32B1">
              <w:t>The conclusions and recommendations from the Scott review were accepted by the four UK Health Departments s</w:t>
            </w:r>
            <w:r w:rsidR="003A7C34" w:rsidRPr="00CB32B1">
              <w:t xml:space="preserve">uch that, at the time of drafting this report, public consultation is being undertaken on the draft </w:t>
            </w:r>
            <w:r w:rsidR="003A7C34" w:rsidRPr="00CB32B1">
              <w:rPr>
                <w:i/>
              </w:rPr>
              <w:t>Health Care and Associated Professions (Indemnity Arrangements)</w:t>
            </w:r>
            <w:r w:rsidR="003A7C34" w:rsidRPr="00CB32B1">
              <w:t xml:space="preserve"> Order 2013.</w:t>
            </w:r>
            <w:r w:rsidR="00FB3959" w:rsidRPr="00CB32B1">
              <w:rPr>
                <w:rStyle w:val="FootnoteReference"/>
              </w:rPr>
              <w:footnoteReference w:id="151"/>
            </w:r>
            <w:r w:rsidR="00854DEF" w:rsidRPr="00CB32B1">
              <w:t xml:space="preserve"> </w:t>
            </w:r>
            <w:r w:rsidR="003A7C34" w:rsidRPr="00CB32B1">
              <w:t>This order seeks to implement the Directive through the means recommended by the Scott review.</w:t>
            </w:r>
          </w:p>
          <w:p w:rsidR="003E6ABC" w:rsidRPr="00CB32B1" w:rsidRDefault="003E6ABC" w:rsidP="003E6ABC">
            <w:pPr>
              <w:pStyle w:val="PwCNormal"/>
            </w:pPr>
            <w:r w:rsidRPr="00CB32B1">
              <w:t>Vicarious liability held by employers, such as the NHS through the Clinical Negligence Scheme for Trusts (CNST), or the ability to obtain commercial insurance means that the impact of the Directive may be minimal for most midwives.</w:t>
            </w:r>
            <w:r w:rsidRPr="00CB32B1">
              <w:rPr>
                <w:rStyle w:val="FootnoteReference"/>
              </w:rPr>
              <w:footnoteReference w:id="152"/>
            </w:r>
            <w:r w:rsidRPr="00CB32B1">
              <w:t xml:space="preserve"> However, independent midwives who may not have vicarious liability may not be able to continue to practise in their current form.</w:t>
            </w:r>
          </w:p>
        </w:tc>
        <w:tc>
          <w:tcPr>
            <w:tcW w:w="360" w:type="dxa"/>
          </w:tcPr>
          <w:p w:rsidR="003A7C34" w:rsidRPr="00CB32B1" w:rsidRDefault="003A7C34" w:rsidP="00E44052">
            <w:pPr>
              <w:pStyle w:val="TableTextNormal"/>
              <w:keepNext/>
              <w:keepLines/>
            </w:pPr>
          </w:p>
        </w:tc>
        <w:tc>
          <w:tcPr>
            <w:tcW w:w="3330" w:type="dxa"/>
            <w:shd w:val="clear" w:color="auto" w:fill="DC6900" w:themeFill="text2"/>
            <w:vAlign w:val="center"/>
          </w:tcPr>
          <w:p w:rsidR="003A7C34" w:rsidRPr="007A6D86" w:rsidRDefault="003A7C34" w:rsidP="00E44052">
            <w:pPr>
              <w:pStyle w:val="TableTextNormal"/>
              <w:keepNext/>
              <w:keepLines/>
              <w:rPr>
                <w:b/>
                <w:i/>
                <w:color w:val="FFFFFF" w:themeColor="background1"/>
              </w:rPr>
            </w:pPr>
            <w:r w:rsidRPr="007A6D86">
              <w:rPr>
                <w:b/>
                <w:i/>
                <w:color w:val="FFFFFF" w:themeColor="background1"/>
              </w:rPr>
              <w:t>“it will not help if some self-employed registered health care professionals, who are providing good quality and valued services, are unable to continue to practise because they cannot, through no fault of their own, meet a condition of registration despite their willingness to do so.”</w:t>
            </w:r>
          </w:p>
          <w:p w:rsidR="003A7C34" w:rsidRPr="00CB32B1" w:rsidRDefault="0083432B" w:rsidP="0004452B">
            <w:pPr>
              <w:pStyle w:val="TableTextNormal"/>
              <w:keepNext/>
              <w:keepLines/>
              <w:spacing w:before="40" w:after="40"/>
              <w:jc w:val="right"/>
              <w:rPr>
                <w:i/>
                <w:sz w:val="16"/>
                <w:szCs w:val="16"/>
              </w:rPr>
            </w:pPr>
            <w:r w:rsidRPr="00CB32B1">
              <w:rPr>
                <w:i/>
                <w:color w:val="FFFFFF" w:themeColor="background1"/>
                <w:sz w:val="16"/>
                <w:szCs w:val="16"/>
              </w:rPr>
              <w:t>(</w:t>
            </w:r>
            <w:r w:rsidR="0004452B">
              <w:rPr>
                <w:i/>
                <w:color w:val="FFFFFF" w:themeColor="background1"/>
                <w:sz w:val="16"/>
                <w:szCs w:val="16"/>
              </w:rPr>
              <w:t>Scott</w:t>
            </w:r>
            <w:r w:rsidRPr="00CB32B1">
              <w:rPr>
                <w:i/>
                <w:color w:val="FFFFFF" w:themeColor="background1"/>
                <w:sz w:val="16"/>
                <w:szCs w:val="16"/>
              </w:rPr>
              <w:t xml:space="preserve">, </w:t>
            </w:r>
            <w:r w:rsidR="003A7C34" w:rsidRPr="00CB32B1">
              <w:rPr>
                <w:i/>
                <w:color w:val="FFFFFF" w:themeColor="background1"/>
                <w:sz w:val="16"/>
                <w:szCs w:val="16"/>
              </w:rPr>
              <w:t>2010</w:t>
            </w:r>
            <w:r w:rsidRPr="00CB32B1">
              <w:rPr>
                <w:i/>
                <w:color w:val="FFFFFF" w:themeColor="background1"/>
                <w:sz w:val="16"/>
                <w:szCs w:val="16"/>
              </w:rPr>
              <w:t>)</w:t>
            </w:r>
          </w:p>
        </w:tc>
      </w:tr>
      <w:tr w:rsidR="003A7C34" w:rsidRPr="00CB32B1" w:rsidTr="003E6ABC">
        <w:trPr>
          <w:trHeight w:hRule="exact" w:val="86"/>
        </w:trPr>
        <w:tc>
          <w:tcPr>
            <w:tcW w:w="5598" w:type="dxa"/>
          </w:tcPr>
          <w:p w:rsidR="003A7C34" w:rsidRPr="00CB32B1" w:rsidRDefault="003A7C34" w:rsidP="00ED0A70">
            <w:pPr>
              <w:pStyle w:val="TableTextNormal"/>
            </w:pPr>
          </w:p>
        </w:tc>
        <w:tc>
          <w:tcPr>
            <w:tcW w:w="360" w:type="dxa"/>
            <w:shd w:val="clear" w:color="auto" w:fill="DC6900" w:themeFill="text2"/>
          </w:tcPr>
          <w:p w:rsidR="003A7C34" w:rsidRPr="00CB32B1" w:rsidRDefault="003A7C34" w:rsidP="00ED0A70">
            <w:pPr>
              <w:pStyle w:val="TableTextNormal"/>
            </w:pPr>
          </w:p>
        </w:tc>
        <w:tc>
          <w:tcPr>
            <w:tcW w:w="3330" w:type="dxa"/>
          </w:tcPr>
          <w:p w:rsidR="003A7C34" w:rsidRPr="00CB32B1" w:rsidRDefault="003A7C34" w:rsidP="00ED0A70">
            <w:pPr>
              <w:pStyle w:val="TableTextNormal"/>
            </w:pPr>
          </w:p>
        </w:tc>
      </w:tr>
    </w:tbl>
    <w:p w:rsidR="002C5ECC" w:rsidRPr="00CB32B1" w:rsidRDefault="002C5ECC" w:rsidP="002C5ECC">
      <w:pPr>
        <w:pStyle w:val="PwCNormal"/>
      </w:pPr>
      <w:r w:rsidRPr="00CB32B1">
        <w:t>As the Scott review identified, “the impediment to a market solution is that the number of individuals is too small to enable the risk to be pooled and spread in a way that produces an affordable product”</w:t>
      </w:r>
      <w:r w:rsidR="007A6D86">
        <w:t>.</w:t>
      </w:r>
      <w:r w:rsidR="002F4CDC" w:rsidRPr="00CB32B1">
        <w:rPr>
          <w:rStyle w:val="FootnoteReference"/>
        </w:rPr>
        <w:footnoteReference w:id="153"/>
      </w:r>
    </w:p>
    <w:p w:rsidR="002C5ECC" w:rsidRPr="00CB32B1" w:rsidRDefault="002C5ECC" w:rsidP="002C5ECC">
      <w:pPr>
        <w:pStyle w:val="PwCNormal"/>
      </w:pPr>
      <w:r w:rsidRPr="00CB32B1">
        <w:t>In addition to the Scott review, PwC UK was commissioned by the four UK Health Departments to look at the frequency of claims and costs associated with linking insurance/indemnity to registration. As a part of this review, it was identified that the relatively low numbers of independent midwives precluded effective risk pooling, and the quantification of risk made offering a commercial product unviable.</w:t>
      </w:r>
      <w:r w:rsidR="003779A5" w:rsidRPr="00CB32B1">
        <w:rPr>
          <w:rStyle w:val="FootnoteReference"/>
        </w:rPr>
        <w:footnoteReference w:id="154"/>
      </w:r>
    </w:p>
    <w:p w:rsidR="002C5ECC" w:rsidRPr="00CB32B1" w:rsidRDefault="002C5ECC" w:rsidP="002C5ECC">
      <w:pPr>
        <w:pStyle w:val="PwCNormal"/>
      </w:pPr>
      <w:r w:rsidRPr="00CB32B1">
        <w:t xml:space="preserve">Subsequent to both reviews, </w:t>
      </w:r>
      <w:r w:rsidRPr="008D66F4">
        <w:rPr>
          <w:i/>
        </w:rPr>
        <w:t>The Flaxman Partners report</w:t>
      </w:r>
      <w:r w:rsidRPr="00CB32B1">
        <w:t xml:space="preserve"> (Flaxman report)</w:t>
      </w:r>
      <w:r w:rsidR="003779A5" w:rsidRPr="00CB32B1">
        <w:rPr>
          <w:rStyle w:val="FootnoteReference"/>
        </w:rPr>
        <w:footnoteReference w:id="155"/>
      </w:r>
      <w:r w:rsidRPr="00CB32B1">
        <w:t xml:space="preserve"> was commissioned by the RCM and NMC-UK to explain the reasons for the non-availability of PII for independent midwives. The findings outlined in the Flaxman report were similar to the findings of this report (</w:t>
      </w:r>
      <w:r w:rsidRPr="00711C90">
        <w:t xml:space="preserve">see call out box, </w:t>
      </w:r>
      <w:r w:rsidR="008F2394">
        <w:t xml:space="preserve">on </w:t>
      </w:r>
      <w:r w:rsidRPr="00711C90">
        <w:t>p</w:t>
      </w:r>
      <w:r w:rsidR="008F2394">
        <w:t>a</w:t>
      </w:r>
      <w:r w:rsidRPr="00711C90">
        <w:t>g</w:t>
      </w:r>
      <w:r w:rsidR="008F2394">
        <w:t>e</w:t>
      </w:r>
      <w:r w:rsidRPr="00711C90">
        <w:t xml:space="preserve"> </w:t>
      </w:r>
      <w:r w:rsidR="008F2394">
        <w:t>12)</w:t>
      </w:r>
      <w:r w:rsidRPr="00CB32B1">
        <w:t xml:space="preserve"> and relate to how independent midwives practise, which environment they practise in, and what structure they operate under. In brief, a high</w:t>
      </w:r>
      <w:r w:rsidR="008341BC">
        <w:t xml:space="preserve"> </w:t>
      </w:r>
      <w:r w:rsidRPr="00CB32B1">
        <w:t>risk of claims was identified by the Flaxman report as precluding indemnity insurance, driven by:</w:t>
      </w:r>
    </w:p>
    <w:p w:rsidR="002C5ECC" w:rsidRPr="00CB32B1" w:rsidRDefault="00A75861" w:rsidP="00E44052">
      <w:pPr>
        <w:pStyle w:val="ListBullet"/>
        <w:spacing w:after="160"/>
      </w:pPr>
      <w:r>
        <w:t>h</w:t>
      </w:r>
      <w:r w:rsidR="002C5ECC" w:rsidRPr="00CB32B1">
        <w:t>igh-risk practice in intrapartum care</w:t>
      </w:r>
    </w:p>
    <w:p w:rsidR="002C5ECC" w:rsidRPr="00CB32B1" w:rsidRDefault="00A75861" w:rsidP="00E44052">
      <w:pPr>
        <w:pStyle w:val="ListBullet"/>
        <w:spacing w:after="160"/>
      </w:pPr>
      <w:r>
        <w:t>t</w:t>
      </w:r>
      <w:r w:rsidR="002C5ECC" w:rsidRPr="00CB32B1">
        <w:t>he vulnerability of midwives to allegations</w:t>
      </w:r>
    </w:p>
    <w:p w:rsidR="002C5ECC" w:rsidRPr="00CB32B1" w:rsidRDefault="00A75861" w:rsidP="00E44052">
      <w:pPr>
        <w:pStyle w:val="ListBullet"/>
        <w:spacing w:after="160"/>
      </w:pPr>
      <w:r>
        <w:t>t</w:t>
      </w:r>
      <w:r w:rsidR="002C5ECC" w:rsidRPr="00CB32B1">
        <w:t>he costs and damages allowed under specific legal systems</w:t>
      </w:r>
    </w:p>
    <w:p w:rsidR="002C5ECC" w:rsidRPr="00CB32B1" w:rsidRDefault="00A75861" w:rsidP="00E44052">
      <w:pPr>
        <w:pStyle w:val="ListBullet"/>
        <w:spacing w:after="160"/>
      </w:pPr>
      <w:r>
        <w:t>i</w:t>
      </w:r>
      <w:r w:rsidR="002C5ECC" w:rsidRPr="00CB32B1">
        <w:t>nsufficient numbers practising to develop a sufficient but affordable premium</w:t>
      </w:r>
    </w:p>
    <w:p w:rsidR="002C5ECC" w:rsidRPr="00CB32B1" w:rsidRDefault="00A75861" w:rsidP="00E44052">
      <w:pPr>
        <w:pStyle w:val="ListBullet"/>
        <w:spacing w:after="160"/>
      </w:pPr>
      <w:r>
        <w:t>t</w:t>
      </w:r>
      <w:r w:rsidR="002C5ECC" w:rsidRPr="00CB32B1">
        <w:t>he absence of a legal entity to direct, employ and control operation and performance.</w:t>
      </w:r>
      <w:r w:rsidR="003779A5" w:rsidRPr="00CB32B1">
        <w:rPr>
          <w:vertAlign w:val="superscript"/>
        </w:rPr>
        <w:footnoteReference w:id="156"/>
      </w:r>
    </w:p>
    <w:p w:rsidR="002C5ECC" w:rsidRPr="00CB32B1" w:rsidRDefault="002C5ECC" w:rsidP="003A7C34">
      <w:pPr>
        <w:pStyle w:val="Majorheading"/>
      </w:pPr>
      <w:r w:rsidRPr="00CB32B1">
        <w:t>Indemnity insurance model</w:t>
      </w:r>
    </w:p>
    <w:p w:rsidR="002C5ECC" w:rsidRPr="00CB32B1" w:rsidRDefault="002C5ECC" w:rsidP="002C5ECC">
      <w:pPr>
        <w:pStyle w:val="PwCNormal"/>
      </w:pPr>
      <w:r w:rsidRPr="00CB32B1">
        <w:t>Despite the challenges identified above, one insurer, RK Harris, currently offers an insurance product for public services (CNSTs) a private midwifery practice and a NFP midwifery practice. Details on their insurance product obtained from consultation with the insurer, can be found in Appendix K.</w:t>
      </w:r>
    </w:p>
    <w:p w:rsidR="002C5ECC" w:rsidRPr="00CB32B1" w:rsidRDefault="002C5ECC" w:rsidP="002C5ECC">
      <w:pPr>
        <w:pStyle w:val="PwCNormal"/>
      </w:pPr>
      <w:r w:rsidRPr="00CB32B1">
        <w:t>RK Harris identified key product features that allow them to minimise the risks of long tail claims, numerous small claims and the lack of practice scale:</w:t>
      </w:r>
    </w:p>
    <w:p w:rsidR="002C5ECC" w:rsidRPr="00CB32B1" w:rsidRDefault="002C5ECC" w:rsidP="003A7C34">
      <w:pPr>
        <w:pStyle w:val="ListBullet"/>
      </w:pPr>
      <w:r w:rsidRPr="00CB32B1">
        <w:rPr>
          <w:b/>
          <w:color w:val="DC6900" w:themeColor="text2"/>
        </w:rPr>
        <w:t>Long tail claims:</w:t>
      </w:r>
      <w:r w:rsidRPr="00CB32B1">
        <w:t xml:space="preserve"> RK Harris has mitigated this risk of potential liabilities in the future by not providing run</w:t>
      </w:r>
      <w:r w:rsidR="005250EF">
        <w:t>-</w:t>
      </w:r>
      <w:r w:rsidRPr="00CB32B1">
        <w:t>off cover. Similar to the IMGA product in Australia, this is unlike the MIGA product, in which Commonwealth Government suppo</w:t>
      </w:r>
      <w:r w:rsidR="00CD0CA9" w:rsidRPr="00CB32B1">
        <w:t>rted run</w:t>
      </w:r>
      <w:r w:rsidR="008D66F4">
        <w:t>-</w:t>
      </w:r>
      <w:r w:rsidR="00CD0CA9" w:rsidRPr="00CB32B1">
        <w:t>off cover is available</w:t>
      </w:r>
    </w:p>
    <w:p w:rsidR="002C5ECC" w:rsidRPr="00CB32B1" w:rsidRDefault="002C5ECC" w:rsidP="003A7C34">
      <w:pPr>
        <w:pStyle w:val="ListBullet"/>
      </w:pPr>
      <w:r w:rsidRPr="00CB32B1">
        <w:rPr>
          <w:b/>
          <w:color w:val="DC6900" w:themeColor="text2"/>
        </w:rPr>
        <w:t xml:space="preserve">Small claims: </w:t>
      </w:r>
      <w:r w:rsidR="005250EF">
        <w:t>a</w:t>
      </w:r>
      <w:r w:rsidRPr="00CB32B1">
        <w:t xml:space="preserve">n excess is applied to claims raised up to the value of £50,000. Therefore, it is more likely that the legal entity will cover those small claims raised. This then reduces the amount of small claims which are borne by the insurer, which ultimately reduces the </w:t>
      </w:r>
      <w:r w:rsidR="005250EF">
        <w:t xml:space="preserve">premium </w:t>
      </w:r>
      <w:r w:rsidRPr="00CB32B1">
        <w:t>price</w:t>
      </w:r>
    </w:p>
    <w:p w:rsidR="002C5ECC" w:rsidRPr="00CB32B1" w:rsidRDefault="002C5ECC" w:rsidP="003A7C34">
      <w:pPr>
        <w:pStyle w:val="ListBullet"/>
      </w:pPr>
      <w:r w:rsidRPr="00CB32B1">
        <w:rPr>
          <w:b/>
          <w:color w:val="DC6900" w:themeColor="text2"/>
        </w:rPr>
        <w:t xml:space="preserve">Scale of practice: </w:t>
      </w:r>
      <w:r w:rsidR="005250EF">
        <w:t>t</w:t>
      </w:r>
      <w:r w:rsidRPr="00CB32B1">
        <w:t>here is a minimum deposit required of £25,000 – £50,000 for the insurance product. The likely result is that the product is only purchased by legal entities with a large enough scale to afford the deposit.</w:t>
      </w:r>
    </w:p>
    <w:p w:rsidR="002C5ECC" w:rsidRPr="00CB32B1" w:rsidRDefault="002C5ECC" w:rsidP="003A7C34">
      <w:pPr>
        <w:pStyle w:val="Majorheading"/>
      </w:pPr>
      <w:r w:rsidRPr="00CB32B1">
        <w:t>Incidence of claims raised</w:t>
      </w:r>
    </w:p>
    <w:p w:rsidR="002C5ECC" w:rsidRPr="00CB32B1" w:rsidRDefault="002C5ECC" w:rsidP="002C5ECC">
      <w:pPr>
        <w:pStyle w:val="PwCNormal"/>
      </w:pPr>
      <w:r w:rsidRPr="00CB32B1">
        <w:t>In terms of the incidents or claims that have arisen, as outlined in Chapter 3, RK Harris declined to provide information on the basis that it was commercial in its nature. This response is in line with those received by the PwC UK report whereby due to the commercially sensitive nature of claims data, insurers were either unwilling or did not feel they were in a position to share information.</w:t>
      </w:r>
      <w:r w:rsidR="005250EF" w:rsidRPr="00CB32B1">
        <w:rPr>
          <w:rStyle w:val="FootnoteReference"/>
        </w:rPr>
        <w:footnoteReference w:id="157"/>
      </w:r>
      <w:r w:rsidRPr="00CB32B1">
        <w:t xml:space="preserve"> Similar to the findings in Chapter 3, the </w:t>
      </w:r>
      <w:r w:rsidR="005250EF">
        <w:t>PwC UK</w:t>
      </w:r>
      <w:r w:rsidR="00551164" w:rsidRPr="00CB32B1">
        <w:t xml:space="preserve"> report</w:t>
      </w:r>
      <w:r w:rsidRPr="00CB32B1">
        <w:t xml:space="preserve"> also identified challenges in using substitutable data including:</w:t>
      </w:r>
      <w:r w:rsidR="008D66F4" w:rsidRPr="00CB32B1">
        <w:rPr>
          <w:vertAlign w:val="superscript"/>
        </w:rPr>
        <w:footnoteReference w:id="158"/>
      </w:r>
    </w:p>
    <w:p w:rsidR="002C5ECC" w:rsidRPr="00CB32B1" w:rsidRDefault="002C5ECC" w:rsidP="003A7C34">
      <w:pPr>
        <w:pStyle w:val="ListBullet"/>
      </w:pPr>
      <w:r w:rsidRPr="00CB32B1">
        <w:rPr>
          <w:b/>
          <w:color w:val="DC6900" w:themeColor="text2"/>
        </w:rPr>
        <w:t>NHS:</w:t>
      </w:r>
      <w:r w:rsidRPr="00CB32B1">
        <w:t xml:space="preserve"> </w:t>
      </w:r>
      <w:r w:rsidR="005250EF">
        <w:t>t</w:t>
      </w:r>
      <w:r w:rsidRPr="00CB32B1">
        <w:t>hat NHS claims data were not captured on a profession level and thus could not be extrapolated for frequency and severity to indepe</w:t>
      </w:r>
      <w:r w:rsidR="00CD0CA9" w:rsidRPr="00CB32B1">
        <w:t>ndent midwives’ NHS claims data</w:t>
      </w:r>
    </w:p>
    <w:p w:rsidR="002C5ECC" w:rsidRPr="00CB32B1" w:rsidRDefault="002C5ECC" w:rsidP="003A7C34">
      <w:pPr>
        <w:pStyle w:val="ListBullet"/>
      </w:pPr>
      <w:r w:rsidRPr="00CB32B1">
        <w:rPr>
          <w:b/>
          <w:color w:val="DC6900" w:themeColor="text2"/>
        </w:rPr>
        <w:t xml:space="preserve">Courts: </w:t>
      </w:r>
      <w:r w:rsidR="005250EF">
        <w:t>t</w:t>
      </w:r>
      <w:r w:rsidRPr="00CB32B1">
        <w:t>hat there was an absence of centralised readily accessible sources on the severity of medical negli</w:t>
      </w:r>
      <w:r w:rsidR="00CD0CA9" w:rsidRPr="00CB32B1">
        <w:t>gence claims through the courts</w:t>
      </w:r>
    </w:p>
    <w:p w:rsidR="002C5ECC" w:rsidRPr="00CB32B1" w:rsidRDefault="002C5ECC" w:rsidP="003A7C34">
      <w:pPr>
        <w:pStyle w:val="ListBullet"/>
      </w:pPr>
      <w:r w:rsidRPr="00CB32B1">
        <w:rPr>
          <w:b/>
          <w:color w:val="DC6900" w:themeColor="text2"/>
        </w:rPr>
        <w:t xml:space="preserve">Private-sector organisations: </w:t>
      </w:r>
      <w:r w:rsidR="005250EF">
        <w:t>t</w:t>
      </w:r>
      <w:r w:rsidRPr="00CB32B1">
        <w:t>hat commercial sensitivity applied preventing the use of relevant</w:t>
      </w:r>
      <w:r w:rsidR="005250EF">
        <w:t xml:space="preserve"> </w:t>
      </w:r>
      <w:r w:rsidRPr="00CB32B1">
        <w:t>data.</w:t>
      </w:r>
    </w:p>
    <w:p w:rsidR="002C5ECC" w:rsidRPr="00CB32B1" w:rsidRDefault="002C5ECC" w:rsidP="003A7C34">
      <w:pPr>
        <w:pStyle w:val="Majorheading"/>
      </w:pPr>
      <w:r w:rsidRPr="00CB32B1">
        <w:t>Enablers of insurance</w:t>
      </w:r>
    </w:p>
    <w:p w:rsidR="002C5ECC" w:rsidRPr="00CB32B1" w:rsidRDefault="002C5ECC" w:rsidP="002C5ECC">
      <w:pPr>
        <w:pStyle w:val="PwCNormal"/>
      </w:pPr>
      <w:r w:rsidRPr="00CB32B1">
        <w:t>Enablers of insurance are aspects of the midwifery practice, or the environment in which they practise, that could increase the likelihood of an insurance product being developed. From consultation with stakeholders in England, key enablers were identified as:</w:t>
      </w:r>
    </w:p>
    <w:p w:rsidR="002C5ECC" w:rsidRPr="00CB32B1" w:rsidRDefault="002C5ECC" w:rsidP="003A7C34">
      <w:pPr>
        <w:pStyle w:val="ListBullet"/>
      </w:pPr>
      <w:r w:rsidRPr="00CB32B1">
        <w:rPr>
          <w:b/>
          <w:color w:val="DC6900" w:themeColor="text2"/>
        </w:rPr>
        <w:t xml:space="preserve">Group practice operating models: </w:t>
      </w:r>
      <w:r w:rsidR="00ED7207">
        <w:t>t</w:t>
      </w:r>
      <w:r w:rsidRPr="00CB32B1">
        <w:t>hat provide an insurance product to a model of group practice</w:t>
      </w:r>
      <w:r w:rsidR="00CD0CA9" w:rsidRPr="00CB32B1">
        <w:t xml:space="preserve"> rather than sole practitioners</w:t>
      </w:r>
    </w:p>
    <w:p w:rsidR="002C5ECC" w:rsidRPr="00CB32B1" w:rsidRDefault="002C5ECC" w:rsidP="003A7C34">
      <w:pPr>
        <w:pStyle w:val="ListBullet"/>
      </w:pPr>
      <w:r w:rsidRPr="00CB32B1">
        <w:rPr>
          <w:b/>
          <w:color w:val="DC6900" w:themeColor="text2"/>
        </w:rPr>
        <w:t xml:space="preserve">‘Supervisor of Midwives’ (SOM) model: </w:t>
      </w:r>
      <w:r w:rsidR="00ED7207">
        <w:t>i</w:t>
      </w:r>
      <w:r w:rsidRPr="00CB32B1">
        <w:t>ncreased monitoring and consultation through assist</w:t>
      </w:r>
      <w:r w:rsidR="00CD0CA9" w:rsidRPr="00CB32B1">
        <w:t>ance from a supervising midwife</w:t>
      </w:r>
    </w:p>
    <w:p w:rsidR="002C5ECC" w:rsidRPr="00CB32B1" w:rsidRDefault="002C5ECC" w:rsidP="003A7C34">
      <w:pPr>
        <w:pStyle w:val="ListBullet"/>
      </w:pPr>
      <w:r w:rsidRPr="00CB32B1">
        <w:rPr>
          <w:b/>
          <w:color w:val="DC6900" w:themeColor="text2"/>
        </w:rPr>
        <w:t>Data quality:</w:t>
      </w:r>
      <w:r w:rsidRPr="00CB32B1">
        <w:t xml:space="preserve"> </w:t>
      </w:r>
      <w:r w:rsidR="00ED7207">
        <w:t>i</w:t>
      </w:r>
      <w:r w:rsidRPr="00CB32B1">
        <w:t>ncreased certainty over the risk profile provided by information on adverse outcomes and actuarial modelling.</w:t>
      </w:r>
    </w:p>
    <w:p w:rsidR="002C5ECC" w:rsidRPr="00CB32B1" w:rsidRDefault="002C5ECC" w:rsidP="003A7C34">
      <w:pPr>
        <w:pStyle w:val="Minorheading"/>
      </w:pPr>
      <w:r w:rsidRPr="00CB32B1">
        <w:t>Group practice operating models</w:t>
      </w:r>
    </w:p>
    <w:p w:rsidR="002C5ECC" w:rsidRPr="00CB32B1" w:rsidRDefault="002C5ECC" w:rsidP="002C5ECC">
      <w:pPr>
        <w:pStyle w:val="PwCNormal"/>
      </w:pPr>
      <w:r w:rsidRPr="00CB32B1">
        <w:t>Having independent midwives practise within groups has been identified by several reviews (particularly the Flaxman report) as being conducive to the development of an insurance product. This is because it is held to reduce the risks borne by the insurer through:</w:t>
      </w:r>
    </w:p>
    <w:p w:rsidR="002C5ECC" w:rsidRPr="00CB32B1" w:rsidRDefault="002C5ECC" w:rsidP="003A7C34">
      <w:pPr>
        <w:pStyle w:val="ListBullet"/>
      </w:pPr>
      <w:r w:rsidRPr="00CB32B1">
        <w:rPr>
          <w:b/>
          <w:color w:val="DC6900" w:themeColor="text2"/>
        </w:rPr>
        <w:t xml:space="preserve">Scale: </w:t>
      </w:r>
      <w:r w:rsidR="00ED7207">
        <w:t>i</w:t>
      </w:r>
      <w:r w:rsidRPr="00CB32B1">
        <w:t>t increases the scale</w:t>
      </w:r>
      <w:r w:rsidR="00CD0CA9" w:rsidRPr="00CB32B1">
        <w:t xml:space="preserve"> to purchase insurance products</w:t>
      </w:r>
    </w:p>
    <w:p w:rsidR="002C5ECC" w:rsidRPr="00CB32B1" w:rsidRDefault="002C5ECC" w:rsidP="003A7C34">
      <w:pPr>
        <w:pStyle w:val="ListBullet"/>
      </w:pPr>
      <w:r w:rsidRPr="00CB32B1">
        <w:rPr>
          <w:b/>
          <w:color w:val="DC6900" w:themeColor="text2"/>
        </w:rPr>
        <w:t xml:space="preserve">Assuring the level of risk and quality: </w:t>
      </w:r>
      <w:r w:rsidR="00ED7207">
        <w:t>t</w:t>
      </w:r>
      <w:r w:rsidRPr="00CB32B1">
        <w:t>his is due to the requirement of the legal entity to be accredited under the risk a</w:t>
      </w:r>
      <w:r w:rsidR="00CD0CA9" w:rsidRPr="00CB32B1">
        <w:t>nd quality standards of the CQC</w:t>
      </w:r>
    </w:p>
    <w:p w:rsidR="002C5ECC" w:rsidRPr="00CB32B1" w:rsidRDefault="002C5ECC" w:rsidP="003A7C34">
      <w:pPr>
        <w:pStyle w:val="ListBullet"/>
      </w:pPr>
      <w:r w:rsidRPr="00CB32B1">
        <w:rPr>
          <w:b/>
          <w:color w:val="DC6900" w:themeColor="text2"/>
        </w:rPr>
        <w:t>Monitoring, governance and collective support:</w:t>
      </w:r>
      <w:r w:rsidRPr="00CB32B1">
        <w:t xml:space="preserve"> </w:t>
      </w:r>
      <w:r w:rsidR="00ED7207">
        <w:t>r</w:t>
      </w:r>
      <w:r w:rsidRPr="00CB32B1">
        <w:t>eviews suggested that a group practice could facilitate the oversight risk management through strong governance and appropriately professional management, as well as supervision or overseeing of the operational conduct and co</w:t>
      </w:r>
      <w:r w:rsidR="00CD0CA9" w:rsidRPr="00CB32B1">
        <w:t>ntrol and standards of practice</w:t>
      </w:r>
    </w:p>
    <w:p w:rsidR="002C5ECC" w:rsidRPr="00CB32B1" w:rsidRDefault="002C5ECC" w:rsidP="003A7C34">
      <w:pPr>
        <w:pStyle w:val="ListBullet"/>
      </w:pPr>
      <w:r w:rsidRPr="00CB32B1">
        <w:rPr>
          <w:b/>
          <w:color w:val="DC6900" w:themeColor="text2"/>
        </w:rPr>
        <w:t xml:space="preserve">Vicarious liability: </w:t>
      </w:r>
      <w:r w:rsidR="00ED7207">
        <w:t>t</w:t>
      </w:r>
      <w:r w:rsidRPr="00CB32B1">
        <w:t>his will be established within a legal entity. As groups are owned and operated by midwives, and there is a shared payment for premiums borne by each midwife in the practice, there may be a vested interest for collective best practice in the group</w:t>
      </w:r>
    </w:p>
    <w:p w:rsidR="002C5ECC" w:rsidRPr="00CB32B1" w:rsidRDefault="002C5ECC" w:rsidP="003A7C34">
      <w:pPr>
        <w:pStyle w:val="ListBullet"/>
      </w:pPr>
      <w:r w:rsidRPr="00CB32B1">
        <w:rPr>
          <w:b/>
          <w:color w:val="DC6900" w:themeColor="text2"/>
        </w:rPr>
        <w:t xml:space="preserve">Improved transfer and access arrangements: </w:t>
      </w:r>
      <w:r w:rsidR="00ED7207">
        <w:t>a</w:t>
      </w:r>
      <w:r w:rsidRPr="00CB32B1">
        <w:t>ccess to NHS resources, and a requirement to also hold contractual arrangements with the Clinical Negligence Scheme for Trusts</w:t>
      </w:r>
      <w:r w:rsidR="003779A5" w:rsidRPr="00CB32B1">
        <w:rPr>
          <w:vertAlign w:val="superscript"/>
        </w:rPr>
        <w:footnoteReference w:id="159"/>
      </w:r>
      <w:r w:rsidRPr="00CB32B1">
        <w:t xml:space="preserve"> operating within the entities practice area to see intrapartum care cover, may assist in reducing the risk of independent midwives operating outside of scope, or not having access to other health professionals to transfer care.</w:t>
      </w:r>
    </w:p>
    <w:p w:rsidR="002C5ECC" w:rsidRPr="00CB32B1" w:rsidRDefault="002C5ECC" w:rsidP="002C5ECC">
      <w:pPr>
        <w:pStyle w:val="PwCNormal"/>
      </w:pPr>
      <w:r w:rsidRPr="00CB32B1">
        <w:t>The role of group practice could be considered further as a potential way to assist in the development of a PII product (see Chapter 5).</w:t>
      </w:r>
    </w:p>
    <w:p w:rsidR="002C5ECC" w:rsidRPr="00CB32B1" w:rsidRDefault="002C5ECC" w:rsidP="00ED0A70">
      <w:pPr>
        <w:pStyle w:val="Minorheading"/>
        <w:spacing w:after="120"/>
      </w:pPr>
      <w:r w:rsidRPr="00CB32B1">
        <w:t>‘Supervisors of Midwives’ model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418"/>
        <w:gridCol w:w="360"/>
        <w:gridCol w:w="3510"/>
      </w:tblGrid>
      <w:tr w:rsidR="00ED0A70" w:rsidRPr="00CB32B1" w:rsidTr="00ED0A70">
        <w:tc>
          <w:tcPr>
            <w:tcW w:w="5418" w:type="dxa"/>
          </w:tcPr>
          <w:p w:rsidR="00ED0A70" w:rsidRPr="00CB32B1" w:rsidRDefault="00ED0A70" w:rsidP="00ED0A70">
            <w:pPr>
              <w:pStyle w:val="PwCNormal"/>
            </w:pPr>
            <w:r w:rsidRPr="00CB32B1">
              <w:t>The ‘Supervisors of Midwives’ (SOM) model</w:t>
            </w:r>
            <w:r w:rsidR="005A6ACA">
              <w:t xml:space="preserve"> is an NHS scheme</w:t>
            </w:r>
            <w:r w:rsidRPr="00CB32B1">
              <w:t xml:space="preserve">, where all midwives have a supervisor </w:t>
            </w:r>
            <w:r w:rsidR="005A6ACA">
              <w:t xml:space="preserve">employed by the NHS </w:t>
            </w:r>
            <w:r w:rsidRPr="00CB32B1">
              <w:t xml:space="preserve">who is an experienced midwife, was believed, in consultations, to assist in the delivery of a more consistent or higher quality of care. In this model, every midwife has a supervisor, whether </w:t>
            </w:r>
            <w:r w:rsidR="002C3E90">
              <w:t>they are a</w:t>
            </w:r>
            <w:r w:rsidRPr="00CB32B1">
              <w:t xml:space="preserve"> part of the NHS or work</w:t>
            </w:r>
            <w:r w:rsidR="002C3E90">
              <w:t xml:space="preserve"> independently or in a</w:t>
            </w:r>
            <w:r w:rsidRPr="00CB32B1">
              <w:t xml:space="preserve"> private maternity unit.</w:t>
            </w:r>
          </w:p>
          <w:p w:rsidR="00ED0A70" w:rsidRPr="00CB32B1" w:rsidRDefault="00ED0A70" w:rsidP="00ED0A70">
            <w:pPr>
              <w:pStyle w:val="PwCNormal"/>
            </w:pPr>
            <w:r w:rsidRPr="00CB32B1">
              <w:t>The supervisor model could provide greater certainty around the practice of midwives for insurers. The supervisor provides clinical supervision of the midwives and aims to ensure that care provided meets the required standards.</w:t>
            </w:r>
          </w:p>
        </w:tc>
        <w:tc>
          <w:tcPr>
            <w:tcW w:w="360" w:type="dxa"/>
          </w:tcPr>
          <w:p w:rsidR="00ED0A70" w:rsidRPr="00CB32B1" w:rsidRDefault="00ED0A70" w:rsidP="00ED0A70">
            <w:pPr>
              <w:pStyle w:val="TableTextNormal"/>
            </w:pPr>
          </w:p>
        </w:tc>
        <w:tc>
          <w:tcPr>
            <w:tcW w:w="3510" w:type="dxa"/>
            <w:shd w:val="clear" w:color="auto" w:fill="DC6900" w:themeFill="text2"/>
            <w:vAlign w:val="center"/>
          </w:tcPr>
          <w:p w:rsidR="00ED0A70" w:rsidRPr="00ED7207" w:rsidRDefault="00ED0A70" w:rsidP="00ED0A70">
            <w:pPr>
              <w:pStyle w:val="TableTextNormal"/>
              <w:rPr>
                <w:b/>
                <w:i/>
                <w:color w:val="FFFFFF" w:themeColor="background1"/>
              </w:rPr>
            </w:pPr>
            <w:r w:rsidRPr="00ED7207">
              <w:rPr>
                <w:b/>
                <w:i/>
                <w:color w:val="FFFFFF" w:themeColor="background1"/>
              </w:rPr>
              <w:t>“Any midwifery service ought to be of a specification and quality standard no less than is provided by the NHS. Anything less than this would be uninsurable... presenting a risk profile for which commercial insurers are unable or unwilling to offer terms.”</w:t>
            </w:r>
          </w:p>
          <w:p w:rsidR="00ED0A70" w:rsidRPr="00CB32B1" w:rsidRDefault="0083432B" w:rsidP="0083432B">
            <w:pPr>
              <w:pStyle w:val="TableTextNormal"/>
              <w:spacing w:before="40" w:after="40"/>
              <w:jc w:val="right"/>
              <w:rPr>
                <w:i/>
                <w:sz w:val="16"/>
                <w:szCs w:val="16"/>
              </w:rPr>
            </w:pPr>
            <w:r w:rsidRPr="00CB32B1">
              <w:rPr>
                <w:i/>
                <w:color w:val="FFFFFF" w:themeColor="background1"/>
                <w:sz w:val="16"/>
                <w:szCs w:val="16"/>
              </w:rPr>
              <w:t>(</w:t>
            </w:r>
            <w:r w:rsidR="00ED0A70" w:rsidRPr="00CB32B1">
              <w:rPr>
                <w:i/>
                <w:color w:val="FFFFFF" w:themeColor="background1"/>
                <w:sz w:val="16"/>
                <w:szCs w:val="16"/>
              </w:rPr>
              <w:t xml:space="preserve">Flaxman Partners, </w:t>
            </w:r>
            <w:r w:rsidRPr="00CB32B1">
              <w:rPr>
                <w:i/>
                <w:color w:val="FFFFFF" w:themeColor="background1"/>
                <w:sz w:val="16"/>
                <w:szCs w:val="16"/>
              </w:rPr>
              <w:t>2011)</w:t>
            </w:r>
          </w:p>
        </w:tc>
      </w:tr>
      <w:tr w:rsidR="00ED0A70" w:rsidRPr="00CB32B1" w:rsidTr="00ED0A70">
        <w:trPr>
          <w:trHeight w:hRule="exact" w:val="86"/>
        </w:trPr>
        <w:tc>
          <w:tcPr>
            <w:tcW w:w="5418" w:type="dxa"/>
          </w:tcPr>
          <w:p w:rsidR="00ED0A70" w:rsidRPr="00CB32B1" w:rsidRDefault="00ED0A70" w:rsidP="00ED0A70">
            <w:pPr>
              <w:pStyle w:val="TableTextNormal"/>
            </w:pPr>
          </w:p>
        </w:tc>
        <w:tc>
          <w:tcPr>
            <w:tcW w:w="360" w:type="dxa"/>
            <w:shd w:val="clear" w:color="auto" w:fill="DC6900" w:themeFill="text2"/>
          </w:tcPr>
          <w:p w:rsidR="00ED0A70" w:rsidRPr="00CB32B1" w:rsidRDefault="00ED0A70" w:rsidP="00ED0A70">
            <w:pPr>
              <w:pStyle w:val="TableTextNormal"/>
            </w:pPr>
          </w:p>
        </w:tc>
        <w:tc>
          <w:tcPr>
            <w:tcW w:w="3510" w:type="dxa"/>
          </w:tcPr>
          <w:p w:rsidR="00ED0A70" w:rsidRPr="00CB32B1" w:rsidRDefault="00ED0A70" w:rsidP="00ED0A70">
            <w:pPr>
              <w:pStyle w:val="TableTextNormal"/>
            </w:pPr>
          </w:p>
        </w:tc>
      </w:tr>
    </w:tbl>
    <w:p w:rsidR="002C5ECC" w:rsidRPr="00CB32B1" w:rsidRDefault="002C5ECC" w:rsidP="00ED0A70">
      <w:pPr>
        <w:pStyle w:val="PwCNormal"/>
        <w:spacing w:before="120"/>
      </w:pPr>
      <w:r w:rsidRPr="00CB32B1">
        <w:t>The supervisor model may be an enabler for insurance because it may provide:</w:t>
      </w:r>
    </w:p>
    <w:p w:rsidR="002C5ECC" w:rsidRPr="00CB32B1" w:rsidRDefault="002C5ECC" w:rsidP="00ED0A70">
      <w:pPr>
        <w:pStyle w:val="ListBullet"/>
      </w:pPr>
      <w:r w:rsidRPr="00CB32B1">
        <w:rPr>
          <w:b/>
          <w:color w:val="DC6900" w:themeColor="text2"/>
        </w:rPr>
        <w:t xml:space="preserve">A source of best practice: </w:t>
      </w:r>
      <w:r w:rsidR="00761517">
        <w:t>t</w:t>
      </w:r>
      <w:r w:rsidRPr="00CB32B1">
        <w:t>he midwife is able to consult with their supervisor if concerned about a woman or birth, and be provided with guidance on best practice actions to taken (including transfers</w:t>
      </w:r>
      <w:r w:rsidR="00CD0CA9" w:rsidRPr="00CB32B1">
        <w:t xml:space="preserve"> to other health care settings)</w:t>
      </w:r>
    </w:p>
    <w:p w:rsidR="002C5ECC" w:rsidRPr="00CB32B1" w:rsidRDefault="002C5ECC" w:rsidP="00ED0A70">
      <w:pPr>
        <w:pStyle w:val="ListBullet"/>
      </w:pPr>
      <w:r w:rsidRPr="00CB32B1">
        <w:rPr>
          <w:b/>
          <w:color w:val="DC6900" w:themeColor="text2"/>
        </w:rPr>
        <w:t xml:space="preserve">Increased monitoring and support: </w:t>
      </w:r>
      <w:r w:rsidR="00761517">
        <w:t>t</w:t>
      </w:r>
      <w:r w:rsidRPr="00CB32B1">
        <w:t>he supervisor may have insights into whether a midwife is meeting standards for care and assist in</w:t>
      </w:r>
      <w:r w:rsidR="00CD0CA9" w:rsidRPr="00CB32B1">
        <w:t xml:space="preserve"> their professional development</w:t>
      </w:r>
    </w:p>
    <w:p w:rsidR="002C5ECC" w:rsidRPr="00CB32B1" w:rsidRDefault="002C5ECC" w:rsidP="002C5ECC">
      <w:pPr>
        <w:pStyle w:val="PwCNormal"/>
      </w:pPr>
      <w:r w:rsidRPr="00CB32B1">
        <w:t>The role of SOM models in Australia should be considered further (see Chapter 5).</w:t>
      </w:r>
    </w:p>
    <w:p w:rsidR="002C5ECC" w:rsidRPr="00CB32B1" w:rsidRDefault="002C5ECC" w:rsidP="00ED0A70">
      <w:pPr>
        <w:pStyle w:val="Minorheading"/>
      </w:pPr>
      <w:r w:rsidRPr="00CB32B1">
        <w:t>Evidence of incidents and insurance claims</w:t>
      </w:r>
    </w:p>
    <w:p w:rsidR="002C5ECC" w:rsidRPr="00CB32B1" w:rsidRDefault="002C5ECC" w:rsidP="005D627A">
      <w:pPr>
        <w:pStyle w:val="PwCNormal"/>
      </w:pPr>
      <w:r w:rsidRPr="00CB32B1">
        <w:t>Previously, data and information on independent midwifery have been difficult to obtain in England, which has impeded the ability of insurers to understand the risk profile of these midwives. Similar to Australia, due to the small size of practice independent to public health services, specific data have not been collected.</w:t>
      </w:r>
      <w:r w:rsidR="003A2DF6" w:rsidRPr="00CB32B1">
        <w:rPr>
          <w:rStyle w:val="FootnoteReference"/>
        </w:rPr>
        <w:footnoteReference w:id="160"/>
      </w:r>
      <w:r w:rsidRPr="00CB32B1">
        <w:t xml:space="preserve"> This meant that data could not be separated between maternity service health professionals, or more specifically, between NHS and independent midwives.</w:t>
      </w:r>
      <w:r w:rsidR="003A2DF6" w:rsidRPr="00CB32B1">
        <w:rPr>
          <w:rStyle w:val="FootnoteReference"/>
        </w:rPr>
        <w:footnoteReference w:id="161"/>
      </w:r>
      <w:r w:rsidR="005D627A">
        <w:t xml:space="preserve"> </w:t>
      </w:r>
      <w:r w:rsidRPr="00CB32B1">
        <w:t>Stakeholders identified more recent improvements in both incidence data and actuarial modelling, which have been linked to the development of an insurance product.</w:t>
      </w:r>
    </w:p>
    <w:p w:rsidR="002C5ECC" w:rsidRPr="00CB32B1" w:rsidRDefault="002C5ECC" w:rsidP="00ED0A70">
      <w:pPr>
        <w:pStyle w:val="Minorheading2"/>
      </w:pPr>
      <w:r w:rsidRPr="00CB32B1">
        <w:t>The Birthplace national prospective cohort study</w:t>
      </w:r>
    </w:p>
    <w:p w:rsidR="002C5ECC" w:rsidRPr="00CB32B1" w:rsidRDefault="002C5ECC" w:rsidP="002C5ECC">
      <w:pPr>
        <w:pStyle w:val="PwCNormal"/>
      </w:pPr>
      <w:r w:rsidRPr="00CB32B1">
        <w:t>This study, conducted as a partnership between the National Perinatal Epidemiology Unit, NHS Trusts, RCM and universities, sought to research perinatal and maternal outcomes by the planned place of birth.</w:t>
      </w:r>
      <w:r w:rsidR="003A2DF6" w:rsidRPr="00CB32B1">
        <w:rPr>
          <w:vertAlign w:val="superscript"/>
        </w:rPr>
        <w:footnoteReference w:id="162"/>
      </w:r>
      <w:r w:rsidRPr="00CB32B1">
        <w:t xml:space="preserve"> Focusing on NHS services (not independent midwifery), the study collected and compared data from every NHS trust providing homebirth services in England, every freestanding midwifery unit (FMU), alongside midwifery units (AMU) and a random sample of 37 obstetric units</w:t>
      </w:r>
      <w:r w:rsidR="00761517">
        <w:t xml:space="preserve"> </w:t>
      </w:r>
      <w:r w:rsidRPr="00CB32B1">
        <w:t>(OUs).</w:t>
      </w:r>
    </w:p>
    <w:p w:rsidR="002C5ECC" w:rsidRPr="00CB32B1" w:rsidRDefault="002C5ECC" w:rsidP="002C5ECC">
      <w:pPr>
        <w:pStyle w:val="PwCNormal"/>
      </w:pPr>
      <w:r w:rsidRPr="00CB32B1">
        <w:t>In summary, the findings (see Appendix J) indicated that the overall incidence of adverse perinatal outcomes</w:t>
      </w:r>
      <w:r w:rsidR="003A2DF6" w:rsidRPr="00CB32B1">
        <w:rPr>
          <w:rStyle w:val="FootnoteReference"/>
        </w:rPr>
        <w:footnoteReference w:id="163"/>
      </w:r>
      <w:r w:rsidRPr="00CB32B1">
        <w:t xml:space="preserve"> was low in all settings. For </w:t>
      </w:r>
      <w:r w:rsidR="005A16C9" w:rsidRPr="00CB32B1">
        <w:t>multi</w:t>
      </w:r>
      <w:r w:rsidR="00FF77BD">
        <w:t>paro</w:t>
      </w:r>
      <w:r w:rsidR="005A16C9" w:rsidRPr="00CB32B1">
        <w:t>us</w:t>
      </w:r>
      <w:r w:rsidRPr="00CB32B1">
        <w:t xml:space="preserve"> women,</w:t>
      </w:r>
      <w:r w:rsidR="003A2DF6" w:rsidRPr="00CB32B1">
        <w:rPr>
          <w:rStyle w:val="FootnoteReference"/>
        </w:rPr>
        <w:footnoteReference w:id="164"/>
      </w:r>
      <w:r w:rsidRPr="00CB32B1">
        <w:t xml:space="preserve"> there were no statistically significant differences in perinatal outcomes between birth settings, while adverse outcomes were more likely (although low) only for nulliparous women</w:t>
      </w:r>
      <w:r w:rsidR="003A2DF6" w:rsidRPr="00CB32B1">
        <w:rPr>
          <w:rStyle w:val="FootnoteReference"/>
        </w:rPr>
        <w:footnoteReference w:id="165"/>
      </w:r>
      <w:r w:rsidRPr="00CB32B1">
        <w:t xml:space="preserve"> in homebirth settings. On the other hand, for multiparous women the perinatal outcomes were not statistically significant across settings of birth. Adverse maternal outcomes</w:t>
      </w:r>
      <w:r w:rsidR="003A2DF6" w:rsidRPr="00CB32B1">
        <w:rPr>
          <w:rStyle w:val="FootnoteReference"/>
        </w:rPr>
        <w:footnoteReference w:id="166"/>
      </w:r>
      <w:r w:rsidRPr="00CB32B1">
        <w:t xml:space="preserve"> tended to occur less frequently in the home and FMU groups.</w:t>
      </w:r>
    </w:p>
    <w:p w:rsidR="002C5ECC" w:rsidRPr="00CB32B1" w:rsidRDefault="002C5ECC" w:rsidP="002C5ECC">
      <w:pPr>
        <w:pStyle w:val="PwCNormal"/>
      </w:pPr>
      <w:r w:rsidRPr="00CB32B1">
        <w:t>This type of information, along with strong national clinical guidelines (National Institute for Health and Clinical Excellence (NICE)) and national quality standards (CQC) were identified by stakeholders as assisting insurers to mitigate potential adverse outcomes and could assist in reducing the risk profile of PPMs.</w:t>
      </w:r>
      <w:r w:rsidR="003A2DF6" w:rsidRPr="00CB32B1">
        <w:rPr>
          <w:rStyle w:val="FootnoteReference"/>
        </w:rPr>
        <w:footnoteReference w:id="167"/>
      </w:r>
      <w:r w:rsidRPr="00CB32B1">
        <w:t xml:space="preserve"> In particular being a collective independent study</w:t>
      </w:r>
      <w:r w:rsidR="008D66F4">
        <w:t xml:space="preserve"> appears to have</w:t>
      </w:r>
      <w:r w:rsidRPr="00CB32B1">
        <w:t xml:space="preserve"> provided </w:t>
      </w:r>
      <w:r w:rsidR="008D66F4">
        <w:t>this report</w:t>
      </w:r>
      <w:r w:rsidRPr="00CB32B1">
        <w:t xml:space="preserve"> with a level of creditability relative to other prior studies. Completing a similar exercise in Australia, supported by strong risk and quality frameworks may provide assistance in addressing the perceived risk profile</w:t>
      </w:r>
      <w:r w:rsidR="005D627A">
        <w:t xml:space="preserve"> and establish meaningful safety and quality guidelines for PPPMs</w:t>
      </w:r>
      <w:r w:rsidRPr="00CB32B1">
        <w:t>.</w:t>
      </w:r>
    </w:p>
    <w:p w:rsidR="002C5ECC" w:rsidRPr="00CB32B1" w:rsidRDefault="002C5ECC" w:rsidP="00ED0A70">
      <w:pPr>
        <w:pStyle w:val="Minorheading2"/>
      </w:pPr>
      <w:r w:rsidRPr="00CB32B1">
        <w:t>Insurance actuarial modelling</w:t>
      </w:r>
    </w:p>
    <w:p w:rsidR="002C5ECC" w:rsidRPr="00CB32B1" w:rsidRDefault="002C5ECC" w:rsidP="002C5ECC">
      <w:pPr>
        <w:pStyle w:val="PwCNormal"/>
      </w:pPr>
      <w:r w:rsidRPr="00CB32B1">
        <w:t>An actuarial computation is a complex calculation involving a variety of variables and assumptions to determine the funding requirement for a plan. The commercial provider RK Harris assessed that in England, based on insurance actuarial modelling, private practice midwifery could be insurable.</w:t>
      </w:r>
    </w:p>
    <w:p w:rsidR="002C5ECC" w:rsidRPr="00CB32B1" w:rsidRDefault="002C5ECC" w:rsidP="002C5ECC">
      <w:pPr>
        <w:pStyle w:val="PwCNormal"/>
      </w:pPr>
      <w:r w:rsidRPr="00CB32B1">
        <w:t xml:space="preserve">In order to develop its insurance product, RK Harris was required to overcome various limitations in available data similar to that seen in Australia. These limitations included that: </w:t>
      </w:r>
    </w:p>
    <w:p w:rsidR="002C5ECC" w:rsidRPr="00CB32B1" w:rsidRDefault="00FF77BD" w:rsidP="00ED0A70">
      <w:pPr>
        <w:pStyle w:val="ListBullet"/>
      </w:pPr>
      <w:r>
        <w:t>d</w:t>
      </w:r>
      <w:r w:rsidR="002C5ECC" w:rsidRPr="00CB32B1">
        <w:t>ata are aggregated for all maternity health service professionals (</w:t>
      </w:r>
      <w:r w:rsidR="00854DEF" w:rsidRPr="00CB32B1">
        <w:t>eg</w:t>
      </w:r>
      <w:r w:rsidR="002C5ECC" w:rsidRPr="00CB32B1">
        <w:t xml:space="preserve"> obstetricians and</w:t>
      </w:r>
      <w:r>
        <w:t xml:space="preserve"> </w:t>
      </w:r>
      <w:r w:rsidR="002C5ECC" w:rsidRPr="00CB32B1">
        <w:t>midwives)</w:t>
      </w:r>
    </w:p>
    <w:p w:rsidR="002C5ECC" w:rsidRPr="00CB32B1" w:rsidRDefault="00FF77BD" w:rsidP="00ED0A70">
      <w:pPr>
        <w:pStyle w:val="ListBullet"/>
      </w:pPr>
      <w:r>
        <w:t>d</w:t>
      </w:r>
      <w:r w:rsidR="002C5ECC" w:rsidRPr="00CB32B1">
        <w:t>ata are aggregated for all health service settings (</w:t>
      </w:r>
      <w:r w:rsidR="00854DEF" w:rsidRPr="00CB32B1">
        <w:t>eg</w:t>
      </w:r>
      <w:r w:rsidR="002C5ECC" w:rsidRPr="00CB32B1">
        <w:t xml:space="preserve"> FMU, AMU, OUs, home)</w:t>
      </w:r>
    </w:p>
    <w:p w:rsidR="002C5ECC" w:rsidRPr="00CB32B1" w:rsidRDefault="00FF77BD" w:rsidP="00ED0A70">
      <w:pPr>
        <w:pStyle w:val="ListBullet"/>
      </w:pPr>
      <w:r>
        <w:t>d</w:t>
      </w:r>
      <w:r w:rsidR="002C5ECC" w:rsidRPr="00CB32B1">
        <w:t>ata are only available for NHS settings.</w:t>
      </w:r>
      <w:r w:rsidR="00C43889" w:rsidRPr="00CB32B1">
        <w:rPr>
          <w:vertAlign w:val="superscript"/>
        </w:rPr>
        <w:footnoteReference w:id="168"/>
      </w:r>
    </w:p>
    <w:p w:rsidR="002C5ECC" w:rsidRPr="00CB32B1" w:rsidRDefault="002C5ECC" w:rsidP="002C5ECC">
      <w:pPr>
        <w:pStyle w:val="PwCNormal"/>
      </w:pPr>
      <w:r w:rsidRPr="00CB32B1">
        <w:t xml:space="preserve">One of the biggest barriers was </w:t>
      </w:r>
      <w:r w:rsidR="008D66F4">
        <w:t xml:space="preserve">felt to be </w:t>
      </w:r>
      <w:r w:rsidRPr="00CB32B1">
        <w:t>one of perception. Insurers “perceive[d] the risk presented by midwifery in the same light as they do that of obstetrics and gynaecology... which are known for being the highest cost to the NHS in terms of clinical litigation and awards of damages”.</w:t>
      </w:r>
      <w:r w:rsidR="00C43889" w:rsidRPr="00CB32B1">
        <w:rPr>
          <w:rStyle w:val="FootnoteReference"/>
        </w:rPr>
        <w:footnoteReference w:id="169"/>
      </w:r>
      <w:r w:rsidRPr="00CB32B1">
        <w:t xml:space="preserve"> The solution that RK Harris identified included that they were able to use the NHS and National Audit Office data as a substitute to independent midwifery data and were able to separate out midwifery and obstetrics data over 35 years. They also interpreted adverse outcomes attributable to birth in a different manner in comparison with other insurers. These, along with the product features and enablers outlined previously, allowed them to sufficiently reduce the risk profile of independent midwives and offer insurance to midwives.</w:t>
      </w:r>
    </w:p>
    <w:p w:rsidR="002C5ECC" w:rsidRPr="00CB32B1" w:rsidRDefault="002C5ECC" w:rsidP="00C14097">
      <w:pPr>
        <w:pStyle w:val="Heading6"/>
      </w:pPr>
      <w:bookmarkStart w:id="46" w:name="_Toc362975057"/>
      <w:r w:rsidRPr="00CB32B1">
        <w:t>The province of Ontario</w:t>
      </w:r>
      <w:r w:rsidR="008D66F4">
        <w:t>, Canada</w:t>
      </w:r>
      <w:bookmarkEnd w:id="46"/>
    </w:p>
    <w:p w:rsidR="002C5ECC" w:rsidRPr="00CB32B1" w:rsidRDefault="002C5ECC" w:rsidP="00C14097">
      <w:pPr>
        <w:pStyle w:val="Majorheading"/>
      </w:pPr>
      <w:r w:rsidRPr="00CB32B1">
        <w:t>Homebirth at a glance</w:t>
      </w:r>
    </w:p>
    <w:p w:rsidR="002C5ECC" w:rsidRPr="00CB32B1" w:rsidRDefault="002C5ECC" w:rsidP="002C5ECC">
      <w:pPr>
        <w:pStyle w:val="PwCNormal"/>
      </w:pPr>
      <w:r w:rsidRPr="00CB32B1">
        <w:t>It was identified that the practice of midwifery, and the environment in which midwives practise, varies between provinces in Canada. As a result, for the purposes of this report, research was focused on the largest province, Ontario.</w:t>
      </w:r>
    </w:p>
    <w:p w:rsidR="002C5ECC" w:rsidRPr="00CB32B1" w:rsidRDefault="002C5ECC" w:rsidP="002C5ECC">
      <w:pPr>
        <w:pStyle w:val="PwCNormal"/>
      </w:pPr>
      <w:r w:rsidRPr="00CB32B1">
        <w:t xml:space="preserve">Up until the </w:t>
      </w:r>
      <w:r w:rsidRPr="00CB32B1">
        <w:rPr>
          <w:i/>
        </w:rPr>
        <w:t>Ontario Midwifery Act of 1993</w:t>
      </w:r>
      <w:r w:rsidRPr="00CB32B1">
        <w:t>, midwifery in the province of Ontario was “illegal”.</w:t>
      </w:r>
      <w:r w:rsidR="00C43889" w:rsidRPr="00CB32B1">
        <w:rPr>
          <w:rStyle w:val="FootnoteReference"/>
        </w:rPr>
        <w:footnoteReference w:id="170"/>
      </w:r>
      <w:r w:rsidR="00C43889" w:rsidRPr="00CB32B1">
        <w:t xml:space="preserve"> </w:t>
      </w:r>
      <w:r w:rsidRPr="00CB32B1">
        <w:t>Subsequent to the Act, midwives were able to act as an autonomous health profession, regulated through the College of Midwives of Ontario (CMO) and receive training through university programs.</w:t>
      </w:r>
      <w:r w:rsidR="00C43889" w:rsidRPr="00CB32B1">
        <w:rPr>
          <w:rStyle w:val="FootnoteReference"/>
        </w:rPr>
        <w:footnoteReference w:id="171"/>
      </w:r>
    </w:p>
    <w:p w:rsidR="002C5ECC" w:rsidRPr="00CB32B1" w:rsidRDefault="002C5ECC" w:rsidP="002C5ECC">
      <w:pPr>
        <w:pStyle w:val="PwCNormal"/>
      </w:pPr>
      <w:r w:rsidRPr="00CB32B1">
        <w:t>As a result, the numbers of midwives practising in the province of Ontario have been steadily increasing</w:t>
      </w:r>
      <w:r w:rsidR="008D66F4">
        <w:t xml:space="preserve"> since 2003</w:t>
      </w:r>
      <w:r w:rsidRPr="00CB32B1">
        <w:t xml:space="preserve">. In 2009–10, there were 405 midwives recorded, an increase of 58% from 2003–04 when there were 256 midwives. The number of births has also been increasing, with the proportion of homebirths remaining relatively constant between 20–25% of total births, as shown in </w:t>
      </w:r>
      <w:r w:rsidR="009129A6" w:rsidRPr="00CB32B1">
        <w:fldChar w:fldCharType="begin"/>
      </w:r>
      <w:r w:rsidR="00EB2051" w:rsidRPr="00CB32B1">
        <w:instrText xml:space="preserve"> REF _Ref361223613 \h </w:instrText>
      </w:r>
      <w:r w:rsidR="009129A6" w:rsidRPr="00CB32B1">
        <w:fldChar w:fldCharType="separate"/>
      </w:r>
      <w:r w:rsidR="008816B4" w:rsidRPr="00CB32B1">
        <w:t xml:space="preserve">Figure </w:t>
      </w:r>
      <w:r w:rsidR="008816B4">
        <w:rPr>
          <w:noProof/>
        </w:rPr>
        <w:t>13</w:t>
      </w:r>
      <w:r w:rsidR="009129A6" w:rsidRPr="00CB32B1">
        <w:fldChar w:fldCharType="end"/>
      </w:r>
      <w:r w:rsidRPr="00CB32B1">
        <w:t>.</w:t>
      </w:r>
    </w:p>
    <w:p w:rsidR="00C14097" w:rsidRPr="00CB32B1" w:rsidRDefault="00C14097" w:rsidP="00270634">
      <w:pPr>
        <w:pStyle w:val="NumericCaption"/>
      </w:pPr>
      <w:bookmarkStart w:id="47" w:name="_Ref361223613"/>
      <w:r w:rsidRPr="00CB32B1">
        <w:t xml:space="preserve">Figure </w:t>
      </w:r>
      <w:r w:rsidR="009129A6" w:rsidRPr="00CB32B1">
        <w:fldChar w:fldCharType="begin"/>
      </w:r>
      <w:r w:rsidR="00D16456" w:rsidRPr="00CB32B1">
        <w:instrText xml:space="preserve"> SEQ Figure \* ARABIC </w:instrText>
      </w:r>
      <w:r w:rsidR="009129A6" w:rsidRPr="00CB32B1">
        <w:fldChar w:fldCharType="separate"/>
      </w:r>
      <w:r w:rsidR="008816B4">
        <w:rPr>
          <w:noProof/>
        </w:rPr>
        <w:t>13</w:t>
      </w:r>
      <w:r w:rsidR="009129A6" w:rsidRPr="00CB32B1">
        <w:fldChar w:fldCharType="end"/>
      </w:r>
      <w:bookmarkEnd w:id="47"/>
      <w:r w:rsidRPr="00CB32B1">
        <w:t>: Total births by midwives and proportion as homebirths in Ontario province, Canada (2003–2010)</w:t>
      </w:r>
    </w:p>
    <w:p w:rsidR="002C5ECC" w:rsidRPr="00CB32B1" w:rsidRDefault="007B421B" w:rsidP="001D38DA">
      <w:pPr>
        <w:pStyle w:val="PwCNormal"/>
        <w:jc w:val="center"/>
      </w:pPr>
      <w:r w:rsidRPr="001E2724">
        <w:rPr>
          <w:noProof/>
          <w:lang w:val="en-US"/>
        </w:rPr>
        <w:drawing>
          <wp:inline distT="0" distB="0" distL="0" distR="0">
            <wp:extent cx="4228481" cy="2310009"/>
            <wp:effectExtent l="0" t="0" r="635"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31401" cy="2311604"/>
                    </a:xfrm>
                    <a:prstGeom prst="rect">
                      <a:avLst/>
                    </a:prstGeom>
                    <a:noFill/>
                    <a:ln>
                      <a:noFill/>
                    </a:ln>
                  </pic:spPr>
                </pic:pic>
              </a:graphicData>
            </a:graphic>
          </wp:inline>
        </w:drawing>
      </w:r>
    </w:p>
    <w:p w:rsidR="00FA152C" w:rsidRPr="00CB32B1" w:rsidRDefault="00FA152C" w:rsidP="00FA152C">
      <w:pPr>
        <w:pStyle w:val="Sources"/>
        <w:spacing w:after="40"/>
      </w:pPr>
      <w:r w:rsidRPr="00CB32B1">
        <w:rPr>
          <w:b/>
        </w:rPr>
        <w:t xml:space="preserve">Note: </w:t>
      </w:r>
      <w:r w:rsidRPr="00CB32B1">
        <w:t>Data is the property of HIROC and is not to be used for any other purpose than this research.</w:t>
      </w:r>
    </w:p>
    <w:p w:rsidR="002C5ECC" w:rsidRPr="00CB32B1" w:rsidRDefault="002C5ECC" w:rsidP="00C14097">
      <w:pPr>
        <w:pStyle w:val="Sources"/>
      </w:pPr>
      <w:r w:rsidRPr="00CB32B1">
        <w:rPr>
          <w:b/>
        </w:rPr>
        <w:t xml:space="preserve">Source: </w:t>
      </w:r>
      <w:r w:rsidRPr="00CB32B1">
        <w:t xml:space="preserve">HIROC, </w:t>
      </w:r>
      <w:r w:rsidR="00E2776C" w:rsidRPr="00CB32B1">
        <w:t xml:space="preserve">Personal communication </w:t>
      </w:r>
      <w:r w:rsidRPr="00CB32B1">
        <w:t>2013.</w:t>
      </w:r>
    </w:p>
    <w:p w:rsidR="002C5ECC" w:rsidRPr="00CB32B1" w:rsidRDefault="002C5ECC" w:rsidP="002C5ECC">
      <w:pPr>
        <w:pStyle w:val="PwCNormal"/>
      </w:pPr>
      <w:r w:rsidRPr="00CB32B1">
        <w:t>All midwives in the province of Ontario are classified as ‘independent’. This means that they work within independent group practices, and are not employees of health services (</w:t>
      </w:r>
      <w:r w:rsidR="00854DEF" w:rsidRPr="00CB32B1">
        <w:t>eg</w:t>
      </w:r>
      <w:r w:rsidRPr="00CB32B1">
        <w:t xml:space="preserve"> hospitals). In 2010, there were 76 midwifery practices registered.</w:t>
      </w:r>
      <w:r w:rsidR="00D53B19" w:rsidRPr="00CB32B1">
        <w:rPr>
          <w:rStyle w:val="FootnoteReference"/>
        </w:rPr>
        <w:footnoteReference w:id="172"/>
      </w:r>
      <w:r w:rsidRPr="00CB32B1">
        <w:t xml:space="preserve"> Maternity services in the province of Ontario are free as they are funded by the Ontario Ministry of Health and Long-Term Care. This means that different practice settings are not differentiated based on cost of service. Midwives are paid for on the basis of all the care that is given rather than on a fee-for-service basis.</w:t>
      </w:r>
      <w:r w:rsidR="00D53B19" w:rsidRPr="00CB32B1">
        <w:rPr>
          <w:rStyle w:val="FootnoteReference"/>
        </w:rPr>
        <w:footnoteReference w:id="173"/>
      </w:r>
    </w:p>
    <w:p w:rsidR="002C5ECC" w:rsidRPr="00CB32B1" w:rsidRDefault="002C5ECC" w:rsidP="002C5ECC">
      <w:pPr>
        <w:pStyle w:val="PwCNormal"/>
      </w:pPr>
      <w:r w:rsidRPr="00CB32B1">
        <w:t>Key registration requirements with the College of Midwives of Ontario include that midwives</w:t>
      </w:r>
      <w:r w:rsidR="00D53B19" w:rsidRPr="00CB32B1">
        <w:br/>
      </w:r>
      <w:r w:rsidRPr="00CB32B1">
        <w:t>must:</w:t>
      </w:r>
      <w:r w:rsidR="00D53B19" w:rsidRPr="00CB32B1">
        <w:rPr>
          <w:rStyle w:val="FootnoteReference"/>
        </w:rPr>
        <w:footnoteReference w:id="174"/>
      </w:r>
      <w:r w:rsidRPr="00CB32B1">
        <w:rPr>
          <w:vertAlign w:val="superscript"/>
        </w:rPr>
        <w:t>,</w:t>
      </w:r>
      <w:r w:rsidRPr="00CB32B1">
        <w:t xml:space="preserve"> </w:t>
      </w:r>
      <w:r w:rsidR="00D53B19" w:rsidRPr="00CB32B1">
        <w:rPr>
          <w:rStyle w:val="FootnoteReference"/>
        </w:rPr>
        <w:footnoteReference w:id="175"/>
      </w:r>
    </w:p>
    <w:p w:rsidR="002C5ECC" w:rsidRPr="00CB32B1" w:rsidRDefault="002C5ECC" w:rsidP="00C14097">
      <w:pPr>
        <w:pStyle w:val="ListBullet"/>
      </w:pPr>
      <w:r w:rsidRPr="00CB32B1">
        <w:rPr>
          <w:b/>
          <w:color w:val="DC6900" w:themeColor="text2"/>
        </w:rPr>
        <w:t xml:space="preserve">Attend both hospital and homebirths: </w:t>
      </w:r>
      <w:r w:rsidR="007272F4">
        <w:t>i</w:t>
      </w:r>
      <w:r w:rsidRPr="00CB32B1">
        <w:t>n order to maintain registration, a minimum number of births m</w:t>
      </w:r>
      <w:r w:rsidR="00CD0CA9" w:rsidRPr="00CB32B1">
        <w:t>ust be attended in each setting</w:t>
      </w:r>
    </w:p>
    <w:p w:rsidR="002C5ECC" w:rsidRPr="00CB32B1" w:rsidRDefault="002C5ECC" w:rsidP="00C14097">
      <w:pPr>
        <w:pStyle w:val="ListBullet"/>
      </w:pPr>
      <w:r w:rsidRPr="00CB32B1">
        <w:rPr>
          <w:b/>
          <w:color w:val="DC6900" w:themeColor="text2"/>
        </w:rPr>
        <w:t xml:space="preserve">Provide continuity of care: </w:t>
      </w:r>
      <w:r w:rsidR="007272F4">
        <w:t>t</w:t>
      </w:r>
      <w:r w:rsidRPr="00CB32B1">
        <w:t>hey are required to provide full service to their clients in all trimesters, throughout labour and birth and for six weeks postpartum. This means that women often will not see any other health care pract</w:t>
      </w:r>
      <w:r w:rsidR="00CD0CA9" w:rsidRPr="00CB32B1">
        <w:t>itioner during this care period</w:t>
      </w:r>
    </w:p>
    <w:p w:rsidR="002C5ECC" w:rsidRPr="00CB32B1" w:rsidRDefault="002C5ECC" w:rsidP="00C14097">
      <w:pPr>
        <w:pStyle w:val="ListBullet"/>
      </w:pPr>
      <w:r w:rsidRPr="00CB32B1">
        <w:rPr>
          <w:b/>
          <w:color w:val="DC6900" w:themeColor="text2"/>
        </w:rPr>
        <w:t>Hold access arrangements in at least one hospital:</w:t>
      </w:r>
      <w:r w:rsidRPr="00CB32B1">
        <w:t xml:space="preserve"> </w:t>
      </w:r>
      <w:r w:rsidR="007272F4">
        <w:t>t</w:t>
      </w:r>
      <w:r w:rsidRPr="00CB32B1">
        <w:t xml:space="preserve">his is to allow the midwife to continue to provide care for the woman and baby. This allows the midwife to be able to admit and discharge a woman and care for her </w:t>
      </w:r>
      <w:r w:rsidR="00CD0CA9" w:rsidRPr="00CB32B1">
        <w:t>fully within the health service</w:t>
      </w:r>
    </w:p>
    <w:p w:rsidR="002C5ECC" w:rsidRPr="00CB32B1" w:rsidRDefault="002C5ECC" w:rsidP="00C14097">
      <w:pPr>
        <w:pStyle w:val="ListBullet"/>
      </w:pPr>
      <w:r w:rsidRPr="00CB32B1">
        <w:rPr>
          <w:b/>
          <w:color w:val="DC6900" w:themeColor="text2"/>
        </w:rPr>
        <w:t xml:space="preserve">Be a member of the Association of Ontario Midwives: </w:t>
      </w:r>
      <w:r w:rsidR="007272F4">
        <w:t>t</w:t>
      </w:r>
      <w:r w:rsidRPr="00CB32B1">
        <w:t>his is to maintain safety, quality and competency standards</w:t>
      </w:r>
    </w:p>
    <w:p w:rsidR="002C5ECC" w:rsidRPr="00CB32B1" w:rsidRDefault="002C5ECC" w:rsidP="00C14097">
      <w:pPr>
        <w:pStyle w:val="ListBullet"/>
      </w:pPr>
      <w:r w:rsidRPr="00CB32B1">
        <w:rPr>
          <w:b/>
          <w:color w:val="DC6900" w:themeColor="text2"/>
        </w:rPr>
        <w:t xml:space="preserve">Hold </w:t>
      </w:r>
      <w:r w:rsidR="008D66F4">
        <w:rPr>
          <w:b/>
          <w:color w:val="DC6900" w:themeColor="text2"/>
        </w:rPr>
        <w:t>professional indemnity insurance</w:t>
      </w:r>
      <w:r w:rsidRPr="00CB32B1">
        <w:t>.</w:t>
      </w:r>
    </w:p>
    <w:p w:rsidR="002C5ECC" w:rsidRPr="00CB32B1" w:rsidRDefault="002C5ECC" w:rsidP="002C5ECC">
      <w:pPr>
        <w:pStyle w:val="PwCNormal"/>
      </w:pPr>
      <w:r w:rsidRPr="00CB32B1">
        <w:t xml:space="preserve">As identified above, registration to practise as a midwife with the College of Midwives of Ontario requires membership with the Association of Ontario Midwives. The Association of Ontario Midwives is a professional organisation that represents and advocates for midwives, provides midwives with support and continuing professional development, clinical guidelines and frameworks for care (there are currently 11 frameworks), as well as </w:t>
      </w:r>
      <w:r w:rsidR="00E25231">
        <w:t>PII</w:t>
      </w:r>
      <w:r w:rsidRPr="00CB32B1">
        <w:t>.</w:t>
      </w:r>
      <w:r w:rsidR="00D53B19" w:rsidRPr="00CB32B1">
        <w:rPr>
          <w:rStyle w:val="FootnoteReference"/>
        </w:rPr>
        <w:footnoteReference w:id="176"/>
      </w:r>
    </w:p>
    <w:p w:rsidR="002C5ECC" w:rsidRPr="00CB32B1" w:rsidRDefault="002C5ECC" w:rsidP="00C14097">
      <w:pPr>
        <w:pStyle w:val="Majorheading"/>
      </w:pPr>
      <w:r w:rsidRPr="00CB32B1">
        <w:t>Insurance history</w:t>
      </w:r>
    </w:p>
    <w:p w:rsidR="002C5ECC" w:rsidRPr="00CB32B1" w:rsidRDefault="002C5ECC" w:rsidP="002C5ECC">
      <w:pPr>
        <w:pStyle w:val="PwCNormal"/>
      </w:pPr>
      <w:r w:rsidRPr="00CB32B1">
        <w:t>It was recognised by The Interim Regulatory Council on Midwifery (IRCM)</w:t>
      </w:r>
      <w:r w:rsidR="00D53B19" w:rsidRPr="00CB32B1">
        <w:rPr>
          <w:rStyle w:val="FootnoteReference"/>
        </w:rPr>
        <w:footnoteReference w:id="177"/>
      </w:r>
      <w:r w:rsidRPr="00CB32B1">
        <w:t xml:space="preserve"> that all midwives should be covered individually by PII, and this was mandated as a requirement of registration by the College of Midwives of Ontario.</w:t>
      </w:r>
      <w:r w:rsidR="00D53B19" w:rsidRPr="00CB32B1">
        <w:rPr>
          <w:rStyle w:val="FootnoteReference"/>
        </w:rPr>
        <w:footnoteReference w:id="178"/>
      </w:r>
      <w:r w:rsidRPr="00CB32B1">
        <w:t xml:space="preserve"> As a result, upon the recognition of midwives in 1993, PII was provided during the 1990s by two commercial insurers.</w:t>
      </w:r>
      <w:r w:rsidR="00D53B19" w:rsidRPr="00CB32B1">
        <w:rPr>
          <w:rStyle w:val="FootnoteReference"/>
        </w:rPr>
        <w:footnoteReference w:id="179"/>
      </w:r>
      <w:r w:rsidRPr="00CB32B1">
        <w:t xml:space="preserve"> However, these insurers exited the market following the events of September 11th as that event had a significant impact on the insurance market.</w:t>
      </w:r>
      <w:r w:rsidR="00D53B19" w:rsidRPr="00CB32B1">
        <w:rPr>
          <w:rStyle w:val="FootnoteReference"/>
        </w:rPr>
        <w:footnoteReference w:id="180"/>
      </w:r>
      <w:r w:rsidRPr="00CB32B1">
        <w:t xml:space="preserve"> However, in 2001, the Association of Ontario Midwives approached the Healthcare Insurance Reciprocal of Canada</w:t>
      </w:r>
      <w:r w:rsidR="007272F4">
        <w:t xml:space="preserve"> </w:t>
      </w:r>
      <w:r w:rsidRPr="00CB32B1">
        <w:t xml:space="preserve">(HIROC), which commenced providing insurance in 2003 </w:t>
      </w:r>
      <w:r w:rsidR="008D66F4">
        <w:t xml:space="preserve">to midwives, </w:t>
      </w:r>
      <w:r w:rsidRPr="00CB32B1">
        <w:t>on the basis that the profession was</w:t>
      </w:r>
      <w:r w:rsidR="007272F4">
        <w:t xml:space="preserve"> </w:t>
      </w:r>
      <w:r w:rsidRPr="00CB32B1">
        <w:t>regulated.</w:t>
      </w:r>
      <w:r w:rsidR="00D53B19" w:rsidRPr="00CB32B1">
        <w:rPr>
          <w:rStyle w:val="FootnoteReference"/>
        </w:rPr>
        <w:footnoteReference w:id="181"/>
      </w:r>
    </w:p>
    <w:p w:rsidR="00C14097" w:rsidRPr="00CB32B1" w:rsidRDefault="002C5ECC" w:rsidP="002C5ECC">
      <w:pPr>
        <w:pStyle w:val="PwCNormal"/>
      </w:pPr>
      <w:r w:rsidRPr="00CB32B1">
        <w:t>HIROC is the largest liability insurance organisation in Canada, providing insurance services exclusively to NFP healthcare organisations, which become members (or subscribers) of the organisation. In doing so they form an insurance reciprocal exchange, where the subscribers agree to share each other’s losses. As this was previously available only to health services (as opposed to associations/organisations), for Association of Ontario Midwives to become a subscriber, the reciprocal by-laws were changed.</w:t>
      </w:r>
      <w:r w:rsidR="00C14097" w:rsidRPr="00CB32B1">
        <w:t xml:space="preserve"> </w:t>
      </w:r>
    </w:p>
    <w:p w:rsidR="002C5ECC" w:rsidRPr="00CB32B1" w:rsidRDefault="002C5ECC" w:rsidP="00C14097">
      <w:pPr>
        <w:pStyle w:val="Majorheading"/>
      </w:pPr>
      <w:r w:rsidRPr="00CB32B1">
        <w:t>Insurance model</w:t>
      </w:r>
    </w:p>
    <w:p w:rsidR="002C5ECC" w:rsidRPr="00CB32B1" w:rsidRDefault="002C5ECC" w:rsidP="002C5ECC">
      <w:pPr>
        <w:pStyle w:val="PwCNormal"/>
      </w:pPr>
      <w:r w:rsidRPr="00CB32B1">
        <w:t>The insurance model for HIROC works through subsidising risk across subscribers. This is different from the development of premium pools. With 52 current subscribers</w:t>
      </w:r>
      <w:r w:rsidR="008D66F4">
        <w:t>,</w:t>
      </w:r>
      <w:r w:rsidRPr="00CB32B1">
        <w:t xml:space="preserve"> HIROC spreads its risk across a number of different professions.</w:t>
      </w:r>
      <w:r w:rsidR="00151B58" w:rsidRPr="00CB32B1">
        <w:rPr>
          <w:vertAlign w:val="superscript"/>
        </w:rPr>
        <w:footnoteReference w:id="182"/>
      </w:r>
      <w:r w:rsidRPr="00CB32B1">
        <w:t xml:space="preserve"> When no further claims are expected, excess funds are redistributed to subscribers. In 2011, this was $3.8 million</w:t>
      </w:r>
      <w:r w:rsidR="00063EE3">
        <w:t xml:space="preserve"> (CAD)</w:t>
      </w:r>
      <w:r w:rsidRPr="00CB32B1">
        <w:t>.</w:t>
      </w:r>
      <w:r w:rsidR="00D53B19" w:rsidRPr="00CB32B1">
        <w:rPr>
          <w:vertAlign w:val="superscript"/>
        </w:rPr>
        <w:footnoteReference w:id="183"/>
      </w:r>
    </w:p>
    <w:p w:rsidR="002C5ECC" w:rsidRPr="00CB32B1" w:rsidRDefault="002C5ECC" w:rsidP="002C5ECC">
      <w:pPr>
        <w:pStyle w:val="PwCNormal"/>
      </w:pPr>
      <w:r w:rsidRPr="00CB32B1">
        <w:t>The premiums range dependent on the province, but HIROC sets a premium between the values of $16,000</w:t>
      </w:r>
      <w:r w:rsidR="008D66F4">
        <w:t>-</w:t>
      </w:r>
      <w:r w:rsidRPr="00CB32B1">
        <w:t>$25,000 (CAD).</w:t>
      </w:r>
      <w:r w:rsidR="00D53B19" w:rsidRPr="00CB32B1">
        <w:rPr>
          <w:rStyle w:val="FootnoteReference"/>
        </w:rPr>
        <w:footnoteReference w:id="184"/>
      </w:r>
      <w:r w:rsidRPr="00CB32B1">
        <w:t xml:space="preserve"> The premiums are determined per individual, based on the individual’s experience and risk exposure. While HIROC seeks to make premiums affordable, it sets the premiums so that it can share risk by equitable amounts. To enable a product to be provided, this model does not provide run-off cover. </w:t>
      </w:r>
    </w:p>
    <w:p w:rsidR="002C5ECC" w:rsidRPr="00CB32B1" w:rsidRDefault="002C5ECC" w:rsidP="00C14097">
      <w:pPr>
        <w:pStyle w:val="Majorheading"/>
      </w:pPr>
      <w:r w:rsidRPr="00CB32B1">
        <w:t>Incidence of claims raised</w:t>
      </w:r>
    </w:p>
    <w:p w:rsidR="002C5ECC" w:rsidRPr="00CB32B1" w:rsidRDefault="002C5ECC" w:rsidP="002C5ECC">
      <w:pPr>
        <w:pStyle w:val="PwCNormal"/>
      </w:pPr>
      <w:r w:rsidRPr="00CB32B1">
        <w:t xml:space="preserve">The data for incidences and claims for homebirth (see Appendix K and </w:t>
      </w:r>
      <w:r w:rsidR="009129A6" w:rsidRPr="00CB32B1">
        <w:fldChar w:fldCharType="begin"/>
      </w:r>
      <w:r w:rsidR="00A33BD9" w:rsidRPr="00CB32B1">
        <w:instrText xml:space="preserve"> REF _Ref361223773 \h </w:instrText>
      </w:r>
      <w:r w:rsidR="009129A6" w:rsidRPr="00CB32B1">
        <w:fldChar w:fldCharType="separate"/>
      </w:r>
      <w:r w:rsidR="008816B4" w:rsidRPr="00CB32B1">
        <w:t xml:space="preserve">Table </w:t>
      </w:r>
      <w:r w:rsidR="008816B4">
        <w:rPr>
          <w:noProof/>
        </w:rPr>
        <w:t>9</w:t>
      </w:r>
      <w:r w:rsidR="009129A6" w:rsidRPr="00CB32B1">
        <w:fldChar w:fldCharType="end"/>
      </w:r>
      <w:r w:rsidRPr="00CB32B1">
        <w:t>) demonstrate that there is relatively low number of claims raised. HIROC was able to provide us with aggregated data on claims and incidences.</w:t>
      </w:r>
      <w:r w:rsidR="00063EE3">
        <w:rPr>
          <w:rStyle w:val="FootnoteReference"/>
        </w:rPr>
        <w:footnoteReference w:id="185"/>
      </w:r>
      <w:r w:rsidRPr="00CB32B1">
        <w:t xml:space="preserve"> What this information shows is that since 2003, there have only been two damages claims out of 567 incidences reported (0.35%).</w:t>
      </w:r>
      <w:r w:rsidR="00D53B19" w:rsidRPr="00CB32B1">
        <w:rPr>
          <w:vertAlign w:val="superscript"/>
        </w:rPr>
        <w:footnoteReference w:id="186"/>
      </w:r>
    </w:p>
    <w:p w:rsidR="002C5ECC" w:rsidRPr="00CB32B1" w:rsidRDefault="002C5ECC" w:rsidP="00C14097">
      <w:pPr>
        <w:pStyle w:val="Majorheading"/>
      </w:pPr>
      <w:r w:rsidRPr="00CB32B1">
        <w:t>Enablers of model</w:t>
      </w:r>
    </w:p>
    <w:p w:rsidR="002C5ECC" w:rsidRPr="00CB32B1" w:rsidRDefault="002C5ECC" w:rsidP="00C14097">
      <w:pPr>
        <w:pStyle w:val="PwCNormal"/>
        <w:keepNext/>
        <w:keepLines/>
      </w:pPr>
      <w:r w:rsidRPr="00CB32B1">
        <w:t>The key enablers of PII in the province of Ontario identified through literature and consultations are:</w:t>
      </w:r>
    </w:p>
    <w:p w:rsidR="002C5ECC" w:rsidRPr="00CB32B1" w:rsidRDefault="002C5ECC" w:rsidP="00C14097">
      <w:pPr>
        <w:pStyle w:val="ListBullet"/>
        <w:keepNext/>
        <w:keepLines/>
      </w:pPr>
      <w:r w:rsidRPr="00CB32B1">
        <w:rPr>
          <w:b/>
          <w:color w:val="DC6900" w:themeColor="text2"/>
        </w:rPr>
        <w:t>Integrated midwifery practice:</w:t>
      </w:r>
      <w:r w:rsidRPr="00CB32B1">
        <w:t xml:space="preserve"> </w:t>
      </w:r>
      <w:r w:rsidR="00151B58">
        <w:t>m</w:t>
      </w:r>
      <w:r w:rsidRPr="00CB32B1">
        <w:t xml:space="preserve">idwifery being provided interchangeably at home or in hospital, for the same fee and </w:t>
      </w:r>
      <w:r w:rsidR="00CD0CA9" w:rsidRPr="00CB32B1">
        <w:t>allowing for continuity of care</w:t>
      </w:r>
    </w:p>
    <w:p w:rsidR="002C5ECC" w:rsidRPr="00CB32B1" w:rsidRDefault="002C5ECC" w:rsidP="00C14097">
      <w:pPr>
        <w:pStyle w:val="ListBullet"/>
        <w:keepNext/>
        <w:keepLines/>
      </w:pPr>
      <w:r w:rsidRPr="00CB32B1">
        <w:rPr>
          <w:b/>
          <w:color w:val="DC6900" w:themeColor="text2"/>
        </w:rPr>
        <w:t>Insurance mandate and structure:</w:t>
      </w:r>
      <w:r w:rsidRPr="00CB32B1">
        <w:t xml:space="preserve"> </w:t>
      </w:r>
      <w:r w:rsidR="00151B58">
        <w:t>t</w:t>
      </w:r>
      <w:r w:rsidRPr="00CB32B1">
        <w:t>he requirement for insurance, and the fact that its assis</w:t>
      </w:r>
      <w:r w:rsidR="00CD0CA9" w:rsidRPr="00CB32B1">
        <w:t>ts in a product being developed</w:t>
      </w:r>
    </w:p>
    <w:p w:rsidR="002C5ECC" w:rsidRPr="00CB32B1" w:rsidRDefault="002C5ECC" w:rsidP="00C14097">
      <w:pPr>
        <w:pStyle w:val="ListBullet"/>
      </w:pPr>
      <w:r w:rsidRPr="00CB32B1">
        <w:rPr>
          <w:b/>
          <w:color w:val="DC6900" w:themeColor="text2"/>
        </w:rPr>
        <w:t xml:space="preserve">Risk frameworks: </w:t>
      </w:r>
      <w:r w:rsidR="00151B58">
        <w:t>c</w:t>
      </w:r>
      <w:r w:rsidRPr="00CB32B1">
        <w:t>linical practice guidelines and risk management documents supporting</w:t>
      </w:r>
      <w:r w:rsidR="00C14097" w:rsidRPr="00CB32B1">
        <w:t> </w:t>
      </w:r>
      <w:r w:rsidR="00CD0CA9" w:rsidRPr="00CB32B1">
        <w:t>practice</w:t>
      </w:r>
    </w:p>
    <w:p w:rsidR="002C5ECC" w:rsidRPr="00CB32B1" w:rsidRDefault="002C5ECC" w:rsidP="00C14097">
      <w:pPr>
        <w:pStyle w:val="ListBullet"/>
      </w:pPr>
      <w:r w:rsidRPr="00CB32B1">
        <w:rPr>
          <w:b/>
          <w:color w:val="DC6900" w:themeColor="text2"/>
        </w:rPr>
        <w:t>Partnership between AOM and HIROC:</w:t>
      </w:r>
      <w:r w:rsidRPr="00CB32B1">
        <w:t xml:space="preserve"> </w:t>
      </w:r>
      <w:r w:rsidR="00151B58">
        <w:t>r</w:t>
      </w:r>
      <w:r w:rsidRPr="00CB32B1">
        <w:t>isk is managed jointly by the Association of Ontario Midwives and HIROC to supp</w:t>
      </w:r>
      <w:r w:rsidR="00CD0CA9" w:rsidRPr="00CB32B1">
        <w:t>ort midwives and assure quality</w:t>
      </w:r>
    </w:p>
    <w:p w:rsidR="002C5ECC" w:rsidRPr="00CB32B1" w:rsidRDefault="002C5ECC" w:rsidP="00C14097">
      <w:pPr>
        <w:pStyle w:val="ListBullet"/>
      </w:pPr>
      <w:r w:rsidRPr="00CB32B1">
        <w:rPr>
          <w:b/>
          <w:color w:val="DC6900" w:themeColor="text2"/>
        </w:rPr>
        <w:t xml:space="preserve">Government support: </w:t>
      </w:r>
      <w:r w:rsidR="00151B58">
        <w:t>s</w:t>
      </w:r>
      <w:r w:rsidRPr="00CB32B1">
        <w:t>upport for midwifery practice in the province of Ontario to be able to have increased continuity of care.</w:t>
      </w:r>
    </w:p>
    <w:p w:rsidR="002C5ECC" w:rsidRPr="00CB32B1" w:rsidRDefault="002C5ECC" w:rsidP="00C14097">
      <w:pPr>
        <w:pStyle w:val="Minorheading"/>
      </w:pPr>
      <w:r w:rsidRPr="00CB32B1">
        <w:t>Integrated midwifery practice</w:t>
      </w:r>
    </w:p>
    <w:p w:rsidR="002C5ECC" w:rsidRPr="00CB32B1" w:rsidRDefault="002C5ECC" w:rsidP="002C5ECC">
      <w:pPr>
        <w:pStyle w:val="PwCNormal"/>
      </w:pPr>
      <w:r w:rsidRPr="00CB32B1">
        <w:t xml:space="preserve">Midwifery in the province of Ontario is integrated in to the health system. The requirement not only for all midwives to have </w:t>
      </w:r>
      <w:r w:rsidR="00151B58">
        <w:t>PII</w:t>
      </w:r>
      <w:r w:rsidRPr="00CB32B1">
        <w:t xml:space="preserve"> but to support homebirths to maintain registration appears to provide scale for an insurance product. </w:t>
      </w:r>
    </w:p>
    <w:p w:rsidR="003452D0" w:rsidRPr="00CB32B1" w:rsidRDefault="003452D0">
      <w:r w:rsidRPr="00CB32B1">
        <w:br w:type="page"/>
      </w:r>
    </w:p>
    <w:tbl>
      <w:tblPr>
        <w:tblStyle w:val="TableGrid"/>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418"/>
        <w:gridCol w:w="360"/>
        <w:gridCol w:w="3510"/>
      </w:tblGrid>
      <w:tr w:rsidR="009814D6" w:rsidRPr="00CB32B1" w:rsidTr="0083432B">
        <w:tc>
          <w:tcPr>
            <w:tcW w:w="5418" w:type="dxa"/>
          </w:tcPr>
          <w:p w:rsidR="009814D6" w:rsidRPr="00CB32B1" w:rsidRDefault="00496AD4" w:rsidP="00496AD4">
            <w:pPr>
              <w:pStyle w:val="PwCNormal"/>
            </w:pPr>
            <w:r>
              <w:t>Like other jurisdiction</w:t>
            </w:r>
            <w:r w:rsidR="009814D6" w:rsidRPr="00CB32B1">
              <w:t>s and the publicly funded homebirth schemes in Australia, the College of Midwives of Ontario, in accordance with national standards requires two midwives, or one midwife and a qualified second birth attendant, to attend every homebirth.</w:t>
            </w:r>
            <w:r w:rsidR="00D53B19" w:rsidRPr="00CB32B1">
              <w:rPr>
                <w:rStyle w:val="FootnoteReference"/>
              </w:rPr>
              <w:footnoteReference w:id="187"/>
            </w:r>
            <w:r w:rsidR="009814D6" w:rsidRPr="00CB32B1">
              <w:t xml:space="preserve"> This is believed by the reciprocal to reduce the risk profile as midwives are not acting independently.</w:t>
            </w:r>
            <w:r w:rsidR="00D53B19" w:rsidRPr="00CB32B1">
              <w:rPr>
                <w:rStyle w:val="FootnoteReference"/>
              </w:rPr>
              <w:footnoteReference w:id="188"/>
            </w:r>
          </w:p>
        </w:tc>
        <w:tc>
          <w:tcPr>
            <w:tcW w:w="360" w:type="dxa"/>
          </w:tcPr>
          <w:p w:rsidR="009814D6" w:rsidRPr="00CB32B1" w:rsidRDefault="009814D6" w:rsidP="009814D6">
            <w:pPr>
              <w:pStyle w:val="TableTextNormal"/>
            </w:pPr>
          </w:p>
        </w:tc>
        <w:tc>
          <w:tcPr>
            <w:tcW w:w="3510" w:type="dxa"/>
            <w:shd w:val="clear" w:color="auto" w:fill="DC6900" w:themeFill="text2"/>
            <w:vAlign w:val="center"/>
          </w:tcPr>
          <w:p w:rsidR="009814D6" w:rsidRPr="00D20678" w:rsidRDefault="009814D6" w:rsidP="009814D6">
            <w:pPr>
              <w:pStyle w:val="TableTextNormal"/>
              <w:rPr>
                <w:b/>
                <w:i/>
                <w:color w:val="FFFFFF" w:themeColor="background1"/>
              </w:rPr>
            </w:pPr>
            <w:r w:rsidRPr="00D20678">
              <w:rPr>
                <w:b/>
                <w:i/>
                <w:color w:val="FFFFFF" w:themeColor="background1"/>
              </w:rPr>
              <w:t>“The midwifery practice model in Ontario reflects the tenets of continuity of care, informed choice and choice of birth place.”</w:t>
            </w:r>
          </w:p>
          <w:p w:rsidR="009814D6" w:rsidRPr="00CB32B1" w:rsidRDefault="0083432B" w:rsidP="0083432B">
            <w:pPr>
              <w:pStyle w:val="TableTextNormal"/>
              <w:spacing w:before="40" w:after="40"/>
              <w:jc w:val="right"/>
              <w:rPr>
                <w:i/>
                <w:sz w:val="16"/>
                <w:szCs w:val="16"/>
              </w:rPr>
            </w:pPr>
            <w:r w:rsidRPr="00CB32B1">
              <w:rPr>
                <w:i/>
                <w:color w:val="FFFFFF" w:themeColor="background1"/>
                <w:sz w:val="16"/>
                <w:szCs w:val="16"/>
              </w:rPr>
              <w:t>(</w:t>
            </w:r>
            <w:r w:rsidR="009814D6" w:rsidRPr="00CB32B1">
              <w:rPr>
                <w:i/>
                <w:color w:val="FFFFFF" w:themeColor="background1"/>
                <w:sz w:val="16"/>
                <w:szCs w:val="16"/>
              </w:rPr>
              <w:t>College of Midwives of Ontario, 1994</w:t>
            </w:r>
            <w:r w:rsidRPr="00CB32B1">
              <w:rPr>
                <w:i/>
                <w:color w:val="FFFFFF" w:themeColor="background1"/>
                <w:sz w:val="16"/>
                <w:szCs w:val="16"/>
              </w:rPr>
              <w:t>)</w:t>
            </w:r>
          </w:p>
        </w:tc>
      </w:tr>
      <w:tr w:rsidR="009814D6" w:rsidRPr="00CB32B1" w:rsidTr="0083432B">
        <w:trPr>
          <w:trHeight w:hRule="exact" w:val="86"/>
        </w:trPr>
        <w:tc>
          <w:tcPr>
            <w:tcW w:w="5418" w:type="dxa"/>
          </w:tcPr>
          <w:p w:rsidR="009814D6" w:rsidRPr="00CB32B1" w:rsidRDefault="009814D6" w:rsidP="009814D6">
            <w:pPr>
              <w:pStyle w:val="TableTextNormal"/>
            </w:pPr>
          </w:p>
        </w:tc>
        <w:tc>
          <w:tcPr>
            <w:tcW w:w="360" w:type="dxa"/>
            <w:shd w:val="clear" w:color="auto" w:fill="DC6900" w:themeFill="text2"/>
          </w:tcPr>
          <w:p w:rsidR="009814D6" w:rsidRPr="00CB32B1" w:rsidRDefault="009814D6" w:rsidP="009814D6">
            <w:pPr>
              <w:pStyle w:val="TableTextNormal"/>
            </w:pPr>
          </w:p>
        </w:tc>
        <w:tc>
          <w:tcPr>
            <w:tcW w:w="3510" w:type="dxa"/>
          </w:tcPr>
          <w:p w:rsidR="009814D6" w:rsidRPr="00CB32B1" w:rsidRDefault="009814D6" w:rsidP="009814D6">
            <w:pPr>
              <w:pStyle w:val="TableTextNormal"/>
            </w:pPr>
          </w:p>
        </w:tc>
      </w:tr>
    </w:tbl>
    <w:p w:rsidR="002C5ECC" w:rsidRPr="00CB32B1" w:rsidRDefault="0083432B" w:rsidP="004E4460">
      <w:pPr>
        <w:pStyle w:val="PwCNormal"/>
        <w:spacing w:before="120" w:after="160"/>
      </w:pPr>
      <w:r w:rsidRPr="00CB32B1">
        <w:t>Where a transfer may be required to other health settings from the home, access arrangements are in place to support the continuity of care. From an insurance perspective, access arrangements were held by those consulted to result in a reduction in adverse outcomes as women seeking a continuous care provider may be more likely to transfer early, if required.</w:t>
      </w:r>
      <w:r w:rsidR="008D66F4">
        <w:t xml:space="preserve"> </w:t>
      </w:r>
      <w:r w:rsidR="002C5ECC" w:rsidRPr="00CB32B1">
        <w:t>From an insurance perspective, using the province of Ontario as an example, an integrated care model appears to reduce the risk profile of midwives. How to support such a model in Australia should be considered further.</w:t>
      </w:r>
    </w:p>
    <w:p w:rsidR="002C5ECC" w:rsidRPr="00CB32B1" w:rsidRDefault="002C5ECC" w:rsidP="004E4460">
      <w:pPr>
        <w:pStyle w:val="Minorheading"/>
        <w:spacing w:before="120"/>
      </w:pPr>
      <w:r w:rsidRPr="00CB32B1">
        <w:t>Risk frameworks</w:t>
      </w:r>
    </w:p>
    <w:p w:rsidR="002C5ECC" w:rsidRPr="00CB32B1" w:rsidRDefault="002C5ECC" w:rsidP="004E4460">
      <w:pPr>
        <w:pStyle w:val="PwCNormal"/>
        <w:keepNext/>
        <w:keepLines/>
        <w:spacing w:after="160"/>
      </w:pPr>
      <w:r w:rsidRPr="00CB32B1">
        <w:t>Consultations identified that the clinical practice guidelines and risk frameworks in place for midwives have been important in reducing the risk profile of midwives.</w:t>
      </w:r>
      <w:r w:rsidR="00D53B19" w:rsidRPr="00CB32B1">
        <w:rPr>
          <w:rStyle w:val="FootnoteReference"/>
        </w:rPr>
        <w:footnoteReference w:id="189"/>
      </w:r>
      <w:r w:rsidRPr="00CB32B1">
        <w:t xml:space="preserve"> Guidelines have been developed by the College of Midwives of Ontario, and joint guidelines between Association of Ontario Midwives and the Ontario Medical Association (OMA). An example of relevant guidelines includes:</w:t>
      </w:r>
    </w:p>
    <w:p w:rsidR="002C5ECC" w:rsidRPr="00CB32B1" w:rsidRDefault="002C5ECC" w:rsidP="004E4460">
      <w:pPr>
        <w:pStyle w:val="ListBullet"/>
        <w:keepNext/>
        <w:keepLines/>
        <w:spacing w:after="120"/>
        <w:ind w:left="562" w:hanging="562"/>
      </w:pPr>
      <w:r w:rsidRPr="00CB32B1">
        <w:t xml:space="preserve">College of Midwives of Ontario </w:t>
      </w:r>
      <w:r w:rsidRPr="00CB32B1">
        <w:rPr>
          <w:i/>
        </w:rPr>
        <w:t>Indications for Mandatory Discussion Consultation and Transfer of Care</w:t>
      </w:r>
      <w:r w:rsidR="00875B69" w:rsidRPr="008D66F4">
        <w:rPr>
          <w:rStyle w:val="FootnoteReference"/>
        </w:rPr>
        <w:footnoteReference w:id="190"/>
      </w:r>
    </w:p>
    <w:p w:rsidR="002C5ECC" w:rsidRPr="00CB32B1" w:rsidRDefault="002C5ECC" w:rsidP="004E4460">
      <w:pPr>
        <w:pStyle w:val="ListBullet"/>
        <w:keepNext/>
        <w:keepLines/>
        <w:spacing w:after="120"/>
        <w:ind w:left="562" w:hanging="562"/>
      </w:pPr>
      <w:r w:rsidRPr="00CB32B1">
        <w:t xml:space="preserve">Association of Ontario Midwives/Ontario Medical Association </w:t>
      </w:r>
      <w:r w:rsidRPr="00CB32B1">
        <w:rPr>
          <w:i/>
        </w:rPr>
        <w:t>Guidelines for Maternal/Neonate Transfers from Home to Hospital</w:t>
      </w:r>
    </w:p>
    <w:p w:rsidR="002C5ECC" w:rsidRPr="00CB32B1" w:rsidRDefault="002C5ECC" w:rsidP="004E4460">
      <w:pPr>
        <w:pStyle w:val="ListBullet"/>
        <w:keepNext/>
        <w:keepLines/>
        <w:spacing w:after="120"/>
        <w:ind w:left="562" w:hanging="562"/>
      </w:pPr>
      <w:r w:rsidRPr="00CB32B1">
        <w:t xml:space="preserve">Association of Ontario Midwives/Ontario Medical Association </w:t>
      </w:r>
      <w:r w:rsidRPr="00CB32B1">
        <w:rPr>
          <w:i/>
        </w:rPr>
        <w:t>A Joint Statement of Professional Relations Between Obstetricians/Gynaecologists and Registered Midwives in Ontario.</w:t>
      </w:r>
      <w:r w:rsidR="00D53B19" w:rsidRPr="00CB32B1">
        <w:rPr>
          <w:rStyle w:val="FootnoteReference"/>
        </w:rPr>
        <w:footnoteReference w:id="191"/>
      </w:r>
    </w:p>
    <w:p w:rsidR="002C5ECC" w:rsidRPr="00CB32B1" w:rsidRDefault="002C5ECC" w:rsidP="004E4460">
      <w:pPr>
        <w:pStyle w:val="PwCNormal"/>
        <w:keepNext/>
        <w:keepLines/>
        <w:spacing w:after="160"/>
      </w:pPr>
      <w:r w:rsidRPr="00CB32B1">
        <w:t>The joint development and partnership between organisations</w:t>
      </w:r>
      <w:r w:rsidR="00683F37">
        <w:t xml:space="preserve"> and professional groups</w:t>
      </w:r>
      <w:r w:rsidRPr="00CB32B1">
        <w:t xml:space="preserve"> is recognised </w:t>
      </w:r>
      <w:r w:rsidR="007D314F">
        <w:t xml:space="preserve">by those consulted, </w:t>
      </w:r>
      <w:r w:rsidRPr="00CB32B1">
        <w:t xml:space="preserve">as important to facilitate safe care and better outcomes. </w:t>
      </w:r>
      <w:r w:rsidR="001D1155">
        <w:t>Effective i</w:t>
      </w:r>
      <w:r w:rsidRPr="00CB32B1">
        <w:t xml:space="preserve">nter-professional communication and collaboration in providing optimum patient care </w:t>
      </w:r>
      <w:r w:rsidR="00527070">
        <w:t xml:space="preserve">was also recognised as having the potential to </w:t>
      </w:r>
      <w:r w:rsidRPr="00CB32B1">
        <w:t>reduce the risk profile of midwives, particularly those that are providing services within the home.</w:t>
      </w:r>
      <w:r w:rsidR="00D53B19" w:rsidRPr="00CB32B1">
        <w:rPr>
          <w:rStyle w:val="FootnoteReference"/>
        </w:rPr>
        <w:footnoteReference w:id="192"/>
      </w:r>
    </w:p>
    <w:p w:rsidR="002C5ECC" w:rsidRPr="00CB32B1" w:rsidRDefault="002C5ECC" w:rsidP="009814D6">
      <w:pPr>
        <w:pStyle w:val="Minorheading"/>
      </w:pPr>
      <w:r w:rsidRPr="00CB32B1">
        <w:t>HIROC model, services and philosophy</w:t>
      </w:r>
    </w:p>
    <w:p w:rsidR="003452D0" w:rsidRPr="00CB32B1" w:rsidRDefault="002C5ECC" w:rsidP="007D314F">
      <w:pPr>
        <w:pStyle w:val="PwCNormal"/>
        <w:keepNext/>
        <w:keepLines/>
        <w:spacing w:after="160"/>
      </w:pPr>
      <w:r w:rsidRPr="00CB32B1">
        <w:t xml:space="preserve">The overarching model of HIROC as a NFP supports the ability for an insurance product to be developed for midwives. HIROC is not driven by profits; any project or excess surplus is returned to its subscribers (its members). As the members </w:t>
      </w:r>
      <w:r w:rsidR="007D314F">
        <w:t xml:space="preserve">as a result, have a vested interest in all members reducing the number of claims, there is a possibility that there is a </w:t>
      </w:r>
      <w:r w:rsidRPr="00CB32B1">
        <w:t xml:space="preserve">greater interest in improving safety and </w:t>
      </w:r>
      <w:r w:rsidR="00D20678">
        <w:t xml:space="preserve">reducing </w:t>
      </w:r>
      <w:r w:rsidRPr="00CB32B1">
        <w:t>adverse outcomes.</w:t>
      </w:r>
      <w:r w:rsidR="003452D0" w:rsidRPr="00CB32B1">
        <w:br w:type="page"/>
      </w:r>
    </w:p>
    <w:tbl>
      <w:tblPr>
        <w:tblStyle w:val="TableGrid"/>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418"/>
        <w:gridCol w:w="360"/>
        <w:gridCol w:w="3510"/>
      </w:tblGrid>
      <w:tr w:rsidR="009814D6" w:rsidRPr="00CB32B1" w:rsidTr="0083432B">
        <w:tc>
          <w:tcPr>
            <w:tcW w:w="5418" w:type="dxa"/>
          </w:tcPr>
          <w:p w:rsidR="009814D6" w:rsidRPr="00CB32B1" w:rsidRDefault="009814D6" w:rsidP="007D314F">
            <w:pPr>
              <w:pStyle w:val="PwCNormal"/>
            </w:pPr>
            <w:r w:rsidRPr="00CB32B1">
              <w:t>HIROC identifies th</w:t>
            </w:r>
            <w:r w:rsidR="007D314F">
              <w:t>at</w:t>
            </w:r>
            <w:r w:rsidRPr="00CB32B1">
              <w:t xml:space="preserve"> “</w:t>
            </w:r>
            <w:r w:rsidR="007D314F">
              <w:t>have a defined and important role to play in helping to create a culture of patient safety</w:t>
            </w:r>
            <w:r w:rsidRPr="00CB32B1">
              <w:t>”.</w:t>
            </w:r>
            <w:r w:rsidR="00D53B19" w:rsidRPr="00CB32B1">
              <w:rPr>
                <w:rStyle w:val="FootnoteReference"/>
              </w:rPr>
              <w:footnoteReference w:id="193"/>
            </w:r>
            <w:r w:rsidRPr="00CB32B1">
              <w:t xml:space="preserve"> As a result, HIROC is actively involved in working with organisations as well as providing additional tools to subscribers. Tools such as </w:t>
            </w:r>
            <w:r w:rsidR="007D314F">
              <w:t>‘</w:t>
            </w:r>
            <w:r w:rsidRPr="00CB32B1">
              <w:t>Risk Management Self-Appraisal Modules</w:t>
            </w:r>
            <w:r w:rsidR="007D314F">
              <w:t>’</w:t>
            </w:r>
            <w:r w:rsidRPr="00CB32B1">
              <w:t xml:space="preserve"> and holding </w:t>
            </w:r>
            <w:r w:rsidR="007D314F">
              <w:t>‘</w:t>
            </w:r>
            <w:r w:rsidRPr="00CB32B1">
              <w:t>Risk Management conferences</w:t>
            </w:r>
            <w:r w:rsidR="007D314F">
              <w:t>’</w:t>
            </w:r>
            <w:r w:rsidRPr="00CB32B1">
              <w:t xml:space="preserve"> for subscribers can assist in limiting adverse outcomes, with the net effect believed to be the reduction in premiums charged.</w:t>
            </w:r>
          </w:p>
        </w:tc>
        <w:tc>
          <w:tcPr>
            <w:tcW w:w="360" w:type="dxa"/>
          </w:tcPr>
          <w:p w:rsidR="009814D6" w:rsidRPr="00CB32B1" w:rsidRDefault="009814D6" w:rsidP="009814D6">
            <w:pPr>
              <w:pStyle w:val="TableTextNormal"/>
            </w:pPr>
          </w:p>
        </w:tc>
        <w:tc>
          <w:tcPr>
            <w:tcW w:w="3510" w:type="dxa"/>
            <w:shd w:val="clear" w:color="auto" w:fill="DC6900" w:themeFill="text2"/>
            <w:vAlign w:val="center"/>
          </w:tcPr>
          <w:p w:rsidR="009814D6" w:rsidRPr="00D20678" w:rsidRDefault="009814D6" w:rsidP="009814D6">
            <w:pPr>
              <w:pStyle w:val="TableTextNormal"/>
              <w:rPr>
                <w:b/>
                <w:i/>
                <w:color w:val="FFFFFF" w:themeColor="background1"/>
              </w:rPr>
            </w:pPr>
            <w:r w:rsidRPr="00D20678">
              <w:rPr>
                <w:b/>
                <w:i/>
                <w:color w:val="FFFFFF" w:themeColor="background1"/>
              </w:rPr>
              <w:t>“Reciprocals provide subscribers with premium stability and loss reduction programs, based primarily on a pooling of insurance coverage and risk sharing across a large subscriber base”</w:t>
            </w:r>
          </w:p>
          <w:p w:rsidR="009814D6" w:rsidRPr="00CB32B1" w:rsidRDefault="0083432B" w:rsidP="0083432B">
            <w:pPr>
              <w:pStyle w:val="TableTextNormal"/>
              <w:jc w:val="right"/>
              <w:rPr>
                <w:i/>
                <w:sz w:val="16"/>
                <w:szCs w:val="16"/>
              </w:rPr>
            </w:pPr>
            <w:r w:rsidRPr="00CB32B1">
              <w:rPr>
                <w:i/>
                <w:color w:val="FFFFFF" w:themeColor="background1"/>
                <w:sz w:val="16"/>
                <w:szCs w:val="16"/>
              </w:rPr>
              <w:t>(</w:t>
            </w:r>
            <w:r w:rsidR="009814D6" w:rsidRPr="00CB32B1">
              <w:rPr>
                <w:i/>
                <w:color w:val="FFFFFF" w:themeColor="background1"/>
                <w:sz w:val="16"/>
                <w:szCs w:val="16"/>
              </w:rPr>
              <w:t xml:space="preserve">HIROC, </w:t>
            </w:r>
            <w:r w:rsidRPr="00CB32B1">
              <w:rPr>
                <w:i/>
                <w:color w:val="FFFFFF" w:themeColor="background1"/>
                <w:sz w:val="16"/>
                <w:szCs w:val="16"/>
              </w:rPr>
              <w:t>2013</w:t>
            </w:r>
            <w:r w:rsidR="00E2776C" w:rsidRPr="00CB32B1">
              <w:rPr>
                <w:i/>
                <w:color w:val="FFFFFF" w:themeColor="background1"/>
                <w:sz w:val="16"/>
                <w:szCs w:val="16"/>
              </w:rPr>
              <w:t>c</w:t>
            </w:r>
            <w:r w:rsidRPr="00CB32B1">
              <w:rPr>
                <w:i/>
                <w:color w:val="FFFFFF" w:themeColor="background1"/>
                <w:sz w:val="16"/>
                <w:szCs w:val="16"/>
              </w:rPr>
              <w:t>)</w:t>
            </w:r>
          </w:p>
        </w:tc>
      </w:tr>
      <w:tr w:rsidR="009814D6" w:rsidRPr="00CB32B1" w:rsidTr="0083432B">
        <w:trPr>
          <w:trHeight w:hRule="exact" w:val="86"/>
        </w:trPr>
        <w:tc>
          <w:tcPr>
            <w:tcW w:w="5418" w:type="dxa"/>
          </w:tcPr>
          <w:p w:rsidR="009814D6" w:rsidRPr="00CB32B1" w:rsidRDefault="009814D6" w:rsidP="009814D6">
            <w:pPr>
              <w:pStyle w:val="TableTextNormal"/>
            </w:pPr>
          </w:p>
        </w:tc>
        <w:tc>
          <w:tcPr>
            <w:tcW w:w="360" w:type="dxa"/>
            <w:shd w:val="clear" w:color="auto" w:fill="DC6900" w:themeFill="text2"/>
          </w:tcPr>
          <w:p w:rsidR="009814D6" w:rsidRPr="00CB32B1" w:rsidRDefault="009814D6" w:rsidP="009814D6">
            <w:pPr>
              <w:pStyle w:val="TableTextNormal"/>
            </w:pPr>
          </w:p>
        </w:tc>
        <w:tc>
          <w:tcPr>
            <w:tcW w:w="3510" w:type="dxa"/>
          </w:tcPr>
          <w:p w:rsidR="009814D6" w:rsidRPr="00CB32B1" w:rsidRDefault="009814D6" w:rsidP="009814D6">
            <w:pPr>
              <w:pStyle w:val="TableTextNormal"/>
            </w:pPr>
          </w:p>
        </w:tc>
      </w:tr>
    </w:tbl>
    <w:p w:rsidR="0083432B" w:rsidRPr="00CB32B1" w:rsidRDefault="0083432B" w:rsidP="009814D6">
      <w:pPr>
        <w:pStyle w:val="Minorheading"/>
        <w:spacing w:after="120"/>
        <w:rPr>
          <w:rFonts w:ascii="Georgia" w:hAnsi="Georgia"/>
          <w:i w:val="0"/>
          <w:color w:val="auto"/>
          <w:sz w:val="20"/>
          <w:szCs w:val="20"/>
        </w:rPr>
      </w:pPr>
      <w:r w:rsidRPr="00CB32B1">
        <w:rPr>
          <w:rFonts w:ascii="Georgia" w:hAnsi="Georgia"/>
          <w:i w:val="0"/>
          <w:color w:val="auto"/>
          <w:sz w:val="20"/>
          <w:szCs w:val="20"/>
        </w:rPr>
        <w:t>The model of risk sharing between professions allows the reduction of the risk associated with midwives as there is a greater scale for pooling risk; subscribers have agreed to share in each other’s losses including those from midwives. This is in contrast to premium pools that are applied in Australia.</w:t>
      </w:r>
    </w:p>
    <w:p w:rsidR="002C5ECC" w:rsidRPr="00CB32B1" w:rsidRDefault="002C5ECC" w:rsidP="009814D6">
      <w:pPr>
        <w:pStyle w:val="Minorheading"/>
        <w:spacing w:after="120"/>
      </w:pPr>
      <w:r w:rsidRPr="00CB32B1">
        <w:t>Partnership between Association of Ontario Midwives and HIROC</w:t>
      </w:r>
    </w:p>
    <w:p w:rsidR="002C5ECC" w:rsidRPr="00CB32B1" w:rsidRDefault="002C5ECC" w:rsidP="002C5ECC">
      <w:pPr>
        <w:pStyle w:val="PwCNormal"/>
      </w:pPr>
      <w:r w:rsidRPr="00CB32B1">
        <w:t>Consultations identified that the active working relationship between HIROC and Association of Ontario Midwives is imperative in the provision of an insurance product. There were three important components of the relationship identified.</w:t>
      </w:r>
    </w:p>
    <w:p w:rsidR="002C5ECC" w:rsidRPr="00CB32B1" w:rsidRDefault="002C5ECC" w:rsidP="009814D6">
      <w:pPr>
        <w:pStyle w:val="Minorheading2"/>
      </w:pPr>
      <w:r w:rsidRPr="00CB32B1">
        <w:t>Risk management</w:t>
      </w:r>
    </w:p>
    <w:p w:rsidR="002C5ECC" w:rsidRPr="00CB32B1" w:rsidRDefault="002C5ECC" w:rsidP="002C5ECC">
      <w:pPr>
        <w:pStyle w:val="PwCNormal"/>
      </w:pPr>
      <w:r w:rsidRPr="00CB32B1">
        <w:t>HIROC is involved in providing Association of Ontario Midwives with guidance around their risk, as well as any mitigation that is necessary in terms of the product offered and premiums set. This assists the Association of Ontario Midwives in developing appropriate clinical guidelines and risk frameworks.</w:t>
      </w:r>
      <w:r w:rsidR="00D53B19" w:rsidRPr="00CB32B1">
        <w:rPr>
          <w:rStyle w:val="FootnoteReference"/>
          <w:lang w:eastAsia="en-AU"/>
        </w:rPr>
        <w:footnoteReference w:id="194"/>
      </w:r>
      <w:r w:rsidRPr="00CB32B1">
        <w:t xml:space="preserve"> Consultations with HIROC identified that this involvement assists them in understanding the practice better, as well as the risks involved in care delivery.</w:t>
      </w:r>
      <w:r w:rsidR="007D314F">
        <w:t xml:space="preserve"> </w:t>
      </w:r>
      <w:r w:rsidRPr="00CB32B1">
        <w:t>As HIROC identifies:</w:t>
      </w:r>
      <w:r w:rsidR="007D314F" w:rsidRPr="007D314F">
        <w:rPr>
          <w:rStyle w:val="FootnoteReference"/>
          <w:color w:val="000000" w:themeColor="text1"/>
          <w:sz w:val="20"/>
        </w:rPr>
        <w:footnoteReference w:id="195"/>
      </w:r>
    </w:p>
    <w:p w:rsidR="002C5ECC" w:rsidRPr="00CB32B1" w:rsidRDefault="002C5ECC" w:rsidP="009814D6">
      <w:pPr>
        <w:pStyle w:val="Indent1"/>
        <w:rPr>
          <w:i/>
          <w:color w:val="DC6900" w:themeColor="text2"/>
        </w:rPr>
      </w:pPr>
      <w:r w:rsidRPr="00CB32B1">
        <w:rPr>
          <w:i/>
          <w:color w:val="DC6900" w:themeColor="text2"/>
        </w:rPr>
        <w:t>“…promoting healthcare safety is at the core of HIROC’s mandate. We are working with our partner organisations to contribute to risk reduction, in general, and specifically to reduce the frequency of adverse events”.</w:t>
      </w:r>
    </w:p>
    <w:p w:rsidR="002C5ECC" w:rsidRPr="00CB32B1" w:rsidRDefault="002C5ECC" w:rsidP="002C5ECC">
      <w:pPr>
        <w:pStyle w:val="PwCNormal"/>
      </w:pPr>
      <w:r w:rsidRPr="00CB32B1">
        <w:t>HIROC, working in partnership with Association of Ontario Midwives appears to assist in achieving a beneficial reduction in claims for all parties. While MIGA in Australia works with the ACM, further strengthening of the relationship between professional association and insurers may assist in agencies understanding the practice and risk, and as a result appropriately assessing the risk profile of PPMs (see Chapter 5).</w:t>
      </w:r>
    </w:p>
    <w:p w:rsidR="002C5ECC" w:rsidRPr="00CB32B1" w:rsidRDefault="002C5ECC" w:rsidP="009814D6">
      <w:pPr>
        <w:pStyle w:val="Minorheading2"/>
      </w:pPr>
      <w:r w:rsidRPr="00CB32B1">
        <w:t>Identification of incidence and claims</w:t>
      </w:r>
    </w:p>
    <w:p w:rsidR="002C5ECC" w:rsidRPr="00CB32B1" w:rsidRDefault="002C5ECC" w:rsidP="002C5ECC">
      <w:pPr>
        <w:pStyle w:val="PwCNormal"/>
      </w:pPr>
      <w:r w:rsidRPr="00CB32B1">
        <w:t>The Association of Ontario Midwives works with HIROC in identifying incidences and claims made. This provides the Association of Ontario Midwives with better oversight of the insurance claims and can target training and development appropriately, if required in response to particular claims, or trends that present. This is believed to assist HIROC reduce its ongoing risk profile.</w:t>
      </w:r>
    </w:p>
    <w:p w:rsidR="002C5ECC" w:rsidRPr="00CB32B1" w:rsidRDefault="002C5ECC" w:rsidP="009814D6">
      <w:pPr>
        <w:pStyle w:val="Minorheading2"/>
      </w:pPr>
      <w:r w:rsidRPr="00CB32B1">
        <w:t>Understanding of training and disciplinary processes</w:t>
      </w:r>
    </w:p>
    <w:p w:rsidR="002C5ECC" w:rsidRPr="00CB32B1" w:rsidRDefault="002C5ECC" w:rsidP="002C5ECC">
      <w:pPr>
        <w:pStyle w:val="PwCNormal"/>
      </w:pPr>
      <w:r w:rsidRPr="00CB32B1">
        <w:t xml:space="preserve">Competency of midwives is held to be a factor in reducing the risk profile of midwives providing birthing services in the home. Association of Ontario Midwives is involved in ongoing clinical training and development. Evidence of this is believed to assist HIROC in setting the premium, particularly as it has an indication of the competency levels held by those it </w:t>
      </w:r>
      <w:r w:rsidR="00D20678" w:rsidRPr="00CB32B1">
        <w:t>insures</w:t>
      </w:r>
      <w:r w:rsidRPr="00CB32B1">
        <w:t>.</w:t>
      </w:r>
    </w:p>
    <w:p w:rsidR="002C5ECC" w:rsidRPr="00CB32B1" w:rsidRDefault="002C5ECC" w:rsidP="002C5ECC">
      <w:pPr>
        <w:pStyle w:val="PwCNormal"/>
      </w:pPr>
      <w:r w:rsidRPr="00CB32B1">
        <w:t>The insurer HIROC similarly can see how the Association of Ontario Midwives disciplines midwives. In the early 2000’s three disciplinary hearings occurred which</w:t>
      </w:r>
      <w:r w:rsidR="00854DEF" w:rsidRPr="00CB32B1">
        <w:t xml:space="preserve"> </w:t>
      </w:r>
      <w:r w:rsidRPr="00CB32B1">
        <w:t>set a precedent for future cases of a similar nature. The cases are believed by the Association of Ontario Midwives, to have occurred due to a change in regulation where midwives who were used to practising in a particular way, were subsequently regulated more stringently.</w:t>
      </w:r>
      <w:r w:rsidR="00767B1A" w:rsidRPr="00CB32B1">
        <w:rPr>
          <w:rStyle w:val="FootnoteReference"/>
        </w:rPr>
        <w:footnoteReference w:id="196"/>
      </w:r>
    </w:p>
    <w:p w:rsidR="002C5ECC" w:rsidRPr="00CB32B1" w:rsidRDefault="002C5ECC" w:rsidP="002C5ECC">
      <w:pPr>
        <w:pStyle w:val="PwCNormal"/>
      </w:pPr>
      <w:r w:rsidRPr="00CB32B1">
        <w:t>Furthermore, the Association of Ontario Midwives is working to improve data quality for midwifery practice through a new system to understand and monitor outcomes.</w:t>
      </w:r>
      <w:r w:rsidR="00767B1A" w:rsidRPr="00CB32B1">
        <w:rPr>
          <w:rStyle w:val="FootnoteReference"/>
        </w:rPr>
        <w:footnoteReference w:id="197"/>
      </w:r>
      <w:r w:rsidRPr="00CB32B1">
        <w:t xml:space="preserve"> This should assist with future actuarial modelling.</w:t>
      </w:r>
    </w:p>
    <w:p w:rsidR="002C5ECC" w:rsidRPr="00CB32B1" w:rsidRDefault="002C5ECC" w:rsidP="009814D6">
      <w:pPr>
        <w:pStyle w:val="Minorheading"/>
      </w:pPr>
      <w:r w:rsidRPr="00CB32B1">
        <w:t>Government support</w:t>
      </w:r>
    </w:p>
    <w:p w:rsidR="002C5ECC" w:rsidRPr="00CB32B1" w:rsidRDefault="002C5ECC" w:rsidP="002C5ECC">
      <w:pPr>
        <w:pStyle w:val="PwCNormal"/>
      </w:pPr>
      <w:r w:rsidRPr="00CB32B1">
        <w:t>The insurer HIROC noted that the court system provides comfort around the quantum of the claim provided.</w:t>
      </w:r>
      <w:r w:rsidR="00767B1A" w:rsidRPr="00CB32B1">
        <w:rPr>
          <w:rStyle w:val="FootnoteReference"/>
        </w:rPr>
        <w:footnoteReference w:id="198"/>
      </w:r>
      <w:r w:rsidRPr="00CB32B1">
        <w:t xml:space="preserve"> The comfort stems from the legal system having developed a cap which the Court of Appeal will not go beyond for non-pecuniary damages </w:t>
      </w:r>
      <w:r w:rsidR="00D20678">
        <w:t>(</w:t>
      </w:r>
      <w:r w:rsidR="00854DEF" w:rsidRPr="00CB32B1">
        <w:t>ie</w:t>
      </w:r>
      <w:r w:rsidRPr="00CB32B1">
        <w:t xml:space="preserve"> loss of care, guidance and companionship from the deceased</w:t>
      </w:r>
      <w:r w:rsidR="00D20678">
        <w:t>)</w:t>
      </w:r>
      <w:r w:rsidRPr="00CB32B1">
        <w:t>.</w:t>
      </w:r>
      <w:r w:rsidR="00286BF2" w:rsidRPr="00CB32B1">
        <w:rPr>
          <w:rStyle w:val="FootnoteReference"/>
        </w:rPr>
        <w:footnoteReference w:id="199"/>
      </w:r>
      <w:r w:rsidRPr="00CB32B1">
        <w:t xml:space="preserve"> This litigation culture can provide some certainty for insurers around non-pecuniary damages and therefore the quantum of potential claims. These were stated in 2010 to be up to $117,000 (CAD) for the claim regarding a child $40,000 for a mother (CAD).</w:t>
      </w:r>
      <w:r w:rsidR="00C801AA" w:rsidRPr="00CB32B1">
        <w:rPr>
          <w:rStyle w:val="FootnoteReference"/>
        </w:rPr>
        <w:footnoteReference w:id="200"/>
      </w:r>
    </w:p>
    <w:p w:rsidR="002C5ECC" w:rsidRPr="00CB32B1" w:rsidRDefault="002C5ECC" w:rsidP="002C5ECC">
      <w:pPr>
        <w:pStyle w:val="PwCNormal"/>
      </w:pPr>
      <w:r w:rsidRPr="00CB32B1">
        <w:t xml:space="preserve">The Ontario government </w:t>
      </w:r>
      <w:r w:rsidR="007D314F">
        <w:t>is believed to have</w:t>
      </w:r>
      <w:r w:rsidRPr="00CB32B1">
        <w:t xml:space="preserve"> supported homebirth and maternity services being provided by midwives by enforcing changes in legislation through the </w:t>
      </w:r>
      <w:r w:rsidRPr="007D314F">
        <w:rPr>
          <w:i/>
        </w:rPr>
        <w:t>Ontario Midwifery Act of 1993</w:t>
      </w:r>
      <w:r w:rsidRPr="00CB32B1">
        <w:t>. However, the Government also recognises a growing need for more midwives in the province of Ontario, where the province is viewed as underserved for maternity care.</w:t>
      </w:r>
      <w:r w:rsidR="00C801AA" w:rsidRPr="00CB32B1">
        <w:rPr>
          <w:rStyle w:val="FootnoteReference"/>
        </w:rPr>
        <w:footnoteReference w:id="201"/>
      </w:r>
      <w:r w:rsidR="00C801AA" w:rsidRPr="00CB32B1">
        <w:t xml:space="preserve"> </w:t>
      </w:r>
      <w:r w:rsidRPr="00CB32B1">
        <w:t>The health system and the Government support can also be seen through the Ontario Ministry of Health and Long-Term Care paying for maternity services.</w:t>
      </w:r>
      <w:r w:rsidR="00C801AA" w:rsidRPr="00CB32B1">
        <w:rPr>
          <w:rStyle w:val="FootnoteReference"/>
        </w:rPr>
        <w:footnoteReference w:id="202"/>
      </w:r>
      <w:r w:rsidR="00C801AA" w:rsidRPr="00CB32B1">
        <w:t xml:space="preserve"> </w:t>
      </w:r>
      <w:r w:rsidRPr="00CB32B1">
        <w:t xml:space="preserve">It could be held that as a result, a midwife has an incentive to report correctly the number of women in </w:t>
      </w:r>
      <w:r w:rsidR="007D314F">
        <w:t xml:space="preserve">his or </w:t>
      </w:r>
      <w:r w:rsidRPr="00CB32B1">
        <w:t>her care to receive pay</w:t>
      </w:r>
      <w:r w:rsidR="007D314F">
        <w:t>ment for services</w:t>
      </w:r>
      <w:r w:rsidRPr="00CB32B1">
        <w:t xml:space="preserve">. As a result, the practice of the midwife may be held to be transparent and this has the potential to increase the certainty when forming premiums for </w:t>
      </w:r>
      <w:r w:rsidR="00E25231">
        <w:t>PII</w:t>
      </w:r>
      <w:r w:rsidRPr="00CB32B1">
        <w:t>. Consultations suggested that the Government saw benefit in the model from:</w:t>
      </w:r>
    </w:p>
    <w:p w:rsidR="002C5ECC" w:rsidRPr="00CB32B1" w:rsidRDefault="002C5ECC" w:rsidP="009814D6">
      <w:pPr>
        <w:pStyle w:val="ListBullet"/>
      </w:pPr>
      <w:r w:rsidRPr="00CB32B1">
        <w:rPr>
          <w:b/>
          <w:color w:val="DC6900" w:themeColor="text2"/>
        </w:rPr>
        <w:t>Increasing women’s choice:</w:t>
      </w:r>
      <w:r w:rsidRPr="00CB32B1">
        <w:t xml:space="preserve"> </w:t>
      </w:r>
      <w:r w:rsidR="00D20678">
        <w:t>m</w:t>
      </w:r>
      <w:r w:rsidRPr="00CB32B1">
        <w:t>aking homebirth an available option for women which increases the scale of practic</w:t>
      </w:r>
      <w:r w:rsidR="00CD0CA9" w:rsidRPr="00CB32B1">
        <w:t>e and makes PII more affordable</w:t>
      </w:r>
    </w:p>
    <w:p w:rsidR="00463352" w:rsidRPr="00CB32B1" w:rsidRDefault="002C5ECC" w:rsidP="00463352">
      <w:pPr>
        <w:pStyle w:val="ListBullet"/>
        <w:ind w:left="561" w:hanging="561"/>
      </w:pPr>
      <w:r w:rsidRPr="00CB32B1">
        <w:rPr>
          <w:b/>
          <w:color w:val="DC6900" w:themeColor="text2"/>
        </w:rPr>
        <w:t>Reducing financial cost:</w:t>
      </w:r>
      <w:r w:rsidRPr="00CB32B1">
        <w:t xml:space="preserve"> </w:t>
      </w:r>
      <w:r w:rsidR="00D20678">
        <w:t>m</w:t>
      </w:r>
      <w:r w:rsidRPr="00CB32B1">
        <w:t>idwifery-led care was estimated at $800 lower if provided in a health setting compared to obstetrics, and $1,800 lower if provided at home.</w:t>
      </w:r>
      <w:r w:rsidR="00C801AA" w:rsidRPr="00CB32B1">
        <w:rPr>
          <w:rStyle w:val="FootnoteReference"/>
          <w:lang w:eastAsia="en-AU"/>
        </w:rPr>
        <w:footnoteReference w:id="203"/>
      </w:r>
      <w:r w:rsidR="00C801AA" w:rsidRPr="00CB32B1">
        <w:rPr>
          <w:lang w:eastAsia="en-AU"/>
        </w:rPr>
        <w:t xml:space="preserve"> </w:t>
      </w:r>
      <w:r w:rsidRPr="00CB32B1">
        <w:t>This evidence of the affordability of the practice led may have influenced the Government to invest in the education of midwives and in</w:t>
      </w:r>
      <w:r w:rsidR="00CD0CA9" w:rsidRPr="00CB32B1">
        <w:t>crease the size of the practice</w:t>
      </w:r>
    </w:p>
    <w:p w:rsidR="002C5ECC" w:rsidRPr="00CB32B1" w:rsidRDefault="002C5ECC" w:rsidP="00463352">
      <w:pPr>
        <w:pStyle w:val="ListBullet"/>
      </w:pPr>
      <w:r w:rsidRPr="00CB32B1">
        <w:rPr>
          <w:b/>
          <w:color w:val="DC6900" w:themeColor="text2"/>
        </w:rPr>
        <w:t xml:space="preserve">Increasing women’s satisfaction: </w:t>
      </w:r>
      <w:r w:rsidR="00D20678">
        <w:t>a</w:t>
      </w:r>
      <w:r w:rsidRPr="00CB32B1">
        <w:t xml:space="preserve"> 98.7% satisfaction rate was reported among clients using midwifery services.</w:t>
      </w:r>
      <w:r w:rsidR="00C801AA" w:rsidRPr="00CB32B1">
        <w:rPr>
          <w:vertAlign w:val="superscript"/>
        </w:rPr>
        <w:footnoteReference w:id="204"/>
      </w:r>
      <w:r w:rsidR="00854DEF" w:rsidRPr="00CB32B1">
        <w:t xml:space="preserve"> </w:t>
      </w:r>
      <w:r w:rsidRPr="00CB32B1">
        <w:t xml:space="preserve">This may have also encouraged the demand for midwifery services and hence, the demand for insurance by midwives. </w:t>
      </w:r>
    </w:p>
    <w:p w:rsidR="002C5ECC" w:rsidRPr="00CB32B1" w:rsidRDefault="002C5ECC" w:rsidP="009814D6">
      <w:pPr>
        <w:pStyle w:val="Heading6"/>
      </w:pPr>
      <w:bookmarkStart w:id="48" w:name="_Toc362975058"/>
      <w:r w:rsidRPr="00CB32B1">
        <w:t>The Netherlands</w:t>
      </w:r>
      <w:bookmarkEnd w:id="48"/>
    </w:p>
    <w:p w:rsidR="002C5ECC" w:rsidRPr="00CB32B1" w:rsidRDefault="002C5ECC" w:rsidP="009814D6">
      <w:pPr>
        <w:pStyle w:val="Majorheading"/>
      </w:pPr>
      <w:r w:rsidRPr="00CB32B1">
        <w:t>Homebirth at a glance</w:t>
      </w:r>
    </w:p>
    <w:p w:rsidR="002C5ECC" w:rsidRPr="00CB32B1" w:rsidRDefault="002C5ECC" w:rsidP="002C5ECC">
      <w:pPr>
        <w:pStyle w:val="PwCNormal"/>
      </w:pPr>
      <w:r w:rsidRPr="00CB32B1">
        <w:t>As Wiegers et al state, “the Dutch system of maternity care, with its high proportion of planned homebirths, received much attention from other industrialised countries”.</w:t>
      </w:r>
      <w:r w:rsidR="00C801AA" w:rsidRPr="00CB32B1">
        <w:rPr>
          <w:rStyle w:val="FootnoteReference"/>
        </w:rPr>
        <w:footnoteReference w:id="205"/>
      </w:r>
      <w:r w:rsidR="00854DEF" w:rsidRPr="00CB32B1">
        <w:t xml:space="preserve"> </w:t>
      </w:r>
      <w:r w:rsidRPr="00CB32B1">
        <w:t>In 2010, 23 per cent of women gave birth at home,</w:t>
      </w:r>
      <w:r w:rsidR="00C801AA" w:rsidRPr="00CB32B1">
        <w:rPr>
          <w:rStyle w:val="FootnoteReference"/>
        </w:rPr>
        <w:footnoteReference w:id="206"/>
      </w:r>
      <w:r w:rsidR="00854DEF" w:rsidRPr="00CB32B1">
        <w:t xml:space="preserve"> </w:t>
      </w:r>
      <w:r w:rsidRPr="00CB32B1">
        <w:t xml:space="preserve">with 181,837 births in the Netherlands being comprised of 42,550 being at home, 136,923 in the hospital and 2,182 being undertaken elsewhere. While this number is relatively high compared to each of the other jurisdictions researched, it has been declining, as shown in </w:t>
      </w:r>
      <w:r w:rsidR="009129A6" w:rsidRPr="00CB32B1">
        <w:fldChar w:fldCharType="begin"/>
      </w:r>
      <w:r w:rsidR="00EB2051" w:rsidRPr="00CB32B1">
        <w:instrText xml:space="preserve"> REF _Ref361223622 \h </w:instrText>
      </w:r>
      <w:r w:rsidR="009129A6" w:rsidRPr="00CB32B1">
        <w:fldChar w:fldCharType="separate"/>
      </w:r>
      <w:r w:rsidR="008816B4" w:rsidRPr="00CB32B1">
        <w:t xml:space="preserve">Figure </w:t>
      </w:r>
      <w:r w:rsidR="008816B4">
        <w:rPr>
          <w:noProof/>
        </w:rPr>
        <w:t>14</w:t>
      </w:r>
      <w:r w:rsidR="009129A6" w:rsidRPr="00CB32B1">
        <w:fldChar w:fldCharType="end"/>
      </w:r>
      <w:r w:rsidRPr="00CB32B1">
        <w:t>.</w:t>
      </w:r>
    </w:p>
    <w:p w:rsidR="009814D6" w:rsidRPr="00CB32B1" w:rsidRDefault="009814D6" w:rsidP="00270634">
      <w:pPr>
        <w:pStyle w:val="NumericCaption"/>
      </w:pPr>
      <w:bookmarkStart w:id="49" w:name="_Ref361223622"/>
      <w:r w:rsidRPr="00CB32B1">
        <w:t xml:space="preserve">Figure </w:t>
      </w:r>
      <w:r w:rsidR="009129A6" w:rsidRPr="00CB32B1">
        <w:fldChar w:fldCharType="begin"/>
      </w:r>
      <w:r w:rsidR="00D16456" w:rsidRPr="00CB32B1">
        <w:instrText xml:space="preserve"> SEQ Figure \* ARABIC </w:instrText>
      </w:r>
      <w:r w:rsidR="009129A6" w:rsidRPr="00CB32B1">
        <w:fldChar w:fldCharType="separate"/>
      </w:r>
      <w:r w:rsidR="008816B4">
        <w:rPr>
          <w:noProof/>
        </w:rPr>
        <w:t>14</w:t>
      </w:r>
      <w:r w:rsidR="009129A6" w:rsidRPr="00CB32B1">
        <w:fldChar w:fldCharType="end"/>
      </w:r>
      <w:bookmarkEnd w:id="49"/>
      <w:r w:rsidRPr="00CB32B1">
        <w:t>: Number and proportion of births at home</w:t>
      </w:r>
    </w:p>
    <w:p w:rsidR="002C5ECC" w:rsidRPr="00CB32B1" w:rsidRDefault="001E2724" w:rsidP="001D38DA">
      <w:pPr>
        <w:pStyle w:val="PwCNormal"/>
        <w:jc w:val="center"/>
      </w:pPr>
      <w:r w:rsidRPr="001E2724">
        <w:rPr>
          <w:noProof/>
          <w:lang w:val="en-US"/>
        </w:rPr>
        <w:drawing>
          <wp:inline distT="0" distB="0" distL="0" distR="0">
            <wp:extent cx="4269851" cy="233261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80505" cy="2338430"/>
                    </a:xfrm>
                    <a:prstGeom prst="rect">
                      <a:avLst/>
                    </a:prstGeom>
                    <a:noFill/>
                    <a:ln>
                      <a:noFill/>
                    </a:ln>
                  </pic:spPr>
                </pic:pic>
              </a:graphicData>
            </a:graphic>
          </wp:inline>
        </w:drawing>
      </w:r>
    </w:p>
    <w:p w:rsidR="002C5ECC" w:rsidRPr="00CB32B1" w:rsidRDefault="002C5ECC" w:rsidP="009814D6">
      <w:pPr>
        <w:pStyle w:val="Sources"/>
      </w:pPr>
      <w:r w:rsidRPr="00CB32B1">
        <w:rPr>
          <w:b/>
        </w:rPr>
        <w:t xml:space="preserve">Source: </w:t>
      </w:r>
      <w:r w:rsidR="00472B36" w:rsidRPr="00CB32B1">
        <w:t>Statistics Netherland</w:t>
      </w:r>
      <w:r w:rsidR="007D314F">
        <w:t>s,</w:t>
      </w:r>
      <w:r w:rsidR="00472B36" w:rsidRPr="00CB32B1">
        <w:t xml:space="preserve"> </w:t>
      </w:r>
      <w:r w:rsidRPr="00CB32B1">
        <w:t>2013.</w:t>
      </w:r>
    </w:p>
    <w:p w:rsidR="002C5ECC" w:rsidRPr="00CB32B1" w:rsidRDefault="002C5ECC" w:rsidP="009623F2">
      <w:pPr>
        <w:pStyle w:val="PwCNormal"/>
      </w:pPr>
      <w:r w:rsidRPr="00CB32B1">
        <w:t>Literature suggests the reason for the decline is driven by many factors including the support of government and other health professionals (</w:t>
      </w:r>
      <w:r w:rsidR="00854DEF" w:rsidRPr="00CB32B1">
        <w:t>eg</w:t>
      </w:r>
      <w:r w:rsidRPr="00CB32B1">
        <w:t xml:space="preserve"> obstetricians) for homebirths, the perceived medicalisation of maternity services, as well as a change to the maternity care system.</w:t>
      </w:r>
      <w:r w:rsidR="00C801AA" w:rsidRPr="00CB32B1">
        <w:rPr>
          <w:rStyle w:val="FootnoteReference"/>
        </w:rPr>
        <w:footnoteReference w:id="207"/>
      </w:r>
      <w:r w:rsidRPr="00CB32B1">
        <w:rPr>
          <w:vertAlign w:val="superscript"/>
        </w:rPr>
        <w:t>,</w:t>
      </w:r>
      <w:r w:rsidR="00854DEF" w:rsidRPr="007D314F">
        <w:rPr>
          <w:vertAlign w:val="superscript"/>
        </w:rPr>
        <w:t xml:space="preserve"> </w:t>
      </w:r>
      <w:r w:rsidR="00C801AA" w:rsidRPr="00CB32B1">
        <w:rPr>
          <w:rStyle w:val="FootnoteReference"/>
        </w:rPr>
        <w:footnoteReference w:id="208"/>
      </w:r>
    </w:p>
    <w:p w:rsidR="002C5ECC" w:rsidRPr="00CB32B1" w:rsidRDefault="002C5ECC" w:rsidP="009623F2">
      <w:pPr>
        <w:pStyle w:val="PwCNormal"/>
      </w:pPr>
      <w:r w:rsidRPr="00CB32B1">
        <w:t>In the Dutch maternity care system midwives are qualified to provide independent care for women with uncomplicated pregnancies. Since the 1970s women have had the choice between home or hospital birth as well as who their primary care provider is. Under a tiered care model, the majority of care is provided by midwives or GPs in the community under a primary maternity care model. In 2008, 99.5 per cent of these homebirths under this model were attended by a midwife, with the remaining 0.5 per cent attended by a GP.</w:t>
      </w:r>
      <w:r w:rsidR="00C801AA" w:rsidRPr="00CB32B1">
        <w:rPr>
          <w:rStyle w:val="FootnoteReference"/>
        </w:rPr>
        <w:footnoteReference w:id="209"/>
      </w:r>
      <w:r w:rsidR="00854DEF" w:rsidRPr="00CB32B1">
        <w:t xml:space="preserve"> </w:t>
      </w:r>
      <w:r w:rsidRPr="00CB32B1">
        <w:t>Secondary care models involve obstetricians and specialised</w:t>
      </w:r>
      <w:r w:rsidR="00853C79">
        <w:t xml:space="preserve"> </w:t>
      </w:r>
      <w:r w:rsidRPr="00CB32B1">
        <w:t>‘clinical’ midwives in general hospitals, and tertiary care comprises of obstetricians in academic hospitals.</w:t>
      </w:r>
      <w:r w:rsidR="00C801AA" w:rsidRPr="00CB32B1">
        <w:rPr>
          <w:rStyle w:val="FootnoteReference"/>
        </w:rPr>
        <w:footnoteReference w:id="210"/>
      </w:r>
    </w:p>
    <w:p w:rsidR="002C5ECC" w:rsidRPr="00CB32B1" w:rsidRDefault="002C5ECC" w:rsidP="002C5ECC">
      <w:pPr>
        <w:pStyle w:val="PwCNormal"/>
      </w:pPr>
      <w:r w:rsidRPr="00CB32B1">
        <w:t xml:space="preserve">Maternity services are paid for under a women’s health insurance plan, in a form of co-payment. Under the </w:t>
      </w:r>
      <w:r w:rsidRPr="00CB32B1">
        <w:rPr>
          <w:i/>
        </w:rPr>
        <w:t>Health Care Insurance Act</w:t>
      </w:r>
      <w:r w:rsidRPr="00CB32B1">
        <w:t>, it is compulsory that all Dutch citizens and those working in the Netherlands hold a standard insurance plan (in which maternity services is covered).</w:t>
      </w:r>
      <w:r w:rsidR="00C801AA" w:rsidRPr="00CB32B1">
        <w:rPr>
          <w:rStyle w:val="FootnoteReference"/>
        </w:rPr>
        <w:footnoteReference w:id="211"/>
      </w:r>
      <w:r w:rsidRPr="00CB32B1">
        <w:rPr>
          <w:vertAlign w:val="superscript"/>
        </w:rPr>
        <w:t>,</w:t>
      </w:r>
      <w:r w:rsidR="00C801AA" w:rsidRPr="00CB32B1">
        <w:rPr>
          <w:rStyle w:val="FootnoteReference"/>
        </w:rPr>
        <w:footnoteReference w:id="212"/>
      </w:r>
      <w:r w:rsidR="00854DEF" w:rsidRPr="00CB32B1">
        <w:t xml:space="preserve"> </w:t>
      </w:r>
      <w:r w:rsidRPr="00CB32B1">
        <w:t>These costs are approximately €1,100 with an income related contribution of up to €500 per year. Midwives are registered with the insurance agencies to receive payments.</w:t>
      </w:r>
    </w:p>
    <w:p w:rsidR="002C5ECC" w:rsidRPr="00CB32B1" w:rsidRDefault="002C5ECC" w:rsidP="002C5ECC">
      <w:pPr>
        <w:pStyle w:val="PwCNormal"/>
      </w:pPr>
      <w:r w:rsidRPr="00CB32B1">
        <w:t>In 2011 there were 2,612 midwives in the Netherlands who provided care either independently (self-employed) (73 per cent) or in a hospital (27 per cent).</w:t>
      </w:r>
      <w:r w:rsidR="00C801AA" w:rsidRPr="00CB32B1">
        <w:rPr>
          <w:rStyle w:val="FootnoteReference"/>
        </w:rPr>
        <w:footnoteReference w:id="213"/>
      </w:r>
      <w:r w:rsidR="00854DEF" w:rsidRPr="00CB32B1">
        <w:t xml:space="preserve"> </w:t>
      </w:r>
      <w:r w:rsidRPr="00CB32B1">
        <w:t>Those that provide homebirth services operate as:</w:t>
      </w:r>
      <w:r w:rsidR="007D314F" w:rsidRPr="00CB32B1">
        <w:rPr>
          <w:rStyle w:val="FootnoteReference"/>
        </w:rPr>
        <w:footnoteReference w:id="214"/>
      </w:r>
    </w:p>
    <w:p w:rsidR="002C5ECC" w:rsidRPr="00CB32B1" w:rsidRDefault="002C5ECC" w:rsidP="009814D6">
      <w:pPr>
        <w:pStyle w:val="ListBullet"/>
      </w:pPr>
      <w:r w:rsidRPr="00CB32B1">
        <w:rPr>
          <w:b/>
          <w:color w:val="DC6900" w:themeColor="text2"/>
        </w:rPr>
        <w:t xml:space="preserve">Sole: </w:t>
      </w:r>
      <w:r w:rsidRPr="00CB32B1">
        <w:t>operate alone. Comprises of 5.7 per cent of all primary care midwives</w:t>
      </w:r>
    </w:p>
    <w:p w:rsidR="002C5ECC" w:rsidRPr="00CB32B1" w:rsidRDefault="002C5ECC" w:rsidP="009814D6">
      <w:pPr>
        <w:pStyle w:val="ListBullet"/>
      </w:pPr>
      <w:r w:rsidRPr="00CB32B1">
        <w:rPr>
          <w:b/>
          <w:color w:val="DC6900" w:themeColor="text2"/>
        </w:rPr>
        <w:t xml:space="preserve">Group practice: </w:t>
      </w:r>
      <w:r w:rsidRPr="00CB32B1">
        <w:t>operate as a member of an organisation. These groups often have their own premis</w:t>
      </w:r>
      <w:r w:rsidR="00CD0CA9" w:rsidRPr="00CB32B1">
        <w:t>es, with a midwife on call 24/7</w:t>
      </w:r>
    </w:p>
    <w:p w:rsidR="002C5ECC" w:rsidRPr="00CB32B1" w:rsidRDefault="002C5ECC" w:rsidP="009814D6">
      <w:pPr>
        <w:pStyle w:val="ListBullet"/>
      </w:pPr>
      <w:r w:rsidRPr="00CB32B1">
        <w:rPr>
          <w:b/>
          <w:color w:val="DC6900" w:themeColor="text2"/>
        </w:rPr>
        <w:t xml:space="preserve">Locum: </w:t>
      </w:r>
      <w:r w:rsidRPr="00CB32B1">
        <w:t xml:space="preserve">temporary, or replacement midwife. This comprises of 12% of all active midwives. </w:t>
      </w:r>
    </w:p>
    <w:p w:rsidR="002C5ECC" w:rsidRPr="00CB32B1" w:rsidRDefault="002C5ECC" w:rsidP="002C5ECC">
      <w:pPr>
        <w:pStyle w:val="PwCNormal"/>
      </w:pPr>
      <w:r w:rsidRPr="00CB32B1">
        <w:t>Midwives in the Netherlands are required to be registered under a national register (the BIG register) and must meet a set of requirements to maintain registration. The key one of these is the amount of time spent working as a midwife (2,080 hours in five years).</w:t>
      </w:r>
      <w:r w:rsidR="00C801AA" w:rsidRPr="00CB32B1">
        <w:rPr>
          <w:vertAlign w:val="superscript"/>
        </w:rPr>
        <w:footnoteReference w:id="215"/>
      </w:r>
    </w:p>
    <w:p w:rsidR="002C5ECC" w:rsidRPr="00CB32B1" w:rsidRDefault="002C5ECC" w:rsidP="009814D6">
      <w:pPr>
        <w:pStyle w:val="Majorheading"/>
      </w:pPr>
      <w:r w:rsidRPr="00CB32B1">
        <w:t>Indemnity insurance history</w:t>
      </w:r>
    </w:p>
    <w:p w:rsidR="002C5ECC" w:rsidRPr="00CB32B1" w:rsidRDefault="002C5ECC" w:rsidP="002C5ECC">
      <w:pPr>
        <w:pStyle w:val="PwCNormal"/>
      </w:pPr>
      <w:r w:rsidRPr="00CB32B1">
        <w:t xml:space="preserve">As one consultation stated, the Netherlands is an “insurance-minded country” with insurance for all types of activities. Therefore, it appears that with the majority of births historically being provided in the home, </w:t>
      </w:r>
      <w:r w:rsidR="00E25231">
        <w:t>PII</w:t>
      </w:r>
      <w:r w:rsidRPr="00CB32B1">
        <w:t xml:space="preserve"> has been traditionally available from commercial insurers in an active market (however this could not be verified).</w:t>
      </w:r>
    </w:p>
    <w:p w:rsidR="002C5ECC" w:rsidRPr="00CB32B1" w:rsidRDefault="002C5ECC" w:rsidP="009814D6">
      <w:pPr>
        <w:pStyle w:val="Majorheading"/>
      </w:pPr>
      <w:r w:rsidRPr="00CB32B1">
        <w:t>Indemnity insurance model</w:t>
      </w:r>
    </w:p>
    <w:p w:rsidR="002C5ECC" w:rsidRPr="00CB32B1" w:rsidRDefault="002C5ECC" w:rsidP="002C5ECC">
      <w:pPr>
        <w:pStyle w:val="PwCNormal"/>
      </w:pPr>
      <w:r w:rsidRPr="00CB32B1">
        <w:t>Like England, indemnity insurance is not a requirement of registration under the Netherlands’ BIG register. However, consultations highlighted that as the cost is relatively low (approximately €350 annually</w:t>
      </w:r>
      <w:r w:rsidR="00C801AA" w:rsidRPr="00CB32B1">
        <w:rPr>
          <w:rStyle w:val="FootnoteReference"/>
        </w:rPr>
        <w:footnoteReference w:id="216"/>
      </w:r>
      <w:r w:rsidRPr="00CB32B1">
        <w:t>) it is believed that the majority of midwives hold insurance.</w:t>
      </w:r>
      <w:r w:rsidR="00241006" w:rsidRPr="00CB32B1">
        <w:rPr>
          <w:rStyle w:val="FootnoteReference"/>
        </w:rPr>
        <w:footnoteReference w:id="217"/>
      </w:r>
      <w:r w:rsidR="00854DEF" w:rsidRPr="00CB32B1">
        <w:t xml:space="preserve"> </w:t>
      </w:r>
      <w:r w:rsidRPr="00CB32B1">
        <w:t xml:space="preserve">Also like England, the Directive </w:t>
      </w:r>
      <w:r w:rsidR="007D314F">
        <w:t xml:space="preserve">from the EU </w:t>
      </w:r>
      <w:r w:rsidRPr="00CB32B1">
        <w:t>will place a responsibility on the Netherlands to provide systems of liability insurance and so it could become mandatory in the future.</w:t>
      </w:r>
      <w:r w:rsidR="00241006" w:rsidRPr="00CB32B1">
        <w:rPr>
          <w:vertAlign w:val="superscript"/>
        </w:rPr>
        <w:footnoteReference w:id="218"/>
      </w:r>
    </w:p>
    <w:p w:rsidR="002C5ECC" w:rsidRPr="00CB32B1" w:rsidRDefault="002C5ECC" w:rsidP="002C5ECC">
      <w:pPr>
        <w:pStyle w:val="PwCNormal"/>
      </w:pPr>
      <w:r w:rsidRPr="00CB32B1">
        <w:t>As mentioned previously, PII in the Netherlands is able to be purchased as insurance through an active commercial market. Some of these are healthcare member organisations (</w:t>
      </w:r>
      <w:r w:rsidR="00854DEF" w:rsidRPr="00CB32B1">
        <w:t>eg</w:t>
      </w:r>
      <w:r w:rsidRPr="00CB32B1">
        <w:t xml:space="preserve"> VVAA), while others are subsidiaries of multi-national insurance for profit agencies (</w:t>
      </w:r>
      <w:r w:rsidR="00854DEF" w:rsidRPr="00CB32B1">
        <w:t>eg</w:t>
      </w:r>
      <w:r w:rsidRPr="00CB32B1">
        <w:t xml:space="preserve"> Meéus). In Appendix K there is varying detail of three different providers of indemnity insurance for midwives (</w:t>
      </w:r>
      <w:r w:rsidR="00854DEF" w:rsidRPr="00CB32B1">
        <w:t>eg</w:t>
      </w:r>
      <w:r w:rsidRPr="00CB32B1">
        <w:t xml:space="preserve"> De Goudse, Meéus and VVAA). The features of PII in the Netherlands are driven by the insurance product; all provide cover for approximately €1.5 million to €2.5 million (variation depends on whether additional premiums are paid, and the amount claimed p</w:t>
      </w:r>
      <w:r w:rsidR="00853C79">
        <w:t>er year), some also provide run-</w:t>
      </w:r>
      <w:r w:rsidRPr="00CB32B1">
        <w:t>off cover (up to 20 years), as well as legal aid for product holders (VVAA).</w:t>
      </w:r>
    </w:p>
    <w:p w:rsidR="002C5ECC" w:rsidRPr="00CB32B1" w:rsidRDefault="002C5ECC" w:rsidP="009814D6">
      <w:pPr>
        <w:pStyle w:val="Majorheading"/>
      </w:pPr>
      <w:r w:rsidRPr="00CB32B1">
        <w:t>Incidence of claims raised</w:t>
      </w:r>
    </w:p>
    <w:p w:rsidR="002C5ECC" w:rsidRPr="00CB32B1" w:rsidRDefault="002C5ECC" w:rsidP="009814D6">
      <w:pPr>
        <w:pStyle w:val="PwCNormal"/>
        <w:keepNext/>
        <w:keepLines/>
      </w:pPr>
      <w:r w:rsidRPr="00CB32B1">
        <w:t xml:space="preserve">As </w:t>
      </w:r>
      <w:r w:rsidR="00853C79">
        <w:t>the</w:t>
      </w:r>
      <w:r w:rsidRPr="00CB32B1">
        <w:t xml:space="preserve"> insurers</w:t>
      </w:r>
      <w:r w:rsidR="00853C79">
        <w:t xml:space="preserve"> are commercial</w:t>
      </w:r>
      <w:r w:rsidRPr="00CB32B1">
        <w:t>, information was unable to be obtained on the number of incidence of claims from these insurers. However from consultations held, stakeholders did disclose that the number and quantum was relatively low (the largest case reported was for €1 million approximately 10-15 years ago).</w:t>
      </w:r>
      <w:r w:rsidR="00241006" w:rsidRPr="00CB32B1">
        <w:rPr>
          <w:rStyle w:val="FootnoteReference"/>
        </w:rPr>
        <w:footnoteReference w:id="219"/>
      </w:r>
      <w:r w:rsidR="00854DEF" w:rsidRPr="00CB32B1">
        <w:t xml:space="preserve"> </w:t>
      </w:r>
      <w:r w:rsidRPr="00CB32B1">
        <w:t>The relatively low number of claims that were raised was linked to several factors including:</w:t>
      </w:r>
    </w:p>
    <w:p w:rsidR="002C5ECC" w:rsidRPr="00CB32B1" w:rsidRDefault="002C5ECC" w:rsidP="009814D6">
      <w:pPr>
        <w:pStyle w:val="ListBullet"/>
      </w:pPr>
      <w:r w:rsidRPr="00CB32B1">
        <w:rPr>
          <w:b/>
          <w:color w:val="DC6900" w:themeColor="text2"/>
        </w:rPr>
        <w:t>Enablers of model:</w:t>
      </w:r>
      <w:r w:rsidRPr="00CB32B1">
        <w:t xml:space="preserve"> disciplinary frameworks in place and the lack of a litigious culture</w:t>
      </w:r>
    </w:p>
    <w:p w:rsidR="002C5ECC" w:rsidRPr="00CB32B1" w:rsidRDefault="002C5ECC" w:rsidP="009814D6">
      <w:pPr>
        <w:pStyle w:val="ListBullet"/>
      </w:pPr>
      <w:r w:rsidRPr="00CB32B1">
        <w:rPr>
          <w:b/>
          <w:color w:val="DC6900" w:themeColor="text2"/>
        </w:rPr>
        <w:t>General Tax for Special Illness</w:t>
      </w:r>
      <w:r w:rsidRPr="00CB32B1">
        <w:t>.</w:t>
      </w:r>
    </w:p>
    <w:p w:rsidR="002C5ECC" w:rsidRPr="00CB32B1" w:rsidRDefault="002C5ECC" w:rsidP="009814D6">
      <w:pPr>
        <w:pStyle w:val="Minorheading"/>
      </w:pPr>
      <w:r w:rsidRPr="00CB32B1">
        <w:t>General Tax for Special Illness</w:t>
      </w:r>
    </w:p>
    <w:p w:rsidR="002C5ECC" w:rsidRPr="00CB32B1" w:rsidRDefault="002C5ECC" w:rsidP="002C5ECC">
      <w:pPr>
        <w:pStyle w:val="PwCNormal"/>
      </w:pPr>
      <w:r w:rsidRPr="00CB32B1">
        <w:t>Insurers identified that the majority of claims raised concern a complaint about a baby that has become disabled due to the actions of a midwife.</w:t>
      </w:r>
      <w:r w:rsidR="00241006" w:rsidRPr="00CB32B1">
        <w:rPr>
          <w:rStyle w:val="FootnoteReference"/>
        </w:rPr>
        <w:footnoteReference w:id="220"/>
      </w:r>
      <w:r w:rsidR="008D0B4E" w:rsidRPr="00CB32B1">
        <w:t xml:space="preserve"> </w:t>
      </w:r>
      <w:r w:rsidRPr="00CB32B1">
        <w:t xml:space="preserve">In the Netherlands, the </w:t>
      </w:r>
      <w:r w:rsidRPr="007D314F">
        <w:rPr>
          <w:i/>
        </w:rPr>
        <w:t>Exceptional Medical Expenses Act</w:t>
      </w:r>
      <w:r w:rsidRPr="00CB32B1">
        <w:t xml:space="preserve"> (AWBZ) insures the often long-term costs of treatment, support, nursing and personal care, when these costs are extremely high.</w:t>
      </w:r>
      <w:r w:rsidR="00241006" w:rsidRPr="00CB32B1">
        <w:rPr>
          <w:rStyle w:val="FootnoteReference"/>
        </w:rPr>
        <w:footnoteReference w:id="221"/>
      </w:r>
      <w:r w:rsidR="00854DEF" w:rsidRPr="00CB32B1">
        <w:t xml:space="preserve"> </w:t>
      </w:r>
      <w:r w:rsidRPr="00CB32B1">
        <w:t xml:space="preserve">Citizens who are employed or receive a pension pay the AWBZ premium indirectly through their pay/allowance. </w:t>
      </w:r>
    </w:p>
    <w:p w:rsidR="002C5ECC" w:rsidRPr="00CB32B1" w:rsidRDefault="002C5ECC" w:rsidP="002C5ECC">
      <w:pPr>
        <w:pStyle w:val="PwCNormal"/>
      </w:pPr>
      <w:r w:rsidRPr="00CB32B1">
        <w:t>As the AWBZ can also cover disablement</w:t>
      </w:r>
      <w:r w:rsidR="00853C79">
        <w:t>,</w:t>
      </w:r>
      <w:r w:rsidRPr="00CB32B1">
        <w:t xml:space="preserve"> the quantum of a claim on the premium pool may be brought down. Therefore, if there are disability claims then these can be covered more frequently by social insurance rather than </w:t>
      </w:r>
      <w:r w:rsidR="00E25231">
        <w:t>PII</w:t>
      </w:r>
      <w:r w:rsidRPr="00CB32B1">
        <w:t>.</w:t>
      </w:r>
    </w:p>
    <w:p w:rsidR="002C5ECC" w:rsidRPr="00CB32B1" w:rsidRDefault="002C5ECC" w:rsidP="009814D6">
      <w:pPr>
        <w:pStyle w:val="Majorheading"/>
      </w:pPr>
      <w:r w:rsidRPr="00CB32B1">
        <w:t>Enablers of model</w:t>
      </w:r>
    </w:p>
    <w:p w:rsidR="002C5ECC" w:rsidRPr="00CB32B1" w:rsidRDefault="002C5ECC" w:rsidP="002C5ECC">
      <w:pPr>
        <w:pStyle w:val="PwCNormal"/>
      </w:pPr>
      <w:r w:rsidRPr="00CB32B1">
        <w:t xml:space="preserve">Given the widespread practice of homebirths, much discussion from academics, researchers and professionals internationally has focused on trying to understand what it is that makes the homebirth model ‘work’ in the Netherlands from both a service provision and PII perspective. </w:t>
      </w:r>
    </w:p>
    <w:p w:rsidR="002C5ECC" w:rsidRPr="00CB32B1" w:rsidRDefault="002C5ECC" w:rsidP="002C5ECC">
      <w:pPr>
        <w:pStyle w:val="PwCNormal"/>
      </w:pPr>
      <w:r w:rsidRPr="00CB32B1">
        <w:t>From consultations, there were several key factors of the overarching environment in which midwives practice, that were identified as important in assisting with the development of an active PII market:</w:t>
      </w:r>
    </w:p>
    <w:p w:rsidR="002C5ECC" w:rsidRPr="00CB32B1" w:rsidRDefault="002C5ECC" w:rsidP="009814D6">
      <w:pPr>
        <w:pStyle w:val="ListBullet"/>
      </w:pPr>
      <w:r w:rsidRPr="00CB32B1">
        <w:rPr>
          <w:b/>
          <w:color w:val="DC6900" w:themeColor="text2"/>
        </w:rPr>
        <w:t xml:space="preserve">Midwifery practice: </w:t>
      </w:r>
      <w:r w:rsidR="00853C79">
        <w:t>t</w:t>
      </w:r>
      <w:r w:rsidRPr="00CB32B1">
        <w:t xml:space="preserve">he large scale of homebirth </w:t>
      </w:r>
      <w:r w:rsidR="00CD0CA9" w:rsidRPr="00CB32B1">
        <w:t>services and models of practice</w:t>
      </w:r>
    </w:p>
    <w:p w:rsidR="002C5ECC" w:rsidRPr="00CB32B1" w:rsidRDefault="002C5ECC" w:rsidP="009814D6">
      <w:pPr>
        <w:pStyle w:val="ListBullet"/>
      </w:pPr>
      <w:r w:rsidRPr="00CB32B1">
        <w:rPr>
          <w:b/>
          <w:color w:val="DC6900" w:themeColor="text2"/>
        </w:rPr>
        <w:t>Service access:</w:t>
      </w:r>
      <w:r w:rsidRPr="00CB32B1">
        <w:t xml:space="preserve"> </w:t>
      </w:r>
      <w:r w:rsidR="00853C79">
        <w:t>t</w:t>
      </w:r>
      <w:r w:rsidRPr="00CB32B1">
        <w:t>he location of midwives and women requiring their service, as well as access to h</w:t>
      </w:r>
      <w:r w:rsidR="00CD0CA9" w:rsidRPr="00CB32B1">
        <w:t>ealth services</w:t>
      </w:r>
    </w:p>
    <w:p w:rsidR="002C5ECC" w:rsidRPr="00CB32B1" w:rsidRDefault="002C5ECC" w:rsidP="009814D6">
      <w:pPr>
        <w:pStyle w:val="ListBullet"/>
      </w:pPr>
      <w:r w:rsidRPr="00CB32B1">
        <w:rPr>
          <w:b/>
          <w:color w:val="DC6900" w:themeColor="text2"/>
        </w:rPr>
        <w:t xml:space="preserve">Quality and safety of practice: </w:t>
      </w:r>
      <w:r w:rsidR="00853C79">
        <w:t>a</w:t>
      </w:r>
      <w:r w:rsidRPr="00CB32B1">
        <w:t xml:space="preserve"> defined scope of practice and referral, as well as training and</w:t>
      </w:r>
      <w:r w:rsidR="00853C79">
        <w:t xml:space="preserve"> </w:t>
      </w:r>
      <w:r w:rsidR="00CD0CA9" w:rsidRPr="00CB32B1">
        <w:t>competency</w:t>
      </w:r>
    </w:p>
    <w:p w:rsidR="002C5ECC" w:rsidRPr="00CB32B1" w:rsidRDefault="002C5ECC" w:rsidP="009814D6">
      <w:pPr>
        <w:pStyle w:val="ListBullet"/>
      </w:pPr>
      <w:r w:rsidRPr="00CB32B1">
        <w:rPr>
          <w:b/>
          <w:color w:val="DC6900" w:themeColor="text2"/>
        </w:rPr>
        <w:t xml:space="preserve">Data: </w:t>
      </w:r>
      <w:r w:rsidR="00853C79">
        <w:t>t</w:t>
      </w:r>
      <w:r w:rsidRPr="00CB32B1">
        <w:t>he level an</w:t>
      </w:r>
      <w:r w:rsidR="00CD0CA9" w:rsidRPr="00CB32B1">
        <w:t>d specificity of data collected</w:t>
      </w:r>
    </w:p>
    <w:p w:rsidR="002C5ECC" w:rsidRPr="00CB32B1" w:rsidRDefault="002C5ECC" w:rsidP="009814D6">
      <w:pPr>
        <w:pStyle w:val="ListBullet"/>
      </w:pPr>
      <w:r w:rsidRPr="00CB32B1">
        <w:rPr>
          <w:b/>
          <w:color w:val="DC6900" w:themeColor="text2"/>
        </w:rPr>
        <w:t>Disciplinary frameworks:</w:t>
      </w:r>
      <w:r w:rsidRPr="00CB32B1">
        <w:t xml:space="preserve"> </w:t>
      </w:r>
      <w:r w:rsidR="00853C79">
        <w:t>a</w:t>
      </w:r>
      <w:r w:rsidRPr="00CB32B1">
        <w:t>lso includi</w:t>
      </w:r>
      <w:r w:rsidR="00CD0CA9" w:rsidRPr="00CB32B1">
        <w:t>ng the resolution of complaints</w:t>
      </w:r>
    </w:p>
    <w:p w:rsidR="002C5ECC" w:rsidRPr="00CB32B1" w:rsidRDefault="002C5ECC" w:rsidP="009814D6">
      <w:pPr>
        <w:pStyle w:val="ListBullet"/>
      </w:pPr>
      <w:r w:rsidRPr="00CB32B1">
        <w:rPr>
          <w:b/>
          <w:color w:val="DC6900" w:themeColor="text2"/>
        </w:rPr>
        <w:t>Culture:</w:t>
      </w:r>
      <w:r w:rsidRPr="00CB32B1">
        <w:t xml:space="preserve"> </w:t>
      </w:r>
      <w:r w:rsidR="00853C79">
        <w:t>a</w:t>
      </w:r>
      <w:r w:rsidRPr="00CB32B1">
        <w:t>ttitude toward social health, homebirths and lack of a litigious culture.</w:t>
      </w:r>
    </w:p>
    <w:p w:rsidR="002C5ECC" w:rsidRPr="00CB32B1" w:rsidRDefault="002C5ECC" w:rsidP="009814D6">
      <w:pPr>
        <w:pStyle w:val="Minorheading"/>
      </w:pPr>
      <w:r w:rsidRPr="00CB32B1">
        <w:t>Midwifery practice</w:t>
      </w:r>
    </w:p>
    <w:p w:rsidR="002C5ECC" w:rsidRPr="00CB32B1" w:rsidRDefault="002C5ECC" w:rsidP="009814D6">
      <w:pPr>
        <w:pStyle w:val="Minorheading2"/>
      </w:pPr>
      <w:r w:rsidRPr="00CB32B1">
        <w:t>Scale of practice</w:t>
      </w:r>
    </w:p>
    <w:p w:rsidR="002C5ECC" w:rsidRPr="00CB32B1" w:rsidRDefault="002C5ECC" w:rsidP="001D1155">
      <w:pPr>
        <w:pStyle w:val="PwCNormal"/>
      </w:pPr>
      <w:r w:rsidRPr="00CB32B1">
        <w:t>In Chapter 3</w:t>
      </w:r>
      <w:r w:rsidR="00551164" w:rsidRPr="00CB32B1">
        <w:t xml:space="preserve"> Finding 4</w:t>
      </w:r>
      <w:r w:rsidRPr="00CB32B1">
        <w:t xml:space="preserve">, scale of practice was identified as important to insurers in the Netherlands. It provides that there are a sufficient number of product holders to cover any significant claims. While the number of homebirths appear to be declining in the Netherlands (see </w:t>
      </w:r>
      <w:r w:rsidR="009129A6" w:rsidRPr="00CB32B1">
        <w:fldChar w:fldCharType="begin"/>
      </w:r>
      <w:r w:rsidR="00EB2051" w:rsidRPr="00CB32B1">
        <w:instrText xml:space="preserve"> REF _Ref361223622 \h </w:instrText>
      </w:r>
      <w:r w:rsidR="009129A6" w:rsidRPr="00CB32B1">
        <w:fldChar w:fldCharType="separate"/>
      </w:r>
      <w:r w:rsidR="008816B4" w:rsidRPr="00CB32B1">
        <w:t xml:space="preserve">Figure </w:t>
      </w:r>
      <w:r w:rsidR="008816B4">
        <w:rPr>
          <w:noProof/>
        </w:rPr>
        <w:t>14</w:t>
      </w:r>
      <w:r w:rsidR="009129A6" w:rsidRPr="00CB32B1">
        <w:fldChar w:fldCharType="end"/>
      </w:r>
      <w:r w:rsidRPr="00CB32B1">
        <w:t>), they still account for over one in five births. To support these, as outlined previously, there are nearly 2,000 midwives providing homebirth maternity services. Consultations with the insurance representatives identified that this scale, in combination with the other enablers outlined, is sufficiently large to support the development of a product.</w:t>
      </w:r>
      <w:r w:rsidR="00241006" w:rsidRPr="00CB32B1">
        <w:rPr>
          <w:rStyle w:val="FootnoteReference"/>
        </w:rPr>
        <w:footnoteReference w:id="222"/>
      </w:r>
    </w:p>
    <w:p w:rsidR="002C5ECC" w:rsidRPr="00CB32B1" w:rsidRDefault="002C5ECC" w:rsidP="009814D6">
      <w:pPr>
        <w:pStyle w:val="Minorheading2"/>
      </w:pPr>
      <w:r w:rsidRPr="00CB32B1">
        <w:t>Models of practice</w:t>
      </w:r>
    </w:p>
    <w:p w:rsidR="002C5ECC" w:rsidRPr="00CB32B1" w:rsidRDefault="002C5ECC" w:rsidP="002C5ECC">
      <w:pPr>
        <w:pStyle w:val="PwCNormal"/>
      </w:pPr>
      <w:r w:rsidRPr="00CB32B1">
        <w:t>As previously outlined, the majority of midwives providing homebirth services in the Netherlands operate within a group practice (which have at least two to three midwives). In 2012, 519 primary care independent midwifery practices were registered.</w:t>
      </w:r>
      <w:r w:rsidR="00241006" w:rsidRPr="00CB32B1">
        <w:rPr>
          <w:rStyle w:val="FootnoteReference"/>
        </w:rPr>
        <w:footnoteReference w:id="223"/>
      </w:r>
      <w:r w:rsidR="00854DEF" w:rsidRPr="00CB32B1">
        <w:t xml:space="preserve"> </w:t>
      </w:r>
      <w:r w:rsidRPr="00CB32B1">
        <w:t>Group practice has been identified as important to insurers, as it assists in decreasing the risk profile of midwives. Unlike England where group practice and insuring a legal entity was important to share the risk, insurance in the Netherlands is not only optional, but purchased by individuals and not legal entities.</w:t>
      </w:r>
    </w:p>
    <w:p w:rsidR="002C5ECC" w:rsidRPr="00CB32B1" w:rsidRDefault="002C5ECC" w:rsidP="002C5ECC">
      <w:pPr>
        <w:pStyle w:val="PwCNormal"/>
      </w:pPr>
      <w:r w:rsidRPr="00CB32B1">
        <w:t xml:space="preserve">In this case, group practice </w:t>
      </w:r>
      <w:r w:rsidR="007D314F">
        <w:t xml:space="preserve">is held to </w:t>
      </w:r>
      <w:r w:rsidRPr="00CB32B1">
        <w:t>provide a collegial and supportive environment for midwives in which best practice principles can be shared. Insurers from the Netherlands identified that it also assists in supporting women’s safety (and the potential for adverse outcomes) as midwives can cover other colleagues’ births if required.</w:t>
      </w:r>
      <w:r w:rsidR="00241006" w:rsidRPr="00CB32B1">
        <w:rPr>
          <w:vertAlign w:val="superscript"/>
        </w:rPr>
        <w:footnoteReference w:id="224"/>
      </w:r>
      <w:r w:rsidR="00854DEF" w:rsidRPr="00CB32B1">
        <w:t xml:space="preserve"> </w:t>
      </w:r>
      <w:r w:rsidRPr="00CB32B1">
        <w:t xml:space="preserve">The system is such that if a practice is unavailable to attend to a woman, midwives from a neighbouring practice, or a locum, can attend in the place of the intended midwife. </w:t>
      </w:r>
    </w:p>
    <w:p w:rsidR="002C5ECC" w:rsidRPr="00CB32B1" w:rsidRDefault="002C5ECC" w:rsidP="002C5ECC">
      <w:pPr>
        <w:pStyle w:val="PwCNormal"/>
      </w:pPr>
      <w:r w:rsidRPr="00CB32B1">
        <w:t>Like the publicly funded homebirth schemes in Australia, two health professionals are required to attend each homebirth. However in the Netherlands, the second attendant can be a maternity assistant as opposed to a midwife. This is again believed to reduce the risk profile of midwifery practice, as a second opinion can be given in addition to the provision of additional support for a birth. The extent of group practice and extending the need for multiple attendants may be considered further by Australian decision-makers (see Chapter 5).</w:t>
      </w:r>
    </w:p>
    <w:p w:rsidR="002C5ECC" w:rsidRPr="00CB32B1" w:rsidRDefault="002C5ECC" w:rsidP="009814D6">
      <w:pPr>
        <w:pStyle w:val="Minorheading"/>
      </w:pPr>
      <w:r w:rsidRPr="00CB32B1">
        <w:t>Service access</w:t>
      </w:r>
    </w:p>
    <w:p w:rsidR="002C5ECC" w:rsidRPr="00CB32B1" w:rsidRDefault="002C5ECC" w:rsidP="009814D6">
      <w:pPr>
        <w:pStyle w:val="Minorheading2"/>
      </w:pPr>
      <w:r w:rsidRPr="00CB32B1">
        <w:t>Location of midwives and women requiring their service</w:t>
      </w:r>
    </w:p>
    <w:p w:rsidR="002C5ECC" w:rsidRPr="00CB32B1" w:rsidRDefault="002C5ECC" w:rsidP="002C5ECC">
      <w:pPr>
        <w:pStyle w:val="PwCNormal"/>
      </w:pPr>
      <w:r w:rsidRPr="00CB32B1">
        <w:t xml:space="preserve">The geography of the Netherlands is also held to assist in reducing the risk profile of midwives providing birthing services in the home. The </w:t>
      </w:r>
      <w:r w:rsidR="00496AD4">
        <w:t>jurisdiction</w:t>
      </w:r>
      <w:r w:rsidRPr="00CB32B1">
        <w:t xml:space="preserve"> is relatively densely populated, particularly in terms of the network of midwives and hospitals or health services. This means that midwives are relatively close to women, and to transfer to other health services if required, providing midwives with timely access to women requiring their service, as well as required services.</w:t>
      </w:r>
    </w:p>
    <w:p w:rsidR="002C5ECC" w:rsidRPr="00CB32B1" w:rsidRDefault="002C5ECC" w:rsidP="002C5ECC">
      <w:pPr>
        <w:pStyle w:val="PwCNormal"/>
      </w:pPr>
      <w:r w:rsidRPr="00CB32B1">
        <w:t xml:space="preserve">Additional registration requirements within </w:t>
      </w:r>
      <w:r w:rsidRPr="007D314F">
        <w:rPr>
          <w:i/>
        </w:rPr>
        <w:t>The Obstetric and Midwifery Manual</w:t>
      </w:r>
      <w:r w:rsidRPr="00CB32B1">
        <w:t xml:space="preserve"> (the Manual) on practice are based on timings for transfer. For example, the midwife is expected to live with 15–30 minutes from the place of the residence of the woman requiring their service. </w:t>
      </w:r>
    </w:p>
    <w:p w:rsidR="002C5ECC" w:rsidRPr="00CB32B1" w:rsidRDefault="002C5ECC" w:rsidP="002C5ECC">
      <w:pPr>
        <w:pStyle w:val="PwCNormal"/>
      </w:pPr>
      <w:r w:rsidRPr="00CB32B1">
        <w:t>Some local stakeholders felt that the Netherlands model was not applicable to Australia given that the land mass is significantly larger, with a more dispersed population. However, insurers in the Netherlands identified that it was not the size of the land mass, but the density and timely access and distance of the women to the midwife and other health services that was important in reducing the risk profile of midwives.</w:t>
      </w:r>
      <w:r w:rsidR="00241006" w:rsidRPr="00CB32B1">
        <w:rPr>
          <w:rStyle w:val="FootnoteReference"/>
        </w:rPr>
        <w:footnoteReference w:id="225"/>
      </w:r>
      <w:r w:rsidR="00854DEF" w:rsidRPr="00CB32B1">
        <w:t xml:space="preserve"> </w:t>
      </w:r>
      <w:r w:rsidRPr="00CB32B1">
        <w:t>Focusing on distance through this lens may provide insurers in Australia with additional comfort when determining the risk profile of PPMs.</w:t>
      </w:r>
    </w:p>
    <w:p w:rsidR="002C5ECC" w:rsidRPr="00CB32B1" w:rsidRDefault="002C5ECC" w:rsidP="009814D6">
      <w:pPr>
        <w:pStyle w:val="Minorheading2"/>
      </w:pPr>
      <w:r w:rsidRPr="00CB32B1">
        <w:t>Access arrangements to health services</w:t>
      </w:r>
    </w:p>
    <w:p w:rsidR="002C5ECC" w:rsidRPr="00CB32B1" w:rsidRDefault="002C5ECC" w:rsidP="002C5ECC">
      <w:pPr>
        <w:pStyle w:val="PwCNormal"/>
      </w:pPr>
      <w:r w:rsidRPr="00CB32B1">
        <w:t>In the Netherlands, every hospital is required to accept referrals from midwives providing homebirth services.</w:t>
      </w:r>
      <w:r w:rsidR="00241006" w:rsidRPr="00CB32B1">
        <w:rPr>
          <w:rStyle w:val="FootnoteReference"/>
        </w:rPr>
        <w:footnoteReference w:id="226"/>
      </w:r>
      <w:r w:rsidR="00854DEF" w:rsidRPr="00CB32B1">
        <w:t xml:space="preserve"> </w:t>
      </w:r>
      <w:r w:rsidRPr="00CB32B1">
        <w:t>Timely access to health services was specifically highlighted by insurance representatives consulted in the Netherlands.</w:t>
      </w:r>
      <w:r w:rsidR="00241006" w:rsidRPr="00CB32B1">
        <w:rPr>
          <w:rStyle w:val="FootnoteReference"/>
        </w:rPr>
        <w:footnoteReference w:id="227"/>
      </w:r>
      <w:r w:rsidR="00854DEF" w:rsidRPr="00CB32B1">
        <w:t xml:space="preserve"> </w:t>
      </w:r>
      <w:r w:rsidRPr="00CB32B1">
        <w:t xml:space="preserve">It reduces the risk of midwifery practice as interventions can occur if and when they are required. </w:t>
      </w:r>
    </w:p>
    <w:p w:rsidR="002C5ECC" w:rsidRPr="00CB32B1" w:rsidRDefault="002C5ECC" w:rsidP="002C5ECC">
      <w:pPr>
        <w:pStyle w:val="PwCNormal"/>
      </w:pPr>
      <w:r w:rsidRPr="00CB32B1">
        <w:t xml:space="preserve">As described above, the midwife is expected to live </w:t>
      </w:r>
      <w:r w:rsidR="0009567A">
        <w:t xml:space="preserve">within a relatively close proximity to </w:t>
      </w:r>
      <w:r w:rsidRPr="00CB32B1">
        <w:t>the woman’s residence. In addition to this, if an ambulance is required then the ambulance must be able to transfer within three-quarters of an hour from the time the phone call is made as it is expected that transfers from the home to other health services occur by an ambulance. From consultation it was identified that the commutes from home to health services are on average, 10 minutes in duration.</w:t>
      </w:r>
    </w:p>
    <w:p w:rsidR="002C5ECC" w:rsidRPr="00CB32B1" w:rsidRDefault="002C5ECC" w:rsidP="009623F2">
      <w:pPr>
        <w:pStyle w:val="PwCNormal"/>
      </w:pPr>
      <w:r w:rsidRPr="00CB32B1">
        <w:t xml:space="preserve">In Australia, consultations identified that some PPMs and/or women were reluctant to transfer to other health services due to the ability for continuity of care, as well as a perceived negative attitude and lack of acceptance of the service by other health professionals. Consultations highlighted that these issues are also present in the Netherlands; however, transfers are accepted as a part of the continuum of care as required under quality frameworks. </w:t>
      </w:r>
    </w:p>
    <w:p w:rsidR="002C5ECC" w:rsidRPr="00CB32B1" w:rsidRDefault="002C5ECC" w:rsidP="009623F2">
      <w:pPr>
        <w:pStyle w:val="Minorheading"/>
        <w:keepNext w:val="0"/>
        <w:keepLines w:val="0"/>
      </w:pPr>
      <w:r w:rsidRPr="00CB32B1">
        <w:t>Quality and safety of practice</w:t>
      </w:r>
    </w:p>
    <w:p w:rsidR="002C5ECC" w:rsidRPr="00CB32B1" w:rsidRDefault="002C5ECC" w:rsidP="009623F2">
      <w:pPr>
        <w:pStyle w:val="Minorheading2"/>
        <w:keepNext w:val="0"/>
        <w:keepLines w:val="0"/>
      </w:pPr>
      <w:r w:rsidRPr="00CB32B1">
        <w:t>Scope of practice</w:t>
      </w:r>
    </w:p>
    <w:p w:rsidR="002C5ECC" w:rsidRPr="00CB32B1" w:rsidRDefault="002C5ECC" w:rsidP="009623F2">
      <w:pPr>
        <w:pStyle w:val="PwCNormal"/>
      </w:pPr>
      <w:r w:rsidRPr="00CB32B1">
        <w:t>Since 1959, the Manual has provided a clear and common national risk management framework (including recommendations on when to transfer and distance from a health service). It defines scope of practice by providing a list of pre-existing pregnancy and perinatal-related disorders where:</w:t>
      </w:r>
    </w:p>
    <w:p w:rsidR="002C5ECC" w:rsidRPr="00CB32B1" w:rsidRDefault="000B1E47" w:rsidP="00137FC3">
      <w:pPr>
        <w:pStyle w:val="ChapterNumberedList1"/>
      </w:pPr>
      <w:r>
        <w:t>t</w:t>
      </w:r>
      <w:r w:rsidR="002C5ECC" w:rsidRPr="00CB32B1">
        <w:t xml:space="preserve">he care of a primary midwife is considered sufficient </w:t>
      </w:r>
    </w:p>
    <w:p w:rsidR="002C5ECC" w:rsidRPr="00CB32B1" w:rsidRDefault="000B1E47" w:rsidP="009814D6">
      <w:pPr>
        <w:pStyle w:val="ChapterNumberedList1"/>
      </w:pPr>
      <w:r>
        <w:t>a</w:t>
      </w:r>
      <w:r w:rsidR="002C5ECC" w:rsidRPr="00CB32B1">
        <w:t>n obstetrician should be considered</w:t>
      </w:r>
    </w:p>
    <w:p w:rsidR="002C5ECC" w:rsidRPr="00CB32B1" w:rsidRDefault="000B1E47" w:rsidP="009814D6">
      <w:pPr>
        <w:pStyle w:val="ChapterNumberedList1"/>
      </w:pPr>
      <w:r>
        <w:t>t</w:t>
      </w:r>
      <w:r w:rsidR="002C5ECC" w:rsidRPr="00CB32B1">
        <w:t>he care definitely has to be shifted to an obstetrician</w:t>
      </w:r>
    </w:p>
    <w:p w:rsidR="004E4460" w:rsidRPr="00CB32B1" w:rsidRDefault="000B1E47" w:rsidP="009814D6">
      <w:pPr>
        <w:pStyle w:val="ChapterNumberedList1"/>
      </w:pPr>
      <w:r>
        <w:t>t</w:t>
      </w:r>
      <w:r w:rsidR="002C5ECC" w:rsidRPr="00CB32B1">
        <w:t>he labour and birth should be given in a hospital but can be supervised by a primary care</w:t>
      </w:r>
      <w:r>
        <w:t xml:space="preserve"> </w:t>
      </w:r>
      <w:r w:rsidR="002C5ECC" w:rsidRPr="00CB32B1">
        <w:t>midwife.</w:t>
      </w:r>
    </w:p>
    <w:tbl>
      <w:tblPr>
        <w:tblStyle w:val="TableGrid"/>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418"/>
        <w:gridCol w:w="360"/>
        <w:gridCol w:w="3510"/>
      </w:tblGrid>
      <w:tr w:rsidR="009814D6" w:rsidRPr="00CB32B1" w:rsidTr="004E4460">
        <w:tc>
          <w:tcPr>
            <w:tcW w:w="5418" w:type="dxa"/>
          </w:tcPr>
          <w:p w:rsidR="009814D6" w:rsidRPr="00CB32B1" w:rsidRDefault="009814D6" w:rsidP="009623F2">
            <w:pPr>
              <w:pStyle w:val="PwCNormal"/>
              <w:keepNext/>
              <w:keepLines/>
            </w:pPr>
            <w:r w:rsidRPr="00CB32B1">
              <w:t xml:space="preserve">While the </w:t>
            </w:r>
            <w:r w:rsidR="00721551">
              <w:t>M</w:t>
            </w:r>
            <w:r w:rsidRPr="00CB32B1">
              <w:t xml:space="preserve">anual is respected and generally followed, it is intended for use as a guideline providing health professionals the option to make autonomous decisions. </w:t>
            </w:r>
          </w:p>
          <w:p w:rsidR="0083432B" w:rsidRPr="00137FC3" w:rsidRDefault="0083432B" w:rsidP="0083432B">
            <w:pPr>
              <w:pStyle w:val="PwCNormal"/>
              <w:keepNext/>
              <w:keepLines/>
            </w:pPr>
            <w:r w:rsidRPr="00137FC3">
              <w:t xml:space="preserve">The </w:t>
            </w:r>
            <w:r w:rsidR="00721551" w:rsidRPr="00137FC3">
              <w:t>M</w:t>
            </w:r>
            <w:r w:rsidRPr="00137FC3">
              <w:t xml:space="preserve">anual </w:t>
            </w:r>
            <w:r w:rsidR="00B97DA3">
              <w:t xml:space="preserve">appears to </w:t>
            </w:r>
            <w:r w:rsidRPr="00137FC3">
              <w:t>demonstrat</w:t>
            </w:r>
            <w:r w:rsidR="00B97DA3">
              <w:t>e</w:t>
            </w:r>
            <w:r w:rsidRPr="00137FC3">
              <w:t xml:space="preserve"> collaboration between:</w:t>
            </w:r>
          </w:p>
          <w:p w:rsidR="009814D6" w:rsidRPr="00CB32B1" w:rsidRDefault="0083432B" w:rsidP="0083432B">
            <w:pPr>
              <w:pStyle w:val="ListBullet"/>
              <w:keepNext/>
              <w:keepLines/>
            </w:pPr>
            <w:r w:rsidRPr="00137FC3">
              <w:t>Health services and primary care midwives through option d</w:t>
            </w:r>
          </w:p>
        </w:tc>
        <w:tc>
          <w:tcPr>
            <w:tcW w:w="360" w:type="dxa"/>
          </w:tcPr>
          <w:p w:rsidR="009814D6" w:rsidRPr="00CB32B1" w:rsidRDefault="009814D6" w:rsidP="009623F2">
            <w:pPr>
              <w:pStyle w:val="TableTextNormal"/>
              <w:keepNext/>
              <w:keepLines/>
            </w:pPr>
          </w:p>
        </w:tc>
        <w:tc>
          <w:tcPr>
            <w:tcW w:w="3510" w:type="dxa"/>
            <w:shd w:val="clear" w:color="auto" w:fill="DC6900" w:themeFill="text2"/>
            <w:vAlign w:val="center"/>
          </w:tcPr>
          <w:p w:rsidR="009814D6" w:rsidRPr="003709F8" w:rsidRDefault="009814D6" w:rsidP="009623F2">
            <w:pPr>
              <w:pStyle w:val="TableTextNormal"/>
              <w:keepNext/>
              <w:keepLines/>
              <w:rPr>
                <w:b/>
                <w:i/>
                <w:color w:val="FFFFFF" w:themeColor="background1"/>
              </w:rPr>
            </w:pPr>
            <w:r w:rsidRPr="003709F8">
              <w:rPr>
                <w:b/>
                <w:i/>
                <w:color w:val="FFFFFF" w:themeColor="background1"/>
              </w:rPr>
              <w:t>“Risk selection, a clear distribution of tasks and a close mutual cooperation between... different strata [primary, secondary and tertiary care] forms the strength of the Dutch system”</w:t>
            </w:r>
          </w:p>
          <w:p w:rsidR="009814D6" w:rsidRPr="00CB32B1" w:rsidRDefault="0083432B" w:rsidP="0083432B">
            <w:pPr>
              <w:pStyle w:val="TableTextNormal"/>
              <w:keepNext/>
              <w:keepLines/>
              <w:jc w:val="right"/>
              <w:rPr>
                <w:i/>
                <w:sz w:val="16"/>
                <w:szCs w:val="16"/>
              </w:rPr>
            </w:pPr>
            <w:r w:rsidRPr="00CB32B1">
              <w:rPr>
                <w:i/>
                <w:color w:val="FFFFFF" w:themeColor="background1"/>
                <w:sz w:val="16"/>
                <w:szCs w:val="16"/>
              </w:rPr>
              <w:t>(</w:t>
            </w:r>
            <w:r w:rsidR="009814D6" w:rsidRPr="00CB32B1">
              <w:rPr>
                <w:i/>
                <w:color w:val="FFFFFF" w:themeColor="background1"/>
                <w:sz w:val="16"/>
                <w:szCs w:val="16"/>
              </w:rPr>
              <w:t>KNOV, 2012</w:t>
            </w:r>
            <w:r w:rsidRPr="00CB32B1">
              <w:rPr>
                <w:i/>
                <w:color w:val="FFFFFF" w:themeColor="background1"/>
                <w:sz w:val="16"/>
                <w:szCs w:val="16"/>
              </w:rPr>
              <w:t>)</w:t>
            </w:r>
          </w:p>
        </w:tc>
      </w:tr>
      <w:tr w:rsidR="009814D6" w:rsidRPr="00CB32B1" w:rsidTr="004E4460">
        <w:trPr>
          <w:trHeight w:hRule="exact" w:val="86"/>
        </w:trPr>
        <w:tc>
          <w:tcPr>
            <w:tcW w:w="5418" w:type="dxa"/>
          </w:tcPr>
          <w:p w:rsidR="009814D6" w:rsidRPr="00CB32B1" w:rsidRDefault="009814D6" w:rsidP="009814D6">
            <w:pPr>
              <w:pStyle w:val="TableTextNormal"/>
            </w:pPr>
          </w:p>
        </w:tc>
        <w:tc>
          <w:tcPr>
            <w:tcW w:w="360" w:type="dxa"/>
            <w:shd w:val="clear" w:color="auto" w:fill="DC6900" w:themeFill="text2"/>
          </w:tcPr>
          <w:p w:rsidR="009814D6" w:rsidRPr="00CB32B1" w:rsidRDefault="009814D6" w:rsidP="009814D6">
            <w:pPr>
              <w:pStyle w:val="TableTextNormal"/>
            </w:pPr>
          </w:p>
        </w:tc>
        <w:tc>
          <w:tcPr>
            <w:tcW w:w="3510" w:type="dxa"/>
          </w:tcPr>
          <w:p w:rsidR="009814D6" w:rsidRPr="00CB32B1" w:rsidRDefault="009814D6" w:rsidP="009814D6">
            <w:pPr>
              <w:pStyle w:val="TableTextNormal"/>
            </w:pPr>
          </w:p>
        </w:tc>
      </w:tr>
    </w:tbl>
    <w:p w:rsidR="0083432B" w:rsidRPr="00CB32B1" w:rsidRDefault="0083432B" w:rsidP="0083432B">
      <w:pPr>
        <w:pStyle w:val="ListBullet"/>
        <w:keepNext/>
        <w:keepLines/>
      </w:pPr>
      <w:r w:rsidRPr="00CB32B1">
        <w:t>Midwives, GPs, obstetricians and government authorities, all of whom are involved in updating the</w:t>
      </w:r>
      <w:r w:rsidR="00721551">
        <w:t xml:space="preserve"> M</w:t>
      </w:r>
      <w:r w:rsidRPr="00CB32B1">
        <w:t>anual.</w:t>
      </w:r>
    </w:p>
    <w:p w:rsidR="002C5ECC" w:rsidRPr="00CB32B1" w:rsidRDefault="002C5ECC" w:rsidP="009814D6">
      <w:pPr>
        <w:pStyle w:val="PwCNormal"/>
        <w:spacing w:before="120"/>
      </w:pPr>
      <w:r w:rsidRPr="00CB32B1">
        <w:t>Consultations highlighted that there is currently debate about the content of the Manual. Even so, it was agreed that collaboration, debate and productive discussion on the Manual between all health professionals was important.</w:t>
      </w:r>
      <w:r w:rsidR="00241006" w:rsidRPr="00CB32B1">
        <w:rPr>
          <w:rStyle w:val="FootnoteReference"/>
        </w:rPr>
        <w:footnoteReference w:id="228"/>
      </w:r>
    </w:p>
    <w:p w:rsidR="002C5ECC" w:rsidRPr="00CB32B1" w:rsidRDefault="002C5ECC" w:rsidP="009814D6">
      <w:pPr>
        <w:pStyle w:val="Minorheading2"/>
      </w:pPr>
      <w:r w:rsidRPr="00CB32B1">
        <w:t>Training and competency</w:t>
      </w:r>
    </w:p>
    <w:p w:rsidR="002C5ECC" w:rsidRPr="00CB32B1" w:rsidRDefault="002C5ECC" w:rsidP="009623F2">
      <w:pPr>
        <w:pStyle w:val="PwCNormal"/>
      </w:pPr>
      <w:r w:rsidRPr="00CB32B1">
        <w:t>Insurers identified that the quality of midwives plays a role in insurance provision. Insurers believe that the standard of education is high in the Netherlands and this reduces the risk of malpractice or professional misconduct.</w:t>
      </w:r>
      <w:r w:rsidR="00241006" w:rsidRPr="00CB32B1">
        <w:rPr>
          <w:rStyle w:val="FootnoteReference"/>
        </w:rPr>
        <w:footnoteReference w:id="229"/>
      </w:r>
      <w:r w:rsidR="00854DEF" w:rsidRPr="00CB32B1">
        <w:t xml:space="preserve"> </w:t>
      </w:r>
      <w:r w:rsidRPr="00CB32B1">
        <w:t>The understanding that insurers have of the competency of those that they employ they believe, assists in determining the risk profile.</w:t>
      </w:r>
    </w:p>
    <w:p w:rsidR="002C5ECC" w:rsidRPr="00CB32B1" w:rsidRDefault="002C5ECC" w:rsidP="009623F2">
      <w:pPr>
        <w:pStyle w:val="PwCNormal"/>
      </w:pPr>
      <w:r w:rsidRPr="00CB32B1">
        <w:t>In addition to student training, there is a ‘quality register for midwives’ that allows midwives to show that they have invested in ongoing professional development.</w:t>
      </w:r>
      <w:r w:rsidR="00241006" w:rsidRPr="00CB32B1">
        <w:rPr>
          <w:rStyle w:val="FootnoteReference"/>
        </w:rPr>
        <w:footnoteReference w:id="230"/>
      </w:r>
      <w:r w:rsidR="00854DEF" w:rsidRPr="00CB32B1">
        <w:t xml:space="preserve"> </w:t>
      </w:r>
      <w:r w:rsidRPr="00CB32B1">
        <w:t>This quality register, maintained by the Royal Dutch Organisation of Midwives (KNOV), while voluntary, has 80% of midwives registered.</w:t>
      </w:r>
      <w:r w:rsidR="00241006" w:rsidRPr="00CB32B1">
        <w:rPr>
          <w:vertAlign w:val="superscript"/>
        </w:rPr>
        <w:footnoteReference w:id="231"/>
      </w:r>
      <w:r w:rsidR="008D0B4E" w:rsidRPr="00CB32B1">
        <w:t xml:space="preserve"> </w:t>
      </w:r>
      <w:r w:rsidRPr="00CB32B1">
        <w:t>To remain on the register, a midwife has to show a portfolio containing a minimum of 200 hours of training and additional education over five years.</w:t>
      </w:r>
      <w:r w:rsidR="00137FC3">
        <w:rPr>
          <w:rStyle w:val="FootnoteReference"/>
        </w:rPr>
        <w:footnoteReference w:id="232"/>
      </w:r>
    </w:p>
    <w:p w:rsidR="002C5ECC" w:rsidRPr="00CB32B1" w:rsidRDefault="002C5ECC" w:rsidP="009623F2">
      <w:pPr>
        <w:pStyle w:val="Minorheading"/>
        <w:keepNext w:val="0"/>
        <w:keepLines w:val="0"/>
      </w:pPr>
      <w:r w:rsidRPr="00CB32B1">
        <w:t>Data</w:t>
      </w:r>
    </w:p>
    <w:p w:rsidR="00B97DA3" w:rsidRDefault="002C5ECC" w:rsidP="00B97DA3">
      <w:pPr>
        <w:pStyle w:val="PwCNormal"/>
      </w:pPr>
      <w:r w:rsidRPr="00CB32B1">
        <w:t>In Chapter 3, the importance of specific and reliable data was identified as important for insurers to apply actuarial modelling on the probability of claims and their quantum in setting the premium. Stakeholders in the Netherlands felt that their data were relatively robust and reliable, particularly around registration.</w:t>
      </w:r>
      <w:r w:rsidR="00241006" w:rsidRPr="00CB32B1">
        <w:rPr>
          <w:rStyle w:val="FootnoteReference"/>
        </w:rPr>
        <w:footnoteReference w:id="233"/>
      </w:r>
      <w:r w:rsidR="00854DEF" w:rsidRPr="00CB32B1">
        <w:t xml:space="preserve"> </w:t>
      </w:r>
      <w:r w:rsidRPr="00CB32B1">
        <w:t xml:space="preserve">They identified, however, that making comparisons between maternal and perinatal outcomes in the Netherlands and other </w:t>
      </w:r>
      <w:r w:rsidR="00496AD4">
        <w:t>jurisdictions</w:t>
      </w:r>
      <w:r w:rsidRPr="00CB32B1">
        <w:t xml:space="preserve"> should be performed with care, and show cognisance of data definitions and the environment in which the outcomes were seen. They identified, for example, that different levels of specificity of data may skew comparative outcomes (</w:t>
      </w:r>
      <w:r w:rsidR="00854DEF" w:rsidRPr="00CB32B1">
        <w:t>eg</w:t>
      </w:r>
      <w:r w:rsidRPr="00CB32B1">
        <w:t xml:space="preserve"> the Dutch registration of foetuses with a minimal birth weight of 500 grams as a perinatal death</w:t>
      </w:r>
      <w:r w:rsidR="008A6B10">
        <w:t xml:space="preserve"> which is not the same in other jurisdictions</w:t>
      </w:r>
      <w:r w:rsidRPr="00CB32B1">
        <w:t>).</w:t>
      </w:r>
      <w:r w:rsidR="00241006" w:rsidRPr="00CB32B1">
        <w:rPr>
          <w:rStyle w:val="FootnoteReference"/>
        </w:rPr>
        <w:footnoteReference w:id="234"/>
      </w:r>
    </w:p>
    <w:p w:rsidR="002C5ECC" w:rsidRPr="00CB32B1" w:rsidRDefault="002C5ECC" w:rsidP="00B97DA3">
      <w:pPr>
        <w:pStyle w:val="Minorheading"/>
        <w:keepNext w:val="0"/>
        <w:keepLines w:val="0"/>
      </w:pPr>
      <w:r w:rsidRPr="00CB32B1">
        <w:t>Disciplinary</w:t>
      </w:r>
    </w:p>
    <w:p w:rsidR="00B97DA3" w:rsidRDefault="002C5ECC" w:rsidP="00B97DA3">
      <w:pPr>
        <w:pStyle w:val="PwCNormal"/>
      </w:pPr>
      <w:r w:rsidRPr="00CB32B1">
        <w:t>Insurers have identified that there are a low number of claims in the Netherlands which assists with establishing an acceptable risk profile to provide cover.</w:t>
      </w:r>
      <w:r w:rsidR="00D34690" w:rsidRPr="00CB32B1">
        <w:rPr>
          <w:rStyle w:val="FootnoteReference"/>
        </w:rPr>
        <w:footnoteReference w:id="235"/>
      </w:r>
      <w:r w:rsidR="00854DEF" w:rsidRPr="00CB32B1">
        <w:t xml:space="preserve"> </w:t>
      </w:r>
      <w:r w:rsidRPr="00CB32B1">
        <w:t>Some stakeholders suggested this was due to the disciplinary framework in place. Complaints on malpractice and professional misconduct were cited as more often being resolved prior to being</w:t>
      </w:r>
      <w:r w:rsidR="00B97DA3">
        <w:t xml:space="preserve"> made formal within the courts.</w:t>
      </w:r>
    </w:p>
    <w:p w:rsidR="002C5ECC" w:rsidRPr="00CB32B1" w:rsidRDefault="002C5ECC" w:rsidP="00B97DA3">
      <w:pPr>
        <w:pStyle w:val="PwCNormal"/>
        <w:keepNext/>
        <w:keepLines/>
      </w:pPr>
      <w:r w:rsidRPr="00CB32B1">
        <w:t>The common process appears to be that:</w:t>
      </w:r>
    </w:p>
    <w:p w:rsidR="002C5ECC" w:rsidRPr="00CB32B1" w:rsidRDefault="002C5ECC" w:rsidP="00B97DA3">
      <w:pPr>
        <w:pStyle w:val="ChapterNumberedList1"/>
        <w:keepNext/>
        <w:keepLines/>
        <w:numPr>
          <w:ilvl w:val="7"/>
          <w:numId w:val="39"/>
        </w:numPr>
      </w:pPr>
      <w:r w:rsidRPr="00CB32B1">
        <w:rPr>
          <w:b/>
          <w:color w:val="DC6900" w:themeColor="text2"/>
        </w:rPr>
        <w:t>Women approach the midwife directly:</w:t>
      </w:r>
      <w:r w:rsidRPr="00CB32B1">
        <w:t xml:space="preserve"> </w:t>
      </w:r>
      <w:r w:rsidR="00241FD4">
        <w:t>t</w:t>
      </w:r>
      <w:r w:rsidRPr="00CB32B1">
        <w:t>his is to discuss the complaint</w:t>
      </w:r>
    </w:p>
    <w:p w:rsidR="002C5ECC" w:rsidRPr="00CB32B1" w:rsidRDefault="002C5ECC" w:rsidP="00B97DA3">
      <w:pPr>
        <w:pStyle w:val="ChapterNumberedList1"/>
        <w:keepNext/>
        <w:keepLines/>
      </w:pPr>
      <w:r w:rsidRPr="00CB32B1">
        <w:rPr>
          <w:b/>
          <w:color w:val="DC6900" w:themeColor="text2"/>
        </w:rPr>
        <w:t>Complaints are escalated to an independent section of KNOV:</w:t>
      </w:r>
      <w:r w:rsidRPr="00CB32B1">
        <w:t xml:space="preserve"> </w:t>
      </w:r>
      <w:r w:rsidR="00241FD4">
        <w:t>t</w:t>
      </w:r>
      <w:r w:rsidRPr="00CB32B1">
        <w:t>his provides assurance of professional conduct and quality without financial compensation for the woman</w:t>
      </w:r>
    </w:p>
    <w:p w:rsidR="002C5ECC" w:rsidRPr="00CB32B1" w:rsidRDefault="002C5ECC" w:rsidP="009814D6">
      <w:pPr>
        <w:pStyle w:val="ChapterNumberedList1"/>
      </w:pPr>
      <w:r w:rsidRPr="00CB32B1">
        <w:rPr>
          <w:b/>
          <w:color w:val="DC6900" w:themeColor="text2"/>
        </w:rPr>
        <w:t xml:space="preserve">Medical court: </w:t>
      </w:r>
      <w:r w:rsidR="00241FD4">
        <w:t>t</w:t>
      </w:r>
      <w:r w:rsidRPr="00CB32B1">
        <w:t>his is called the Tuchtcollege and hears specific medical cases</w:t>
      </w:r>
    </w:p>
    <w:p w:rsidR="002C5ECC" w:rsidRPr="00CB32B1" w:rsidRDefault="002C5ECC" w:rsidP="009814D6">
      <w:pPr>
        <w:pStyle w:val="ChapterNumberedList1"/>
      </w:pPr>
      <w:r w:rsidRPr="00CB32B1">
        <w:rPr>
          <w:b/>
          <w:color w:val="DC6900" w:themeColor="text2"/>
        </w:rPr>
        <w:t>Criminal court:</w:t>
      </w:r>
      <w:r w:rsidRPr="00CB32B1">
        <w:t xml:space="preserve"> </w:t>
      </w:r>
      <w:r w:rsidR="00241FD4">
        <w:t>t</w:t>
      </w:r>
      <w:r w:rsidRPr="00CB32B1">
        <w:t>his is applied as the final stage.</w:t>
      </w:r>
    </w:p>
    <w:p w:rsidR="002C5ECC" w:rsidRPr="00CB32B1" w:rsidRDefault="002C5ECC" w:rsidP="002C5ECC">
      <w:pPr>
        <w:pStyle w:val="PwCNormal"/>
      </w:pPr>
      <w:r w:rsidRPr="00CB32B1">
        <w:t>Consultations identified that the women were often only seeking to be heard, receive an apology and know that their issue will be addressed in the future. As a result, many claims are not put forward, as the complaint often does not move beyond the first stage.</w:t>
      </w:r>
    </w:p>
    <w:p w:rsidR="002C5ECC" w:rsidRPr="00CB32B1" w:rsidRDefault="002C5ECC" w:rsidP="00D34690">
      <w:pPr>
        <w:pStyle w:val="Minorheading"/>
      </w:pPr>
      <w:r w:rsidRPr="00CB32B1">
        <w:t>Culture</w:t>
      </w:r>
    </w:p>
    <w:p w:rsidR="002C5ECC" w:rsidRPr="00CB32B1" w:rsidRDefault="002C5ECC" w:rsidP="00D34690">
      <w:pPr>
        <w:pStyle w:val="Minorheading2"/>
      </w:pPr>
      <w:r w:rsidRPr="00CB32B1">
        <w:t>Attitudes towards litigation</w:t>
      </w:r>
    </w:p>
    <w:p w:rsidR="002C5ECC" w:rsidRPr="00CB32B1" w:rsidRDefault="002C5ECC" w:rsidP="00D34690">
      <w:pPr>
        <w:pStyle w:val="PwCNormal"/>
        <w:keepNext/>
        <w:keepLines/>
      </w:pPr>
      <w:r w:rsidRPr="00CB32B1">
        <w:t xml:space="preserve">Malpractice litigation is held by stakeholders to be rare in the Netherlands, as even if the claims are brought to court, </w:t>
      </w:r>
      <w:r w:rsidR="009D6DF4">
        <w:t xml:space="preserve">it is believed by those consulted, that </w:t>
      </w:r>
      <w:r w:rsidRPr="00CB32B1">
        <w:t>Dutch judges are very reluctant on this matter to prosecute.</w:t>
      </w:r>
      <w:r w:rsidR="00D34690" w:rsidRPr="00CB32B1">
        <w:rPr>
          <w:vertAlign w:val="superscript"/>
        </w:rPr>
        <w:footnoteReference w:id="236"/>
      </w:r>
      <w:r w:rsidR="00854DEF" w:rsidRPr="00CB32B1">
        <w:t xml:space="preserve"> </w:t>
      </w:r>
      <w:r w:rsidRPr="00CB32B1">
        <w:t>It has been estimated that the number of malpractice claims filed against Dutch physicians (albeit a poor comparator for primary care midwives) is less than one tenth of the related number in the United States. Moreover, malpractice claims in the Netherlands decreased steadily from 1980</w:t>
      </w:r>
      <w:r w:rsidR="009D6DF4">
        <w:t>-</w:t>
      </w:r>
      <w:r w:rsidRPr="00CB32B1">
        <w:t>90.</w:t>
      </w:r>
      <w:r w:rsidR="00D34690" w:rsidRPr="00CB32B1">
        <w:rPr>
          <w:vertAlign w:val="superscript"/>
        </w:rPr>
        <w:footnoteReference w:id="237"/>
      </w:r>
    </w:p>
    <w:p w:rsidR="002C5ECC" w:rsidRPr="00CB32B1" w:rsidRDefault="002C5ECC" w:rsidP="002C5ECC">
      <w:pPr>
        <w:pStyle w:val="PwCNormal"/>
      </w:pPr>
      <w:r w:rsidRPr="00CB32B1">
        <w:t xml:space="preserve">Consultations also suggested that the specifics of the laws could also contribute to their low-claims culture. Insurers are regulated by national law around indemnity which defines liability narrowly. Consequently, insurers do not, as part of liability, need to insure what is legally not defined. This might also reduce the number of claims made. </w:t>
      </w:r>
    </w:p>
    <w:p w:rsidR="002C5ECC" w:rsidRPr="00CB32B1" w:rsidRDefault="002C5ECC" w:rsidP="009814D6">
      <w:pPr>
        <w:pStyle w:val="Minorheading2"/>
      </w:pPr>
      <w:r w:rsidRPr="00CB32B1">
        <w:t>Attitudes towards homebirths</w:t>
      </w:r>
    </w:p>
    <w:p w:rsidR="002C5ECC" w:rsidRPr="00CB32B1" w:rsidRDefault="002C5ECC" w:rsidP="002C5ECC">
      <w:pPr>
        <w:pStyle w:val="PwCNormal"/>
      </w:pPr>
      <w:r w:rsidRPr="00CB32B1">
        <w:t>Finally, one of the most important points perceived by those consulted</w:t>
      </w:r>
      <w:r w:rsidR="009D6DF4">
        <w:t xml:space="preserve"> with</w:t>
      </w:r>
      <w:r w:rsidRPr="00CB32B1">
        <w:t xml:space="preserve">, </w:t>
      </w:r>
      <w:r w:rsidR="009D6DF4">
        <w:t>is</w:t>
      </w:r>
      <w:r w:rsidRPr="00CB32B1">
        <w:t xml:space="preserve"> the attitude held in the Netherlands toward homebirths. Consultations identified that there is a perceived culture that birthing is natural. The attitude that “birthing is part of life when things go wrong”</w:t>
      </w:r>
      <w:r w:rsidR="00D34690" w:rsidRPr="00CB32B1">
        <w:rPr>
          <w:rStyle w:val="FootnoteReference"/>
        </w:rPr>
        <w:footnoteReference w:id="238"/>
      </w:r>
      <w:r w:rsidR="00854DEF" w:rsidRPr="00CB32B1">
        <w:t xml:space="preserve"> </w:t>
      </w:r>
      <w:r w:rsidRPr="00CB32B1">
        <w:t>is held, coupled with the relationship formed between woman and their midwife, has been suggested to lead to low claims (less than ten</w:t>
      </w:r>
      <w:r w:rsidR="009D6DF4">
        <w:t xml:space="preserve"> identified by those consulted</w:t>
      </w:r>
      <w:r w:rsidRPr="00CB32B1">
        <w:t>).</w:t>
      </w:r>
      <w:r w:rsidR="006C1FAE" w:rsidRPr="00CB32B1">
        <w:rPr>
          <w:rStyle w:val="FootnoteReference"/>
        </w:rPr>
        <w:footnoteReference w:id="239"/>
      </w:r>
    </w:p>
    <w:p w:rsidR="002C5ECC" w:rsidRPr="00CB32B1" w:rsidRDefault="002C5ECC" w:rsidP="00B97DA3">
      <w:pPr>
        <w:pStyle w:val="Heading6"/>
      </w:pPr>
      <w:bookmarkStart w:id="50" w:name="_Toc362975059"/>
      <w:r w:rsidRPr="00CB32B1">
        <w:t>New Zealand</w:t>
      </w:r>
      <w:bookmarkEnd w:id="50"/>
    </w:p>
    <w:p w:rsidR="002C5ECC" w:rsidRPr="00CB32B1" w:rsidRDefault="002C5ECC" w:rsidP="00B97DA3">
      <w:pPr>
        <w:pStyle w:val="Majorheading"/>
      </w:pPr>
      <w:r w:rsidRPr="00CB32B1">
        <w:t>Homebirth at a glance</w:t>
      </w:r>
    </w:p>
    <w:p w:rsidR="002C5ECC" w:rsidRPr="00CB32B1" w:rsidRDefault="002C5ECC" w:rsidP="00B97DA3">
      <w:pPr>
        <w:pStyle w:val="PwCNormal"/>
        <w:keepNext/>
        <w:keepLines/>
      </w:pPr>
      <w:r w:rsidRPr="00CB32B1">
        <w:t>Like the Netherlands, New Zealand Government agencies define childbirth as a life process rather than a medical event,</w:t>
      </w:r>
      <w:r w:rsidR="006C1FAE" w:rsidRPr="00CB32B1">
        <w:rPr>
          <w:rStyle w:val="FootnoteReference"/>
        </w:rPr>
        <w:footnoteReference w:id="240"/>
      </w:r>
      <w:r w:rsidR="00854DEF" w:rsidRPr="00CB32B1">
        <w:t xml:space="preserve"> </w:t>
      </w:r>
      <w:r w:rsidRPr="00CB32B1">
        <w:t>and have structured their maternity services within a primary</w:t>
      </w:r>
      <w:r w:rsidR="001D1155">
        <w:t xml:space="preserve"> health</w:t>
      </w:r>
      <w:r w:rsidRPr="00CB32B1">
        <w:t xml:space="preserve"> care model. This model puts women at the centre of choice over their care. In 1996, women have been required to nominate a lead maternity caregiver (LMC) who provides them with continuity of care throughout their pregnancy and birth into the first six weeks postpartum. The LMC can be a midwife, doctor or obstetrician, and is a free service for women, paid for by the Government.</w:t>
      </w:r>
      <w:r w:rsidR="006C1FAE" w:rsidRPr="00CB32B1">
        <w:rPr>
          <w:rStyle w:val="FootnoteReference"/>
        </w:rPr>
        <w:footnoteReference w:id="241"/>
      </w:r>
      <w:r w:rsidR="00854DEF" w:rsidRPr="00CB32B1">
        <w:t xml:space="preserve"> </w:t>
      </w:r>
      <w:r w:rsidRPr="00CB32B1">
        <w:t>Such models are increasingly supported within literature and may provide consideration as to their appropriateness in the Australian context.</w:t>
      </w:r>
      <w:r w:rsidR="006C1FAE" w:rsidRPr="00CB32B1">
        <w:rPr>
          <w:rStyle w:val="FootnoteReference"/>
        </w:rPr>
        <w:footnoteReference w:id="242"/>
      </w:r>
    </w:p>
    <w:p w:rsidR="002C5ECC" w:rsidRPr="00CB32B1" w:rsidRDefault="002C5ECC" w:rsidP="002C5ECC">
      <w:pPr>
        <w:pStyle w:val="PwCNormal"/>
      </w:pPr>
      <w:r w:rsidRPr="00CB32B1">
        <w:t xml:space="preserve">In 1990, the </w:t>
      </w:r>
      <w:r w:rsidRPr="00CB32B1">
        <w:rPr>
          <w:i/>
        </w:rPr>
        <w:t>Nurses Amendment Act</w:t>
      </w:r>
      <w:r w:rsidRPr="00CB32B1">
        <w:t xml:space="preserve"> allowed midwives in New Zealand the ability to practise independently, without the supervision of a medical practitioner. This along with changes to financial remuneration and the LMC have resulted in an estimated 80 per cent of primary care being provided at present by midwives.</w:t>
      </w:r>
      <w:r w:rsidR="006C1FAE" w:rsidRPr="00CB32B1">
        <w:rPr>
          <w:rStyle w:val="FootnoteReference"/>
        </w:rPr>
        <w:footnoteReference w:id="243"/>
      </w:r>
      <w:r w:rsidRPr="00CB32B1">
        <w:rPr>
          <w:vertAlign w:val="superscript"/>
        </w:rPr>
        <w:t>,</w:t>
      </w:r>
      <w:r w:rsidR="00854DEF" w:rsidRPr="00CB32B1">
        <w:t xml:space="preserve"> </w:t>
      </w:r>
      <w:r w:rsidR="006C1FAE" w:rsidRPr="00CB32B1">
        <w:rPr>
          <w:rStyle w:val="FootnoteReference"/>
        </w:rPr>
        <w:footnoteReference w:id="244"/>
      </w:r>
    </w:p>
    <w:p w:rsidR="002C5ECC" w:rsidRPr="00CB32B1" w:rsidRDefault="002C5ECC" w:rsidP="002C5ECC">
      <w:pPr>
        <w:pStyle w:val="PwCNormal"/>
      </w:pPr>
      <w:r w:rsidRPr="00CB32B1">
        <w:t>Midwives can provide services in different roles such as:</w:t>
      </w:r>
    </w:p>
    <w:p w:rsidR="002C5ECC" w:rsidRPr="00CB32B1" w:rsidRDefault="00241FD4" w:rsidP="009814D6">
      <w:pPr>
        <w:pStyle w:val="ListBullet"/>
      </w:pPr>
      <w:r>
        <w:t>c</w:t>
      </w:r>
      <w:r w:rsidR="002C5ECC" w:rsidRPr="00CB32B1">
        <w:t>ommunity-based/self-employed midwives (independent midwives)</w:t>
      </w:r>
    </w:p>
    <w:p w:rsidR="002C5ECC" w:rsidRPr="00CB32B1" w:rsidRDefault="00241FD4" w:rsidP="009814D6">
      <w:pPr>
        <w:pStyle w:val="ListBullet"/>
      </w:pPr>
      <w:r>
        <w:t>h</w:t>
      </w:r>
      <w:r w:rsidR="002C5ECC" w:rsidRPr="00CB32B1">
        <w:t>ospital midwives (core midwives)</w:t>
      </w:r>
    </w:p>
    <w:p w:rsidR="002C5ECC" w:rsidRPr="00CB32B1" w:rsidRDefault="00241FD4" w:rsidP="009814D6">
      <w:pPr>
        <w:pStyle w:val="ListBullet"/>
      </w:pPr>
      <w:r>
        <w:t>e</w:t>
      </w:r>
      <w:r w:rsidR="002C5ECC" w:rsidRPr="00CB32B1">
        <w:t>ducators and managers.</w:t>
      </w:r>
    </w:p>
    <w:p w:rsidR="002C5ECC" w:rsidRPr="00CB32B1" w:rsidRDefault="002C5ECC" w:rsidP="002C5ECC">
      <w:pPr>
        <w:pStyle w:val="PwCNormal"/>
      </w:pPr>
      <w:r w:rsidRPr="00CB32B1">
        <w:t xml:space="preserve">Independent midwives are the equivalent of PPMs in Australia. These midwives can work independently, but most often work within small practices. Under section 88 of the Ministry of Health’s </w:t>
      </w:r>
      <w:r w:rsidRPr="00CB32B1">
        <w:rPr>
          <w:i/>
        </w:rPr>
        <w:t>Primary Maternity Services Notice</w:t>
      </w:r>
      <w:r w:rsidRPr="00CB32B1">
        <w:t>, LMCs (including independent midwives) can obtain access arrangements with other public health service facilities.</w:t>
      </w:r>
      <w:r w:rsidR="006C1FAE" w:rsidRPr="00CB32B1">
        <w:rPr>
          <w:rStyle w:val="FootnoteReference"/>
        </w:rPr>
        <w:footnoteReference w:id="245"/>
      </w:r>
      <w:r w:rsidRPr="00CB32B1">
        <w:rPr>
          <w:vertAlign w:val="superscript"/>
        </w:rPr>
        <w:t>,</w:t>
      </w:r>
      <w:r w:rsidR="00854DEF" w:rsidRPr="00CB32B1">
        <w:t xml:space="preserve"> </w:t>
      </w:r>
      <w:r w:rsidR="006C1FAE" w:rsidRPr="00CB32B1">
        <w:rPr>
          <w:rStyle w:val="FootnoteReference"/>
        </w:rPr>
        <w:footnoteReference w:id="246"/>
      </w:r>
      <w:r w:rsidR="006C1FAE" w:rsidRPr="00CB32B1">
        <w:t xml:space="preserve"> </w:t>
      </w:r>
      <w:r w:rsidRPr="00CB32B1">
        <w:t>While the other health professional (</w:t>
      </w:r>
      <w:r w:rsidR="00854DEF" w:rsidRPr="00CB32B1">
        <w:t>eg</w:t>
      </w:r>
      <w:r w:rsidRPr="00CB32B1">
        <w:t xml:space="preserve"> an obstetrician) will be responsible on transfer for making care decisions, the LMC midwife can continue to provide support to the woman.</w:t>
      </w:r>
      <w:r w:rsidR="006C1FAE" w:rsidRPr="00CB32B1">
        <w:rPr>
          <w:rStyle w:val="FootnoteReference"/>
        </w:rPr>
        <w:footnoteReference w:id="247"/>
      </w:r>
    </w:p>
    <w:p w:rsidR="002C5ECC" w:rsidRPr="00386E96" w:rsidRDefault="002C5ECC" w:rsidP="002C5ECC">
      <w:pPr>
        <w:pStyle w:val="PwCNormal"/>
      </w:pPr>
      <w:r w:rsidRPr="00CB32B1">
        <w:t>Like Australia, the number of independent midwives and homebirths is not known as data are often not collected. Consultation, consumer groups and researchers suggest that five per cent of midwives oversee homebirths,</w:t>
      </w:r>
      <w:r w:rsidR="006C1FAE" w:rsidRPr="00CB32B1">
        <w:rPr>
          <w:rStyle w:val="FootnoteReference"/>
        </w:rPr>
        <w:footnoteReference w:id="248"/>
      </w:r>
      <w:r w:rsidR="00854DEF" w:rsidRPr="00CB32B1">
        <w:t xml:space="preserve"> </w:t>
      </w:r>
      <w:r w:rsidRPr="00386E96">
        <w:t>and between six to ten per cent of women have a homebirth.</w:t>
      </w:r>
      <w:r w:rsidR="006C1FAE" w:rsidRPr="00386E96">
        <w:rPr>
          <w:rStyle w:val="FootnoteReference"/>
        </w:rPr>
        <w:footnoteReference w:id="249"/>
      </w:r>
      <w:r w:rsidRPr="00386E96">
        <w:rPr>
          <w:vertAlign w:val="superscript"/>
        </w:rPr>
        <w:t>,</w:t>
      </w:r>
      <w:r w:rsidR="00854DEF" w:rsidRPr="00386E96">
        <w:t xml:space="preserve"> </w:t>
      </w:r>
      <w:r w:rsidR="006C1FAE" w:rsidRPr="00386E96">
        <w:rPr>
          <w:rStyle w:val="FootnoteReference"/>
        </w:rPr>
        <w:footnoteReference w:id="250"/>
      </w:r>
      <w:r w:rsidRPr="00386E96">
        <w:rPr>
          <w:vertAlign w:val="superscript"/>
        </w:rPr>
        <w:t>,</w:t>
      </w:r>
      <w:r w:rsidR="00854DEF" w:rsidRPr="00386E96">
        <w:t xml:space="preserve"> </w:t>
      </w:r>
      <w:r w:rsidR="006C1FAE" w:rsidRPr="00386E96">
        <w:rPr>
          <w:rStyle w:val="FootnoteReference"/>
        </w:rPr>
        <w:footnoteReference w:id="251"/>
      </w:r>
    </w:p>
    <w:p w:rsidR="002C5ECC" w:rsidRPr="00CB32B1" w:rsidRDefault="002C5ECC" w:rsidP="002C5ECC">
      <w:pPr>
        <w:pStyle w:val="PwCNormal"/>
      </w:pPr>
      <w:r w:rsidRPr="00386E96">
        <w:t>All midwives, including independent midwives, must be registered with the Midwifery Council for New Zealand and attend compulsory</w:t>
      </w:r>
      <w:r w:rsidRPr="00CB32B1">
        <w:t xml:space="preserve"> annual and triennial updates, as well as professional activities (</w:t>
      </w:r>
      <w:r w:rsidR="00854DEF" w:rsidRPr="00CB32B1">
        <w:t>eg</w:t>
      </w:r>
      <w:r w:rsidRPr="00CB32B1">
        <w:t xml:space="preserve"> teaching) to remain registered. Like the KNOV, the New Zealand College of Midwives (NZCOM) is a professional body that supports midwives. While membership with NZCOM is not mandatory, it is recommended.</w:t>
      </w:r>
    </w:p>
    <w:p w:rsidR="002C5ECC" w:rsidRPr="00CB32B1" w:rsidRDefault="002C5ECC" w:rsidP="001714EF">
      <w:pPr>
        <w:pStyle w:val="Majorheading"/>
      </w:pPr>
      <w:r w:rsidRPr="00CB32B1">
        <w:t>Indemnity insurance history</w:t>
      </w:r>
    </w:p>
    <w:p w:rsidR="002C5ECC" w:rsidRPr="00CB32B1" w:rsidRDefault="002C5ECC" w:rsidP="001714EF">
      <w:pPr>
        <w:pStyle w:val="PwCNormal"/>
        <w:keepNext/>
        <w:keepLines/>
      </w:pPr>
      <w:r w:rsidRPr="00CB32B1">
        <w:t>From consultations held it is understood that insurance has always been available for midwives. However, this could not be verified. PII is not compulsory for midwives in New Zealand. It is however required by the Ministry of Health for all health practitioners holding an access arrangement with a public health service.</w:t>
      </w:r>
      <w:r w:rsidR="006C1FAE" w:rsidRPr="00CB32B1">
        <w:rPr>
          <w:rStyle w:val="FootnoteReference"/>
        </w:rPr>
        <w:footnoteReference w:id="252"/>
      </w:r>
      <w:r w:rsidR="00854DEF" w:rsidRPr="00CB32B1">
        <w:t xml:space="preserve"> </w:t>
      </w:r>
      <w:r w:rsidRPr="00CB32B1">
        <w:t>Therefore, by virtue that access arrangements to other health facilities are widely held to be a necessary component in the provision of safe care, midwives most often will hold</w:t>
      </w:r>
      <w:r w:rsidR="00844A80">
        <w:t xml:space="preserve"> </w:t>
      </w:r>
      <w:r w:rsidRPr="00CB32B1">
        <w:t>PII.</w:t>
      </w:r>
    </w:p>
    <w:p w:rsidR="002C5ECC" w:rsidRPr="00CB32B1" w:rsidRDefault="002C5ECC" w:rsidP="009814D6">
      <w:pPr>
        <w:pStyle w:val="Majorheading"/>
      </w:pPr>
      <w:r w:rsidRPr="00CB32B1">
        <w:t>Indemnity insurance model</w:t>
      </w:r>
    </w:p>
    <w:p w:rsidR="002C5ECC" w:rsidRPr="00CB32B1" w:rsidRDefault="002C5ECC" w:rsidP="002C5ECC">
      <w:pPr>
        <w:pStyle w:val="PwCNormal"/>
      </w:pPr>
      <w:r w:rsidRPr="00CB32B1">
        <w:t>NZCOM provides PII for midwives to all members (estimated to be 90% of practising midwives</w:t>
      </w:r>
      <w:r w:rsidR="006C1FAE" w:rsidRPr="00CB32B1">
        <w:rPr>
          <w:rStyle w:val="FootnoteReference"/>
        </w:rPr>
        <w:footnoteReference w:id="253"/>
      </w:r>
      <w:r w:rsidRPr="00CB32B1">
        <w:t>), regardless of their practice setting. NZCOM provides two forms of assistance:</w:t>
      </w:r>
    </w:p>
    <w:p w:rsidR="002C5ECC" w:rsidRPr="00CB32B1" w:rsidRDefault="002C5ECC" w:rsidP="009814D6">
      <w:pPr>
        <w:pStyle w:val="ListBullet"/>
      </w:pPr>
      <w:r w:rsidRPr="00CB32B1">
        <w:rPr>
          <w:b/>
          <w:color w:val="DC6900" w:themeColor="text2"/>
        </w:rPr>
        <w:t xml:space="preserve">An insurance product: </w:t>
      </w:r>
      <w:r w:rsidR="00844A80">
        <w:t>t</w:t>
      </w:r>
      <w:r w:rsidRPr="00CB32B1">
        <w:t>his covers public liability damages incurred in the home as well as within health services for all legal matters in relation to regulation bodies, the Health and Disability services Commissioner, Coroners Courts, ACC investigations and civi</w:t>
      </w:r>
      <w:r w:rsidR="00CD0CA9" w:rsidRPr="00CB32B1">
        <w:t>l courts (Medical misadventure)</w:t>
      </w:r>
    </w:p>
    <w:p w:rsidR="002C5ECC" w:rsidRPr="00CB32B1" w:rsidRDefault="002C5ECC" w:rsidP="009814D6">
      <w:pPr>
        <w:pStyle w:val="ListBullet"/>
      </w:pPr>
      <w:r w:rsidRPr="00CB32B1">
        <w:rPr>
          <w:b/>
          <w:color w:val="DC6900" w:themeColor="text2"/>
        </w:rPr>
        <w:t>Legal support:</w:t>
      </w:r>
      <w:r w:rsidRPr="00CB32B1">
        <w:t xml:space="preserve"> NZCOM assists in finding a lawyer to provide legal services.</w:t>
      </w:r>
    </w:p>
    <w:p w:rsidR="002C5ECC" w:rsidRPr="00CB32B1" w:rsidRDefault="002C5ECC" w:rsidP="009814D6">
      <w:pPr>
        <w:pStyle w:val="PwCNormal"/>
      </w:pPr>
      <w:r w:rsidRPr="00CB32B1">
        <w:t>P</w:t>
      </w:r>
      <w:r w:rsidR="00386E96">
        <w:t>I</w:t>
      </w:r>
      <w:r w:rsidRPr="00CB32B1">
        <w:t>I is included as a part of the NZCOM membership. At present, the membership fee is approximately $800</w:t>
      </w:r>
      <w:r w:rsidR="00386E96">
        <w:t>-</w:t>
      </w:r>
      <w:r w:rsidRPr="00CB32B1">
        <w:t>$900 (NZD), of which approximately $100</w:t>
      </w:r>
      <w:r w:rsidR="00386E96">
        <w:t>-</w:t>
      </w:r>
      <w:r w:rsidRPr="00CB32B1">
        <w:t xml:space="preserve">$110 (NZD) relates to the insurance premium. This is a relatively low fee in comparison to other </w:t>
      </w:r>
      <w:r w:rsidR="00496AD4">
        <w:t>jurisdiction</w:t>
      </w:r>
      <w:r w:rsidRPr="00CB32B1">
        <w:t>s researched, as a result of:</w:t>
      </w:r>
      <w:r w:rsidR="006C1FAE" w:rsidRPr="00CB32B1">
        <w:rPr>
          <w:rStyle w:val="FootnoteReference"/>
        </w:rPr>
        <w:footnoteReference w:id="254"/>
      </w:r>
    </w:p>
    <w:p w:rsidR="002C5ECC" w:rsidRPr="00CB32B1" w:rsidRDefault="002C5ECC" w:rsidP="009814D6">
      <w:pPr>
        <w:pStyle w:val="ListBullet"/>
      </w:pPr>
      <w:r w:rsidRPr="00CB32B1">
        <w:rPr>
          <w:b/>
          <w:color w:val="DC6900" w:themeColor="text2"/>
        </w:rPr>
        <w:t xml:space="preserve">Subsidy: </w:t>
      </w:r>
      <w:r w:rsidR="00844A80">
        <w:t>t</w:t>
      </w:r>
      <w:r w:rsidRPr="00CB32B1">
        <w:t>he product for me</w:t>
      </w:r>
      <w:r w:rsidR="00CD0CA9" w:rsidRPr="00CB32B1">
        <w:t>mbers being subsidised by NZCOM</w:t>
      </w:r>
    </w:p>
    <w:p w:rsidR="002C5ECC" w:rsidRPr="00CB32B1" w:rsidRDefault="002C5ECC" w:rsidP="009814D6">
      <w:pPr>
        <w:pStyle w:val="ListBullet"/>
      </w:pPr>
      <w:r w:rsidRPr="00CB32B1">
        <w:rPr>
          <w:b/>
          <w:color w:val="DC6900" w:themeColor="text2"/>
        </w:rPr>
        <w:t xml:space="preserve">Quantum: </w:t>
      </w:r>
      <w:r w:rsidR="00844A80">
        <w:t>t</w:t>
      </w:r>
      <w:r w:rsidRPr="00CB32B1">
        <w:t>he product only covers up to $1 million (NZD) per year</w:t>
      </w:r>
      <w:r w:rsidR="008D0B4E" w:rsidRPr="00CB32B1">
        <w:t>.</w:t>
      </w:r>
      <w:r w:rsidR="006C1FAE" w:rsidRPr="00CB32B1">
        <w:rPr>
          <w:rStyle w:val="FootnoteReference"/>
        </w:rPr>
        <w:footnoteReference w:id="255"/>
      </w:r>
      <w:r w:rsidRPr="00CB32B1">
        <w:rPr>
          <w:vertAlign w:val="superscript"/>
        </w:rPr>
        <w:t>,</w:t>
      </w:r>
      <w:r w:rsidR="00854DEF" w:rsidRPr="00CB32B1">
        <w:t xml:space="preserve"> </w:t>
      </w:r>
      <w:r w:rsidR="006C1FAE" w:rsidRPr="00CB32B1">
        <w:rPr>
          <w:rStyle w:val="FootnoteReference"/>
        </w:rPr>
        <w:footnoteReference w:id="256"/>
      </w:r>
      <w:r w:rsidR="006C1FAE" w:rsidRPr="00CB32B1">
        <w:t xml:space="preserve"> </w:t>
      </w:r>
      <w:r w:rsidRPr="00CB32B1">
        <w:t xml:space="preserve">This is relatively low compared to other </w:t>
      </w:r>
      <w:r w:rsidR="00496AD4">
        <w:t>jurisdiction</w:t>
      </w:r>
      <w:r w:rsidRPr="00CB32B1">
        <w:t xml:space="preserve">s. The size of the quantum is linked to the social insurance scheme </w:t>
      </w:r>
      <w:r w:rsidR="00CD0CA9" w:rsidRPr="00CB32B1">
        <w:t>(ACC) – see ‘Enablers of model’</w:t>
      </w:r>
    </w:p>
    <w:p w:rsidR="002C5ECC" w:rsidRPr="00CB32B1" w:rsidRDefault="002C5ECC" w:rsidP="009814D6">
      <w:pPr>
        <w:pStyle w:val="ListBullet"/>
      </w:pPr>
      <w:r w:rsidRPr="00CB32B1">
        <w:rPr>
          <w:b/>
          <w:color w:val="DC6900" w:themeColor="text2"/>
        </w:rPr>
        <w:t>Group cover:</w:t>
      </w:r>
      <w:r w:rsidRPr="00CB32B1">
        <w:t xml:space="preserve"> QBE, the insurance underwriter, provides group cover to NZCOM as opposed to i</w:t>
      </w:r>
      <w:r w:rsidR="00CD0CA9" w:rsidRPr="00CB32B1">
        <w:t>ndividual cover for each member</w:t>
      </w:r>
    </w:p>
    <w:p w:rsidR="002C5ECC" w:rsidRPr="00CB32B1" w:rsidRDefault="002C5ECC" w:rsidP="009814D6">
      <w:pPr>
        <w:pStyle w:val="ListBullet"/>
      </w:pPr>
      <w:r w:rsidRPr="00CB32B1">
        <w:rPr>
          <w:b/>
          <w:color w:val="DC6900" w:themeColor="text2"/>
        </w:rPr>
        <w:t xml:space="preserve">Risk-cost sharing arrangement: </w:t>
      </w:r>
      <w:r w:rsidRPr="00CB32B1">
        <w:t xml:space="preserve">QBE, the insurance underwriter is subsidised by </w:t>
      </w:r>
      <w:r w:rsidR="00386E96">
        <w:t>NZCOM</w:t>
      </w:r>
    </w:p>
    <w:p w:rsidR="002C5ECC" w:rsidRPr="00CB32B1" w:rsidRDefault="002C5ECC" w:rsidP="009814D6">
      <w:pPr>
        <w:pStyle w:val="ListBullet"/>
      </w:pPr>
      <w:r w:rsidRPr="00CB32B1">
        <w:rPr>
          <w:b/>
          <w:color w:val="DC6900" w:themeColor="text2"/>
        </w:rPr>
        <w:t>Role of NZCOM:</w:t>
      </w:r>
      <w:r w:rsidRPr="00CB32B1">
        <w:t xml:space="preserve"> </w:t>
      </w:r>
      <w:r w:rsidR="00844A80">
        <w:t>t</w:t>
      </w:r>
      <w:r w:rsidRPr="00CB32B1">
        <w:t>he support and risk management by NZCOM – see ‘Enablers of model’.</w:t>
      </w:r>
    </w:p>
    <w:p w:rsidR="002C5ECC" w:rsidRPr="00CB32B1" w:rsidRDefault="002C5ECC" w:rsidP="009814D6">
      <w:pPr>
        <w:pStyle w:val="Majorheading"/>
      </w:pPr>
      <w:r w:rsidRPr="00CB32B1">
        <w:t>Incidence and claims</w:t>
      </w:r>
    </w:p>
    <w:p w:rsidR="002C5ECC" w:rsidRPr="00CB32B1" w:rsidRDefault="002C5ECC" w:rsidP="002C5ECC">
      <w:pPr>
        <w:pStyle w:val="PwCNormal"/>
      </w:pPr>
      <w:r w:rsidRPr="00CB32B1">
        <w:t>Consultation with the broker and NZCOM indicated that there has been a low incidence and level of claims (approximately 30 per year), such that the rate of NZCOM membership has grown faster than the number of claims (approximately ten per cent growth in midwives compared to five per cent growth in claims).</w:t>
      </w:r>
      <w:r w:rsidR="00E662B0" w:rsidRPr="00CB32B1">
        <w:rPr>
          <w:rStyle w:val="FootnoteReference"/>
        </w:rPr>
        <w:footnoteReference w:id="257"/>
      </w:r>
      <w:r w:rsidR="00854DEF" w:rsidRPr="00CB32B1">
        <w:t xml:space="preserve"> </w:t>
      </w:r>
      <w:r w:rsidRPr="00CB32B1">
        <w:t>This low incidence and level of claims is in part driven by the involvement of NZCOM as well as the impact of accident compensation insurance (see ‘Enablers of model’</w:t>
      </w:r>
      <w:r w:rsidR="00C73FB9">
        <w:t xml:space="preserve"> below</w:t>
      </w:r>
      <w:r w:rsidRPr="00CB32B1">
        <w:t xml:space="preserve">). </w:t>
      </w:r>
      <w:r w:rsidR="006959C5" w:rsidRPr="00CB32B1">
        <w:t>Consultations identified that claims pai</w:t>
      </w:r>
      <w:r w:rsidR="006959C5">
        <w:t xml:space="preserve">d normally range between $1,000 and </w:t>
      </w:r>
      <w:r w:rsidR="006959C5" w:rsidRPr="00CB32B1">
        <w:t>$1,500 (NZD).</w:t>
      </w:r>
    </w:p>
    <w:p w:rsidR="002C5ECC" w:rsidRPr="00CB32B1" w:rsidRDefault="002C5ECC" w:rsidP="002C5ECC">
      <w:pPr>
        <w:pStyle w:val="PwCNormal"/>
      </w:pPr>
      <w:r w:rsidRPr="00CB32B1">
        <w:t xml:space="preserve">We have been informed through consultation that there has only been one big claim of approximately $300,000 (NZD) </w:t>
      </w:r>
      <w:r w:rsidR="00386E96">
        <w:t xml:space="preserve">raised </w:t>
      </w:r>
      <w:r w:rsidRPr="00CB32B1">
        <w:t>in the past</w:t>
      </w:r>
      <w:r w:rsidR="00E662B0" w:rsidRPr="00CB32B1">
        <w:rPr>
          <w:rStyle w:val="FootnoteReference"/>
        </w:rPr>
        <w:footnoteReference w:id="258"/>
      </w:r>
      <w:r w:rsidR="00E662B0" w:rsidRPr="00CB32B1">
        <w:t xml:space="preserve"> </w:t>
      </w:r>
      <w:r w:rsidRPr="00CB32B1">
        <w:t>and no significant PII outcome issues specifically in relation to homebirth in the 15 years that NZCOM has held cover for its members as LMCs.</w:t>
      </w:r>
      <w:r w:rsidR="00E662B0" w:rsidRPr="00CB32B1">
        <w:rPr>
          <w:rStyle w:val="FootnoteReference"/>
        </w:rPr>
        <w:footnoteReference w:id="259"/>
      </w:r>
      <w:r w:rsidRPr="00CB32B1">
        <w:rPr>
          <w:vertAlign w:val="superscript"/>
        </w:rPr>
        <w:t>,</w:t>
      </w:r>
      <w:r w:rsidR="008D0B4E" w:rsidRPr="00CB32B1">
        <w:t xml:space="preserve"> </w:t>
      </w:r>
      <w:r w:rsidR="00E662B0" w:rsidRPr="00CB32B1">
        <w:rPr>
          <w:rStyle w:val="FootnoteReference"/>
        </w:rPr>
        <w:footnoteReference w:id="260"/>
      </w:r>
    </w:p>
    <w:p w:rsidR="002C5ECC" w:rsidRPr="00CB32B1" w:rsidRDefault="002C5ECC" w:rsidP="009814D6">
      <w:pPr>
        <w:pStyle w:val="Majorheading"/>
      </w:pPr>
      <w:r w:rsidRPr="00CB32B1">
        <w:t>Enablers of model</w:t>
      </w:r>
    </w:p>
    <w:p w:rsidR="002C5ECC" w:rsidRPr="00CB32B1" w:rsidRDefault="002C5ECC" w:rsidP="002C5ECC">
      <w:pPr>
        <w:pStyle w:val="PwCNormal"/>
      </w:pPr>
      <w:r w:rsidRPr="00CB32B1">
        <w:t>There have been three key enablers identified through literature and consultation that appear to facilitate the provision of PII for independent midwives. These are:</w:t>
      </w:r>
    </w:p>
    <w:p w:rsidR="002C5ECC" w:rsidRPr="00CB32B1" w:rsidRDefault="002C5ECC" w:rsidP="009814D6">
      <w:pPr>
        <w:pStyle w:val="ListBullet"/>
      </w:pPr>
      <w:r w:rsidRPr="00CB32B1">
        <w:rPr>
          <w:b/>
          <w:color w:val="DC6900" w:themeColor="text2"/>
        </w:rPr>
        <w:t>Accident compensation insurance:</w:t>
      </w:r>
      <w:r w:rsidRPr="00CB32B1">
        <w:t xml:space="preserve"> </w:t>
      </w:r>
      <w:r w:rsidR="00C73FB9">
        <w:t>t</w:t>
      </w:r>
      <w:r w:rsidRPr="00CB32B1">
        <w:t>he impact of the Accident Compensation legislation</w:t>
      </w:r>
      <w:r w:rsidR="00C73FB9">
        <w:t xml:space="preserve"> </w:t>
      </w:r>
      <w:r w:rsidR="00CD0CA9" w:rsidRPr="00CB32B1">
        <w:t>(ACC)</w:t>
      </w:r>
    </w:p>
    <w:p w:rsidR="002C5ECC" w:rsidRPr="00CB32B1" w:rsidRDefault="002C5ECC" w:rsidP="009814D6">
      <w:pPr>
        <w:pStyle w:val="ListBullet"/>
      </w:pPr>
      <w:r w:rsidRPr="00CB32B1">
        <w:rPr>
          <w:b/>
          <w:color w:val="DC6900" w:themeColor="text2"/>
        </w:rPr>
        <w:t>Defined roles and frameworks:</w:t>
      </w:r>
      <w:r w:rsidRPr="00CB32B1">
        <w:t xml:space="preserve"> </w:t>
      </w:r>
      <w:r w:rsidR="00C73FB9">
        <w:t>s</w:t>
      </w:r>
      <w:r w:rsidRPr="00CB32B1">
        <w:t>cope of practice, risk frameworks and collaboration betw</w:t>
      </w:r>
      <w:r w:rsidR="00CD0CA9" w:rsidRPr="00CB32B1">
        <w:t>een maternity service providers</w:t>
      </w:r>
    </w:p>
    <w:p w:rsidR="002C5ECC" w:rsidRPr="00CB32B1" w:rsidRDefault="002C5ECC" w:rsidP="009814D6">
      <w:pPr>
        <w:pStyle w:val="ListBullet"/>
      </w:pPr>
      <w:r w:rsidRPr="00CB32B1">
        <w:rPr>
          <w:b/>
          <w:color w:val="DC6900" w:themeColor="text2"/>
        </w:rPr>
        <w:t>Involvement of NZCOM:</w:t>
      </w:r>
      <w:r w:rsidRPr="00CB32B1">
        <w:t xml:space="preserve"> </w:t>
      </w:r>
      <w:r w:rsidR="00C73FB9">
        <w:t>f</w:t>
      </w:r>
      <w:r w:rsidRPr="00CB32B1">
        <w:t>acilitation and relationship between NZCOM and insurers, and</w:t>
      </w:r>
      <w:r w:rsidR="00C73FB9">
        <w:t xml:space="preserve"> </w:t>
      </w:r>
      <w:r w:rsidRPr="00CB32B1">
        <w:t>training.</w:t>
      </w:r>
    </w:p>
    <w:p w:rsidR="002C5ECC" w:rsidRPr="00CB32B1" w:rsidRDefault="002C5ECC" w:rsidP="00C05E0D">
      <w:pPr>
        <w:pStyle w:val="Minorheading"/>
      </w:pPr>
      <w:r w:rsidRPr="00CB32B1">
        <w:t>Accident compensation insurance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418"/>
        <w:gridCol w:w="360"/>
        <w:gridCol w:w="3510"/>
      </w:tblGrid>
      <w:tr w:rsidR="00C05E0D" w:rsidRPr="00CB32B1" w:rsidTr="00825263">
        <w:tc>
          <w:tcPr>
            <w:tcW w:w="5418" w:type="dxa"/>
          </w:tcPr>
          <w:p w:rsidR="00C05E0D" w:rsidRPr="00CB32B1" w:rsidRDefault="00C05E0D" w:rsidP="00C05E0D">
            <w:pPr>
              <w:pStyle w:val="TableTextNormal"/>
              <w:keepNext/>
              <w:keepLines/>
            </w:pPr>
            <w:r w:rsidRPr="00CB32B1">
              <w:t xml:space="preserve">Since 1974, the accident compensation scheme came into operation under the administration of the Accident Compensation Corporation (ACC). Currently administered under the </w:t>
            </w:r>
            <w:r w:rsidRPr="00386E96">
              <w:rPr>
                <w:i/>
              </w:rPr>
              <w:t>Accident Compensation Act 2001</w:t>
            </w:r>
            <w:r w:rsidRPr="00CB32B1">
              <w:t xml:space="preserve"> (NZ), this insurance scheme provides cover for all, through levies allocated to employers. Where an injury has occurred, compensation and support can be provided in the form of treatment, work and home assistance (</w:t>
            </w:r>
            <w:r w:rsidR="00854DEF" w:rsidRPr="00CB32B1">
              <w:t>eg</w:t>
            </w:r>
            <w:r w:rsidRPr="00CB32B1">
              <w:t xml:space="preserve"> childcare, home help, equipment), and rehabilitation for long-term injury.</w:t>
            </w:r>
          </w:p>
          <w:p w:rsidR="00C05E0D" w:rsidRPr="00CB32B1" w:rsidRDefault="00C05E0D" w:rsidP="00C05E0D">
            <w:pPr>
              <w:pStyle w:val="TableTextNormal"/>
              <w:keepNext/>
              <w:keepLines/>
            </w:pPr>
            <w:r w:rsidRPr="00CB32B1">
              <w:t>As it covers all forms of injury and death regardless of fault, age, or cause of injury, adverse maternal or perinatal outcomes in birth are also included. The result is that compensation is not claimed against midwives for ongoing care. This has a relatively significant impact on the quantum of claims raised.</w:t>
            </w:r>
          </w:p>
        </w:tc>
        <w:tc>
          <w:tcPr>
            <w:tcW w:w="360" w:type="dxa"/>
          </w:tcPr>
          <w:p w:rsidR="00C05E0D" w:rsidRPr="00CB32B1" w:rsidRDefault="00C05E0D" w:rsidP="00C05E0D">
            <w:pPr>
              <w:pStyle w:val="TableTextNormal"/>
              <w:keepNext/>
              <w:keepLines/>
            </w:pPr>
          </w:p>
        </w:tc>
        <w:tc>
          <w:tcPr>
            <w:tcW w:w="3510" w:type="dxa"/>
            <w:shd w:val="clear" w:color="auto" w:fill="DC6900" w:themeFill="text2"/>
            <w:vAlign w:val="center"/>
          </w:tcPr>
          <w:p w:rsidR="00C05E0D" w:rsidRPr="00844A80" w:rsidRDefault="00C05E0D" w:rsidP="00C05E0D">
            <w:pPr>
              <w:pStyle w:val="TableTextNormal"/>
              <w:keepNext/>
              <w:keepLines/>
              <w:rPr>
                <w:b/>
                <w:i/>
                <w:color w:val="FFFFFF" w:themeColor="background1"/>
              </w:rPr>
            </w:pPr>
            <w:r w:rsidRPr="00844A80">
              <w:rPr>
                <w:b/>
                <w:i/>
                <w:color w:val="FFFFFF" w:themeColor="background1"/>
              </w:rPr>
              <w:t>“The Guidelines are owned and respected by all parties and help assist everyone to make sound and safe decisions about when another level of care is required. Midwives know that if they need to transfer to hospital they will be received by obstetricians that respect their expertise and support the woman’s right”</w:t>
            </w:r>
          </w:p>
          <w:p w:rsidR="00C05E0D" w:rsidRPr="00CB32B1" w:rsidRDefault="0083432B" w:rsidP="0083432B">
            <w:pPr>
              <w:pStyle w:val="TableTextNormal"/>
              <w:keepNext/>
              <w:keepLines/>
              <w:spacing w:before="40" w:after="40"/>
              <w:jc w:val="right"/>
              <w:rPr>
                <w:i/>
                <w:sz w:val="16"/>
                <w:szCs w:val="16"/>
              </w:rPr>
            </w:pPr>
            <w:r w:rsidRPr="00CB32B1">
              <w:rPr>
                <w:i/>
                <w:color w:val="FFFFFF" w:themeColor="background1"/>
                <w:sz w:val="16"/>
                <w:szCs w:val="16"/>
              </w:rPr>
              <w:t>(</w:t>
            </w:r>
            <w:r w:rsidR="00C05E0D" w:rsidRPr="00CB32B1">
              <w:rPr>
                <w:i/>
                <w:color w:val="FFFFFF" w:themeColor="background1"/>
                <w:sz w:val="16"/>
                <w:szCs w:val="16"/>
              </w:rPr>
              <w:t>Guilliland K, 2011</w:t>
            </w:r>
            <w:r w:rsidRPr="00CB32B1">
              <w:rPr>
                <w:i/>
                <w:color w:val="FFFFFF" w:themeColor="background1"/>
                <w:sz w:val="16"/>
                <w:szCs w:val="16"/>
              </w:rPr>
              <w:t>)</w:t>
            </w:r>
          </w:p>
        </w:tc>
      </w:tr>
      <w:tr w:rsidR="00C05E0D" w:rsidRPr="00CB32B1" w:rsidTr="00825263">
        <w:trPr>
          <w:trHeight w:hRule="exact" w:val="86"/>
        </w:trPr>
        <w:tc>
          <w:tcPr>
            <w:tcW w:w="5418" w:type="dxa"/>
          </w:tcPr>
          <w:p w:rsidR="00C05E0D" w:rsidRPr="00CB32B1" w:rsidRDefault="00C05E0D" w:rsidP="00825263">
            <w:pPr>
              <w:pStyle w:val="TableTextNormal"/>
            </w:pPr>
          </w:p>
        </w:tc>
        <w:tc>
          <w:tcPr>
            <w:tcW w:w="360" w:type="dxa"/>
            <w:shd w:val="clear" w:color="auto" w:fill="DC6900" w:themeFill="text2"/>
          </w:tcPr>
          <w:p w:rsidR="00C05E0D" w:rsidRPr="00CB32B1" w:rsidRDefault="00C05E0D" w:rsidP="00825263">
            <w:pPr>
              <w:pStyle w:val="TableTextNormal"/>
            </w:pPr>
          </w:p>
        </w:tc>
        <w:tc>
          <w:tcPr>
            <w:tcW w:w="3510" w:type="dxa"/>
          </w:tcPr>
          <w:p w:rsidR="00C05E0D" w:rsidRPr="00CB32B1" w:rsidRDefault="00C05E0D" w:rsidP="00825263">
            <w:pPr>
              <w:pStyle w:val="TableTextNormal"/>
            </w:pPr>
          </w:p>
        </w:tc>
      </w:tr>
    </w:tbl>
    <w:p w:rsidR="002C5ECC" w:rsidRPr="00CB32B1" w:rsidRDefault="002C5ECC" w:rsidP="00C05E0D">
      <w:pPr>
        <w:pStyle w:val="Minorheading"/>
      </w:pPr>
      <w:r w:rsidRPr="00CB32B1">
        <w:t>Defined roles and frameworks</w:t>
      </w:r>
    </w:p>
    <w:p w:rsidR="002C5ECC" w:rsidRPr="00CB32B1" w:rsidRDefault="002C5ECC" w:rsidP="002C5ECC">
      <w:pPr>
        <w:pStyle w:val="PwCNormal"/>
      </w:pPr>
      <w:r w:rsidRPr="00CB32B1">
        <w:t xml:space="preserve">In New Zealand, the Ministry of Health, with input from an expert working group including midwifery, obstetrics, paediatrics and anaesthetics as well as consumer representatives, developed a national risk framework, the </w:t>
      </w:r>
      <w:r w:rsidRPr="00CB32B1">
        <w:rPr>
          <w:i/>
        </w:rPr>
        <w:t>Consultation and Referral Guidelines</w:t>
      </w:r>
      <w:r w:rsidRPr="00CB32B1">
        <w:t xml:space="preserve"> (‘Guidelines’).</w:t>
      </w:r>
      <w:r w:rsidR="00E662B0" w:rsidRPr="00CB32B1">
        <w:rPr>
          <w:rStyle w:val="FootnoteReference"/>
        </w:rPr>
        <w:footnoteReference w:id="261"/>
      </w:r>
    </w:p>
    <w:p w:rsidR="002C5ECC" w:rsidRPr="00CB32B1" w:rsidRDefault="002C5ECC" w:rsidP="00D2468A">
      <w:pPr>
        <w:pStyle w:val="PwCNormal"/>
        <w:keepNext/>
        <w:keepLines/>
      </w:pPr>
      <w:r w:rsidRPr="00CB32B1">
        <w:t>This framework provides:</w:t>
      </w:r>
    </w:p>
    <w:p w:rsidR="002C5ECC" w:rsidRPr="00CB32B1" w:rsidRDefault="00C73FB9" w:rsidP="00C05E0D">
      <w:pPr>
        <w:pStyle w:val="ListBullet"/>
      </w:pPr>
      <w:r>
        <w:t>a</w:t>
      </w:r>
      <w:r w:rsidR="002C5ECC" w:rsidRPr="00CB32B1">
        <w:t xml:space="preserve"> list of conditions and criteria about referring pregnant women for consultations with other</w:t>
      </w:r>
      <w:r>
        <w:t xml:space="preserve"> </w:t>
      </w:r>
      <w:r w:rsidR="00CD0CA9" w:rsidRPr="00CB32B1">
        <w:t>clinicians</w:t>
      </w:r>
    </w:p>
    <w:p w:rsidR="002C5ECC" w:rsidRPr="00CB32B1" w:rsidRDefault="00C73FB9" w:rsidP="00C05E0D">
      <w:pPr>
        <w:pStyle w:val="ListBullet"/>
      </w:pPr>
      <w:r>
        <w:t>g</w:t>
      </w:r>
      <w:r w:rsidR="002C5ECC" w:rsidRPr="00CB32B1">
        <w:t>uidelines for transferring clinical responsi</w:t>
      </w:r>
      <w:r w:rsidR="00CD0CA9" w:rsidRPr="00CB32B1">
        <w:t>bility for care to specialists</w:t>
      </w:r>
    </w:p>
    <w:p w:rsidR="002C5ECC" w:rsidRPr="00CB32B1" w:rsidRDefault="00C73FB9" w:rsidP="00C05E0D">
      <w:pPr>
        <w:pStyle w:val="ListBullet"/>
      </w:pPr>
      <w:r>
        <w:t>g</w:t>
      </w:r>
      <w:r w:rsidR="002C5ECC" w:rsidRPr="00CB32B1">
        <w:t>uidelines for transferring care in emergencies.</w:t>
      </w:r>
      <w:r w:rsidR="00E662B0" w:rsidRPr="00CB32B1">
        <w:rPr>
          <w:rStyle w:val="FootnoteReference"/>
          <w:rFonts w:asciiTheme="majorHAnsi" w:hAnsiTheme="majorHAnsi"/>
          <w:shd w:val="clear" w:color="auto" w:fill="FFFFFF"/>
        </w:rPr>
        <w:footnoteReference w:id="262"/>
      </w:r>
    </w:p>
    <w:p w:rsidR="002C5ECC" w:rsidRPr="00CB32B1" w:rsidRDefault="002C5ECC" w:rsidP="002C5ECC">
      <w:pPr>
        <w:pStyle w:val="PwCNormal"/>
      </w:pPr>
      <w:r w:rsidRPr="00CB32B1">
        <w:t>The literature has highlighted that while midwifery-led practice is not fully supported by all health practitioner associations, there was productive involvement and consensus on these referral guidelines or ‘risk list’.</w:t>
      </w:r>
      <w:r w:rsidR="00E662B0" w:rsidRPr="00CB32B1">
        <w:rPr>
          <w:rStyle w:val="FootnoteReference"/>
        </w:rPr>
        <w:footnoteReference w:id="263"/>
      </w:r>
      <w:r w:rsidR="00854DEF" w:rsidRPr="00CB32B1">
        <w:t xml:space="preserve"> </w:t>
      </w:r>
      <w:r w:rsidRPr="00CB32B1">
        <w:t>In combination with access arrangements, these guidelines supported by a multidisciplinary team (MDT) contribute to safe practice, and in effect, may reduce the perceived risk profile of midwives by insurers as they:</w:t>
      </w:r>
    </w:p>
    <w:p w:rsidR="002C5ECC" w:rsidRPr="00CB32B1" w:rsidRDefault="002C5ECC" w:rsidP="00C05E0D">
      <w:pPr>
        <w:pStyle w:val="ListBullet"/>
      </w:pPr>
      <w:r w:rsidRPr="00CB32B1">
        <w:rPr>
          <w:b/>
          <w:color w:val="DC6900" w:themeColor="text2"/>
        </w:rPr>
        <w:t xml:space="preserve">Uphold women’s choice: </w:t>
      </w:r>
      <w:r w:rsidR="00C73FB9">
        <w:t>w</w:t>
      </w:r>
      <w:r w:rsidRPr="00CB32B1">
        <w:t>omen are likely to be supportive of transfer because continuity of care may be seen with a midwife. As a result, midwives may al</w:t>
      </w:r>
      <w:r w:rsidR="00CD0CA9" w:rsidRPr="00CB32B1">
        <w:t>so refer on a more timely basis</w:t>
      </w:r>
    </w:p>
    <w:p w:rsidR="002C5ECC" w:rsidRPr="00CB32B1" w:rsidRDefault="002C5ECC" w:rsidP="00C05E0D">
      <w:pPr>
        <w:pStyle w:val="ListBullet"/>
      </w:pPr>
      <w:r w:rsidRPr="00CB32B1">
        <w:rPr>
          <w:b/>
          <w:color w:val="DC6900" w:themeColor="text2"/>
        </w:rPr>
        <w:t xml:space="preserve">Define scope of practice: </w:t>
      </w:r>
      <w:r w:rsidR="00C73FB9">
        <w:t>t</w:t>
      </w:r>
      <w:r w:rsidRPr="00CB32B1">
        <w:t>here is a clear and consistent framework under which midwives</w:t>
      </w:r>
      <w:r w:rsidR="00C73FB9">
        <w:t xml:space="preserve"> </w:t>
      </w:r>
      <w:r w:rsidRPr="00CB32B1">
        <w:t>in New Zealand provide care. This allows insurers the ability to un</w:t>
      </w:r>
      <w:r w:rsidR="00CD0CA9" w:rsidRPr="00CB32B1">
        <w:t>derstand what they are insuring</w:t>
      </w:r>
    </w:p>
    <w:p w:rsidR="002C5ECC" w:rsidRPr="00CB32B1" w:rsidRDefault="002C5ECC" w:rsidP="00C05E0D">
      <w:pPr>
        <w:pStyle w:val="ListBullet"/>
      </w:pPr>
      <w:r w:rsidRPr="00CB32B1">
        <w:rPr>
          <w:b/>
          <w:color w:val="DC6900" w:themeColor="text2"/>
        </w:rPr>
        <w:t xml:space="preserve">Support best practice and consensus: </w:t>
      </w:r>
      <w:r w:rsidR="00C73FB9">
        <w:t>a</w:t>
      </w:r>
      <w:r w:rsidRPr="00CB32B1">
        <w:t>greed frameworks across the MDT may give insurers comfort that the Guidelines reflect best practice activities.</w:t>
      </w:r>
    </w:p>
    <w:p w:rsidR="002C5ECC" w:rsidRPr="00CB32B1" w:rsidRDefault="002C5ECC" w:rsidP="002C5ECC">
      <w:pPr>
        <w:pStyle w:val="PwCNormal"/>
      </w:pPr>
      <w:r w:rsidRPr="00CB32B1">
        <w:t>A consistent and agreed framework could be considered further as to its applicability in Australia to assist in reducing the risk profile (see Chapter 5).</w:t>
      </w:r>
    </w:p>
    <w:p w:rsidR="002C5ECC" w:rsidRPr="00CB32B1" w:rsidRDefault="002C5ECC" w:rsidP="00C05E0D">
      <w:pPr>
        <w:pStyle w:val="Minorheading"/>
      </w:pPr>
      <w:r w:rsidRPr="00CB32B1">
        <w:t>Involvement of NZCOM</w:t>
      </w:r>
    </w:p>
    <w:p w:rsidR="002C5ECC" w:rsidRPr="00CB32B1" w:rsidRDefault="002C5ECC" w:rsidP="002C5ECC">
      <w:pPr>
        <w:pStyle w:val="PwCNormal"/>
      </w:pPr>
      <w:r w:rsidRPr="00CB32B1">
        <w:t>NZCOM is an active participant in facilitating PII for midwives (including independent midwives). Representatives from both NZCOM and the broker considered that NZCOM’s involvement was important to facilitating the development of an insurance product, including brokering the arrangement and the subsidy and involvement in managing incidents and claims.</w:t>
      </w:r>
      <w:r w:rsidR="00E662B0" w:rsidRPr="00CB32B1">
        <w:rPr>
          <w:rStyle w:val="FootnoteReference"/>
        </w:rPr>
        <w:footnoteReference w:id="264"/>
      </w:r>
    </w:p>
    <w:p w:rsidR="002C5ECC" w:rsidRPr="00CB32B1" w:rsidRDefault="002C5ECC" w:rsidP="002C5ECC">
      <w:pPr>
        <w:pStyle w:val="PwCNormal"/>
      </w:pPr>
      <w:r w:rsidRPr="00CB32B1">
        <w:t>A key component of the PII model is the group-cover arrangement facilitated through NZCOM.</w:t>
      </w:r>
      <w:r w:rsidR="00E662B0" w:rsidRPr="00CB32B1">
        <w:rPr>
          <w:rStyle w:val="FootnoteReference"/>
        </w:rPr>
        <w:footnoteReference w:id="265"/>
      </w:r>
      <w:r w:rsidR="00854DEF" w:rsidRPr="00CB32B1">
        <w:t xml:space="preserve"> </w:t>
      </w:r>
      <w:r w:rsidRPr="00CB32B1">
        <w:t>In New Zealand, individuals do not purchase a separate personal policy. Instead, the group who are solely composed of NZCOM members are insured as a whole. This assists in risk profiling as risk assessment is of a broader group, providing the necessary scale of practice.</w:t>
      </w:r>
    </w:p>
    <w:p w:rsidR="002C5ECC" w:rsidRPr="00CB32B1" w:rsidRDefault="002C5ECC" w:rsidP="002C5ECC">
      <w:pPr>
        <w:pStyle w:val="PwCNormal"/>
      </w:pPr>
      <w:r w:rsidRPr="00CB32B1">
        <w:t xml:space="preserve">NZCOM also provides a subsidy to midwives for the cost of PII. This may make the premium more affordable for midwives, compared to those within other </w:t>
      </w:r>
      <w:r w:rsidR="005A16C9" w:rsidRPr="00CB32B1">
        <w:t>jurisdictions</w:t>
      </w:r>
      <w:r w:rsidRPr="00CB32B1">
        <w:t>. With the premium costs absorbed in the NZCOM membership fees, more midwives may be likely to purchase the cover (even those that may already be covered under their employer’s vicarious liability). This is because they are already paying the premium as a result of purchasing the membership as opposed to wanting to purchase PII directly. The result of this is that the scale of practice may indirectly increase, impacting favourably on the risk profile of the group (as a form of risk subsidisation).</w:t>
      </w:r>
    </w:p>
    <w:p w:rsidR="002C5ECC" w:rsidRPr="00CB32B1" w:rsidRDefault="002C5ECC" w:rsidP="002C5ECC">
      <w:pPr>
        <w:pStyle w:val="PwCNormal"/>
      </w:pPr>
      <w:r w:rsidRPr="00CB32B1">
        <w:t>NZCOM also actively assists in the processing of adverse incidents, which reduces the cost of premiums. Incidents are received by NZCOM and are processed through their in-house legal team. This filtering process assists in reducing the number of claims, resolving many of them prior to being submitted to the insurer. This also reduces the cost borne by the insurer in managing incidents in addition to using affordable legal assistance.</w:t>
      </w:r>
    </w:p>
    <w:p w:rsidR="002C5ECC" w:rsidRPr="00CB32B1" w:rsidRDefault="002C5ECC" w:rsidP="002C5ECC">
      <w:pPr>
        <w:pStyle w:val="PwCNormal"/>
      </w:pPr>
      <w:r w:rsidRPr="00CB32B1">
        <w:t>NZCOM also manages the risk of claims through the development of strong Quality Assurance frameworks negotiated in partnership with the Midwifery Council of New Zealand. It also provides ongoing education, training and development for midwives.</w:t>
      </w:r>
    </w:p>
    <w:p w:rsidR="002C5ECC" w:rsidRPr="00CB32B1" w:rsidRDefault="002C5ECC" w:rsidP="00C05E0D">
      <w:pPr>
        <w:pStyle w:val="Heading6"/>
      </w:pPr>
      <w:bookmarkStart w:id="51" w:name="_Toc362975060"/>
      <w:r w:rsidRPr="00CB32B1">
        <w:t>Summary of findings and lessons learnt</w:t>
      </w:r>
      <w:bookmarkEnd w:id="51"/>
    </w:p>
    <w:p w:rsidR="002C5ECC" w:rsidRPr="00CB32B1" w:rsidRDefault="002C5ECC" w:rsidP="002C5ECC">
      <w:pPr>
        <w:pStyle w:val="PwCNormal"/>
      </w:pPr>
      <w:r w:rsidRPr="00CB32B1">
        <w:t>In analysing the four</w:t>
      </w:r>
      <w:r w:rsidR="00386E96">
        <w:t xml:space="preserve"> international</w:t>
      </w:r>
      <w:r w:rsidRPr="00CB32B1">
        <w:t xml:space="preserve"> jurisdictions, several components of the models were evident in assisting or enabling the development of PII for PPMs. In some cases, these components were evident in more than one jurisdiction. While each component must be considered within the context and environment that midwives practise, they do provide insight or consideration for the Australian market.</w:t>
      </w:r>
    </w:p>
    <w:p w:rsidR="002C5ECC" w:rsidRPr="00CB32B1" w:rsidRDefault="002C5ECC" w:rsidP="002C5ECC">
      <w:pPr>
        <w:pStyle w:val="PwCNormal"/>
      </w:pPr>
      <w:r w:rsidRPr="00CB32B1">
        <w:t>One key finding is the level of homebirths internationally is markedly higher than that seen in Australia. Using data from the Netherlands and the province of Ontari</w:t>
      </w:r>
      <w:r w:rsidR="00C73FB9">
        <w:t>o</w:t>
      </w:r>
      <w:r w:rsidRPr="00CB32B1">
        <w:t xml:space="preserve"> (statistics </w:t>
      </w:r>
      <w:r w:rsidR="00386E96">
        <w:t>were not available f</w:t>
      </w:r>
      <w:r w:rsidRPr="00CB32B1">
        <w:t xml:space="preserve">or England and New Zealand), this can be seen in </w:t>
      </w:r>
      <w:r w:rsidR="009129A6" w:rsidRPr="00CB32B1">
        <w:fldChar w:fldCharType="begin"/>
      </w:r>
      <w:r w:rsidR="00EB2051" w:rsidRPr="00CB32B1">
        <w:instrText xml:space="preserve"> REF _Ref361223640 \h </w:instrText>
      </w:r>
      <w:r w:rsidR="009129A6" w:rsidRPr="00CB32B1">
        <w:fldChar w:fldCharType="separate"/>
      </w:r>
      <w:r w:rsidR="008816B4" w:rsidRPr="00CB32B1">
        <w:t xml:space="preserve">Figure </w:t>
      </w:r>
      <w:r w:rsidR="008816B4">
        <w:rPr>
          <w:noProof/>
        </w:rPr>
        <w:t>15</w:t>
      </w:r>
      <w:r w:rsidR="009129A6" w:rsidRPr="00CB32B1">
        <w:fldChar w:fldCharType="end"/>
      </w:r>
      <w:r w:rsidRPr="00CB32B1">
        <w:t>.</w:t>
      </w:r>
    </w:p>
    <w:p w:rsidR="00C05E0D" w:rsidRPr="00CB32B1" w:rsidRDefault="00C05E0D" w:rsidP="00270634">
      <w:pPr>
        <w:pStyle w:val="NumericCaption"/>
      </w:pPr>
      <w:bookmarkStart w:id="52" w:name="_Ref361223640"/>
      <w:r w:rsidRPr="00CB32B1">
        <w:t xml:space="preserve">Figure </w:t>
      </w:r>
      <w:r w:rsidR="009129A6" w:rsidRPr="00CB32B1">
        <w:fldChar w:fldCharType="begin"/>
      </w:r>
      <w:r w:rsidR="00D16456" w:rsidRPr="00CB32B1">
        <w:instrText xml:space="preserve"> SEQ Figure \* ARABIC </w:instrText>
      </w:r>
      <w:r w:rsidR="009129A6" w:rsidRPr="00CB32B1">
        <w:fldChar w:fldCharType="separate"/>
      </w:r>
      <w:r w:rsidR="008816B4">
        <w:rPr>
          <w:noProof/>
        </w:rPr>
        <w:t>15</w:t>
      </w:r>
      <w:r w:rsidR="009129A6" w:rsidRPr="00CB32B1">
        <w:fldChar w:fldCharType="end"/>
      </w:r>
      <w:bookmarkEnd w:id="52"/>
      <w:r w:rsidRPr="00CB32B1">
        <w:t>: Comparison of homebirths percentage of a total of births per jurisdiction (Australia, the province of Ontario, Canada and the Netherlands)</w:t>
      </w:r>
    </w:p>
    <w:p w:rsidR="002C5ECC" w:rsidRPr="00CB32B1" w:rsidRDefault="001E2724" w:rsidP="00A73ED4">
      <w:pPr>
        <w:pStyle w:val="PwCNormal"/>
        <w:jc w:val="center"/>
      </w:pPr>
      <w:r w:rsidRPr="001E2724">
        <w:rPr>
          <w:noProof/>
          <w:lang w:val="en-US"/>
        </w:rPr>
        <w:drawing>
          <wp:inline distT="0" distB="0" distL="0" distR="0">
            <wp:extent cx="4327389" cy="2361537"/>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38026" cy="2367342"/>
                    </a:xfrm>
                    <a:prstGeom prst="rect">
                      <a:avLst/>
                    </a:prstGeom>
                    <a:noFill/>
                    <a:ln>
                      <a:noFill/>
                    </a:ln>
                  </pic:spPr>
                </pic:pic>
              </a:graphicData>
            </a:graphic>
          </wp:inline>
        </w:drawing>
      </w:r>
    </w:p>
    <w:p w:rsidR="002C5ECC" w:rsidRPr="00CB32B1" w:rsidRDefault="002C5ECC" w:rsidP="006B1826">
      <w:pPr>
        <w:pStyle w:val="Sources"/>
      </w:pPr>
      <w:r w:rsidRPr="00CB32B1">
        <w:rPr>
          <w:b/>
        </w:rPr>
        <w:t>Source</w:t>
      </w:r>
      <w:r w:rsidR="00FA152C" w:rsidRPr="00CB32B1">
        <w:rPr>
          <w:b/>
        </w:rPr>
        <w:t>s</w:t>
      </w:r>
      <w:r w:rsidRPr="00CB32B1">
        <w:rPr>
          <w:b/>
        </w:rPr>
        <w:t>:</w:t>
      </w:r>
      <w:r w:rsidRPr="00CB32B1">
        <w:t xml:space="preserve"> A</w:t>
      </w:r>
      <w:r w:rsidR="000C29FB" w:rsidRPr="00CB32B1">
        <w:t xml:space="preserve">ustralian Institute of Health and Welfare </w:t>
      </w:r>
      <w:r w:rsidRPr="00CB32B1">
        <w:t>20</w:t>
      </w:r>
      <w:r w:rsidR="00386E96">
        <w:t>0</w:t>
      </w:r>
      <w:r w:rsidR="00F94B0D">
        <w:t>4</w:t>
      </w:r>
      <w:r w:rsidR="001A57CA">
        <w:t>b</w:t>
      </w:r>
      <w:r w:rsidR="00386E96">
        <w:t>-201</w:t>
      </w:r>
      <w:r w:rsidR="00F94B0D">
        <w:t>3</w:t>
      </w:r>
      <w:r w:rsidRPr="00CB32B1">
        <w:t>; Commonwealth of Australia 200</w:t>
      </w:r>
      <w:r w:rsidR="000C29FB" w:rsidRPr="00CB32B1">
        <w:t>8b</w:t>
      </w:r>
      <w:r w:rsidRPr="00CB32B1">
        <w:t>; Stat</w:t>
      </w:r>
      <w:r w:rsidR="00472B36" w:rsidRPr="00CB32B1">
        <w:t xml:space="preserve">istics Netherland </w:t>
      </w:r>
      <w:r w:rsidRPr="00CB32B1">
        <w:t xml:space="preserve">2013; HIROC, Personal Communications, 2013; </w:t>
      </w:r>
      <w:r w:rsidR="000C29FB" w:rsidRPr="00CB32B1">
        <w:t>Statistics Canada 2009</w:t>
      </w:r>
      <w:r w:rsidR="00386E96">
        <w:t>, 2013</w:t>
      </w:r>
      <w:r w:rsidRPr="00CB32B1">
        <w:t>.</w:t>
      </w:r>
    </w:p>
    <w:p w:rsidR="002C5ECC" w:rsidRPr="00CB32B1" w:rsidRDefault="002C5ECC" w:rsidP="002C5ECC">
      <w:pPr>
        <w:pStyle w:val="PwCNormal"/>
      </w:pPr>
      <w:r w:rsidRPr="00CB32B1">
        <w:t>While the variation may not all be linked to PII, it does make an interesting comparison in relation to the environment and perception of homebirths within different jurisdictions. From the enablers presented supporting the practice of independent midwives, key lessons from the insurance models within the four jurisdictions were identified. These have been outlined in line with the premium equation:</w:t>
      </w:r>
    </w:p>
    <w:p w:rsidR="002C5ECC" w:rsidRPr="00CB32B1" w:rsidRDefault="00C73FB9" w:rsidP="00C05E0D">
      <w:pPr>
        <w:pStyle w:val="ListBullet"/>
      </w:pPr>
      <w:r>
        <w:t>s</w:t>
      </w:r>
      <w:r w:rsidR="002C5ECC" w:rsidRPr="00CB32B1">
        <w:t>ize of practice</w:t>
      </w:r>
    </w:p>
    <w:p w:rsidR="002C5ECC" w:rsidRPr="00CB32B1" w:rsidRDefault="00C73FB9" w:rsidP="00C05E0D">
      <w:pPr>
        <w:pStyle w:val="ListBullet"/>
      </w:pPr>
      <w:r>
        <w:t>p</w:t>
      </w:r>
      <w:r w:rsidR="002C5ECC" w:rsidRPr="00CB32B1">
        <w:t>robability of claims and timing of claims</w:t>
      </w:r>
    </w:p>
    <w:p w:rsidR="002C5ECC" w:rsidRPr="00CB32B1" w:rsidRDefault="00C73FB9" w:rsidP="00C05E0D">
      <w:pPr>
        <w:pStyle w:val="ListBullet"/>
      </w:pPr>
      <w:r>
        <w:t>q</w:t>
      </w:r>
      <w:r w:rsidR="002C5ECC" w:rsidRPr="00CB32B1">
        <w:t>uantum of claims.</w:t>
      </w:r>
    </w:p>
    <w:p w:rsidR="002C5ECC" w:rsidRPr="00CB32B1" w:rsidRDefault="002C5ECC" w:rsidP="00C05E0D">
      <w:pPr>
        <w:pStyle w:val="Majorheading"/>
      </w:pPr>
      <w:r w:rsidRPr="00CB32B1">
        <w:t>Size of practice</w:t>
      </w:r>
    </w:p>
    <w:p w:rsidR="002C5ECC" w:rsidRPr="00CB32B1" w:rsidRDefault="002C5ECC" w:rsidP="002C5ECC">
      <w:pPr>
        <w:pStyle w:val="PwCNormal"/>
      </w:pPr>
      <w:r w:rsidRPr="00CB32B1">
        <w:t xml:space="preserve">From assessing the four jurisdictions, as outlined in </w:t>
      </w:r>
      <w:r w:rsidR="009129A6" w:rsidRPr="00CB32B1">
        <w:fldChar w:fldCharType="begin"/>
      </w:r>
      <w:r w:rsidR="00A33BD9" w:rsidRPr="00CB32B1">
        <w:instrText xml:space="preserve"> REF _Ref361223835 \h </w:instrText>
      </w:r>
      <w:r w:rsidR="009129A6" w:rsidRPr="00CB32B1">
        <w:fldChar w:fldCharType="separate"/>
      </w:r>
      <w:r w:rsidR="008816B4" w:rsidRPr="00CB32B1">
        <w:t xml:space="preserve">Table </w:t>
      </w:r>
      <w:r w:rsidR="008816B4">
        <w:rPr>
          <w:noProof/>
        </w:rPr>
        <w:t>13</w:t>
      </w:r>
      <w:r w:rsidR="009129A6" w:rsidRPr="00CB32B1">
        <w:fldChar w:fldCharType="end"/>
      </w:r>
      <w:r w:rsidRPr="00CB32B1">
        <w:t>, it appears that the development of an insurance market appears viable in a number of different ways, based on the practice size and how practice is defined.</w:t>
      </w:r>
    </w:p>
    <w:p w:rsidR="006B1826" w:rsidRPr="00CB32B1" w:rsidRDefault="006B1826" w:rsidP="006B1826">
      <w:pPr>
        <w:pStyle w:val="Caption"/>
      </w:pPr>
      <w:bookmarkStart w:id="53" w:name="_Ref361223835"/>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13</w:t>
      </w:r>
      <w:r w:rsidR="009129A6" w:rsidRPr="00CB32B1">
        <w:fldChar w:fldCharType="end"/>
      </w:r>
      <w:bookmarkEnd w:id="53"/>
      <w:r w:rsidR="00883080" w:rsidRPr="00CB32B1">
        <w:t>: Size of practice: enablers for insurance</w:t>
      </w:r>
    </w:p>
    <w:tbl>
      <w:tblPr>
        <w:tblStyle w:val="PwCTableStyle1"/>
        <w:tblW w:w="5000" w:type="pct"/>
        <w:tblLook w:val="04A0"/>
      </w:tblPr>
      <w:tblGrid>
        <w:gridCol w:w="2217"/>
        <w:gridCol w:w="7068"/>
      </w:tblGrid>
      <w:tr w:rsidR="00C05E0D" w:rsidRPr="00CB32B1" w:rsidTr="009D37C7">
        <w:trPr>
          <w:cnfStyle w:val="100000000000"/>
        </w:trPr>
        <w:tc>
          <w:tcPr>
            <w:cnfStyle w:val="001000000000"/>
            <w:tcW w:w="1194" w:type="pct"/>
            <w:shd w:val="clear" w:color="auto" w:fill="DC6900" w:themeFill="text2"/>
            <w:vAlign w:val="center"/>
          </w:tcPr>
          <w:p w:rsidR="00C05E0D" w:rsidRPr="00CB32B1" w:rsidRDefault="00C05E0D" w:rsidP="009D37C7">
            <w:pPr>
              <w:pStyle w:val="TableColumnHeadingNormal"/>
            </w:pPr>
            <w:r w:rsidRPr="00CB32B1">
              <w:t>Enablers for insurance</w:t>
            </w:r>
          </w:p>
        </w:tc>
        <w:tc>
          <w:tcPr>
            <w:tcW w:w="3806" w:type="pct"/>
            <w:shd w:val="clear" w:color="auto" w:fill="DC6900" w:themeFill="text2"/>
            <w:vAlign w:val="center"/>
          </w:tcPr>
          <w:p w:rsidR="00C05E0D" w:rsidRPr="00CB32B1" w:rsidRDefault="00C05E0D" w:rsidP="009D37C7">
            <w:pPr>
              <w:pStyle w:val="TableColumnHeadingNormal"/>
              <w:cnfStyle w:val="100000000000"/>
            </w:pPr>
            <w:r w:rsidRPr="00CB32B1">
              <w:t>Lessons learnt</w:t>
            </w:r>
          </w:p>
        </w:tc>
      </w:tr>
      <w:tr w:rsidR="00C05E0D" w:rsidRPr="00CB32B1" w:rsidTr="00C05E0D">
        <w:trPr>
          <w:trHeight w:val="544"/>
        </w:trPr>
        <w:tc>
          <w:tcPr>
            <w:cnfStyle w:val="001000000000"/>
            <w:tcW w:w="1194" w:type="pct"/>
          </w:tcPr>
          <w:p w:rsidR="00C05E0D" w:rsidRPr="00CB32B1" w:rsidRDefault="00C05E0D" w:rsidP="00C05E0D">
            <w:pPr>
              <w:pStyle w:val="TableTextNormal"/>
            </w:pPr>
            <w:r w:rsidRPr="00CB32B1">
              <w:t>Number of midwives</w:t>
            </w:r>
          </w:p>
        </w:tc>
        <w:tc>
          <w:tcPr>
            <w:tcW w:w="3806" w:type="pct"/>
          </w:tcPr>
          <w:p w:rsidR="00C05E0D" w:rsidRPr="00CB32B1" w:rsidRDefault="00C05E0D" w:rsidP="00C05E0D">
            <w:pPr>
              <w:pStyle w:val="TableTextNormal"/>
              <w:cnfStyle w:val="000000000000"/>
            </w:pPr>
            <w:r w:rsidRPr="00CB32B1">
              <w:t xml:space="preserve">A limiting factor to being able to provide an insurance product is related to the number of midwives who provide intrapartum care at home, given that the number is relatively low. For example, English insurers saw that 170 independent midwives was a limiting factor for providing </w:t>
            </w:r>
            <w:r w:rsidR="00065456">
              <w:t xml:space="preserve">individual </w:t>
            </w:r>
            <w:r w:rsidRPr="00CB32B1">
              <w:t>insurance</w:t>
            </w:r>
            <w:r w:rsidR="00065456">
              <w:t xml:space="preserve"> cover</w:t>
            </w:r>
            <w:r w:rsidRPr="00CB32B1">
              <w:t>.</w:t>
            </w:r>
          </w:p>
        </w:tc>
      </w:tr>
      <w:tr w:rsidR="00C05E0D" w:rsidRPr="00CB32B1" w:rsidTr="00C05E0D">
        <w:trPr>
          <w:trHeight w:val="544"/>
        </w:trPr>
        <w:tc>
          <w:tcPr>
            <w:cnfStyle w:val="001000000000"/>
            <w:tcW w:w="1194" w:type="pct"/>
          </w:tcPr>
          <w:p w:rsidR="00C05E0D" w:rsidRPr="00CB32B1" w:rsidRDefault="00C05E0D" w:rsidP="00C05E0D">
            <w:pPr>
              <w:pStyle w:val="TableTextNormal"/>
            </w:pPr>
            <w:r w:rsidRPr="00CB32B1">
              <w:t>Pooling of midwives for insurance</w:t>
            </w:r>
          </w:p>
        </w:tc>
        <w:tc>
          <w:tcPr>
            <w:tcW w:w="3806" w:type="pct"/>
          </w:tcPr>
          <w:p w:rsidR="00C05E0D" w:rsidRPr="00CB32B1" w:rsidRDefault="00C05E0D" w:rsidP="00C05E0D">
            <w:pPr>
              <w:pStyle w:val="TableTextNormal"/>
              <w:cnfStyle w:val="000000000000"/>
            </w:pPr>
            <w:r w:rsidRPr="00CB32B1">
              <w:t xml:space="preserve">Expanding the insurance products to be accessible to all midwives, as opposed to just midwives providing homebirth services through cross subsidisation, was a method in which scale was increased within other jurisdictions, </w:t>
            </w:r>
            <w:r w:rsidR="00854DEF" w:rsidRPr="00CB32B1">
              <w:t>eg</w:t>
            </w:r>
            <w:r w:rsidRPr="00CB32B1">
              <w:t xml:space="preserve"> the Netherlands, New Zealand and the province of Ontario.</w:t>
            </w:r>
          </w:p>
          <w:p w:rsidR="00C05E0D" w:rsidRPr="00CB32B1" w:rsidRDefault="00C05E0D" w:rsidP="00C05E0D">
            <w:pPr>
              <w:pStyle w:val="TableTextNormal"/>
              <w:cnfStyle w:val="000000000000"/>
            </w:pPr>
            <w:r w:rsidRPr="00CB32B1">
              <w:t>However, in the province of Ontario, all midwives are required to provide homebirth services. Also, in most of these jurisdictions, midwives are often not covered under the vicarious liability of their employer (as they operate within private practices).</w:t>
            </w:r>
          </w:p>
        </w:tc>
      </w:tr>
      <w:tr w:rsidR="00C05E0D" w:rsidRPr="00CB32B1" w:rsidTr="00C05E0D">
        <w:tc>
          <w:tcPr>
            <w:cnfStyle w:val="001000000000"/>
            <w:tcW w:w="1194" w:type="pct"/>
          </w:tcPr>
          <w:p w:rsidR="00C05E0D" w:rsidRPr="00CB32B1" w:rsidRDefault="00C05E0D" w:rsidP="00C05E0D">
            <w:pPr>
              <w:pStyle w:val="TableTextNormal"/>
            </w:pPr>
            <w:r w:rsidRPr="00CB32B1">
              <w:t>Operating entity of midwives</w:t>
            </w:r>
          </w:p>
        </w:tc>
        <w:tc>
          <w:tcPr>
            <w:tcW w:w="3806" w:type="pct"/>
          </w:tcPr>
          <w:p w:rsidR="00C05E0D" w:rsidRPr="00CB32B1" w:rsidRDefault="00C05E0D" w:rsidP="00C05E0D">
            <w:pPr>
              <w:pStyle w:val="TableTextNormal"/>
              <w:cnfStyle w:val="000000000000"/>
            </w:pPr>
            <w:r w:rsidRPr="00CB32B1">
              <w:t xml:space="preserve">Where there are only a limited number of midwives who are providing intrapartum care in the home, different operating entities ranging from sole practitioner to group practices affect the viability of insurance products. </w:t>
            </w:r>
          </w:p>
          <w:p w:rsidR="00C05E0D" w:rsidRPr="00CB32B1" w:rsidRDefault="00C05E0D" w:rsidP="00C05E0D">
            <w:pPr>
              <w:pStyle w:val="TableTextNormal"/>
              <w:cnfStyle w:val="000000000000"/>
            </w:pPr>
            <w:r w:rsidRPr="00CB32B1">
              <w:t>In England, PII was only available to group entities due to the cost of the premium, that the premium supported by the company, and vicarious liability provided through the entity.</w:t>
            </w:r>
          </w:p>
          <w:p w:rsidR="00C05E0D" w:rsidRPr="00CB32B1" w:rsidRDefault="00C05E0D" w:rsidP="00C05E0D">
            <w:pPr>
              <w:pStyle w:val="TableTextNormal"/>
              <w:cnfStyle w:val="000000000000"/>
            </w:pPr>
            <w:r w:rsidRPr="00CB32B1">
              <w:t xml:space="preserve">Other </w:t>
            </w:r>
            <w:r w:rsidR="00496AD4">
              <w:t>jurisdiction</w:t>
            </w:r>
            <w:r w:rsidRPr="00CB32B1">
              <w:t>s insured midwives independently (</w:t>
            </w:r>
            <w:r w:rsidR="00854DEF" w:rsidRPr="00CB32B1">
              <w:t>eg</w:t>
            </w:r>
            <w:r w:rsidRPr="00CB32B1">
              <w:t xml:space="preserve"> the Netherlands) due to a sufficient scale of practice.</w:t>
            </w:r>
          </w:p>
          <w:p w:rsidR="00C05E0D" w:rsidRPr="00CB32B1" w:rsidRDefault="00C05E0D" w:rsidP="00C05E0D">
            <w:pPr>
              <w:pStyle w:val="TableTextNormal"/>
              <w:cnfStyle w:val="000000000000"/>
            </w:pPr>
            <w:r w:rsidRPr="00CB32B1">
              <w:t xml:space="preserve">In other jurisdictions (the province of Ontario, New Zealand), the scale of practice was built through the involvement of the relevant professional association. </w:t>
            </w:r>
          </w:p>
        </w:tc>
      </w:tr>
    </w:tbl>
    <w:p w:rsidR="002C5ECC" w:rsidRPr="00CB32B1" w:rsidRDefault="002C5ECC" w:rsidP="00CD0CA9">
      <w:pPr>
        <w:pStyle w:val="Majorheading"/>
      </w:pPr>
      <w:r w:rsidRPr="00CB32B1">
        <w:t>Probability of claims</w:t>
      </w:r>
    </w:p>
    <w:p w:rsidR="002C5ECC" w:rsidRPr="00CB32B1" w:rsidRDefault="002C5ECC" w:rsidP="00CD0CA9">
      <w:pPr>
        <w:pStyle w:val="PwCNormal"/>
        <w:keepNext/>
        <w:keepLines/>
      </w:pPr>
      <w:r w:rsidRPr="00CB32B1">
        <w:t xml:space="preserve">There were several components within each jurisdiction that assisted in reducing the risk profile in relation to the probability of a claim arising. A summary of these are outlined in </w:t>
      </w:r>
      <w:r w:rsidR="009129A6" w:rsidRPr="00CB32B1">
        <w:fldChar w:fldCharType="begin"/>
      </w:r>
      <w:r w:rsidR="00A33BD9" w:rsidRPr="00CB32B1">
        <w:instrText xml:space="preserve"> REF _Ref361223843 \h </w:instrText>
      </w:r>
      <w:r w:rsidR="009129A6" w:rsidRPr="00CB32B1">
        <w:fldChar w:fldCharType="separate"/>
      </w:r>
      <w:r w:rsidR="008816B4" w:rsidRPr="00CB32B1">
        <w:t xml:space="preserve">Table </w:t>
      </w:r>
      <w:r w:rsidR="008816B4">
        <w:rPr>
          <w:noProof/>
        </w:rPr>
        <w:t>14</w:t>
      </w:r>
      <w:r w:rsidR="009129A6" w:rsidRPr="00CB32B1">
        <w:fldChar w:fldCharType="end"/>
      </w:r>
      <w:r w:rsidRPr="00CB32B1">
        <w:t>.</w:t>
      </w:r>
    </w:p>
    <w:p w:rsidR="00431B97" w:rsidRPr="00CB32B1" w:rsidRDefault="00431B97" w:rsidP="00431B97">
      <w:pPr>
        <w:pStyle w:val="Caption"/>
        <w:jc w:val="both"/>
      </w:pPr>
      <w:bookmarkStart w:id="54" w:name="_Ref361223843"/>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14</w:t>
      </w:r>
      <w:r w:rsidR="009129A6" w:rsidRPr="00CB32B1">
        <w:fldChar w:fldCharType="end"/>
      </w:r>
      <w:bookmarkEnd w:id="54"/>
      <w:r w:rsidRPr="00CB32B1">
        <w:t>: Probability of claims: enablers for insurance</w:t>
      </w:r>
    </w:p>
    <w:tbl>
      <w:tblPr>
        <w:tblStyle w:val="PwCTableStyle1"/>
        <w:tblW w:w="5000" w:type="pct"/>
        <w:tblLook w:val="04A0"/>
      </w:tblPr>
      <w:tblGrid>
        <w:gridCol w:w="2236"/>
        <w:gridCol w:w="7049"/>
      </w:tblGrid>
      <w:tr w:rsidR="00F51CC8" w:rsidRPr="00CB32B1" w:rsidTr="009D37C7">
        <w:trPr>
          <w:cnfStyle w:val="100000000000"/>
        </w:trPr>
        <w:tc>
          <w:tcPr>
            <w:cnfStyle w:val="001000000000"/>
            <w:tcW w:w="1204" w:type="pct"/>
            <w:shd w:val="clear" w:color="auto" w:fill="DC6900" w:themeFill="text2"/>
            <w:vAlign w:val="center"/>
          </w:tcPr>
          <w:p w:rsidR="00F51CC8" w:rsidRPr="00CB32B1" w:rsidRDefault="00F51CC8" w:rsidP="009D37C7">
            <w:pPr>
              <w:pStyle w:val="TableColumnHeadingNormal"/>
            </w:pPr>
            <w:r w:rsidRPr="00CB32B1">
              <w:t>Enablers for insurance</w:t>
            </w:r>
          </w:p>
        </w:tc>
        <w:tc>
          <w:tcPr>
            <w:tcW w:w="3796" w:type="pct"/>
            <w:shd w:val="clear" w:color="auto" w:fill="DC6900" w:themeFill="text2"/>
            <w:vAlign w:val="center"/>
          </w:tcPr>
          <w:p w:rsidR="00F51CC8" w:rsidRPr="00CB32B1" w:rsidRDefault="00F51CC8" w:rsidP="009D37C7">
            <w:pPr>
              <w:pStyle w:val="TableColumnHeadingNormal"/>
              <w:cnfStyle w:val="100000000000"/>
            </w:pPr>
            <w:r w:rsidRPr="00CB32B1">
              <w:t>Lessons learnt</w:t>
            </w:r>
          </w:p>
        </w:tc>
      </w:tr>
      <w:tr w:rsidR="00F51CC8" w:rsidRPr="00CB32B1" w:rsidTr="00F51CC8">
        <w:tc>
          <w:tcPr>
            <w:cnfStyle w:val="001000000000"/>
            <w:tcW w:w="1204" w:type="pct"/>
          </w:tcPr>
          <w:p w:rsidR="00F51CC8" w:rsidRPr="00CB32B1" w:rsidRDefault="00F51CC8" w:rsidP="00F60F51">
            <w:pPr>
              <w:pStyle w:val="TableTextNormal"/>
            </w:pPr>
            <w:r w:rsidRPr="00CB32B1">
              <w:t>Risk management frameworks</w:t>
            </w:r>
          </w:p>
        </w:tc>
        <w:tc>
          <w:tcPr>
            <w:tcW w:w="3796" w:type="pct"/>
          </w:tcPr>
          <w:p w:rsidR="00F51CC8" w:rsidRPr="00CB32B1" w:rsidRDefault="00F51CC8" w:rsidP="00F60F51">
            <w:pPr>
              <w:pStyle w:val="TableTextNormal"/>
              <w:cnfStyle w:val="000000000000"/>
            </w:pPr>
            <w:r w:rsidRPr="00CB32B1">
              <w:t xml:space="preserve">Clear and consistent national risk management frameworks and interpretation of these frameworks </w:t>
            </w:r>
            <w:r w:rsidR="00065456">
              <w:t xml:space="preserve">appears to </w:t>
            </w:r>
            <w:r w:rsidRPr="00CB32B1">
              <w:t>help reduce the probability of a claim being made.</w:t>
            </w:r>
          </w:p>
          <w:p w:rsidR="00F51CC8" w:rsidRPr="00CB32B1" w:rsidRDefault="00F51CC8" w:rsidP="00F60F51">
            <w:pPr>
              <w:pStyle w:val="TableTextNormal"/>
              <w:cnfStyle w:val="000000000000"/>
            </w:pPr>
            <w:r w:rsidRPr="00CB32B1">
              <w:t>Insurers in each of the jurisdictions identified that the development of frameworks that clearly articulated the scope of practice of midwives (including homebirths), and guidelines for referral, consultation and transfer were important to reduce the risk profile.</w:t>
            </w:r>
          </w:p>
          <w:p w:rsidR="00F51CC8" w:rsidRPr="00CB32B1" w:rsidRDefault="00F51CC8" w:rsidP="00F60F51">
            <w:pPr>
              <w:pStyle w:val="TableTextNormal"/>
              <w:cnfStyle w:val="000000000000"/>
            </w:pPr>
            <w:r w:rsidRPr="00CB32B1">
              <w:t>An understanding by insurers of these risk frameworks was also seen to be of assistance in developing a product for them to understand best practice care.</w:t>
            </w:r>
          </w:p>
        </w:tc>
      </w:tr>
      <w:tr w:rsidR="00F51CC8" w:rsidRPr="00CB32B1" w:rsidTr="00F51CC8">
        <w:tc>
          <w:tcPr>
            <w:cnfStyle w:val="001000000000"/>
            <w:tcW w:w="1204" w:type="pct"/>
          </w:tcPr>
          <w:p w:rsidR="00F51CC8" w:rsidRPr="00CB32B1" w:rsidRDefault="00F51CC8" w:rsidP="00F60F51">
            <w:pPr>
              <w:pStyle w:val="TableTextNormal"/>
            </w:pPr>
            <w:r w:rsidRPr="00CB32B1">
              <w:t>Collaboration on governance and professional management</w:t>
            </w:r>
          </w:p>
        </w:tc>
        <w:tc>
          <w:tcPr>
            <w:tcW w:w="3796" w:type="pct"/>
          </w:tcPr>
          <w:p w:rsidR="00F51CC8" w:rsidRPr="00CB32B1" w:rsidRDefault="00F51CC8" w:rsidP="00F60F51">
            <w:pPr>
              <w:pStyle w:val="TableTextNormal"/>
              <w:cnfStyle w:val="000000000000"/>
            </w:pPr>
            <w:r w:rsidRPr="00CB32B1">
              <w:t>The Flaxman Report in the UK held that PII was attractive when an entity has strong governance and appropriate professional management, specifically in supervision or overseeing of the operational conduct and control and standards of practice.</w:t>
            </w:r>
          </w:p>
          <w:p w:rsidR="00F51CC8" w:rsidRPr="00CB32B1" w:rsidRDefault="00F51CC8" w:rsidP="00F60F51">
            <w:pPr>
              <w:pStyle w:val="TableTextNormal"/>
              <w:cnfStyle w:val="000000000000"/>
            </w:pPr>
            <w:r w:rsidRPr="00CB32B1">
              <w:t>Strong relationships and cooperation by maternity health care professionals in the development of frameworks and governance was seen to be important. For example, both the Netherlands and the province of Ontario had guidelines developed in partnerships between relevant bodies.</w:t>
            </w:r>
          </w:p>
        </w:tc>
      </w:tr>
      <w:tr w:rsidR="00F51CC8" w:rsidRPr="00CB32B1" w:rsidTr="00F51CC8">
        <w:tc>
          <w:tcPr>
            <w:cnfStyle w:val="001000000000"/>
            <w:tcW w:w="1204" w:type="pct"/>
          </w:tcPr>
          <w:p w:rsidR="00F51CC8" w:rsidRPr="00CB32B1" w:rsidRDefault="00F51CC8" w:rsidP="00F60F51">
            <w:pPr>
              <w:pStyle w:val="TableTextNormal"/>
            </w:pPr>
            <w:r w:rsidRPr="00CB32B1">
              <w:t>Additional quality registers, training and competency</w:t>
            </w:r>
          </w:p>
        </w:tc>
        <w:tc>
          <w:tcPr>
            <w:tcW w:w="3796" w:type="pct"/>
          </w:tcPr>
          <w:p w:rsidR="00F51CC8" w:rsidRPr="00CB32B1" w:rsidRDefault="00F51CC8" w:rsidP="00F60F51">
            <w:pPr>
              <w:pStyle w:val="TableTextNormal"/>
              <w:cnfStyle w:val="000000000000"/>
            </w:pPr>
            <w:r w:rsidRPr="00CB32B1">
              <w:t>Additional quality registers can be used to give more comfort to insurers around the practice of midwives. KNOV in the Netherlands has an additional quality register for midwives. Similarly, independent midwives in the UK have a separate register for midwives.</w:t>
            </w:r>
          </w:p>
          <w:p w:rsidR="00F51CC8" w:rsidRPr="00CB32B1" w:rsidRDefault="00F51CC8" w:rsidP="00065456">
            <w:pPr>
              <w:pStyle w:val="TableTextNormal"/>
              <w:cnfStyle w:val="000000000000"/>
            </w:pPr>
            <w:r w:rsidRPr="00CB32B1">
              <w:t xml:space="preserve">The level of skill, training and ongoing professional development within registers as well as membership with professional associations in each </w:t>
            </w:r>
            <w:r w:rsidR="00065456">
              <w:t>jurisdiction</w:t>
            </w:r>
            <w:r w:rsidRPr="00CB32B1">
              <w:t xml:space="preserve"> were identified by insurers as providing additional comfort on the quality and skill of the cohort they were insuring.</w:t>
            </w:r>
          </w:p>
        </w:tc>
      </w:tr>
      <w:tr w:rsidR="00F51CC8" w:rsidRPr="00CB32B1" w:rsidTr="00F51CC8">
        <w:tc>
          <w:tcPr>
            <w:cnfStyle w:val="001000000000"/>
            <w:tcW w:w="1204" w:type="pct"/>
          </w:tcPr>
          <w:p w:rsidR="00F51CC8" w:rsidRPr="00CB32B1" w:rsidRDefault="00F51CC8" w:rsidP="00F60F51">
            <w:pPr>
              <w:pStyle w:val="TableTextNormal"/>
            </w:pPr>
            <w:r w:rsidRPr="00CB32B1">
              <w:t>Specificity of data available for outcomes from homebirth</w:t>
            </w:r>
          </w:p>
        </w:tc>
        <w:tc>
          <w:tcPr>
            <w:tcW w:w="3796" w:type="pct"/>
          </w:tcPr>
          <w:p w:rsidR="00F51CC8" w:rsidRPr="00CB32B1" w:rsidRDefault="00F51CC8" w:rsidP="00065456">
            <w:pPr>
              <w:pStyle w:val="TableTextNormal"/>
              <w:cnfStyle w:val="000000000000"/>
            </w:pPr>
            <w:r w:rsidRPr="00CB32B1">
              <w:t xml:space="preserve">All insurers identified that specific data were essential for assessing the practice of PPMs and to complete actuarial modelling. Insurers in all </w:t>
            </w:r>
            <w:r w:rsidR="00065456">
              <w:t>jurisdictions</w:t>
            </w:r>
            <w:r w:rsidRPr="00CB32B1">
              <w:t xml:space="preserve"> except the Netherlands identified deficiencies in data collection. Some had taken it on themselves to collect data, while others had suggested improvements to national data collection.</w:t>
            </w:r>
          </w:p>
        </w:tc>
      </w:tr>
      <w:tr w:rsidR="00F51CC8" w:rsidRPr="00CB32B1" w:rsidTr="00F51CC8">
        <w:tc>
          <w:tcPr>
            <w:cnfStyle w:val="001000000000"/>
            <w:tcW w:w="1204" w:type="pct"/>
          </w:tcPr>
          <w:p w:rsidR="00F51CC8" w:rsidRPr="00CB32B1" w:rsidRDefault="00F51CC8" w:rsidP="00F60F51">
            <w:pPr>
              <w:pStyle w:val="TableTextNormal"/>
            </w:pPr>
            <w:r w:rsidRPr="00CB32B1">
              <w:t>Access arrangements</w:t>
            </w:r>
          </w:p>
        </w:tc>
        <w:tc>
          <w:tcPr>
            <w:tcW w:w="3796" w:type="pct"/>
          </w:tcPr>
          <w:p w:rsidR="00F51CC8" w:rsidRPr="00CB32B1" w:rsidRDefault="00F51CC8" w:rsidP="00F60F51">
            <w:pPr>
              <w:pStyle w:val="TableTextNormal"/>
              <w:cnfStyle w:val="000000000000"/>
            </w:pPr>
            <w:r w:rsidRPr="00CB32B1">
              <w:t>Access to other health services by the midwife was identified as important in increasing the safety of practice. Access arrangements support the timely transfer of mothers as they are aware that continuity of care can continue in the other health sites. While access arrangements and clinical privileging where rights to provide care within health settings were only available in New Zealand and the province of Ontario, arrangements to continue to support the women (</w:t>
            </w:r>
            <w:r w:rsidR="00854DEF" w:rsidRPr="00CB32B1">
              <w:t>eg</w:t>
            </w:r>
            <w:r w:rsidRPr="00CB32B1">
              <w:t xml:space="preserve"> the Netherlands) were seen as beneficial.</w:t>
            </w:r>
          </w:p>
          <w:p w:rsidR="00F51CC8" w:rsidRPr="00CB32B1" w:rsidRDefault="00F51CC8" w:rsidP="00F60F51">
            <w:pPr>
              <w:pStyle w:val="TableTextNormal"/>
              <w:cnfStyle w:val="000000000000"/>
            </w:pPr>
            <w:r w:rsidRPr="00CB32B1">
              <w:t>The benefit of access arrangements were only seen to be fulfilled when coupled with collaboration and mutual understanding of roles by all health professionals.</w:t>
            </w:r>
          </w:p>
        </w:tc>
      </w:tr>
      <w:tr w:rsidR="00F51CC8" w:rsidRPr="00CB32B1" w:rsidTr="00F51CC8">
        <w:tc>
          <w:tcPr>
            <w:cnfStyle w:val="001000000000"/>
            <w:tcW w:w="1204" w:type="pct"/>
          </w:tcPr>
          <w:p w:rsidR="00F51CC8" w:rsidRPr="00CB32B1" w:rsidRDefault="00F51CC8" w:rsidP="00CD0CA9">
            <w:pPr>
              <w:pStyle w:val="TableTextNormal"/>
              <w:keepNext/>
              <w:keepLines/>
            </w:pPr>
            <w:r w:rsidRPr="00CB32B1">
              <w:t>Geographical distance</w:t>
            </w:r>
          </w:p>
        </w:tc>
        <w:tc>
          <w:tcPr>
            <w:tcW w:w="3796" w:type="pct"/>
          </w:tcPr>
          <w:p w:rsidR="00F51CC8" w:rsidRPr="00CB32B1" w:rsidRDefault="00F51CC8" w:rsidP="00CD0CA9">
            <w:pPr>
              <w:pStyle w:val="TableTextNormal"/>
              <w:keepNext/>
              <w:keepLines/>
              <w:cnfStyle w:val="000000000000"/>
            </w:pPr>
            <w:r w:rsidRPr="00CB32B1">
              <w:t xml:space="preserve">Some jurisdictions such as the Netherlands identified that the location of the midwife to the woman, and the woman to other health services is important. The geography of the </w:t>
            </w:r>
            <w:r w:rsidR="00496AD4">
              <w:t>jurisdiction</w:t>
            </w:r>
            <w:r w:rsidRPr="00CB32B1">
              <w:t xml:space="preserve"> was not seen as important.</w:t>
            </w:r>
          </w:p>
        </w:tc>
      </w:tr>
      <w:tr w:rsidR="00F51CC8" w:rsidRPr="00CB32B1" w:rsidTr="00F51CC8">
        <w:tc>
          <w:tcPr>
            <w:cnfStyle w:val="001000000000"/>
            <w:tcW w:w="1204" w:type="pct"/>
          </w:tcPr>
          <w:p w:rsidR="00F51CC8" w:rsidRPr="00CB32B1" w:rsidRDefault="00F51CC8" w:rsidP="00F60F51">
            <w:pPr>
              <w:pStyle w:val="TableTextNormal"/>
            </w:pPr>
            <w:r w:rsidRPr="00CB32B1">
              <w:t>Litigation culture</w:t>
            </w:r>
          </w:p>
        </w:tc>
        <w:tc>
          <w:tcPr>
            <w:tcW w:w="3796" w:type="pct"/>
          </w:tcPr>
          <w:p w:rsidR="00F51CC8" w:rsidRPr="00CB32B1" w:rsidRDefault="00F51CC8" w:rsidP="00F60F51">
            <w:pPr>
              <w:pStyle w:val="TableTextNormal"/>
              <w:cnfStyle w:val="000000000000"/>
            </w:pPr>
            <w:r w:rsidRPr="00CB32B1">
              <w:t xml:space="preserve">It was held that if fewer claims are likely to be made then there is more chance that a product is provided. The Netherlands has a litigation culture where few claims are made and this is one of the reasons </w:t>
            </w:r>
            <w:r w:rsidR="00065456">
              <w:t>provided to explain the</w:t>
            </w:r>
            <w:r w:rsidRPr="00CB32B1">
              <w:t xml:space="preserve"> competitive market for insurance.</w:t>
            </w:r>
          </w:p>
          <w:p w:rsidR="00F51CC8" w:rsidRPr="00CB32B1" w:rsidRDefault="00F51CC8" w:rsidP="00F60F51">
            <w:pPr>
              <w:pStyle w:val="TableTextNormal"/>
              <w:cnfStyle w:val="000000000000"/>
            </w:pPr>
            <w:r w:rsidRPr="00CB32B1">
              <w:t>This was supported through the disciplinary processes that supported the claims. Understanding what mothers were seeking from their claims was held to be important to reduce the number of claims put forward.</w:t>
            </w:r>
          </w:p>
        </w:tc>
      </w:tr>
      <w:tr w:rsidR="00F51CC8" w:rsidRPr="00CB32B1" w:rsidTr="00F51CC8">
        <w:tc>
          <w:tcPr>
            <w:cnfStyle w:val="001000000000"/>
            <w:tcW w:w="1204" w:type="pct"/>
          </w:tcPr>
          <w:p w:rsidR="00F51CC8" w:rsidRPr="00CB32B1" w:rsidRDefault="00F51CC8" w:rsidP="00F60F51">
            <w:pPr>
              <w:pStyle w:val="TableTextNormal"/>
            </w:pPr>
            <w:r w:rsidRPr="00CB32B1">
              <w:t>Involvement of professional associations with insurers</w:t>
            </w:r>
          </w:p>
        </w:tc>
        <w:tc>
          <w:tcPr>
            <w:tcW w:w="3796" w:type="pct"/>
          </w:tcPr>
          <w:p w:rsidR="00F51CC8" w:rsidRPr="00CB32B1" w:rsidRDefault="00F51CC8" w:rsidP="00F60F51">
            <w:pPr>
              <w:pStyle w:val="TableTextNormal"/>
              <w:cnfStyle w:val="000000000000"/>
            </w:pPr>
            <w:r w:rsidRPr="00CB32B1">
              <w:t>Relationships and partnerships between professional associations and insurers were also seen to be important to assist in the development of an insurance product. It was evident that each party in the relationship provided different functions to assist the provision of a product. For example, in New Zealand, NZCOM has an in-house legal team to assist with incidents reported, while HIROC, the insurer in the province in Ontario, provides additional training for product holders to improve the quality of professionals insured.</w:t>
            </w:r>
          </w:p>
        </w:tc>
      </w:tr>
      <w:tr w:rsidR="00F51CC8" w:rsidRPr="00CB32B1" w:rsidTr="00F51CC8">
        <w:tc>
          <w:tcPr>
            <w:cnfStyle w:val="001000000000"/>
            <w:tcW w:w="1204" w:type="pct"/>
          </w:tcPr>
          <w:p w:rsidR="00F51CC8" w:rsidRPr="00CB32B1" w:rsidRDefault="00F51CC8" w:rsidP="00F60F51">
            <w:pPr>
              <w:pStyle w:val="TableTextNormal"/>
            </w:pPr>
            <w:r w:rsidRPr="00CB32B1">
              <w:t>Profit motives of insurers</w:t>
            </w:r>
          </w:p>
        </w:tc>
        <w:tc>
          <w:tcPr>
            <w:tcW w:w="3796" w:type="pct"/>
          </w:tcPr>
          <w:p w:rsidR="00F51CC8" w:rsidRPr="00CB32B1" w:rsidRDefault="00065456" w:rsidP="00065456">
            <w:pPr>
              <w:pStyle w:val="TableTextNormal"/>
              <w:cnfStyle w:val="000000000000"/>
            </w:pPr>
            <w:r>
              <w:t>NFP</w:t>
            </w:r>
            <w:r w:rsidR="00F51CC8" w:rsidRPr="00CB32B1">
              <w:t xml:space="preserve"> insurers such as HIROC held different motives for entering the market. As HIROC exists for members and is owned by members, it means that members </w:t>
            </w:r>
            <w:r>
              <w:t>have agreed</w:t>
            </w:r>
            <w:r w:rsidR="00F51CC8" w:rsidRPr="00CB32B1">
              <w:t xml:space="preserve"> to share losses. This is linked to their model of sharing risk, and therefore the absence of a premium pool. While premiums are set on risk, the losses are covered by all.</w:t>
            </w:r>
          </w:p>
        </w:tc>
      </w:tr>
      <w:tr w:rsidR="00F51CC8" w:rsidRPr="00CB32B1" w:rsidTr="00F51CC8">
        <w:tc>
          <w:tcPr>
            <w:cnfStyle w:val="001000000000"/>
            <w:tcW w:w="1204" w:type="pct"/>
          </w:tcPr>
          <w:p w:rsidR="00F51CC8" w:rsidRPr="00CB32B1" w:rsidRDefault="00F51CC8" w:rsidP="00F60F51">
            <w:pPr>
              <w:pStyle w:val="TableTextNormal"/>
            </w:pPr>
            <w:r w:rsidRPr="00CB32B1">
              <w:t>Operating entity provides financial capacity to deal with claims</w:t>
            </w:r>
          </w:p>
        </w:tc>
        <w:tc>
          <w:tcPr>
            <w:tcW w:w="3796" w:type="pct"/>
          </w:tcPr>
          <w:p w:rsidR="00F51CC8" w:rsidRPr="00CB32B1" w:rsidRDefault="00F51CC8" w:rsidP="00F60F51">
            <w:pPr>
              <w:pStyle w:val="TableTextNormal"/>
              <w:cnfStyle w:val="000000000000"/>
            </w:pPr>
            <w:r w:rsidRPr="00CB32B1">
              <w:t xml:space="preserve">Having the scale of practice of two or more midwives was shown in England to provide operating entities with better capacity, both financially and legally, to deal with claims. </w:t>
            </w:r>
          </w:p>
        </w:tc>
      </w:tr>
      <w:tr w:rsidR="00F51CC8" w:rsidRPr="00CB32B1" w:rsidTr="00F51CC8">
        <w:tc>
          <w:tcPr>
            <w:cnfStyle w:val="001000000000"/>
            <w:tcW w:w="1204" w:type="pct"/>
          </w:tcPr>
          <w:p w:rsidR="00F51CC8" w:rsidRPr="00CB32B1" w:rsidRDefault="00F51CC8" w:rsidP="00F60F51">
            <w:pPr>
              <w:pStyle w:val="TableTextNormal"/>
            </w:pPr>
            <w:r w:rsidRPr="00CB32B1">
              <w:t>Practice models</w:t>
            </w:r>
          </w:p>
        </w:tc>
        <w:tc>
          <w:tcPr>
            <w:tcW w:w="3796" w:type="pct"/>
          </w:tcPr>
          <w:p w:rsidR="00F51CC8" w:rsidRPr="00CB32B1" w:rsidRDefault="00F51CC8" w:rsidP="00F60F51">
            <w:pPr>
              <w:pStyle w:val="TableTextNormal"/>
              <w:cnfStyle w:val="000000000000"/>
            </w:pPr>
            <w:r w:rsidRPr="00CB32B1">
              <w:t xml:space="preserve">In most of the practice models within each jurisdiction, there was a requirement for more than one health professional to be in attendance. In some </w:t>
            </w:r>
            <w:r w:rsidR="00065456">
              <w:t>jurisdiction</w:t>
            </w:r>
            <w:r w:rsidRPr="00CB32B1">
              <w:t>s, this was another midwife (New Zealand), and in others a maternity assistant (the Netherlands). Insurers noted that this provided them with comfort over the safety of the birth, and a second opinion for appropriate and timely transfer.</w:t>
            </w:r>
          </w:p>
          <w:p w:rsidR="00F51CC8" w:rsidRPr="00CB32B1" w:rsidRDefault="00F51CC8" w:rsidP="00F60F51">
            <w:pPr>
              <w:pStyle w:val="TableTextNormal"/>
              <w:cnfStyle w:val="000000000000"/>
            </w:pPr>
            <w:r w:rsidRPr="00CB32B1">
              <w:t>Other jurisdiction (England) also had a supervisor model which assisted in providing support.</w:t>
            </w:r>
          </w:p>
        </w:tc>
      </w:tr>
    </w:tbl>
    <w:p w:rsidR="002C5ECC" w:rsidRPr="00CB32B1" w:rsidRDefault="002C5ECC" w:rsidP="008C0871">
      <w:pPr>
        <w:pStyle w:val="Majorheading"/>
        <w:keepNext w:val="0"/>
        <w:keepLines w:val="0"/>
      </w:pPr>
      <w:r w:rsidRPr="00CB32B1">
        <w:t>Quantum of claim</w:t>
      </w:r>
    </w:p>
    <w:p w:rsidR="002C5ECC" w:rsidRPr="00CB32B1" w:rsidRDefault="002C5ECC" w:rsidP="008C0871">
      <w:pPr>
        <w:pStyle w:val="PwCNormal"/>
      </w:pPr>
      <w:r w:rsidRPr="00CB32B1">
        <w:t>The quantum of claims internationally demonstrates that the claims for disability or death can be high. However, the international models also demonstrated several mechanisms that can bring down cl</w:t>
      </w:r>
      <w:r w:rsidR="00F60F51" w:rsidRPr="00CB32B1">
        <w:t xml:space="preserve">aims as seen below in </w:t>
      </w:r>
      <w:r w:rsidR="009129A6" w:rsidRPr="00CB32B1">
        <w:fldChar w:fldCharType="begin"/>
      </w:r>
      <w:r w:rsidR="00A33BD9" w:rsidRPr="00CB32B1">
        <w:instrText xml:space="preserve"> REF _Ref361223854 \h </w:instrText>
      </w:r>
      <w:r w:rsidR="009129A6" w:rsidRPr="00CB32B1">
        <w:fldChar w:fldCharType="separate"/>
      </w:r>
      <w:r w:rsidR="008816B4" w:rsidRPr="00CB32B1">
        <w:t xml:space="preserve">Table </w:t>
      </w:r>
      <w:r w:rsidR="008816B4">
        <w:rPr>
          <w:noProof/>
        </w:rPr>
        <w:t>15</w:t>
      </w:r>
      <w:r w:rsidR="009129A6" w:rsidRPr="00CB32B1">
        <w:fldChar w:fldCharType="end"/>
      </w:r>
      <w:r w:rsidR="00F60F51" w:rsidRPr="00CB32B1">
        <w:t>.</w:t>
      </w:r>
    </w:p>
    <w:p w:rsidR="00431B97" w:rsidRPr="00CB32B1" w:rsidRDefault="00431B97" w:rsidP="008C0871">
      <w:pPr>
        <w:pStyle w:val="Caption"/>
        <w:keepNext w:val="0"/>
        <w:keepLines w:val="0"/>
      </w:pPr>
      <w:bookmarkStart w:id="55" w:name="_Ref361223854"/>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15</w:t>
      </w:r>
      <w:r w:rsidR="009129A6" w:rsidRPr="00CB32B1">
        <w:fldChar w:fldCharType="end"/>
      </w:r>
      <w:bookmarkEnd w:id="55"/>
      <w:r w:rsidR="00402056" w:rsidRPr="00CB32B1">
        <w:t>: Quantum of claims: enablers for insurance</w:t>
      </w:r>
    </w:p>
    <w:tbl>
      <w:tblPr>
        <w:tblStyle w:val="PwCTableStyle1"/>
        <w:tblW w:w="5000" w:type="pct"/>
        <w:tblLook w:val="04A0"/>
      </w:tblPr>
      <w:tblGrid>
        <w:gridCol w:w="1668"/>
        <w:gridCol w:w="7617"/>
      </w:tblGrid>
      <w:tr w:rsidR="00B274CA" w:rsidRPr="00CB32B1" w:rsidTr="004D1175">
        <w:trPr>
          <w:cnfStyle w:val="100000000000"/>
        </w:trPr>
        <w:tc>
          <w:tcPr>
            <w:cnfStyle w:val="001000000000"/>
            <w:tcW w:w="898" w:type="pct"/>
            <w:shd w:val="clear" w:color="auto" w:fill="DC6900" w:themeFill="text2"/>
            <w:vAlign w:val="center"/>
          </w:tcPr>
          <w:p w:rsidR="00B274CA" w:rsidRPr="00CB32B1" w:rsidRDefault="00B274CA" w:rsidP="008C0871">
            <w:pPr>
              <w:pStyle w:val="TableColumnHeadingNormal"/>
              <w:keepNext w:val="0"/>
              <w:keepLines w:val="0"/>
            </w:pPr>
            <w:r w:rsidRPr="00CB32B1">
              <w:t>Enablers for insurance</w:t>
            </w:r>
          </w:p>
        </w:tc>
        <w:tc>
          <w:tcPr>
            <w:tcW w:w="4102" w:type="pct"/>
            <w:shd w:val="clear" w:color="auto" w:fill="DC6900" w:themeFill="text2"/>
            <w:vAlign w:val="center"/>
          </w:tcPr>
          <w:p w:rsidR="00B274CA" w:rsidRPr="00CB32B1" w:rsidRDefault="00B274CA" w:rsidP="008C0871">
            <w:pPr>
              <w:pStyle w:val="TableColumnHeadingNormal"/>
              <w:keepNext w:val="0"/>
              <w:keepLines w:val="0"/>
              <w:cnfStyle w:val="100000000000"/>
            </w:pPr>
            <w:r w:rsidRPr="00CB32B1">
              <w:t>Lessons learnt</w:t>
            </w:r>
          </w:p>
        </w:tc>
      </w:tr>
      <w:tr w:rsidR="00B274CA" w:rsidRPr="00CB32B1" w:rsidTr="004D1175">
        <w:tc>
          <w:tcPr>
            <w:cnfStyle w:val="001000000000"/>
            <w:tcW w:w="898" w:type="pct"/>
          </w:tcPr>
          <w:p w:rsidR="00B274CA" w:rsidRPr="00CB32B1" w:rsidRDefault="00B274CA" w:rsidP="008C0871">
            <w:pPr>
              <w:pStyle w:val="TableTextNormal"/>
            </w:pPr>
            <w:r w:rsidRPr="00CB32B1">
              <w:t>Actuarial understanding of quantum</w:t>
            </w:r>
          </w:p>
        </w:tc>
        <w:tc>
          <w:tcPr>
            <w:tcW w:w="4102" w:type="pct"/>
          </w:tcPr>
          <w:p w:rsidR="00B274CA" w:rsidRPr="00CB32B1" w:rsidRDefault="00B274CA" w:rsidP="008C0871">
            <w:pPr>
              <w:pStyle w:val="TableTextNormal"/>
              <w:cnfStyle w:val="000000000000"/>
            </w:pPr>
            <w:r w:rsidRPr="00CB32B1">
              <w:t xml:space="preserve">Actuarial modelling shows that the quantum of the largest claims, </w:t>
            </w:r>
            <w:r w:rsidR="00854DEF" w:rsidRPr="00CB32B1">
              <w:t>ie</w:t>
            </w:r>
            <w:r w:rsidRPr="00CB32B1">
              <w:t xml:space="preserve"> disability, has been historically high for PPMs. Separating out claims relating to certain forms of disability (as seen in England) can assist in assessing potential payments required.</w:t>
            </w:r>
          </w:p>
        </w:tc>
      </w:tr>
      <w:tr w:rsidR="00B274CA" w:rsidRPr="00CB32B1" w:rsidTr="004D1175">
        <w:tc>
          <w:tcPr>
            <w:cnfStyle w:val="001000000000"/>
            <w:tcW w:w="898" w:type="pct"/>
          </w:tcPr>
          <w:p w:rsidR="00B274CA" w:rsidRPr="00CB32B1" w:rsidRDefault="00B274CA" w:rsidP="008C0871">
            <w:pPr>
              <w:pStyle w:val="TableTextNormal"/>
            </w:pPr>
            <w:r w:rsidRPr="00CB32B1">
              <w:t>Social insurance</w:t>
            </w:r>
          </w:p>
        </w:tc>
        <w:tc>
          <w:tcPr>
            <w:tcW w:w="4102" w:type="pct"/>
          </w:tcPr>
          <w:p w:rsidR="00B274CA" w:rsidRPr="00CB32B1" w:rsidRDefault="00B274CA" w:rsidP="008C0871">
            <w:pPr>
              <w:pStyle w:val="TableTextNormal"/>
              <w:cnfStyle w:val="000000000000"/>
            </w:pPr>
            <w:r w:rsidRPr="00CB32B1">
              <w:t xml:space="preserve">Social insurance schemes such as those seen in the Netherlands and New Zealand assist in reducing claim size. This is because payments for support and cover in the case of disability are covered through other social insurance payments. </w:t>
            </w:r>
          </w:p>
        </w:tc>
      </w:tr>
      <w:tr w:rsidR="00B274CA" w:rsidRPr="00CB32B1" w:rsidTr="004D1175">
        <w:tc>
          <w:tcPr>
            <w:cnfStyle w:val="001000000000"/>
            <w:tcW w:w="898" w:type="pct"/>
          </w:tcPr>
          <w:p w:rsidR="00B274CA" w:rsidRPr="00CB32B1" w:rsidRDefault="00B274CA" w:rsidP="008C0871">
            <w:pPr>
              <w:pStyle w:val="TableTextNormal"/>
            </w:pPr>
            <w:r w:rsidRPr="00CB32B1">
              <w:t>Caps on claims</w:t>
            </w:r>
            <w:r w:rsidR="00E662B0" w:rsidRPr="00CB32B1">
              <w:rPr>
                <w:rStyle w:val="FootnoteReference"/>
              </w:rPr>
              <w:footnoteReference w:id="266"/>
            </w:r>
          </w:p>
        </w:tc>
        <w:tc>
          <w:tcPr>
            <w:tcW w:w="4102" w:type="pct"/>
          </w:tcPr>
          <w:p w:rsidR="00B274CA" w:rsidRPr="00CB32B1" w:rsidRDefault="00B274CA" w:rsidP="008C0871">
            <w:pPr>
              <w:pStyle w:val="TableTextNormal"/>
              <w:cnfStyle w:val="000000000000"/>
            </w:pPr>
            <w:r w:rsidRPr="00CB32B1">
              <w:t xml:space="preserve">Caps on claims make legal fees lower and can bring down the quantum of a claim. Caps exist in the province of Ontario and therefore reduce the size of the claim made. </w:t>
            </w:r>
          </w:p>
        </w:tc>
      </w:tr>
    </w:tbl>
    <w:p w:rsidR="008C0871" w:rsidRPr="008C0871" w:rsidRDefault="008C0871">
      <w:pPr>
        <w:kinsoku/>
        <w:overflowPunct/>
        <w:autoSpaceDE/>
        <w:autoSpaceDN/>
        <w:adjustRightInd/>
        <w:snapToGrid/>
      </w:pPr>
      <w:r>
        <w:br w:type="page"/>
      </w:r>
    </w:p>
    <w:p w:rsidR="005C74B7" w:rsidRPr="00CB32B1" w:rsidRDefault="005C74B7" w:rsidP="005C74B7">
      <w:pPr>
        <w:pStyle w:val="FirstPagePanelFrame"/>
        <w:framePr w:wrap="notBeside"/>
        <w:rPr>
          <w:lang w:val="en-AU"/>
        </w:rPr>
      </w:pPr>
    </w:p>
    <w:p w:rsidR="002C5ECC" w:rsidRPr="00CB32B1" w:rsidRDefault="003E6ABC" w:rsidP="006447B3">
      <w:pPr>
        <w:pStyle w:val="Heading2"/>
      </w:pPr>
      <w:bookmarkStart w:id="56" w:name="_Toc362975061"/>
      <w:r w:rsidRPr="00CB32B1">
        <w:t xml:space="preserve">Considerations </w:t>
      </w:r>
      <w:r w:rsidR="00BE2C2A" w:rsidRPr="00CB32B1">
        <w:t>and</w:t>
      </w:r>
      <w:r w:rsidRPr="00CB32B1">
        <w:t xml:space="preserve"> next </w:t>
      </w:r>
      <w:r w:rsidR="002C5ECC" w:rsidRPr="00CB32B1">
        <w:t>steps</w:t>
      </w:r>
      <w:bookmarkEnd w:id="56"/>
    </w:p>
    <w:p w:rsidR="002C5ECC" w:rsidRPr="00CB32B1" w:rsidRDefault="002C5ECC" w:rsidP="000E0367">
      <w:pPr>
        <w:pStyle w:val="Heading6"/>
      </w:pPr>
      <w:bookmarkStart w:id="57" w:name="_Toc362975062"/>
      <w:r w:rsidRPr="00CB32B1">
        <w:t>Future directions</w:t>
      </w:r>
      <w:bookmarkEnd w:id="57"/>
    </w:p>
    <w:p w:rsidR="002C5ECC" w:rsidRPr="00CB32B1" w:rsidRDefault="002C5ECC" w:rsidP="000E0367">
      <w:pPr>
        <w:pStyle w:val="Majorheading"/>
      </w:pPr>
      <w:r w:rsidRPr="00CB32B1">
        <w:t>Summary of key findings</w:t>
      </w:r>
    </w:p>
    <w:p w:rsidR="002C5ECC" w:rsidRPr="00CB32B1" w:rsidRDefault="002C5ECC" w:rsidP="002C5ECC">
      <w:pPr>
        <w:pStyle w:val="PwCNormal"/>
      </w:pPr>
      <w:r w:rsidRPr="00CB32B1">
        <w:t xml:space="preserve">From </w:t>
      </w:r>
      <w:r w:rsidR="00BE2C2A" w:rsidRPr="00CB32B1">
        <w:t xml:space="preserve">the </w:t>
      </w:r>
      <w:r w:rsidRPr="00CB32B1">
        <w:t xml:space="preserve">investigations into national and international PPM practice and PII arrangements, issues identified were grouped into six key findings as outlined in </w:t>
      </w:r>
      <w:r w:rsidR="009129A6" w:rsidRPr="00CB32B1">
        <w:fldChar w:fldCharType="begin"/>
      </w:r>
      <w:r w:rsidR="00A33BD9" w:rsidRPr="00CB32B1">
        <w:instrText xml:space="preserve"> REF _Ref361223862 \h </w:instrText>
      </w:r>
      <w:r w:rsidR="009129A6" w:rsidRPr="00CB32B1">
        <w:fldChar w:fldCharType="separate"/>
      </w:r>
      <w:r w:rsidR="008816B4" w:rsidRPr="00CB32B1">
        <w:t xml:space="preserve">Table </w:t>
      </w:r>
      <w:r w:rsidR="008816B4">
        <w:rPr>
          <w:noProof/>
        </w:rPr>
        <w:t>16</w:t>
      </w:r>
      <w:r w:rsidR="009129A6" w:rsidRPr="00CB32B1">
        <w:fldChar w:fldCharType="end"/>
      </w:r>
      <w:r w:rsidRPr="00CB32B1">
        <w:t>.</w:t>
      </w:r>
    </w:p>
    <w:p w:rsidR="009A1F4C" w:rsidRPr="00CB32B1" w:rsidRDefault="009A1F4C" w:rsidP="009A1F4C">
      <w:pPr>
        <w:pStyle w:val="Caption"/>
      </w:pPr>
      <w:bookmarkStart w:id="58" w:name="_Ref361223862"/>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16</w:t>
      </w:r>
      <w:r w:rsidR="009129A6" w:rsidRPr="00CB32B1">
        <w:fldChar w:fldCharType="end"/>
      </w:r>
      <w:bookmarkEnd w:id="58"/>
      <w:r w:rsidRPr="00CB32B1">
        <w:t>: Summary of key areas appearing to make the PII market for PPMs unattractive to commercial insurers</w:t>
      </w:r>
    </w:p>
    <w:tbl>
      <w:tblPr>
        <w:tblStyle w:val="PwCTableStyle1"/>
        <w:tblW w:w="5000" w:type="pct"/>
        <w:tblLook w:val="04A0"/>
      </w:tblPr>
      <w:tblGrid>
        <w:gridCol w:w="535"/>
        <w:gridCol w:w="1558"/>
        <w:gridCol w:w="7192"/>
      </w:tblGrid>
      <w:tr w:rsidR="000E0367" w:rsidRPr="00CB32B1" w:rsidTr="009D37C7">
        <w:trPr>
          <w:cnfStyle w:val="100000000000"/>
        </w:trPr>
        <w:tc>
          <w:tcPr>
            <w:cnfStyle w:val="001000000000"/>
            <w:tcW w:w="288" w:type="pct"/>
            <w:shd w:val="clear" w:color="auto" w:fill="DC6900" w:themeFill="text2"/>
            <w:vAlign w:val="center"/>
          </w:tcPr>
          <w:p w:rsidR="000E0367" w:rsidRPr="00CB32B1" w:rsidRDefault="000E0367" w:rsidP="009D37C7">
            <w:pPr>
              <w:pStyle w:val="TableColumnHeadingNormal"/>
            </w:pPr>
          </w:p>
        </w:tc>
        <w:tc>
          <w:tcPr>
            <w:tcW w:w="839" w:type="pct"/>
            <w:shd w:val="clear" w:color="auto" w:fill="DC6900" w:themeFill="text2"/>
            <w:vAlign w:val="center"/>
          </w:tcPr>
          <w:p w:rsidR="000E0367" w:rsidRPr="00CB32B1" w:rsidRDefault="000E0367" w:rsidP="009D37C7">
            <w:pPr>
              <w:pStyle w:val="TableColumnHeadingNormal"/>
              <w:cnfStyle w:val="100000000000"/>
            </w:pPr>
            <w:r w:rsidRPr="00CB32B1">
              <w:t>Title</w:t>
            </w:r>
          </w:p>
        </w:tc>
        <w:tc>
          <w:tcPr>
            <w:tcW w:w="3873" w:type="pct"/>
            <w:shd w:val="clear" w:color="auto" w:fill="DC6900" w:themeFill="text2"/>
            <w:vAlign w:val="center"/>
          </w:tcPr>
          <w:p w:rsidR="000E0367" w:rsidRPr="00CB32B1" w:rsidRDefault="000E0367" w:rsidP="009D37C7">
            <w:pPr>
              <w:pStyle w:val="TableColumnHeadingNormal"/>
              <w:cnfStyle w:val="100000000000"/>
            </w:pPr>
            <w:r w:rsidRPr="00CB32B1">
              <w:t>Description</w:t>
            </w:r>
          </w:p>
        </w:tc>
      </w:tr>
      <w:tr w:rsidR="000E0367" w:rsidRPr="00CB32B1" w:rsidTr="000E0367">
        <w:tc>
          <w:tcPr>
            <w:cnfStyle w:val="001000000000"/>
            <w:tcW w:w="5000" w:type="pct"/>
            <w:gridSpan w:val="3"/>
          </w:tcPr>
          <w:p w:rsidR="000E0367" w:rsidRPr="00CB32B1" w:rsidRDefault="000E0367" w:rsidP="00410DFC">
            <w:pPr>
              <w:pStyle w:val="TableTextNormalBold"/>
            </w:pPr>
            <w:r w:rsidRPr="00CB32B1">
              <w:t>Communication of practice</w:t>
            </w:r>
            <w:r w:rsidR="00E72697" w:rsidRPr="00CB32B1">
              <w:t xml:space="preserve"> and available data</w:t>
            </w:r>
            <w:r w:rsidRPr="00CB32B1">
              <w:t>:</w:t>
            </w:r>
          </w:p>
        </w:tc>
      </w:tr>
      <w:tr w:rsidR="000E0367" w:rsidRPr="00CB32B1" w:rsidTr="00BE2C2A">
        <w:tc>
          <w:tcPr>
            <w:cnfStyle w:val="001000000000"/>
            <w:tcW w:w="288" w:type="pct"/>
          </w:tcPr>
          <w:p w:rsidR="000E0367" w:rsidRPr="00CB32B1" w:rsidRDefault="000E0367" w:rsidP="009A0B64">
            <w:pPr>
              <w:pStyle w:val="TableTextNormal"/>
            </w:pPr>
            <w:r w:rsidRPr="00CB32B1">
              <w:t>1</w:t>
            </w:r>
          </w:p>
        </w:tc>
        <w:tc>
          <w:tcPr>
            <w:tcW w:w="839" w:type="pct"/>
          </w:tcPr>
          <w:p w:rsidR="000E0367" w:rsidRPr="00CB32B1" w:rsidRDefault="000E0367" w:rsidP="009A0B64">
            <w:pPr>
              <w:pStyle w:val="TableTextNormal"/>
              <w:cnfStyle w:val="000000000000"/>
            </w:pPr>
            <w:r w:rsidRPr="00CB32B1">
              <w:t>Practice</w:t>
            </w:r>
          </w:p>
        </w:tc>
        <w:tc>
          <w:tcPr>
            <w:tcW w:w="3873" w:type="pct"/>
          </w:tcPr>
          <w:p w:rsidR="000E0367" w:rsidRPr="00CB32B1" w:rsidRDefault="00C05938" w:rsidP="009A0B64">
            <w:pPr>
              <w:pStyle w:val="TableTextNormal"/>
              <w:cnfStyle w:val="000000000000"/>
            </w:pPr>
            <w:r w:rsidRPr="00CB32B1">
              <w:t>There is variation and/or lack of clarity in midwifery service provision and the risk frameworks that guide quality and safety, creating uncertainty about how to insure services.</w:t>
            </w:r>
          </w:p>
        </w:tc>
      </w:tr>
      <w:tr w:rsidR="000E0367" w:rsidRPr="00CB32B1" w:rsidTr="00BE2C2A">
        <w:tc>
          <w:tcPr>
            <w:cnfStyle w:val="001000000000"/>
            <w:tcW w:w="288" w:type="pct"/>
          </w:tcPr>
          <w:p w:rsidR="000E0367" w:rsidRPr="00CB32B1" w:rsidRDefault="000E0367" w:rsidP="009A0B64">
            <w:pPr>
              <w:pStyle w:val="TableTextNormal"/>
            </w:pPr>
            <w:r w:rsidRPr="00CB32B1">
              <w:t>2</w:t>
            </w:r>
          </w:p>
        </w:tc>
        <w:tc>
          <w:tcPr>
            <w:tcW w:w="839" w:type="pct"/>
          </w:tcPr>
          <w:p w:rsidR="000E0367" w:rsidRPr="00CB32B1" w:rsidRDefault="000E0367" w:rsidP="009A0B64">
            <w:pPr>
              <w:pStyle w:val="TableTextNormal"/>
              <w:cnfStyle w:val="000000000000"/>
            </w:pPr>
            <w:r w:rsidRPr="00CB32B1">
              <w:t>Data quality</w:t>
            </w:r>
          </w:p>
        </w:tc>
        <w:tc>
          <w:tcPr>
            <w:tcW w:w="3873" w:type="pct"/>
          </w:tcPr>
          <w:p w:rsidR="000E0367" w:rsidRPr="00CB32B1" w:rsidRDefault="000E0367" w:rsidP="009A0B64">
            <w:pPr>
              <w:pStyle w:val="TableTextNormal"/>
              <w:cnfStyle w:val="000000000000"/>
            </w:pPr>
            <w:r w:rsidRPr="00CB32B1">
              <w:t>The availability and quality of data is currently insufficient to confidently understand the extent of PPM practice and the associated risk.</w:t>
            </w:r>
          </w:p>
        </w:tc>
      </w:tr>
      <w:tr w:rsidR="000E0367" w:rsidRPr="00CB32B1" w:rsidTr="00BE2C2A">
        <w:tc>
          <w:tcPr>
            <w:cnfStyle w:val="001000000000"/>
            <w:tcW w:w="288" w:type="pct"/>
          </w:tcPr>
          <w:p w:rsidR="000E0367" w:rsidRPr="00CB32B1" w:rsidRDefault="000E0367" w:rsidP="009A0B64">
            <w:pPr>
              <w:pStyle w:val="TableTextNormal"/>
            </w:pPr>
            <w:r w:rsidRPr="00CB32B1">
              <w:t>3</w:t>
            </w:r>
          </w:p>
        </w:tc>
        <w:tc>
          <w:tcPr>
            <w:tcW w:w="839" w:type="pct"/>
          </w:tcPr>
          <w:p w:rsidR="000E0367" w:rsidRPr="00CB32B1" w:rsidRDefault="000E0367" w:rsidP="009A0B64">
            <w:pPr>
              <w:pStyle w:val="TableTextNormal"/>
              <w:cnfStyle w:val="000000000000"/>
            </w:pPr>
            <w:r w:rsidRPr="00CB32B1">
              <w:t>Data relationships</w:t>
            </w:r>
          </w:p>
        </w:tc>
        <w:tc>
          <w:tcPr>
            <w:tcW w:w="3873" w:type="pct"/>
          </w:tcPr>
          <w:p w:rsidR="000E0367" w:rsidRPr="00CB32B1" w:rsidRDefault="000E0367" w:rsidP="009A0B64">
            <w:pPr>
              <w:pStyle w:val="TableTextNormal"/>
              <w:cnfStyle w:val="000000000000"/>
            </w:pPr>
            <w:r w:rsidRPr="00CB32B1">
              <w:t>Currently, the relationship between incidence and claims is not well understood, and the lack of substitute data adds to uncertainty over a PPM's risk profile.</w:t>
            </w:r>
          </w:p>
        </w:tc>
      </w:tr>
      <w:tr w:rsidR="000E0367" w:rsidRPr="00CB32B1" w:rsidTr="000E0367">
        <w:tc>
          <w:tcPr>
            <w:cnfStyle w:val="001000000000"/>
            <w:tcW w:w="5000" w:type="pct"/>
            <w:gridSpan w:val="3"/>
          </w:tcPr>
          <w:p w:rsidR="000E0367" w:rsidRPr="00CB32B1" w:rsidRDefault="000E0367" w:rsidP="00410DFC">
            <w:pPr>
              <w:pStyle w:val="TableTextNormalBold"/>
            </w:pPr>
            <w:r w:rsidRPr="00CB32B1">
              <w:t>Inherent risks with maternity services:</w:t>
            </w:r>
          </w:p>
        </w:tc>
      </w:tr>
      <w:tr w:rsidR="000E0367" w:rsidRPr="00CB32B1" w:rsidTr="00BE2C2A">
        <w:tc>
          <w:tcPr>
            <w:cnfStyle w:val="001000000000"/>
            <w:tcW w:w="288" w:type="pct"/>
          </w:tcPr>
          <w:p w:rsidR="000E0367" w:rsidRPr="00CB32B1" w:rsidRDefault="000E0367" w:rsidP="009A0B64">
            <w:pPr>
              <w:pStyle w:val="TableTextNormal"/>
            </w:pPr>
            <w:r w:rsidRPr="00CB32B1">
              <w:t>4</w:t>
            </w:r>
          </w:p>
        </w:tc>
        <w:tc>
          <w:tcPr>
            <w:tcW w:w="839" w:type="pct"/>
          </w:tcPr>
          <w:p w:rsidR="000E0367" w:rsidRPr="00CB32B1" w:rsidRDefault="000E0367" w:rsidP="009A0B64">
            <w:pPr>
              <w:pStyle w:val="TableTextNormal"/>
              <w:cnfStyle w:val="000000000000"/>
            </w:pPr>
            <w:r w:rsidRPr="00CB32B1">
              <w:t>Scale</w:t>
            </w:r>
          </w:p>
        </w:tc>
        <w:tc>
          <w:tcPr>
            <w:tcW w:w="3873" w:type="pct"/>
          </w:tcPr>
          <w:p w:rsidR="000E0367" w:rsidRPr="00CB32B1" w:rsidRDefault="00BE2C2A" w:rsidP="009A0B64">
            <w:pPr>
              <w:pStyle w:val="TableTextNormal"/>
              <w:cnfStyle w:val="000000000000"/>
            </w:pPr>
            <w:r w:rsidRPr="00CB32B1">
              <w:t>The number/volume of PPMs practising currently is not sufficient for commercial insurers to provide a financially viable product.</w:t>
            </w:r>
          </w:p>
        </w:tc>
      </w:tr>
      <w:tr w:rsidR="000E0367" w:rsidRPr="00CB32B1" w:rsidTr="00BE2C2A">
        <w:tc>
          <w:tcPr>
            <w:cnfStyle w:val="001000000000"/>
            <w:tcW w:w="288" w:type="pct"/>
          </w:tcPr>
          <w:p w:rsidR="000E0367" w:rsidRPr="00CB32B1" w:rsidRDefault="000E0367" w:rsidP="009A0B64">
            <w:pPr>
              <w:pStyle w:val="TableTextNormal"/>
            </w:pPr>
            <w:r w:rsidRPr="00CB32B1">
              <w:t>5</w:t>
            </w:r>
          </w:p>
        </w:tc>
        <w:tc>
          <w:tcPr>
            <w:tcW w:w="839" w:type="pct"/>
          </w:tcPr>
          <w:p w:rsidR="000E0367" w:rsidRPr="00CB32B1" w:rsidRDefault="000E0367" w:rsidP="009A0B64">
            <w:pPr>
              <w:pStyle w:val="TableTextNormal"/>
              <w:cnfStyle w:val="000000000000"/>
            </w:pPr>
            <w:r w:rsidRPr="00CB32B1">
              <w:t>Inherent risks</w:t>
            </w:r>
          </w:p>
        </w:tc>
        <w:tc>
          <w:tcPr>
            <w:tcW w:w="3873" w:type="pct"/>
          </w:tcPr>
          <w:p w:rsidR="000E0367" w:rsidRPr="00CB32B1" w:rsidRDefault="000E0367" w:rsidP="00BE2C2A">
            <w:pPr>
              <w:pStyle w:val="TableTextNormal"/>
              <w:cnfStyle w:val="000000000000"/>
            </w:pPr>
            <w:r w:rsidRPr="00CB32B1">
              <w:t>PPMs</w:t>
            </w:r>
            <w:r w:rsidR="00BE2C2A" w:rsidRPr="00CB32B1">
              <w:t>,</w:t>
            </w:r>
            <w:r w:rsidRPr="00CB32B1">
              <w:t xml:space="preserve"> as maternity service providers</w:t>
            </w:r>
            <w:r w:rsidR="00BE2C2A" w:rsidRPr="00CB32B1">
              <w:t>,</w:t>
            </w:r>
            <w:r w:rsidRPr="00CB32B1">
              <w:t xml:space="preserve"> will always have inherent risks in practice that cannot be fully mitigated.</w:t>
            </w:r>
          </w:p>
        </w:tc>
      </w:tr>
      <w:tr w:rsidR="000E0367" w:rsidRPr="00CB32B1" w:rsidTr="00BE2C2A">
        <w:tc>
          <w:tcPr>
            <w:cnfStyle w:val="001000000000"/>
            <w:tcW w:w="288" w:type="pct"/>
          </w:tcPr>
          <w:p w:rsidR="000E0367" w:rsidRPr="00CB32B1" w:rsidRDefault="000E0367" w:rsidP="000936CD">
            <w:pPr>
              <w:pStyle w:val="TableTextNormal"/>
              <w:keepNext/>
              <w:keepLines/>
            </w:pPr>
            <w:r w:rsidRPr="00CB32B1">
              <w:t>6</w:t>
            </w:r>
          </w:p>
        </w:tc>
        <w:tc>
          <w:tcPr>
            <w:tcW w:w="839" w:type="pct"/>
          </w:tcPr>
          <w:p w:rsidR="000E0367" w:rsidRPr="00CB32B1" w:rsidRDefault="000E0367" w:rsidP="000936CD">
            <w:pPr>
              <w:pStyle w:val="TableTextNormal"/>
              <w:keepNext/>
              <w:keepLines/>
              <w:cnfStyle w:val="000000000000"/>
            </w:pPr>
            <w:r w:rsidRPr="00CB32B1">
              <w:t>High expected value of claims</w:t>
            </w:r>
          </w:p>
        </w:tc>
        <w:tc>
          <w:tcPr>
            <w:tcW w:w="3873" w:type="pct"/>
          </w:tcPr>
          <w:p w:rsidR="000E0367" w:rsidRPr="00CB32B1" w:rsidRDefault="000E0367" w:rsidP="000936CD">
            <w:pPr>
              <w:pStyle w:val="TableTextNormal"/>
              <w:keepNext/>
              <w:keepLines/>
              <w:cnfStyle w:val="000000000000"/>
            </w:pPr>
            <w:r w:rsidRPr="00CB32B1">
              <w:t>Claims can be relatively significant as they relate to human life and death or potential ongoing and long term disability.</w:t>
            </w:r>
          </w:p>
        </w:tc>
      </w:tr>
    </w:tbl>
    <w:p w:rsidR="002C5ECC" w:rsidRPr="00CB32B1" w:rsidRDefault="002C5ECC" w:rsidP="00D470AD">
      <w:pPr>
        <w:pStyle w:val="PwCNormal"/>
        <w:spacing w:before="120"/>
      </w:pPr>
      <w:r w:rsidRPr="00CB32B1">
        <w:t xml:space="preserve">Experiences in other </w:t>
      </w:r>
      <w:r w:rsidR="00BB48E2">
        <w:t>jurisdictions</w:t>
      </w:r>
      <w:r w:rsidRPr="00CB32B1">
        <w:t xml:space="preserve"> have shown ways in which the level of uncertainty and inherent limitations has been addressed to provide PII to PPMs.</w:t>
      </w:r>
    </w:p>
    <w:p w:rsidR="002C5ECC" w:rsidRPr="00CB32B1" w:rsidRDefault="002C5ECC" w:rsidP="00D470AD">
      <w:pPr>
        <w:pStyle w:val="Majorheading"/>
      </w:pPr>
      <w:r w:rsidRPr="00CB32B1">
        <w:t>Future avenues available</w:t>
      </w:r>
    </w:p>
    <w:p w:rsidR="002C5ECC" w:rsidRPr="00CB32B1" w:rsidRDefault="002C5ECC" w:rsidP="002C5ECC">
      <w:pPr>
        <w:pStyle w:val="PwCNormal"/>
      </w:pPr>
      <w:r w:rsidRPr="00CB32B1">
        <w:t xml:space="preserve">While the findings above have identified potential barriers to current </w:t>
      </w:r>
      <w:r w:rsidR="00E25231">
        <w:t>PII</w:t>
      </w:r>
      <w:r w:rsidRPr="00CB32B1">
        <w:t xml:space="preserve"> provision, they do not easily highlight the way forward in Australia. They provide some insight into why PII for intrapartum care provided by PPMs does not exist and how the current context of PPM practice does not meet the needs of insurers in terms of the premium equation</w:t>
      </w:r>
      <w:r w:rsidR="00BE2C2A" w:rsidRPr="00CB32B1">
        <w:t xml:space="preserve">. The scope of this review did not require recommendations on how to address these issues and so the following considerations </w:t>
      </w:r>
      <w:r w:rsidR="00BB48E2">
        <w:t xml:space="preserve">instead </w:t>
      </w:r>
      <w:r w:rsidR="00BE2C2A" w:rsidRPr="00CB32B1">
        <w:t>have been provided</w:t>
      </w:r>
      <w:r w:rsidR="00BB48E2">
        <w:t xml:space="preserve"> to assist in moving the resolution forward</w:t>
      </w:r>
      <w:r w:rsidRPr="00CB32B1">
        <w:t>.</w:t>
      </w:r>
    </w:p>
    <w:p w:rsidR="002C5ECC" w:rsidRPr="00CB32B1" w:rsidRDefault="002C5ECC" w:rsidP="002C5ECC">
      <w:pPr>
        <w:pStyle w:val="PwCNormal"/>
      </w:pPr>
      <w:r w:rsidRPr="00CB32B1">
        <w:t xml:space="preserve">Despite the challenges and given the international evidence, birthing with </w:t>
      </w:r>
      <w:r w:rsidR="00727D37">
        <w:t>PPMs</w:t>
      </w:r>
      <w:r w:rsidRPr="00CB32B1">
        <w:t xml:space="preserve"> is </w:t>
      </w:r>
      <w:r w:rsidR="00BB48E2">
        <w:t xml:space="preserve">believed to be </w:t>
      </w:r>
      <w:r w:rsidRPr="00CB32B1">
        <w:t xml:space="preserve">a reasonable choice for certain expectant mothers to consider and carry out. It will therefore continue in some form or another and any legislation to remove or further prevent PPMs from practising would be likely drive the practice ‘underground’, further contributing to broader risks. </w:t>
      </w:r>
    </w:p>
    <w:p w:rsidR="002C5ECC" w:rsidRPr="00CB32B1" w:rsidRDefault="002C5ECC" w:rsidP="002C5ECC">
      <w:pPr>
        <w:pStyle w:val="PwCNormal"/>
      </w:pPr>
      <w:r w:rsidRPr="00CB32B1">
        <w:t>Consultations highlighted that due to the complexity of the issue of PII for PPMs, there is no ‘quick or easy fix’. Stakeholders identified that the issue of PII for PPMs is more complex than many other insurance arrangements and that to resolve PII for PPMs by producing a feasible product it may require a suite of changes to either (or both) of the following:</w:t>
      </w:r>
    </w:p>
    <w:p w:rsidR="002C5ECC" w:rsidRPr="00CB32B1" w:rsidRDefault="00185E93" w:rsidP="001D7544">
      <w:pPr>
        <w:pStyle w:val="ListBullet"/>
      </w:pPr>
      <w:r>
        <w:t>t</w:t>
      </w:r>
      <w:r w:rsidR="002C5ECC" w:rsidRPr="00CB32B1">
        <w:t>he way in which all available maternity services are provided and supported on a holistic level</w:t>
      </w:r>
    </w:p>
    <w:p w:rsidR="002C5ECC" w:rsidRPr="00CB32B1" w:rsidRDefault="00185E93" w:rsidP="001D7544">
      <w:pPr>
        <w:pStyle w:val="ListBullet"/>
      </w:pPr>
      <w:r>
        <w:t>t</w:t>
      </w:r>
      <w:r w:rsidR="002C5ECC" w:rsidRPr="00CB32B1">
        <w:t>he PII insurance market and how indemnity is provided to maternity services.</w:t>
      </w:r>
    </w:p>
    <w:p w:rsidR="002C5ECC" w:rsidRPr="00CB32B1" w:rsidRDefault="002C5ECC" w:rsidP="002C5ECC">
      <w:pPr>
        <w:pStyle w:val="PwCNormal"/>
      </w:pPr>
      <w:r w:rsidRPr="00CB32B1">
        <w:t>Consultations highlighted many steps that could be taken to address issues relating to each of these points. For example, collecting information on PPM activity could be easily implemented by NMBA as a part of the registration process for midwives, which would assist data quality.</w:t>
      </w:r>
    </w:p>
    <w:p w:rsidR="002C5ECC" w:rsidRPr="00CB32B1" w:rsidRDefault="002C5ECC" w:rsidP="002C5ECC">
      <w:pPr>
        <w:pStyle w:val="PwCNormal"/>
      </w:pPr>
      <w:r w:rsidRPr="00CB32B1">
        <w:t xml:space="preserve">To move forward in relation to the issue of </w:t>
      </w:r>
      <w:r w:rsidR="00E25231">
        <w:t>PII</w:t>
      </w:r>
      <w:r w:rsidRPr="00CB32B1">
        <w:t xml:space="preserve"> for </w:t>
      </w:r>
      <w:r w:rsidR="00727D37">
        <w:t>PPMs</w:t>
      </w:r>
      <w:r w:rsidRPr="00CB32B1">
        <w:t>, there appears to be only two realistic avenues available. Each has both benefits and challenges which need to be considered to determine the future steps to be taken.</w:t>
      </w:r>
      <w:r w:rsidR="00E662B0" w:rsidRPr="00CB32B1">
        <w:rPr>
          <w:rStyle w:val="FootnoteReference"/>
        </w:rPr>
        <w:footnoteReference w:id="267"/>
      </w:r>
    </w:p>
    <w:p w:rsidR="002C5ECC" w:rsidRPr="00CB32B1" w:rsidRDefault="002C5ECC" w:rsidP="006866F5">
      <w:pPr>
        <w:pStyle w:val="Minorheading"/>
      </w:pPr>
      <w:r w:rsidRPr="00CB32B1">
        <w:t>1</w:t>
      </w:r>
      <w:r w:rsidR="006866F5" w:rsidRPr="00CB32B1">
        <w:tab/>
      </w:r>
      <w:r w:rsidRPr="00CB32B1">
        <w:t>Remove the exemption and establish the market</w:t>
      </w:r>
    </w:p>
    <w:p w:rsidR="002C5ECC" w:rsidRPr="00CB32B1" w:rsidRDefault="002C5ECC" w:rsidP="002C5ECC">
      <w:pPr>
        <w:pStyle w:val="PwCNormal"/>
      </w:pPr>
      <w:r w:rsidRPr="00CB32B1">
        <w:t xml:space="preserve">This option involves removing the exemption within the National Law and with </w:t>
      </w:r>
      <w:r w:rsidR="00BB48E2">
        <w:t xml:space="preserve">the support of the Federal </w:t>
      </w:r>
      <w:r w:rsidRPr="00CB32B1">
        <w:t>Government and the PPM industry (and likely broader midwifery and obstetric engagement)</w:t>
      </w:r>
      <w:r w:rsidR="00FA6ACD" w:rsidRPr="00CB32B1">
        <w:t>,</w:t>
      </w:r>
      <w:r w:rsidRPr="00CB32B1">
        <w:t xml:space="preserve"> put in place the </w:t>
      </w:r>
      <w:r w:rsidR="00BB48E2">
        <w:t>foundations</w:t>
      </w:r>
      <w:r w:rsidRPr="00CB32B1">
        <w:t xml:space="preserve"> necessary for insurers to construct and deliver sufficiently comprehensive insurance products. The result of doing this would to effectively create the market forces necessary to establish the PPM insurance market. Such an option may require Government subsidy in the short term until data and confidence can be determined.</w:t>
      </w:r>
    </w:p>
    <w:p w:rsidR="002C5ECC" w:rsidRPr="00CB32B1" w:rsidRDefault="002C5ECC" w:rsidP="00DA2F0A">
      <w:pPr>
        <w:pStyle w:val="ListBullet"/>
      </w:pPr>
      <w:r w:rsidRPr="00CB32B1">
        <w:rPr>
          <w:b/>
          <w:color w:val="DC6900" w:themeColor="text2"/>
        </w:rPr>
        <w:t>Benefits:</w:t>
      </w:r>
      <w:r w:rsidRPr="00CB32B1">
        <w:t xml:space="preserve"> Active steps are taken to facilitate PII for PPMs in the future which would res</w:t>
      </w:r>
      <w:r w:rsidR="00CD0CA9" w:rsidRPr="00CB32B1">
        <w:t>olve the issue of the exemption</w:t>
      </w:r>
    </w:p>
    <w:p w:rsidR="002C5ECC" w:rsidRPr="00CB32B1" w:rsidRDefault="002C5ECC" w:rsidP="00DA2F0A">
      <w:pPr>
        <w:pStyle w:val="ListBullet"/>
      </w:pPr>
      <w:r w:rsidRPr="00CB32B1">
        <w:rPr>
          <w:b/>
          <w:color w:val="DC6900" w:themeColor="text2"/>
        </w:rPr>
        <w:t xml:space="preserve">Challenges: </w:t>
      </w:r>
      <w:r w:rsidRPr="00CB32B1">
        <w:t xml:space="preserve">There are a range of challenges for this avenue. One challenge is in identifying what steps to take, what will have the biggest influence and when they should occur. Another is the number of key influencers from which ‘buy in’ may be needed to resolve this issue. As a regulator, the NMBA has a mandate over several components of PPM practice, including for example, registration (and the adherence to a safety and quality framework, renewal of registration, continuing professional development requirements) and disciplinary matters, but not all necessary areas to support this avenue. From the inception of the new scheme, over the past three years, the NMBA have been working closely with other agencies including the DoHA, </w:t>
      </w:r>
      <w:r w:rsidR="00AF7100">
        <w:t>s</w:t>
      </w:r>
      <w:r w:rsidRPr="00CB32B1">
        <w:t xml:space="preserve">tate and </w:t>
      </w:r>
      <w:r w:rsidR="00AF7100">
        <w:t>t</w:t>
      </w:r>
      <w:r w:rsidRPr="00CB32B1">
        <w:t>erritory bodies a</w:t>
      </w:r>
      <w:r w:rsidR="00CD0CA9" w:rsidRPr="00CB32B1">
        <w:t>nd this would need to continue.</w:t>
      </w:r>
    </w:p>
    <w:p w:rsidR="002C5ECC" w:rsidRPr="00CB32B1" w:rsidRDefault="002C5ECC" w:rsidP="00CD0CA9">
      <w:pPr>
        <w:pStyle w:val="ListBullet"/>
        <w:numPr>
          <w:ilvl w:val="0"/>
          <w:numId w:val="0"/>
        </w:numPr>
        <w:ind w:left="567"/>
      </w:pPr>
      <w:r w:rsidRPr="00CB32B1">
        <w:t xml:space="preserve">Collaboration and participation of other key stakeholders may include, for example, </w:t>
      </w:r>
      <w:r w:rsidR="00E451F1">
        <w:t>s</w:t>
      </w:r>
      <w:r w:rsidRPr="00CB32B1">
        <w:t xml:space="preserve">tate and </w:t>
      </w:r>
      <w:r w:rsidR="00BB48E2">
        <w:t>territory in addition to F</w:t>
      </w:r>
      <w:r w:rsidRPr="00CB32B1">
        <w:t xml:space="preserve">ederal </w:t>
      </w:r>
      <w:r w:rsidR="00E451F1">
        <w:t>g</w:t>
      </w:r>
      <w:r w:rsidRPr="00CB32B1">
        <w:t xml:space="preserve">overnment health departments, </w:t>
      </w:r>
      <w:r w:rsidR="00BB48E2">
        <w:t>C</w:t>
      </w:r>
      <w:r w:rsidRPr="00CB32B1">
        <w:t xml:space="preserve">olleges and associations representing maternity service providers, health care service providers, as well as insurers, consumer representatives and PPMs themselves. Therefore the NMBA should be encouraged to continue to work in a collaborative </w:t>
      </w:r>
      <w:r w:rsidR="00AA44D6">
        <w:t>way</w:t>
      </w:r>
      <w:r w:rsidRPr="00CB32B1">
        <w:t xml:space="preserve"> to facilitate ongoing discussions.</w:t>
      </w:r>
    </w:p>
    <w:p w:rsidR="002C5ECC" w:rsidRPr="00CB32B1" w:rsidRDefault="00FC627B" w:rsidP="00FC627B">
      <w:pPr>
        <w:pStyle w:val="Minorheading"/>
      </w:pPr>
      <w:r w:rsidRPr="00CB32B1">
        <w:t>2</w:t>
      </w:r>
      <w:r w:rsidRPr="00CB32B1">
        <w:tab/>
      </w:r>
      <w:r w:rsidR="002C5ECC" w:rsidRPr="00CB32B1">
        <w:t>Status quo</w:t>
      </w:r>
    </w:p>
    <w:p w:rsidR="002C5ECC" w:rsidRPr="00CB32B1" w:rsidRDefault="002C5ECC" w:rsidP="002C5ECC">
      <w:pPr>
        <w:pStyle w:val="PwCNormal"/>
      </w:pPr>
      <w:r w:rsidRPr="00CB32B1">
        <w:t>This is the ‘do nothing’ option in which the exemption is kept in place indefinitely.</w:t>
      </w:r>
    </w:p>
    <w:p w:rsidR="002C5ECC" w:rsidRPr="00CB32B1" w:rsidRDefault="002C5ECC" w:rsidP="00FC627B">
      <w:pPr>
        <w:pStyle w:val="ListBullet"/>
      </w:pPr>
      <w:r w:rsidRPr="00CB32B1">
        <w:rPr>
          <w:b/>
          <w:color w:val="DC6900" w:themeColor="text2"/>
        </w:rPr>
        <w:t>Benefits:</w:t>
      </w:r>
      <w:r w:rsidRPr="00CB32B1">
        <w:t xml:space="preserve"> PPMs can continue to provide</w:t>
      </w:r>
      <w:r w:rsidR="00CD0CA9" w:rsidRPr="00CB32B1">
        <w:t xml:space="preserve"> services as they are currently</w:t>
      </w:r>
    </w:p>
    <w:p w:rsidR="002C5ECC" w:rsidRPr="00CB32B1" w:rsidRDefault="002C5ECC" w:rsidP="00FC627B">
      <w:pPr>
        <w:pStyle w:val="ListBullet"/>
      </w:pPr>
      <w:r w:rsidRPr="00CB32B1">
        <w:rPr>
          <w:b/>
          <w:color w:val="DC6900" w:themeColor="text2"/>
        </w:rPr>
        <w:t>Challenges:</w:t>
      </w:r>
      <w:r w:rsidRPr="00CB32B1">
        <w:t xml:space="preserve"> This option does not resolve the issue that PII is not available for intrapartum care provided by PPMs</w:t>
      </w:r>
      <w:r w:rsidR="00BB48E2">
        <w:t xml:space="preserve"> in the home</w:t>
      </w:r>
      <w:r w:rsidRPr="00CB32B1">
        <w:t>. PPMs remain exposed to claims in the delivery of intrapartum care and the intent of the National Law (that all health practitioners hold PII) is not upheld for this cohort. This option also fails to address the current issues within the delivery of maternity services: that women remain exposed to risk through lack of insurance; and have their choices reduced as many women are unable or unwilling to access non-insured services even though such services may be their preference.</w:t>
      </w:r>
    </w:p>
    <w:p w:rsidR="002C5ECC" w:rsidRPr="00CB32B1" w:rsidRDefault="002C5ECC" w:rsidP="002C5ECC">
      <w:pPr>
        <w:pStyle w:val="PwCNormal"/>
      </w:pPr>
      <w:r w:rsidRPr="00CB32B1">
        <w:t xml:space="preserve">The option of removing the exemption without any further action </w:t>
      </w:r>
      <w:r w:rsidR="00BB48E2">
        <w:t>c</w:t>
      </w:r>
      <w:r w:rsidRPr="00CB32B1">
        <w:t xml:space="preserve">ould </w:t>
      </w:r>
      <w:r w:rsidR="00BB48E2">
        <w:t xml:space="preserve">have the potential to </w:t>
      </w:r>
      <w:r w:rsidRPr="00CB32B1">
        <w:t xml:space="preserve">limit choice for women, placing reliance on publicly funded homebirth schemes (which are not currently available in all states and territories or available to all women) (see Appendix G) for women to access </w:t>
      </w:r>
      <w:r w:rsidR="00BB48E2">
        <w:t>b</w:t>
      </w:r>
      <w:r w:rsidRPr="00CB32B1">
        <w:t>irth</w:t>
      </w:r>
      <w:r w:rsidR="00BB48E2">
        <w:t>ing</w:t>
      </w:r>
      <w:r w:rsidRPr="00CB32B1">
        <w:t xml:space="preserve"> services</w:t>
      </w:r>
      <w:r w:rsidR="00BB48E2">
        <w:t xml:space="preserve"> in the home</w:t>
      </w:r>
      <w:r w:rsidRPr="00CB32B1">
        <w:t>. This avenue may result in unintended consequences, including an increase in the number of women having free births</w:t>
      </w:r>
      <w:r w:rsidR="00BB48E2">
        <w:t>,</w:t>
      </w:r>
      <w:r w:rsidR="00BF6367" w:rsidRPr="00CB32B1">
        <w:rPr>
          <w:rStyle w:val="FootnoteReference"/>
        </w:rPr>
        <w:footnoteReference w:id="268"/>
      </w:r>
      <w:r w:rsidRPr="00CB32B1">
        <w:t xml:space="preserve"> or an increase in ‘birthing assistants’ who are unregulated as the service is driven underground. These latter issues are likely to increase individual risks for women and babies, and would have impacts on the health system downstream as some women and babies will ultimately arrive in mainstream health services requiring care.</w:t>
      </w:r>
    </w:p>
    <w:p w:rsidR="002C5ECC" w:rsidRPr="00CB32B1" w:rsidRDefault="002C5ECC" w:rsidP="00FC627B">
      <w:pPr>
        <w:pStyle w:val="Heading6"/>
      </w:pPr>
      <w:bookmarkStart w:id="59" w:name="_Toc362975063"/>
      <w:r w:rsidRPr="00CB32B1">
        <w:t>Considerations</w:t>
      </w:r>
      <w:bookmarkEnd w:id="59"/>
    </w:p>
    <w:p w:rsidR="002C5ECC" w:rsidRPr="00CB32B1" w:rsidRDefault="002C5ECC" w:rsidP="002C5ECC">
      <w:pPr>
        <w:pStyle w:val="PwCNormal"/>
      </w:pPr>
      <w:r w:rsidRPr="00CB32B1">
        <w:t>In order to resolve the issue, a number of steps may need to be taken. However, it is unclear which actions would be the most influential in resolving intrapartum care PII for PPMs providing care in the</w:t>
      </w:r>
      <w:r w:rsidR="00E451F1">
        <w:t xml:space="preserve"> </w:t>
      </w:r>
      <w:r w:rsidRPr="00CB32B1">
        <w:t>home.</w:t>
      </w:r>
    </w:p>
    <w:p w:rsidR="002C5ECC" w:rsidRPr="00CB32B1" w:rsidRDefault="002C5ECC" w:rsidP="002C5ECC">
      <w:pPr>
        <w:pStyle w:val="PwCNormal"/>
      </w:pPr>
      <w:r w:rsidRPr="00CB32B1">
        <w:t xml:space="preserve">The reason for the uncertainty is that the environment in which PPMs operate in Australia is unique, particularly in relation to the barriers and lack of support for PPMs to obtain PII. While international practice and PII arrangements can provide insight into PII for PPMs, insurance arrangements exist within their own cultural, legal, health and insurance contexts. However, </w:t>
      </w:r>
      <w:r w:rsidR="00FA6ACD" w:rsidRPr="00CB32B1">
        <w:t>the following points should</w:t>
      </w:r>
      <w:r w:rsidRPr="00CB32B1">
        <w:t xml:space="preserve"> be considered in the context of any next steps taken:</w:t>
      </w:r>
    </w:p>
    <w:p w:rsidR="002C5ECC" w:rsidRPr="00CB32B1" w:rsidRDefault="002C5ECC" w:rsidP="00330190">
      <w:pPr>
        <w:pStyle w:val="ListBullet"/>
      </w:pPr>
      <w:r w:rsidRPr="00CB32B1">
        <w:rPr>
          <w:b/>
          <w:color w:val="DC6900" w:themeColor="text2"/>
        </w:rPr>
        <w:t>Insurers:</w:t>
      </w:r>
      <w:r w:rsidRPr="00CB32B1">
        <w:t xml:space="preserve"> </w:t>
      </w:r>
      <w:r w:rsidR="00E451F1">
        <w:t>i</w:t>
      </w:r>
      <w:r w:rsidRPr="00CB32B1">
        <w:t>t should be recognised that commercial insurers assess profit when developing a product. Profit is determined through a risk assessment when setting a PII product premium through consideration of size of the market and the probability and quantum of potential claims. The way PPM risk is assessed influences the ability for a PII product to be developed. The emphasis on profit is less for NFP or</w:t>
      </w:r>
      <w:r w:rsidR="00CD0CA9" w:rsidRPr="00CB32B1">
        <w:t xml:space="preserve"> reciprocal insurance providers</w:t>
      </w:r>
    </w:p>
    <w:p w:rsidR="002C5ECC" w:rsidRPr="00CB32B1" w:rsidRDefault="002C5ECC" w:rsidP="00330190">
      <w:pPr>
        <w:pStyle w:val="ListBullet"/>
      </w:pPr>
      <w:r w:rsidRPr="00CB32B1">
        <w:rPr>
          <w:b/>
          <w:color w:val="DC6900" w:themeColor="text2"/>
        </w:rPr>
        <w:t>PPM practice:</w:t>
      </w:r>
      <w:r w:rsidRPr="00CB32B1">
        <w:t xml:space="preserve"> </w:t>
      </w:r>
      <w:r w:rsidR="00E451F1">
        <w:t>c</w:t>
      </w:r>
      <w:r w:rsidRPr="00CB32B1">
        <w:t>urrent PPM practice is driven by the context in which it operates. PII may only be able to be provided for intrapartum care if there is clarity in the services that PPMs provide and clarity in guidelines for the selection of women, consultation and referral to mainstream services and documenta</w:t>
      </w:r>
      <w:r w:rsidR="00CD0CA9" w:rsidRPr="00CB32B1">
        <w:t>tion and collection of outcomes</w:t>
      </w:r>
    </w:p>
    <w:p w:rsidR="002C5ECC" w:rsidRPr="00CB32B1" w:rsidRDefault="002C5ECC" w:rsidP="00330190">
      <w:pPr>
        <w:pStyle w:val="ListBullet"/>
      </w:pPr>
      <w:r w:rsidRPr="00CB32B1">
        <w:rPr>
          <w:b/>
          <w:color w:val="DC6900" w:themeColor="text2"/>
        </w:rPr>
        <w:t>Stakeholders:</w:t>
      </w:r>
      <w:r w:rsidRPr="00CB32B1">
        <w:t xml:space="preserve"> </w:t>
      </w:r>
      <w:r w:rsidR="00E451F1">
        <w:t>t</w:t>
      </w:r>
      <w:r w:rsidRPr="00CB32B1">
        <w:t>here are many stakeholders that can influence the ability to provide PII for</w:t>
      </w:r>
      <w:r w:rsidR="00E451F1">
        <w:t xml:space="preserve"> </w:t>
      </w:r>
      <w:r w:rsidRPr="00CB32B1">
        <w:t>PPMs.</w:t>
      </w:r>
    </w:p>
    <w:p w:rsidR="002C5ECC" w:rsidRPr="00CB32B1" w:rsidRDefault="002C5ECC" w:rsidP="002C5ECC">
      <w:pPr>
        <w:pStyle w:val="PwCNormal"/>
      </w:pPr>
      <w:r w:rsidRPr="00CB32B1">
        <w:t xml:space="preserve">With all of this in mind, research completed and consultations held identified eight broad actions or options which may be considered further. These options are in line with the findings presented in Chapter 3 (see </w:t>
      </w:r>
      <w:r w:rsidR="009129A6" w:rsidRPr="00CB32B1">
        <w:fldChar w:fldCharType="begin"/>
      </w:r>
      <w:r w:rsidR="00A33BD9" w:rsidRPr="00CB32B1">
        <w:instrText xml:space="preserve"> REF _Ref361223872 \h </w:instrText>
      </w:r>
      <w:r w:rsidR="009129A6" w:rsidRPr="00CB32B1">
        <w:fldChar w:fldCharType="separate"/>
      </w:r>
      <w:r w:rsidR="008816B4" w:rsidRPr="00CB32B1">
        <w:t xml:space="preserve">Table </w:t>
      </w:r>
      <w:r w:rsidR="008816B4">
        <w:rPr>
          <w:noProof/>
        </w:rPr>
        <w:t>17</w:t>
      </w:r>
      <w:r w:rsidR="009129A6" w:rsidRPr="00CB32B1">
        <w:fldChar w:fldCharType="end"/>
      </w:r>
      <w:r w:rsidRPr="00CB32B1">
        <w:t>). As such, this table does not reflect a priority listing of considerations.</w:t>
      </w:r>
    </w:p>
    <w:p w:rsidR="0043106A" w:rsidRPr="00CB32B1" w:rsidRDefault="0043106A" w:rsidP="00CD0CA9">
      <w:pPr>
        <w:pStyle w:val="Caption"/>
      </w:pPr>
      <w:bookmarkStart w:id="60" w:name="_Ref361223872"/>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17</w:t>
      </w:r>
      <w:r w:rsidR="009129A6" w:rsidRPr="00CB32B1">
        <w:fldChar w:fldCharType="end"/>
      </w:r>
      <w:bookmarkEnd w:id="60"/>
      <w:r w:rsidRPr="00CB32B1">
        <w:t>: Options for further consideration and discussion</w:t>
      </w:r>
    </w:p>
    <w:tbl>
      <w:tblPr>
        <w:tblStyle w:val="PwCTableStyle1"/>
        <w:tblW w:w="5000" w:type="pct"/>
        <w:tblLook w:val="04A0"/>
      </w:tblPr>
      <w:tblGrid>
        <w:gridCol w:w="752"/>
        <w:gridCol w:w="193"/>
        <w:gridCol w:w="1766"/>
        <w:gridCol w:w="1690"/>
        <w:gridCol w:w="4884"/>
      </w:tblGrid>
      <w:tr w:rsidR="006A6254" w:rsidRPr="00CB32B1" w:rsidTr="009D37C7">
        <w:trPr>
          <w:cnfStyle w:val="100000000000"/>
        </w:trPr>
        <w:tc>
          <w:tcPr>
            <w:cnfStyle w:val="001000000000"/>
            <w:tcW w:w="509" w:type="pct"/>
            <w:gridSpan w:val="2"/>
            <w:shd w:val="clear" w:color="auto" w:fill="DC6900" w:themeFill="text2"/>
            <w:vAlign w:val="center"/>
          </w:tcPr>
          <w:p w:rsidR="006A6254" w:rsidRPr="00CB32B1" w:rsidRDefault="006A6254" w:rsidP="009D37C7">
            <w:pPr>
              <w:pStyle w:val="TableColumnHeadingNormal"/>
            </w:pPr>
            <w:r w:rsidRPr="00CB32B1">
              <w:t>Option</w:t>
            </w:r>
          </w:p>
        </w:tc>
        <w:tc>
          <w:tcPr>
            <w:tcW w:w="1861" w:type="pct"/>
            <w:gridSpan w:val="2"/>
            <w:shd w:val="clear" w:color="auto" w:fill="DC6900" w:themeFill="text2"/>
            <w:vAlign w:val="center"/>
          </w:tcPr>
          <w:p w:rsidR="006A6254" w:rsidRPr="00CB32B1" w:rsidRDefault="006A6254" w:rsidP="009D37C7">
            <w:pPr>
              <w:pStyle w:val="TableColumnHeadingNormal"/>
              <w:cnfStyle w:val="100000000000"/>
            </w:pPr>
            <w:r w:rsidRPr="00CB32B1">
              <w:t>Title</w:t>
            </w:r>
          </w:p>
        </w:tc>
        <w:tc>
          <w:tcPr>
            <w:tcW w:w="2630" w:type="pct"/>
            <w:shd w:val="clear" w:color="auto" w:fill="DC6900" w:themeFill="text2"/>
            <w:vAlign w:val="center"/>
          </w:tcPr>
          <w:p w:rsidR="006A6254" w:rsidRPr="00CB32B1" w:rsidRDefault="006A6254" w:rsidP="009D37C7">
            <w:pPr>
              <w:pStyle w:val="TableColumnHeadingNormal"/>
              <w:cnfStyle w:val="100000000000"/>
            </w:pPr>
            <w:r w:rsidRPr="00CB32B1">
              <w:t>Description</w:t>
            </w:r>
          </w:p>
        </w:tc>
      </w:tr>
      <w:tr w:rsidR="006A6254" w:rsidRPr="00CB32B1" w:rsidTr="006A6254">
        <w:tc>
          <w:tcPr>
            <w:cnfStyle w:val="001000000000"/>
            <w:tcW w:w="5000" w:type="pct"/>
            <w:gridSpan w:val="5"/>
          </w:tcPr>
          <w:p w:rsidR="006A6254" w:rsidRPr="00CB32B1" w:rsidRDefault="006A6254" w:rsidP="00CD0CA9">
            <w:pPr>
              <w:pStyle w:val="TableTextNormalBold"/>
              <w:keepNext/>
              <w:keepLines/>
            </w:pPr>
            <w:r w:rsidRPr="00CB32B1">
              <w:t>To address the communication of practice</w:t>
            </w:r>
            <w:r w:rsidR="00E72697" w:rsidRPr="00CB32B1">
              <w:t xml:space="preserve"> and available data</w:t>
            </w:r>
            <w:r w:rsidRPr="00CB32B1">
              <w:t>:</w:t>
            </w:r>
          </w:p>
        </w:tc>
      </w:tr>
      <w:tr w:rsidR="006A6254" w:rsidRPr="00CB32B1" w:rsidTr="006A6254">
        <w:tc>
          <w:tcPr>
            <w:cnfStyle w:val="001000000000"/>
            <w:tcW w:w="405" w:type="pct"/>
          </w:tcPr>
          <w:p w:rsidR="006A6254" w:rsidRPr="00CB32B1" w:rsidRDefault="006A6254" w:rsidP="0026486F">
            <w:pPr>
              <w:pStyle w:val="TableTextNormal"/>
            </w:pPr>
            <w:r w:rsidRPr="00CB32B1">
              <w:t>1</w:t>
            </w:r>
          </w:p>
        </w:tc>
        <w:tc>
          <w:tcPr>
            <w:tcW w:w="1055" w:type="pct"/>
            <w:gridSpan w:val="2"/>
          </w:tcPr>
          <w:p w:rsidR="006A6254" w:rsidRPr="00CB32B1" w:rsidRDefault="006A6254" w:rsidP="0026486F">
            <w:pPr>
              <w:pStyle w:val="TableTextNormal"/>
              <w:cnfStyle w:val="000000000000"/>
            </w:pPr>
            <w:r w:rsidRPr="00CB32B1">
              <w:t>Specific registration of PPMs</w:t>
            </w:r>
          </w:p>
        </w:tc>
        <w:tc>
          <w:tcPr>
            <w:tcW w:w="3540" w:type="pct"/>
            <w:gridSpan w:val="2"/>
          </w:tcPr>
          <w:p w:rsidR="006A6254" w:rsidRPr="00CB32B1" w:rsidRDefault="006A6254" w:rsidP="00137FC3">
            <w:pPr>
              <w:pStyle w:val="TableTextNormal"/>
              <w:cnfStyle w:val="000000000000"/>
            </w:pPr>
            <w:r w:rsidRPr="00CB32B1">
              <w:t>Conside</w:t>
            </w:r>
            <w:r w:rsidR="00AA44D6">
              <w:t>r the requirement for PPMs to register</w:t>
            </w:r>
            <w:r w:rsidRPr="00CB32B1">
              <w:t xml:space="preserve"> as a separate sub-class </w:t>
            </w:r>
            <w:r w:rsidR="00137FC3" w:rsidRPr="00F51FC2">
              <w:t xml:space="preserve">or </w:t>
            </w:r>
            <w:r w:rsidR="00137FC3">
              <w:t>as an eligible midwife, or be</w:t>
            </w:r>
            <w:r w:rsidR="00137FC3" w:rsidRPr="00F51FC2">
              <w:t xml:space="preserve"> required to practise </w:t>
            </w:r>
            <w:r w:rsidR="00137FC3">
              <w:t xml:space="preserve">in a professionally networked supportive model of practice in </w:t>
            </w:r>
            <w:r w:rsidR="00BB48E2">
              <w:t xml:space="preserve">order </w:t>
            </w:r>
            <w:r w:rsidR="00137FC3" w:rsidRPr="00CB32B1">
              <w:t>to access PII</w:t>
            </w:r>
            <w:r w:rsidR="00AA44D6">
              <w:t>.</w:t>
            </w:r>
          </w:p>
        </w:tc>
      </w:tr>
      <w:tr w:rsidR="006A6254" w:rsidRPr="00CB32B1" w:rsidTr="006A6254">
        <w:tc>
          <w:tcPr>
            <w:cnfStyle w:val="001000000000"/>
            <w:tcW w:w="405" w:type="pct"/>
          </w:tcPr>
          <w:p w:rsidR="006A6254" w:rsidRPr="00CB32B1" w:rsidRDefault="006A6254" w:rsidP="0026486F">
            <w:pPr>
              <w:pStyle w:val="TableTextNormal"/>
            </w:pPr>
            <w:r w:rsidRPr="00CB32B1">
              <w:t>2</w:t>
            </w:r>
          </w:p>
        </w:tc>
        <w:tc>
          <w:tcPr>
            <w:tcW w:w="1055" w:type="pct"/>
            <w:gridSpan w:val="2"/>
          </w:tcPr>
          <w:p w:rsidR="006A6254" w:rsidRPr="00CB32B1" w:rsidRDefault="006A6254" w:rsidP="0026486F">
            <w:pPr>
              <w:pStyle w:val="TableTextNormal"/>
              <w:cnfStyle w:val="000000000000"/>
            </w:pPr>
            <w:r w:rsidRPr="00CB32B1">
              <w:t>PPM practice models</w:t>
            </w:r>
          </w:p>
        </w:tc>
        <w:tc>
          <w:tcPr>
            <w:tcW w:w="3540" w:type="pct"/>
            <w:gridSpan w:val="2"/>
          </w:tcPr>
          <w:p w:rsidR="006A6254" w:rsidRPr="00CB32B1" w:rsidRDefault="006A6254" w:rsidP="0026486F">
            <w:pPr>
              <w:pStyle w:val="TableTextNormal"/>
              <w:cnfStyle w:val="000000000000"/>
            </w:pPr>
            <w:r w:rsidRPr="00CB32B1">
              <w:t xml:space="preserve">Explore the facilitation of different options for private midwifery practice, </w:t>
            </w:r>
            <w:r w:rsidR="00854DEF" w:rsidRPr="00CB32B1">
              <w:t>ie</w:t>
            </w:r>
            <w:r w:rsidRPr="00CB32B1">
              <w:t xml:space="preserve"> partnership or group legal entities as mandated for service delivery to the extent that it does not restrict practice or violate trade and practices legislation.</w:t>
            </w:r>
          </w:p>
        </w:tc>
      </w:tr>
      <w:tr w:rsidR="006A6254" w:rsidRPr="00CB32B1" w:rsidTr="006A6254">
        <w:tc>
          <w:tcPr>
            <w:cnfStyle w:val="001000000000"/>
            <w:tcW w:w="405" w:type="pct"/>
          </w:tcPr>
          <w:p w:rsidR="006A6254" w:rsidRPr="00CB32B1" w:rsidRDefault="006A6254" w:rsidP="0026486F">
            <w:pPr>
              <w:pStyle w:val="TableTextNormal"/>
            </w:pPr>
            <w:r w:rsidRPr="00CB32B1">
              <w:t>3</w:t>
            </w:r>
          </w:p>
        </w:tc>
        <w:tc>
          <w:tcPr>
            <w:tcW w:w="1055" w:type="pct"/>
            <w:gridSpan w:val="2"/>
          </w:tcPr>
          <w:p w:rsidR="006A6254" w:rsidRPr="00CB32B1" w:rsidRDefault="006A6254" w:rsidP="0026486F">
            <w:pPr>
              <w:pStyle w:val="TableTextNormal"/>
              <w:cnfStyle w:val="000000000000"/>
            </w:pPr>
            <w:r w:rsidRPr="00CB32B1">
              <w:t>Frameworks for care</w:t>
            </w:r>
          </w:p>
        </w:tc>
        <w:tc>
          <w:tcPr>
            <w:tcW w:w="3540" w:type="pct"/>
            <w:gridSpan w:val="2"/>
          </w:tcPr>
          <w:p w:rsidR="006A6254" w:rsidRPr="00CB32B1" w:rsidRDefault="006A6254" w:rsidP="00137FC3">
            <w:pPr>
              <w:pStyle w:val="TableTextNormal"/>
              <w:cnfStyle w:val="000000000000"/>
            </w:pPr>
            <w:r w:rsidRPr="00CB32B1">
              <w:t xml:space="preserve">Develop clearer national safety and quality (including risk assessment) frameworks for </w:t>
            </w:r>
            <w:r w:rsidR="00137FC3">
              <w:t>births in the community</w:t>
            </w:r>
            <w:r w:rsidRPr="00CB32B1">
              <w:t xml:space="preserve"> as well as support models for PPMs that address compliance, complaints and the capability to meet the framework requirements.</w:t>
            </w:r>
          </w:p>
        </w:tc>
      </w:tr>
      <w:tr w:rsidR="006A6254" w:rsidRPr="00CB32B1" w:rsidTr="006A6254">
        <w:tc>
          <w:tcPr>
            <w:cnfStyle w:val="001000000000"/>
            <w:tcW w:w="405" w:type="pct"/>
          </w:tcPr>
          <w:p w:rsidR="006A6254" w:rsidRPr="00CB32B1" w:rsidRDefault="006A6254" w:rsidP="0026486F">
            <w:pPr>
              <w:pStyle w:val="TableTextNormal"/>
            </w:pPr>
            <w:r w:rsidRPr="00CB32B1">
              <w:t>4</w:t>
            </w:r>
          </w:p>
        </w:tc>
        <w:tc>
          <w:tcPr>
            <w:tcW w:w="1055" w:type="pct"/>
            <w:gridSpan w:val="2"/>
          </w:tcPr>
          <w:p w:rsidR="006A6254" w:rsidRPr="00CB32B1" w:rsidRDefault="006A6254" w:rsidP="0026486F">
            <w:pPr>
              <w:pStyle w:val="TableTextNormal"/>
              <w:cnfStyle w:val="000000000000"/>
            </w:pPr>
            <w:r w:rsidRPr="00CB32B1">
              <w:t>Data reporting requirements</w:t>
            </w:r>
          </w:p>
        </w:tc>
        <w:tc>
          <w:tcPr>
            <w:tcW w:w="3540" w:type="pct"/>
            <w:gridSpan w:val="2"/>
          </w:tcPr>
          <w:p w:rsidR="006A6254" w:rsidRPr="00CB32B1" w:rsidRDefault="00E72697" w:rsidP="00E72697">
            <w:pPr>
              <w:pStyle w:val="TableTextNormal"/>
              <w:cnfStyle w:val="000000000000"/>
            </w:pPr>
            <w:r w:rsidRPr="00CB32B1">
              <w:t xml:space="preserve">Assess the feasibility of </w:t>
            </w:r>
            <w:r w:rsidR="00E451F1" w:rsidRPr="00CB32B1">
              <w:t>improving</w:t>
            </w:r>
            <w:r w:rsidR="006A6254" w:rsidRPr="00CB32B1">
              <w:t xml:space="preserve"> data quality and collection. Ensure that data collection systems can identify women attended by PPMs, place of birth and transfers from home to hospital.</w:t>
            </w:r>
          </w:p>
        </w:tc>
      </w:tr>
      <w:tr w:rsidR="006A6254" w:rsidRPr="00CB32B1" w:rsidTr="006A6254">
        <w:tc>
          <w:tcPr>
            <w:cnfStyle w:val="001000000000"/>
            <w:tcW w:w="5000" w:type="pct"/>
            <w:gridSpan w:val="5"/>
          </w:tcPr>
          <w:p w:rsidR="006A6254" w:rsidRPr="00CB32B1" w:rsidRDefault="006A6254" w:rsidP="001F499D">
            <w:pPr>
              <w:pStyle w:val="TableTextNormalBold"/>
            </w:pPr>
            <w:r w:rsidRPr="00CB32B1">
              <w:t>To address inherent risks of maternity services:</w:t>
            </w:r>
          </w:p>
        </w:tc>
      </w:tr>
      <w:tr w:rsidR="006A6254" w:rsidRPr="00CB32B1" w:rsidTr="006A6254">
        <w:tc>
          <w:tcPr>
            <w:cnfStyle w:val="001000000000"/>
            <w:tcW w:w="405" w:type="pct"/>
          </w:tcPr>
          <w:p w:rsidR="006A6254" w:rsidRPr="00CB32B1" w:rsidRDefault="006A6254" w:rsidP="0026486F">
            <w:pPr>
              <w:pStyle w:val="TableTextNormal"/>
            </w:pPr>
            <w:r w:rsidRPr="00CB32B1">
              <w:t>5</w:t>
            </w:r>
          </w:p>
        </w:tc>
        <w:tc>
          <w:tcPr>
            <w:tcW w:w="1055" w:type="pct"/>
            <w:gridSpan w:val="2"/>
          </w:tcPr>
          <w:p w:rsidR="006A6254" w:rsidRPr="00CB32B1" w:rsidRDefault="006A6254" w:rsidP="0026486F">
            <w:pPr>
              <w:pStyle w:val="TableTextNormal"/>
              <w:cnfStyle w:val="000000000000"/>
            </w:pPr>
            <w:r w:rsidRPr="00CB32B1">
              <w:t>Strengthen ties between insurers and the industry</w:t>
            </w:r>
          </w:p>
        </w:tc>
        <w:tc>
          <w:tcPr>
            <w:tcW w:w="3540" w:type="pct"/>
            <w:gridSpan w:val="2"/>
          </w:tcPr>
          <w:p w:rsidR="006A6254" w:rsidRPr="00CB32B1" w:rsidRDefault="006A6254" w:rsidP="00F125A9">
            <w:pPr>
              <w:pStyle w:val="TableTextNormal"/>
              <w:cnfStyle w:val="000000000000"/>
            </w:pPr>
            <w:r w:rsidRPr="00CB32B1">
              <w:t xml:space="preserve">Encourage stronger relationships between insurers, the NMBA, </w:t>
            </w:r>
            <w:r w:rsidR="00F125A9">
              <w:t>state/territory and Federal g</w:t>
            </w:r>
            <w:r w:rsidRPr="00CB32B1">
              <w:t>overnment</w:t>
            </w:r>
            <w:r w:rsidR="00F125A9">
              <w:t>s</w:t>
            </w:r>
            <w:r w:rsidRPr="00CB32B1">
              <w:t>, midwifery and medical practitioner representatives.</w:t>
            </w:r>
          </w:p>
        </w:tc>
      </w:tr>
      <w:tr w:rsidR="006A6254" w:rsidRPr="00CB32B1" w:rsidTr="006A6254">
        <w:tc>
          <w:tcPr>
            <w:cnfStyle w:val="001000000000"/>
            <w:tcW w:w="405" w:type="pct"/>
          </w:tcPr>
          <w:p w:rsidR="006A6254" w:rsidRPr="00CB32B1" w:rsidRDefault="006A6254" w:rsidP="0026486F">
            <w:pPr>
              <w:pStyle w:val="TableTextNormal"/>
            </w:pPr>
            <w:r w:rsidRPr="00CB32B1">
              <w:t>6</w:t>
            </w:r>
          </w:p>
        </w:tc>
        <w:tc>
          <w:tcPr>
            <w:tcW w:w="1055" w:type="pct"/>
            <w:gridSpan w:val="2"/>
          </w:tcPr>
          <w:p w:rsidR="006A6254" w:rsidRPr="00CB32B1" w:rsidRDefault="006A6254" w:rsidP="0026486F">
            <w:pPr>
              <w:pStyle w:val="TableTextNormal"/>
              <w:cnfStyle w:val="000000000000"/>
            </w:pPr>
            <w:r w:rsidRPr="00CB32B1">
              <w:t>Alternate insurance models</w:t>
            </w:r>
          </w:p>
        </w:tc>
        <w:tc>
          <w:tcPr>
            <w:tcW w:w="3540" w:type="pct"/>
            <w:gridSpan w:val="2"/>
          </w:tcPr>
          <w:p w:rsidR="006A6254" w:rsidRPr="00CB32B1" w:rsidRDefault="006A6254" w:rsidP="0026486F">
            <w:pPr>
              <w:pStyle w:val="TableTextNormal"/>
              <w:cnfStyle w:val="000000000000"/>
            </w:pPr>
            <w:r w:rsidRPr="00CB32B1">
              <w:t>Consider the range of insurance models and enabling factors seen internationally for the provision of PII.</w:t>
            </w:r>
          </w:p>
        </w:tc>
      </w:tr>
      <w:tr w:rsidR="006A6254" w:rsidRPr="00CB32B1" w:rsidTr="006A6254">
        <w:tc>
          <w:tcPr>
            <w:cnfStyle w:val="001000000000"/>
            <w:tcW w:w="405" w:type="pct"/>
          </w:tcPr>
          <w:p w:rsidR="006A6254" w:rsidRPr="00CB32B1" w:rsidRDefault="006A6254" w:rsidP="0026486F">
            <w:pPr>
              <w:pStyle w:val="TableTextNormal"/>
            </w:pPr>
            <w:r w:rsidRPr="00CB32B1">
              <w:t>7</w:t>
            </w:r>
          </w:p>
        </w:tc>
        <w:tc>
          <w:tcPr>
            <w:tcW w:w="1055" w:type="pct"/>
            <w:gridSpan w:val="2"/>
          </w:tcPr>
          <w:p w:rsidR="006A6254" w:rsidRPr="00CB32B1" w:rsidRDefault="006A6254" w:rsidP="0026486F">
            <w:pPr>
              <w:pStyle w:val="TableTextNormal"/>
              <w:cnfStyle w:val="000000000000"/>
            </w:pPr>
            <w:r w:rsidRPr="00CB32B1">
              <w:t>Enhance collaborative partnerships</w:t>
            </w:r>
          </w:p>
        </w:tc>
        <w:tc>
          <w:tcPr>
            <w:tcW w:w="3540" w:type="pct"/>
            <w:gridSpan w:val="2"/>
          </w:tcPr>
          <w:p w:rsidR="006A6254" w:rsidRPr="00CB32B1" w:rsidRDefault="006A6254" w:rsidP="00E72697">
            <w:pPr>
              <w:pStyle w:val="TableTextNormal"/>
              <w:cnfStyle w:val="000000000000"/>
            </w:pPr>
            <w:r w:rsidRPr="00CB32B1">
              <w:t>Identify factors prohibiting collaborative partnerships between PPMs and health services that could mitigate PPM practice risk for PII development.</w:t>
            </w:r>
          </w:p>
        </w:tc>
      </w:tr>
      <w:tr w:rsidR="006A6254" w:rsidRPr="00CB32B1" w:rsidTr="006A6254">
        <w:tc>
          <w:tcPr>
            <w:cnfStyle w:val="001000000000"/>
            <w:tcW w:w="405" w:type="pct"/>
          </w:tcPr>
          <w:p w:rsidR="006A6254" w:rsidRPr="00CB32B1" w:rsidRDefault="006A6254" w:rsidP="0026486F">
            <w:pPr>
              <w:pStyle w:val="TableTextNormal"/>
            </w:pPr>
            <w:r w:rsidRPr="00CB32B1">
              <w:t>8</w:t>
            </w:r>
          </w:p>
        </w:tc>
        <w:tc>
          <w:tcPr>
            <w:tcW w:w="1055" w:type="pct"/>
            <w:gridSpan w:val="2"/>
          </w:tcPr>
          <w:p w:rsidR="006A6254" w:rsidRPr="00CB32B1" w:rsidRDefault="006A6254" w:rsidP="0026486F">
            <w:pPr>
              <w:pStyle w:val="TableTextNormal"/>
              <w:cnfStyle w:val="000000000000"/>
            </w:pPr>
            <w:r w:rsidRPr="00CB32B1">
              <w:t>Impact of broader health policies</w:t>
            </w:r>
          </w:p>
        </w:tc>
        <w:tc>
          <w:tcPr>
            <w:tcW w:w="3540" w:type="pct"/>
            <w:gridSpan w:val="2"/>
          </w:tcPr>
          <w:p w:rsidR="006A6254" w:rsidRPr="00CB32B1" w:rsidRDefault="006A6254" w:rsidP="0026486F">
            <w:pPr>
              <w:pStyle w:val="TableTextNormal"/>
              <w:cnfStyle w:val="000000000000"/>
            </w:pPr>
            <w:r w:rsidRPr="00CB32B1">
              <w:t>Consider the impact of policies, particularly enablers that will support the provision of PII for PPMs.</w:t>
            </w:r>
          </w:p>
        </w:tc>
      </w:tr>
    </w:tbl>
    <w:p w:rsidR="002C5ECC" w:rsidRPr="00CB32B1" w:rsidRDefault="002C5ECC" w:rsidP="00821800">
      <w:pPr>
        <w:pStyle w:val="PwCNormal"/>
        <w:numPr>
          <w:ilvl w:val="0"/>
          <w:numId w:val="0"/>
        </w:numPr>
        <w:spacing w:before="120"/>
      </w:pPr>
      <w:r w:rsidRPr="00CB32B1">
        <w:t xml:space="preserve">In </w:t>
      </w:r>
      <w:r w:rsidR="009129A6" w:rsidRPr="00CB32B1">
        <w:fldChar w:fldCharType="begin"/>
      </w:r>
      <w:r w:rsidR="00EB2051" w:rsidRPr="00CB32B1">
        <w:instrText xml:space="preserve"> REF _Ref361223653 \h </w:instrText>
      </w:r>
      <w:r w:rsidR="009129A6" w:rsidRPr="00CB32B1">
        <w:fldChar w:fldCharType="separate"/>
      </w:r>
      <w:r w:rsidR="008816B4" w:rsidRPr="00CB32B1">
        <w:t xml:space="preserve">Figure </w:t>
      </w:r>
      <w:r w:rsidR="008816B4">
        <w:rPr>
          <w:noProof/>
        </w:rPr>
        <w:t>16</w:t>
      </w:r>
      <w:r w:rsidR="009129A6" w:rsidRPr="00CB32B1">
        <w:fldChar w:fldCharType="end"/>
      </w:r>
      <w:r w:rsidRPr="00CB32B1">
        <w:t>, these findings can be seen to:</w:t>
      </w:r>
    </w:p>
    <w:p w:rsidR="002C5ECC" w:rsidRPr="00CB32B1" w:rsidRDefault="00E451F1" w:rsidP="00E20BF9">
      <w:pPr>
        <w:pStyle w:val="ListBullet"/>
      </w:pPr>
      <w:r>
        <w:t>b</w:t>
      </w:r>
      <w:r w:rsidR="002C5ECC" w:rsidRPr="00CB32B1">
        <w:t>e interrelated</w:t>
      </w:r>
    </w:p>
    <w:p w:rsidR="002C5ECC" w:rsidRPr="00CB32B1" w:rsidRDefault="00E451F1" w:rsidP="00E20BF9">
      <w:pPr>
        <w:pStyle w:val="ListBullet"/>
      </w:pPr>
      <w:r>
        <w:t>r</w:t>
      </w:r>
      <w:r w:rsidR="002C5ECC" w:rsidRPr="00CB32B1">
        <w:t>elate to various components of the broader context of PPM practice</w:t>
      </w:r>
    </w:p>
    <w:p w:rsidR="002C5ECC" w:rsidRPr="00CB32B1" w:rsidRDefault="00E451F1" w:rsidP="00E20BF9">
      <w:pPr>
        <w:pStyle w:val="ListBullet"/>
      </w:pPr>
      <w:r>
        <w:t>i</w:t>
      </w:r>
      <w:r w:rsidR="002C5ECC" w:rsidRPr="00CB32B1">
        <w:t>nvolve multiple stakeholders.</w:t>
      </w:r>
    </w:p>
    <w:p w:rsidR="00270634" w:rsidRPr="00CB32B1" w:rsidRDefault="00270634" w:rsidP="00270634">
      <w:pPr>
        <w:pStyle w:val="NumericCaption"/>
      </w:pPr>
      <w:bookmarkStart w:id="61" w:name="_Ref361223653"/>
      <w:r w:rsidRPr="00CB32B1">
        <w:t xml:space="preserve">Figure </w:t>
      </w:r>
      <w:r w:rsidR="009129A6">
        <w:fldChar w:fldCharType="begin"/>
      </w:r>
      <w:r w:rsidR="00DF5BC2">
        <w:instrText xml:space="preserve"> SEQ Figure \* ARABIC </w:instrText>
      </w:r>
      <w:r w:rsidR="009129A6">
        <w:fldChar w:fldCharType="separate"/>
      </w:r>
      <w:r w:rsidR="008816B4">
        <w:rPr>
          <w:noProof/>
        </w:rPr>
        <w:t>16</w:t>
      </w:r>
      <w:r w:rsidR="009129A6">
        <w:fldChar w:fldCharType="end"/>
      </w:r>
      <w:bookmarkEnd w:id="61"/>
      <w:r w:rsidRPr="00CB32B1">
        <w:t>: Interrelationship of options for consideration</w:t>
      </w:r>
    </w:p>
    <w:p w:rsidR="004F461D" w:rsidRPr="00CB32B1" w:rsidRDefault="001E2724" w:rsidP="001E2724">
      <w:pPr>
        <w:pStyle w:val="PwCNormal"/>
        <w:jc w:val="center"/>
      </w:pPr>
      <w:r w:rsidRPr="00CB32B1">
        <w:rPr>
          <w:noProof/>
          <w:lang w:val="en-US"/>
        </w:rPr>
        <w:drawing>
          <wp:inline distT="0" distB="0" distL="0" distR="0">
            <wp:extent cx="5758815" cy="3320415"/>
            <wp:effectExtent l="0" t="0" r="0" b="0"/>
            <wp:docPr id="1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srcRect/>
                    <a:stretch>
                      <a:fillRect/>
                    </a:stretch>
                  </pic:blipFill>
                  <pic:spPr bwMode="auto">
                    <a:xfrm>
                      <a:off x="0" y="0"/>
                      <a:ext cx="5758815" cy="3320415"/>
                    </a:xfrm>
                    <a:prstGeom prst="rect">
                      <a:avLst/>
                    </a:prstGeom>
                    <a:noFill/>
                    <a:ln w="9525">
                      <a:noFill/>
                      <a:miter lim="800000"/>
                      <a:headEnd/>
                      <a:tailEnd/>
                    </a:ln>
                  </pic:spPr>
                </pic:pic>
              </a:graphicData>
            </a:graphic>
          </wp:inline>
        </w:drawing>
      </w:r>
    </w:p>
    <w:p w:rsidR="002C5ECC" w:rsidRPr="00CB32B1" w:rsidRDefault="002C5ECC" w:rsidP="002C5ECC">
      <w:pPr>
        <w:pStyle w:val="PwCNormal"/>
      </w:pPr>
      <w:r w:rsidRPr="00CB32B1">
        <w:t xml:space="preserve">These options are presented to evoke further conversation and discussion in the relation to the issue of PII for </w:t>
      </w:r>
      <w:r w:rsidR="00727D37">
        <w:t>PPMs</w:t>
      </w:r>
      <w:r w:rsidRPr="00CB32B1">
        <w:t>.</w:t>
      </w:r>
    </w:p>
    <w:p w:rsidR="002C5ECC" w:rsidRPr="00CB32B1" w:rsidRDefault="002C5ECC" w:rsidP="004F461D">
      <w:pPr>
        <w:pStyle w:val="Majorheading"/>
      </w:pPr>
      <w:r w:rsidRPr="00CB32B1">
        <w:t>Communication of practice</w:t>
      </w:r>
      <w:r w:rsidR="00E72697" w:rsidRPr="00CB32B1">
        <w:t xml:space="preserve"> and available data</w:t>
      </w:r>
    </w:p>
    <w:p w:rsidR="002C5ECC" w:rsidRPr="00CB32B1" w:rsidRDefault="00BB48E2" w:rsidP="002C5ECC">
      <w:pPr>
        <w:pStyle w:val="PwCNormal"/>
      </w:pPr>
      <w:r>
        <w:t>The</w:t>
      </w:r>
      <w:r w:rsidR="002C5ECC" w:rsidRPr="00CB32B1">
        <w:t xml:space="preserve"> findings identified an issue in relation to the availability and communication of data </w:t>
      </w:r>
      <w:r>
        <w:t xml:space="preserve">which </w:t>
      </w:r>
      <w:r w:rsidR="002C5ECC" w:rsidRPr="00CB32B1">
        <w:t xml:space="preserve">appears to have led to risk assessments being influenced by claim and counter claim, ultimately driving a lack of confidence and certainty within the insurance market on PPM practice. As a result, variation in practice and frameworks as well as a broad definition of the practice, impact upon insurers having the necessary information to complete an accurate assessment of PPMs. </w:t>
      </w:r>
    </w:p>
    <w:p w:rsidR="002C5ECC" w:rsidRPr="00CB32B1" w:rsidRDefault="002C5ECC" w:rsidP="004F461D">
      <w:pPr>
        <w:pStyle w:val="Minorheading"/>
      </w:pPr>
      <w:r w:rsidRPr="00CB32B1">
        <w:t>Option 1: Registration of PPMs</w:t>
      </w:r>
    </w:p>
    <w:tbl>
      <w:tblPr>
        <w:tblStyle w:val="TableGrid"/>
        <w:tblW w:w="0" w:type="auto"/>
        <w:tblBorders>
          <w:top w:val="single" w:sz="4" w:space="0" w:color="DC6900" w:themeColor="text2"/>
          <w:left w:val="single" w:sz="4" w:space="0" w:color="DC6900" w:themeColor="text2"/>
          <w:bottom w:val="single" w:sz="4" w:space="0" w:color="DC6900" w:themeColor="text2"/>
          <w:right w:val="single" w:sz="4" w:space="0" w:color="DC6900" w:themeColor="text2"/>
          <w:insideH w:val="none" w:sz="0" w:space="0" w:color="auto"/>
          <w:insideV w:val="none" w:sz="0" w:space="0" w:color="auto"/>
        </w:tblBorders>
        <w:tblLook w:val="04A0"/>
      </w:tblPr>
      <w:tblGrid>
        <w:gridCol w:w="9285"/>
      </w:tblGrid>
      <w:tr w:rsidR="002D1FBE" w:rsidRPr="00CB32B1" w:rsidTr="00E20BF9">
        <w:tc>
          <w:tcPr>
            <w:tcW w:w="9288" w:type="dxa"/>
          </w:tcPr>
          <w:p w:rsidR="002D1FBE" w:rsidRPr="00AA44D6" w:rsidRDefault="00137FC3" w:rsidP="00E20BF9">
            <w:pPr>
              <w:pStyle w:val="TableTextNormal"/>
              <w:rPr>
                <w:b/>
                <w:color w:val="DC6900" w:themeColor="text2"/>
              </w:rPr>
            </w:pPr>
            <w:r w:rsidRPr="00137FC3">
              <w:rPr>
                <w:b/>
                <w:color w:val="DC6900" w:themeColor="text2"/>
              </w:rPr>
              <w:t xml:space="preserve">Consider the requirement for PPMs to register as a separate sub-class or as an eligible midwife, or be required to practise in a professionally networked supportive model of practice in </w:t>
            </w:r>
            <w:r w:rsidR="00BB48E2">
              <w:rPr>
                <w:b/>
                <w:color w:val="DC6900" w:themeColor="text2"/>
              </w:rPr>
              <w:t xml:space="preserve">order </w:t>
            </w:r>
            <w:r w:rsidRPr="00137FC3">
              <w:rPr>
                <w:b/>
                <w:color w:val="DC6900" w:themeColor="text2"/>
              </w:rPr>
              <w:t>to access PII</w:t>
            </w:r>
            <w:r>
              <w:rPr>
                <w:b/>
                <w:color w:val="DC6900" w:themeColor="text2"/>
              </w:rPr>
              <w:t>.</w:t>
            </w:r>
          </w:p>
        </w:tc>
      </w:tr>
    </w:tbl>
    <w:p w:rsidR="002C5ECC" w:rsidRPr="00CB32B1" w:rsidRDefault="002C5ECC" w:rsidP="002D1FBE">
      <w:pPr>
        <w:pStyle w:val="PwCNormal"/>
        <w:spacing w:before="120"/>
      </w:pPr>
      <w:r w:rsidRPr="00CB32B1">
        <w:t>Consultations highlighted that broadening the requirement for all PPMs to be registered beyond the midwifery requirements of the NMBA should be considered. Evidence to support this consideration would be of assistance in determining its benefit. Options for consideration include:</w:t>
      </w:r>
    </w:p>
    <w:p w:rsidR="002C5ECC" w:rsidRPr="00CB32B1" w:rsidRDefault="002C2360" w:rsidP="00E20BF9">
      <w:pPr>
        <w:pStyle w:val="ListBullet"/>
      </w:pPr>
      <w:r>
        <w:t>requiring</w:t>
      </w:r>
      <w:r w:rsidR="002C5ECC" w:rsidRPr="00CB32B1">
        <w:t xml:space="preserve"> PPMs to register as eligible midwives</w:t>
      </w:r>
    </w:p>
    <w:p w:rsidR="002C5ECC" w:rsidRPr="00CB32B1" w:rsidRDefault="002C2360" w:rsidP="00E20BF9">
      <w:pPr>
        <w:pStyle w:val="ListBullet"/>
      </w:pPr>
      <w:r>
        <w:t>d</w:t>
      </w:r>
      <w:r w:rsidR="002C5ECC" w:rsidRPr="00CB32B1">
        <w:t>evelop</w:t>
      </w:r>
      <w:r>
        <w:t>ing</w:t>
      </w:r>
      <w:r w:rsidR="002C5ECC" w:rsidRPr="00CB32B1">
        <w:t xml:space="preserve"> a separate sub-class for PPMs to register under</w:t>
      </w:r>
    </w:p>
    <w:p w:rsidR="002C5ECC" w:rsidRPr="00CB32B1" w:rsidRDefault="002C2360" w:rsidP="00E20BF9">
      <w:pPr>
        <w:pStyle w:val="ListBullet"/>
      </w:pPr>
      <w:r>
        <w:t>requiring</w:t>
      </w:r>
      <w:r w:rsidR="002C5ECC" w:rsidRPr="00CB32B1">
        <w:t xml:space="preserve"> PPMs to practise with an eligible midwife to obtain PII.</w:t>
      </w:r>
    </w:p>
    <w:p w:rsidR="002C5ECC" w:rsidRPr="00CB32B1" w:rsidRDefault="002C5ECC" w:rsidP="002C5ECC">
      <w:pPr>
        <w:pStyle w:val="PwCNormal"/>
      </w:pPr>
      <w:r w:rsidRPr="00CB32B1">
        <w:t>One thing that in the interim could easily be completed would be requiring the nomination of type of practice as a part of registration as a midwife with the NMBA. This information could also be added to the AIHW data collection at time of registration. This would at least allow information to be gained over time on the relevant numbers, activities and method of service delivery.</w:t>
      </w:r>
    </w:p>
    <w:p w:rsidR="002C5ECC" w:rsidRPr="00CB32B1" w:rsidRDefault="002C5ECC" w:rsidP="0062739D">
      <w:pPr>
        <w:pStyle w:val="Minorheading2"/>
      </w:pPr>
      <w:r w:rsidRPr="00CB32B1">
        <w:t>Register as an eligible midwife</w:t>
      </w:r>
    </w:p>
    <w:p w:rsidR="002C5ECC" w:rsidRPr="00CB32B1" w:rsidRDefault="002C2360" w:rsidP="002C5ECC">
      <w:pPr>
        <w:pStyle w:val="PwCNormal"/>
      </w:pPr>
      <w:r>
        <w:t>As p</w:t>
      </w:r>
      <w:r w:rsidR="002C5ECC" w:rsidRPr="00CB32B1">
        <w:t>er Finding 1, eligible midwives are a sub-class of registration for midwives in Australia that allows a midwife to be eligible for Medicare Benefi</w:t>
      </w:r>
      <w:r w:rsidR="00BB48E2">
        <w:t>ts and Pharmaceutical Benefits S</w:t>
      </w:r>
      <w:r w:rsidR="002C5ECC" w:rsidRPr="00CB32B1">
        <w:t xml:space="preserve">cheme reimbursement. At present, only one of the insurers (MIGA) requires </w:t>
      </w:r>
      <w:r w:rsidR="00727D37">
        <w:t>PPMs</w:t>
      </w:r>
      <w:r w:rsidR="002C5ECC" w:rsidRPr="00CB32B1">
        <w:t xml:space="preserve"> to register as eligible midwives (or to demonstrate the intent to do so), in order to be able to purchase </w:t>
      </w:r>
      <w:r w:rsidR="00E25231">
        <w:t>PII</w:t>
      </w:r>
      <w:r w:rsidR="002C5ECC" w:rsidRPr="00CB32B1">
        <w:t xml:space="preserve">. As a result, not all PPMs are eligible midwives, as there is no requirement to be so. As highlighted in our survey, only 74% of survey participants that identified as a PPM also identified as an eligible midwife (see </w:t>
      </w:r>
      <w:r w:rsidR="00CB1BAB" w:rsidRPr="00CB32B1">
        <w:t>Appendix D.1</w:t>
      </w:r>
      <w:r w:rsidR="002C5ECC" w:rsidRPr="00CB32B1">
        <w:t>).</w:t>
      </w:r>
    </w:p>
    <w:p w:rsidR="002C5ECC" w:rsidRPr="00CB32B1" w:rsidRDefault="002C5ECC" w:rsidP="002C5ECC">
      <w:pPr>
        <w:pStyle w:val="PwCNormal"/>
      </w:pPr>
      <w:r w:rsidRPr="00CB32B1">
        <w:t xml:space="preserve">Requiring PPMs to register as an eligible midwife may provide additional registration requirements for PPMs including competency, skill, professional development and experience. It is for this </w:t>
      </w:r>
      <w:r w:rsidR="002C2360" w:rsidRPr="00CB32B1">
        <w:t>purpose</w:t>
      </w:r>
      <w:r w:rsidRPr="00CB32B1">
        <w:t xml:space="preserve"> and not others (</w:t>
      </w:r>
      <w:r w:rsidR="00854DEF" w:rsidRPr="00CB32B1">
        <w:t>eg</w:t>
      </w:r>
      <w:r w:rsidRPr="00CB32B1">
        <w:t xml:space="preserve"> </w:t>
      </w:r>
      <w:r w:rsidR="00BB48E2">
        <w:t xml:space="preserve">the associated </w:t>
      </w:r>
      <w:r w:rsidRPr="00CB32B1">
        <w:t>payment scheme) that eligible midwives should be considered. Consultations both internationally and nationally identified the importance of these components to the risk assessment of PPMs and their ability to successfully provide care within their scope of practice. Making this a requirement could be beneficial for:</w:t>
      </w:r>
    </w:p>
    <w:p w:rsidR="002C5ECC" w:rsidRPr="00CB32B1" w:rsidRDefault="002C2360" w:rsidP="0062739D">
      <w:pPr>
        <w:pStyle w:val="ListBullet"/>
      </w:pPr>
      <w:r>
        <w:t>d</w:t>
      </w:r>
      <w:r w:rsidR="002C5ECC" w:rsidRPr="00CB32B1">
        <w:t>eveloping and applying a baseline of competency and experience across PPMs for the pur</w:t>
      </w:r>
      <w:r w:rsidR="00CD0CA9" w:rsidRPr="00CB32B1">
        <w:t>pose of risk assessment of PPMs</w:t>
      </w:r>
    </w:p>
    <w:p w:rsidR="002C5ECC" w:rsidRPr="00CB32B1" w:rsidRDefault="002C2360" w:rsidP="0062739D">
      <w:pPr>
        <w:pStyle w:val="ListBullet"/>
      </w:pPr>
      <w:r>
        <w:t>s</w:t>
      </w:r>
      <w:r w:rsidR="002C5ECC" w:rsidRPr="00CB32B1">
        <w:t>upporting the monitoring of practice and outcomes, given that data is currently collected by Medicare Australia (and there is scope to collect additional information).</w:t>
      </w:r>
      <w:r w:rsidR="00BF6367" w:rsidRPr="00CB32B1">
        <w:rPr>
          <w:rStyle w:val="FootnoteReference"/>
        </w:rPr>
        <w:footnoteReference w:id="269"/>
      </w:r>
    </w:p>
    <w:p w:rsidR="002C5ECC" w:rsidRPr="00CB32B1" w:rsidRDefault="002C5ECC" w:rsidP="002C5ECC">
      <w:pPr>
        <w:pStyle w:val="PwCNormal"/>
      </w:pPr>
      <w:r w:rsidRPr="00CB32B1">
        <w:t xml:space="preserve">For this option, consideration should also be made of the unintended consequences of having an additional registration requirement. Consultations identified that mandating PPMs as eligible midwives may lead to PPMs exiting the market due to the requirements of being an eligible midwife. This was supported in the survey where 42% of those that did not identify themselves as being eligible midwives gave the reason for this as registration restrictions. Other consultations identified issues around meeting the requirements to become an eligible midwife including holding collaborative arrangements with medical practitioners, the size and location of PPMs currently practising. Further consideration should be made of any potential legal implications of this requirement, particularly around restrictive trade practises. </w:t>
      </w:r>
    </w:p>
    <w:p w:rsidR="002C5ECC" w:rsidRPr="00CB32B1" w:rsidRDefault="002C5ECC" w:rsidP="002C5ECC">
      <w:pPr>
        <w:pStyle w:val="PwCNormal"/>
      </w:pPr>
      <w:r w:rsidRPr="00CB32B1">
        <w:t>It may be that instead, that consideration should be made on the requirement for PPMs to meet elements of an eligible midwife but not be required to register as one.</w:t>
      </w:r>
    </w:p>
    <w:p w:rsidR="002C5ECC" w:rsidRPr="00CB32B1" w:rsidRDefault="002C5ECC" w:rsidP="00F702B4">
      <w:pPr>
        <w:pStyle w:val="Minorheading2"/>
      </w:pPr>
      <w:r w:rsidRPr="00CB32B1">
        <w:t>Separate sub-class for registration</w:t>
      </w:r>
    </w:p>
    <w:p w:rsidR="002C5ECC" w:rsidRPr="00CB32B1" w:rsidRDefault="002C5ECC" w:rsidP="002C5ECC">
      <w:pPr>
        <w:pStyle w:val="PwCNormal"/>
      </w:pPr>
      <w:r w:rsidRPr="00CB32B1">
        <w:t>Building on the requirement of being an eligible midwife is the alternate development of a separate sub-class for registration. A separate registration class for PPMs was identified by some who were consulted as t</w:t>
      </w:r>
      <w:r w:rsidR="00F702B4" w:rsidRPr="00CB32B1">
        <w:t>he preferred option because:</w:t>
      </w:r>
      <w:r w:rsidR="00BF6367" w:rsidRPr="00CB32B1">
        <w:rPr>
          <w:rStyle w:val="FootnoteReference"/>
        </w:rPr>
        <w:footnoteReference w:id="270"/>
      </w:r>
      <w:r w:rsidR="00BF6367" w:rsidRPr="00CB32B1">
        <w:rPr>
          <w:vertAlign w:val="superscript"/>
        </w:rPr>
        <w:t>,</w:t>
      </w:r>
      <w:r w:rsidR="00BF6367" w:rsidRPr="00CB32B1">
        <w:t xml:space="preserve"> </w:t>
      </w:r>
      <w:r w:rsidR="00BF6367" w:rsidRPr="00CB32B1">
        <w:rPr>
          <w:rStyle w:val="FootnoteReference"/>
        </w:rPr>
        <w:footnoteReference w:id="271"/>
      </w:r>
    </w:p>
    <w:p w:rsidR="002C5ECC" w:rsidRPr="00CB32B1" w:rsidRDefault="002C2360" w:rsidP="00F702B4">
      <w:pPr>
        <w:pStyle w:val="ListBullet"/>
      </w:pPr>
      <w:r>
        <w:t>r</w:t>
      </w:r>
      <w:r w:rsidR="002C5ECC" w:rsidRPr="00CB32B1">
        <w:t>egistration for eligible midwives was not developed specifically for the purpose of PII for</w:t>
      </w:r>
      <w:r>
        <w:t xml:space="preserve"> </w:t>
      </w:r>
      <w:r w:rsidR="00CD0CA9" w:rsidRPr="00CB32B1">
        <w:t>PPMs</w:t>
      </w:r>
    </w:p>
    <w:p w:rsidR="002C5ECC" w:rsidRPr="00CB32B1" w:rsidRDefault="002C2360" w:rsidP="00F702B4">
      <w:pPr>
        <w:pStyle w:val="ListBullet"/>
      </w:pPr>
      <w:r>
        <w:t>t</w:t>
      </w:r>
      <w:r w:rsidR="002C5ECC" w:rsidRPr="00CB32B1">
        <w:t>here are additional components to those required for the eligible midwifery status that may be assessed as necessary to support PII for PPMs (</w:t>
      </w:r>
      <w:r w:rsidR="00854DEF" w:rsidRPr="00CB32B1">
        <w:t>eg</w:t>
      </w:r>
      <w:r w:rsidR="002C5ECC" w:rsidRPr="00CB32B1">
        <w:t xml:space="preserve"> group practice</w:t>
      </w:r>
      <w:r w:rsidR="00CD0CA9" w:rsidRPr="00CB32B1">
        <w:t xml:space="preserve"> and data collection/recording)</w:t>
      </w:r>
    </w:p>
    <w:p w:rsidR="002C5ECC" w:rsidRPr="00CB32B1" w:rsidRDefault="002C2360" w:rsidP="00F702B4">
      <w:pPr>
        <w:pStyle w:val="ListBullet"/>
      </w:pPr>
      <w:r>
        <w:t>t</w:t>
      </w:r>
      <w:r w:rsidR="002C5ECC" w:rsidRPr="00CB32B1">
        <w:t>here may be components of the eligible midwifery status that are not necessary for PII for PPMs and that may be p</w:t>
      </w:r>
      <w:r w:rsidR="00CD0CA9" w:rsidRPr="00CB32B1">
        <w:t>recluding PPMs from registering</w:t>
      </w:r>
    </w:p>
    <w:p w:rsidR="002C5ECC" w:rsidRPr="00CB32B1" w:rsidRDefault="002C2360" w:rsidP="00F702B4">
      <w:pPr>
        <w:pStyle w:val="ListBullet"/>
      </w:pPr>
      <w:r>
        <w:t>s</w:t>
      </w:r>
      <w:r w:rsidR="002C5ECC" w:rsidRPr="00CB32B1">
        <w:t xml:space="preserve">ome stakeholders held the belief that components or requirements for eligible midwives required an update or </w:t>
      </w:r>
      <w:r w:rsidR="00BB48E2">
        <w:t xml:space="preserve">needed to </w:t>
      </w:r>
      <w:r w:rsidR="002C5ECC" w:rsidRPr="00CB32B1">
        <w:t>be iterated and modified subsequent to their introduction.</w:t>
      </w:r>
    </w:p>
    <w:p w:rsidR="002C5ECC" w:rsidRPr="00CB32B1" w:rsidRDefault="002C5ECC" w:rsidP="002C5ECC">
      <w:pPr>
        <w:pStyle w:val="PwCNormal"/>
      </w:pPr>
      <w:r w:rsidRPr="00CB32B1">
        <w:t>Unintended consequences similar to those discussed in the previous section were identified in consultations which the NMBA should consider when assessing this option of a separate registration</w:t>
      </w:r>
      <w:r w:rsidR="003D4649">
        <w:t xml:space="preserve"> </w:t>
      </w:r>
      <w:r w:rsidRPr="00CB32B1">
        <w:t>class.</w:t>
      </w:r>
    </w:p>
    <w:p w:rsidR="002C5ECC" w:rsidRPr="00CB32B1" w:rsidRDefault="002C5ECC" w:rsidP="002F3F74">
      <w:pPr>
        <w:pStyle w:val="Minorheading2"/>
      </w:pPr>
      <w:r w:rsidRPr="00CB32B1">
        <w:t>Require PPMs to practise with an eligible midwife</w:t>
      </w:r>
    </w:p>
    <w:p w:rsidR="002C5ECC" w:rsidRPr="00CB32B1" w:rsidRDefault="002C5ECC" w:rsidP="002C5ECC">
      <w:pPr>
        <w:pStyle w:val="PwCNormal"/>
      </w:pPr>
      <w:r w:rsidRPr="00CB32B1">
        <w:t xml:space="preserve">It was identified in consultations </w:t>
      </w:r>
      <w:r w:rsidR="00F125A9">
        <w:t xml:space="preserve">with a range of stakeholder groups </w:t>
      </w:r>
      <w:r w:rsidRPr="00CB32B1">
        <w:t xml:space="preserve">that registering either as an eligible midwife or as a PPM within a special class may prohibit practice or cause unintended consequences. An alternative option </w:t>
      </w:r>
      <w:r w:rsidR="00F125A9">
        <w:t>raised within some consultations was</w:t>
      </w:r>
      <w:r w:rsidRPr="00CB32B1">
        <w:t xml:space="preserve"> to require </w:t>
      </w:r>
      <w:r w:rsidR="003D4649">
        <w:t>PPMs</w:t>
      </w:r>
      <w:r w:rsidRPr="00CB32B1">
        <w:t xml:space="preserve"> to practise with an eligible midwife. The intent suggested is that an eligible midwife, with additional requirements to become eligible and monitoring requirements may support improved safety and quality in practice. International consultations identified that an additional experienced attendant at the birth assists in reducing the risk as there is an assumed level of competency. Having an eligible midwife in attendance could achieve several functions:</w:t>
      </w:r>
    </w:p>
    <w:p w:rsidR="002C5ECC" w:rsidRPr="00CB32B1" w:rsidRDefault="002C5ECC" w:rsidP="002F3F74">
      <w:pPr>
        <w:pStyle w:val="ListBullet"/>
      </w:pPr>
      <w:r w:rsidRPr="00CB32B1">
        <w:rPr>
          <w:b/>
          <w:color w:val="DC6900" w:themeColor="text2"/>
        </w:rPr>
        <w:t>Supports a group model:</w:t>
      </w:r>
      <w:r w:rsidRPr="00CB32B1">
        <w:t xml:space="preserve"> </w:t>
      </w:r>
      <w:r w:rsidR="003D4649">
        <w:t>a</w:t>
      </w:r>
      <w:r w:rsidRPr="00CB32B1">
        <w:t>s outlined in Option 2, group models are seen to support safe practice and can support the professional develop</w:t>
      </w:r>
      <w:r w:rsidR="00CD0CA9" w:rsidRPr="00CB32B1">
        <w:t>ment and competency of midwives</w:t>
      </w:r>
    </w:p>
    <w:p w:rsidR="002C5ECC" w:rsidRPr="00CB32B1" w:rsidRDefault="002C5ECC" w:rsidP="002F3F74">
      <w:pPr>
        <w:pStyle w:val="ListBullet"/>
      </w:pPr>
      <w:r w:rsidRPr="00CB32B1">
        <w:rPr>
          <w:b/>
          <w:color w:val="DC6900" w:themeColor="text2"/>
        </w:rPr>
        <w:t>Competency:</w:t>
      </w:r>
      <w:r w:rsidRPr="00CB32B1">
        <w:t xml:space="preserve"> </w:t>
      </w:r>
      <w:r w:rsidR="003D4649">
        <w:t>i</w:t>
      </w:r>
      <w:r w:rsidRPr="00CB32B1">
        <w:t>t provides insurers with an understanding of a certain level of competency, experience and s</w:t>
      </w:r>
      <w:r w:rsidR="00CD0CA9" w:rsidRPr="00CB32B1">
        <w:t>kill in attendance at the birth</w:t>
      </w:r>
    </w:p>
    <w:p w:rsidR="002C5ECC" w:rsidRPr="00CB32B1" w:rsidRDefault="002C5ECC" w:rsidP="002F3F74">
      <w:pPr>
        <w:pStyle w:val="ListBullet"/>
      </w:pPr>
      <w:r w:rsidRPr="00CB32B1">
        <w:rPr>
          <w:b/>
          <w:color w:val="DC6900" w:themeColor="text2"/>
        </w:rPr>
        <w:t>Monitoring and data:</w:t>
      </w:r>
      <w:r w:rsidRPr="00CB32B1">
        <w:t xml:space="preserve"> </w:t>
      </w:r>
      <w:r w:rsidR="003D4649">
        <w:t>i</w:t>
      </w:r>
      <w:r w:rsidRPr="00CB32B1">
        <w:t>t has the potential for additional information to be collected and provided by the eligible midwife which otherwise would not have been provided.</w:t>
      </w:r>
    </w:p>
    <w:p w:rsidR="002C5ECC" w:rsidRPr="00CB32B1" w:rsidRDefault="002C5ECC" w:rsidP="002C5ECC">
      <w:pPr>
        <w:pStyle w:val="PwCNormal"/>
      </w:pPr>
      <w:r w:rsidRPr="00CB32B1">
        <w:t xml:space="preserve">These have each been identified within our research as important to reduce the risk profile of PPMs for the purpose of </w:t>
      </w:r>
      <w:r w:rsidR="00E25231">
        <w:t>PII</w:t>
      </w:r>
      <w:r w:rsidRPr="00CB32B1">
        <w:t>. However, whether these functions would be achieved needs to be investigated further.</w:t>
      </w:r>
    </w:p>
    <w:p w:rsidR="002C5ECC" w:rsidRPr="00CB32B1" w:rsidRDefault="002C5ECC" w:rsidP="002C5ECC">
      <w:pPr>
        <w:pStyle w:val="PwCNormal"/>
      </w:pPr>
      <w:r w:rsidRPr="00CB32B1">
        <w:t>The challenge with this model in Australia is that there is a relatively small number of midwives registered as eligible midwifes. As a result, there may be an insufficient number to facilitate this option. Requiring a small number of health professionals to work together when there are not enough of them may have the unintended consequence (not directly related to PII for PPMs) where service accessibility to women is reduced. The alternative, looking to models in other jurisdictions, is requiring more than one in attendance. This is discussed in further detail in Option 2 below.</w:t>
      </w:r>
    </w:p>
    <w:p w:rsidR="002C5ECC" w:rsidRPr="00CB32B1" w:rsidRDefault="002C5ECC" w:rsidP="00E92678">
      <w:pPr>
        <w:pStyle w:val="Minorheading"/>
      </w:pPr>
      <w:r w:rsidRPr="00CB32B1">
        <w:t>Option 2: PPM practice models</w:t>
      </w:r>
    </w:p>
    <w:tbl>
      <w:tblPr>
        <w:tblStyle w:val="TableGrid"/>
        <w:tblW w:w="0" w:type="auto"/>
        <w:tblBorders>
          <w:top w:val="single" w:sz="4" w:space="0" w:color="DC6900" w:themeColor="text2"/>
          <w:left w:val="single" w:sz="4" w:space="0" w:color="DC6900" w:themeColor="text2"/>
          <w:bottom w:val="single" w:sz="4" w:space="0" w:color="DC6900" w:themeColor="text2"/>
          <w:right w:val="single" w:sz="4" w:space="0" w:color="DC6900" w:themeColor="text2"/>
          <w:insideH w:val="none" w:sz="0" w:space="0" w:color="auto"/>
          <w:insideV w:val="none" w:sz="0" w:space="0" w:color="auto"/>
        </w:tblBorders>
        <w:tblLook w:val="04A0"/>
      </w:tblPr>
      <w:tblGrid>
        <w:gridCol w:w="9285"/>
      </w:tblGrid>
      <w:tr w:rsidR="00E92678" w:rsidRPr="00CB32B1" w:rsidTr="005D672F">
        <w:tc>
          <w:tcPr>
            <w:tcW w:w="9288" w:type="dxa"/>
          </w:tcPr>
          <w:p w:rsidR="00E92678" w:rsidRPr="00CB32B1" w:rsidRDefault="00E92678" w:rsidP="005D672F">
            <w:pPr>
              <w:pStyle w:val="TableTextNormal"/>
              <w:rPr>
                <w:b/>
                <w:color w:val="DC6900" w:themeColor="text2"/>
              </w:rPr>
            </w:pPr>
            <w:r w:rsidRPr="00CB32B1">
              <w:rPr>
                <w:b/>
                <w:color w:val="DC6900" w:themeColor="text2"/>
              </w:rPr>
              <w:t xml:space="preserve">Explore the facilitation of different options for private midwifery practice, </w:t>
            </w:r>
            <w:r w:rsidR="00854DEF" w:rsidRPr="00CB32B1">
              <w:rPr>
                <w:b/>
                <w:color w:val="DC6900" w:themeColor="text2"/>
              </w:rPr>
              <w:t>ie</w:t>
            </w:r>
            <w:r w:rsidRPr="00CB32B1">
              <w:rPr>
                <w:b/>
                <w:color w:val="DC6900" w:themeColor="text2"/>
              </w:rPr>
              <w:t xml:space="preserve"> partnership or group legal entities as mandated for service delivery to the extent that it does not restrict practice or violate trade and practices legislation.</w:t>
            </w:r>
          </w:p>
        </w:tc>
      </w:tr>
    </w:tbl>
    <w:p w:rsidR="002C5ECC" w:rsidRPr="00CB32B1" w:rsidRDefault="002C5ECC" w:rsidP="00404DFC">
      <w:pPr>
        <w:pStyle w:val="PwCNormal"/>
        <w:spacing w:before="120"/>
      </w:pPr>
      <w:r w:rsidRPr="00CB32B1">
        <w:t>Each jurisdiction researched identified the importance of the following, for the development of PII for</w:t>
      </w:r>
      <w:r w:rsidR="003D4649">
        <w:t xml:space="preserve"> </w:t>
      </w:r>
      <w:r w:rsidRPr="00CB32B1">
        <w:t>PPMs:</w:t>
      </w:r>
    </w:p>
    <w:p w:rsidR="002C5ECC" w:rsidRPr="00CB32B1" w:rsidRDefault="002C5ECC" w:rsidP="00EE5D7D">
      <w:pPr>
        <w:pStyle w:val="ListBullet"/>
      </w:pPr>
      <w:r w:rsidRPr="00CB32B1">
        <w:rPr>
          <w:b/>
          <w:color w:val="DC6900" w:themeColor="text2"/>
        </w:rPr>
        <w:t>Training and development:</w:t>
      </w:r>
      <w:r w:rsidRPr="00CB32B1">
        <w:t xml:space="preserve"> Midwives should hol</w:t>
      </w:r>
      <w:r w:rsidR="00CD0CA9" w:rsidRPr="00CB32B1">
        <w:t>d a certain level of competency</w:t>
      </w:r>
    </w:p>
    <w:p w:rsidR="002C5ECC" w:rsidRPr="00CB32B1" w:rsidRDefault="002C5ECC" w:rsidP="00EE5D7D">
      <w:pPr>
        <w:pStyle w:val="ListBullet"/>
      </w:pPr>
      <w:r w:rsidRPr="00CB32B1">
        <w:rPr>
          <w:b/>
          <w:color w:val="DC6900" w:themeColor="text2"/>
        </w:rPr>
        <w:t>Collegiate support:</w:t>
      </w:r>
      <w:r w:rsidRPr="00CB32B1">
        <w:t xml:space="preserve"> Midwives should have support in terms of service delivery as well as training.</w:t>
      </w:r>
    </w:p>
    <w:p w:rsidR="002C5ECC" w:rsidRPr="00CB32B1" w:rsidRDefault="002C5ECC" w:rsidP="002C5ECC">
      <w:pPr>
        <w:pStyle w:val="PwCNormal"/>
      </w:pPr>
      <w:r w:rsidRPr="00CB32B1">
        <w:t>As a result, the research offers several considerations for the NMBA:</w:t>
      </w:r>
    </w:p>
    <w:p w:rsidR="002C5ECC" w:rsidRPr="00CB32B1" w:rsidRDefault="002C5ECC" w:rsidP="00EE5D7D">
      <w:pPr>
        <w:pStyle w:val="Minorheading2"/>
      </w:pPr>
      <w:r w:rsidRPr="00CB32B1">
        <w:t>Supervisor models</w:t>
      </w:r>
    </w:p>
    <w:p w:rsidR="002C5ECC" w:rsidRDefault="002C5ECC" w:rsidP="002C5ECC">
      <w:pPr>
        <w:pStyle w:val="PwCNormal"/>
      </w:pPr>
      <w:r w:rsidRPr="00CB32B1">
        <w:t xml:space="preserve">NMBA should consider avenues to </w:t>
      </w:r>
      <w:r w:rsidR="00F125A9">
        <w:t>support</w:t>
      </w:r>
      <w:r w:rsidRPr="00CB32B1">
        <w:t xml:space="preserve"> the level of competency in PPMs</w:t>
      </w:r>
      <w:r w:rsidR="00F125A9">
        <w:t xml:space="preserve"> including establishing performance standards and developing assurance mechanisms that these are being maintained. This is because</w:t>
      </w:r>
      <w:r w:rsidRPr="00CB32B1">
        <w:t xml:space="preserve"> a certain level of competency in PPM practice has been identified within consultations as important. It provides a level of comfort over the person being insured, and assumes a level of risk that would be undertaken based on experience and skill. Completing ongoing training and professional development was identified as important so that ongoing best practice can be understood. As a resul</w:t>
      </w:r>
      <w:r w:rsidR="00BB48E2">
        <w:t xml:space="preserve">t, many insurers, including </w:t>
      </w:r>
      <w:r w:rsidRPr="00CB32B1">
        <w:t>MIGA, provide training and development as a part of the product.</w:t>
      </w:r>
    </w:p>
    <w:tbl>
      <w:tblPr>
        <w:tblStyle w:val="TableGrid"/>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418"/>
        <w:gridCol w:w="360"/>
        <w:gridCol w:w="3510"/>
      </w:tblGrid>
      <w:tr w:rsidR="007A0E9E" w:rsidRPr="00CB32B1" w:rsidTr="00CC7C19">
        <w:tc>
          <w:tcPr>
            <w:tcW w:w="5418" w:type="dxa"/>
          </w:tcPr>
          <w:p w:rsidR="007A0E9E" w:rsidRPr="00CB32B1" w:rsidRDefault="000132F6" w:rsidP="000132F6">
            <w:pPr>
              <w:pStyle w:val="PwCNormal"/>
            </w:pPr>
            <w:r w:rsidRPr="00CB32B1">
              <w:t>Building on training and development, several consultations highlighted that the implementation of supervisor models could improve the risk profile of PPM by enhancing safe practice.</w:t>
            </w:r>
            <w:r>
              <w:t xml:space="preserve"> </w:t>
            </w:r>
            <w:r w:rsidR="00CC7C19" w:rsidRPr="00CB32B1">
              <w:t>Supervisor models (see Chapter 4 – England) involve each midwife being assigned a supervisor. These supervisors are intended to provide guidance and support for midwives in their care of women.</w:t>
            </w:r>
          </w:p>
        </w:tc>
        <w:tc>
          <w:tcPr>
            <w:tcW w:w="360" w:type="dxa"/>
          </w:tcPr>
          <w:p w:rsidR="007A0E9E" w:rsidRPr="00CB32B1" w:rsidRDefault="007A0E9E" w:rsidP="005D672F">
            <w:pPr>
              <w:pStyle w:val="TableTextNormal"/>
              <w:keepNext/>
              <w:keepLines/>
            </w:pPr>
          </w:p>
        </w:tc>
        <w:tc>
          <w:tcPr>
            <w:tcW w:w="3510" w:type="dxa"/>
            <w:shd w:val="clear" w:color="auto" w:fill="DC6900" w:themeFill="text2"/>
            <w:vAlign w:val="center"/>
          </w:tcPr>
          <w:p w:rsidR="007A0E9E" w:rsidRPr="003D4649" w:rsidRDefault="007A0E9E" w:rsidP="005D672F">
            <w:pPr>
              <w:pStyle w:val="TableTextNormal"/>
              <w:keepNext/>
              <w:keepLines/>
              <w:rPr>
                <w:b/>
                <w:i/>
                <w:color w:val="FFFFFF" w:themeColor="background1"/>
              </w:rPr>
            </w:pPr>
            <w:r w:rsidRPr="003D4649">
              <w:rPr>
                <w:b/>
                <w:i/>
                <w:color w:val="FFFFFF" w:themeColor="background1"/>
              </w:rPr>
              <w:t>“Supervision, where it works well, seeks to foster an environment of supportive, safe and effective practice”</w:t>
            </w:r>
          </w:p>
          <w:p w:rsidR="007A0E9E" w:rsidRPr="00CB32B1" w:rsidRDefault="0083432B" w:rsidP="0083432B">
            <w:pPr>
              <w:pStyle w:val="TableTextNormal"/>
              <w:keepNext/>
              <w:keepLines/>
              <w:spacing w:before="40" w:after="40"/>
              <w:jc w:val="right"/>
              <w:rPr>
                <w:i/>
                <w:sz w:val="16"/>
                <w:szCs w:val="16"/>
              </w:rPr>
            </w:pPr>
            <w:r w:rsidRPr="00CB32B1">
              <w:rPr>
                <w:i/>
                <w:color w:val="FFFFFF" w:themeColor="background1"/>
                <w:sz w:val="16"/>
                <w:szCs w:val="16"/>
              </w:rPr>
              <w:t>(</w:t>
            </w:r>
            <w:r w:rsidR="007A0E9E" w:rsidRPr="00CB32B1">
              <w:rPr>
                <w:i/>
                <w:color w:val="FFFFFF" w:themeColor="background1"/>
                <w:sz w:val="16"/>
                <w:szCs w:val="16"/>
              </w:rPr>
              <w:t>Lewis P, 2012</w:t>
            </w:r>
            <w:r w:rsidRPr="00CB32B1">
              <w:rPr>
                <w:i/>
                <w:color w:val="FFFFFF" w:themeColor="background1"/>
                <w:sz w:val="16"/>
                <w:szCs w:val="16"/>
              </w:rPr>
              <w:t>)</w:t>
            </w:r>
          </w:p>
        </w:tc>
      </w:tr>
      <w:tr w:rsidR="007A0E9E" w:rsidRPr="00CB32B1" w:rsidTr="00CC7C19">
        <w:trPr>
          <w:trHeight w:hRule="exact" w:val="86"/>
        </w:trPr>
        <w:tc>
          <w:tcPr>
            <w:tcW w:w="5418" w:type="dxa"/>
          </w:tcPr>
          <w:p w:rsidR="007A0E9E" w:rsidRPr="00CB32B1" w:rsidRDefault="007A0E9E" w:rsidP="005D672F">
            <w:pPr>
              <w:pStyle w:val="TableTextNormal"/>
            </w:pPr>
          </w:p>
          <w:p w:rsidR="00CC7C19" w:rsidRPr="00CB32B1" w:rsidRDefault="00CC7C19" w:rsidP="005D672F">
            <w:pPr>
              <w:pStyle w:val="TableTextNormal"/>
            </w:pPr>
          </w:p>
        </w:tc>
        <w:tc>
          <w:tcPr>
            <w:tcW w:w="360" w:type="dxa"/>
            <w:shd w:val="clear" w:color="auto" w:fill="DC6900" w:themeFill="text2"/>
          </w:tcPr>
          <w:p w:rsidR="007A0E9E" w:rsidRPr="00CB32B1" w:rsidRDefault="007A0E9E" w:rsidP="005D672F">
            <w:pPr>
              <w:pStyle w:val="TableTextNormal"/>
            </w:pPr>
          </w:p>
        </w:tc>
        <w:tc>
          <w:tcPr>
            <w:tcW w:w="3510" w:type="dxa"/>
          </w:tcPr>
          <w:p w:rsidR="007A0E9E" w:rsidRPr="00CB32B1" w:rsidRDefault="007A0E9E" w:rsidP="005D672F">
            <w:pPr>
              <w:pStyle w:val="TableTextNormal"/>
            </w:pPr>
          </w:p>
        </w:tc>
      </w:tr>
    </w:tbl>
    <w:p w:rsidR="00CC7C19" w:rsidRPr="00CB32B1" w:rsidRDefault="00CC7C19" w:rsidP="008C4271">
      <w:pPr>
        <w:pStyle w:val="PwCNormal"/>
        <w:spacing w:before="120"/>
      </w:pPr>
      <w:r w:rsidRPr="00CB32B1">
        <w:t xml:space="preserve">There were two schools of thought </w:t>
      </w:r>
      <w:r w:rsidR="00BB48E2">
        <w:t xml:space="preserve">from those consulted, </w:t>
      </w:r>
      <w:r w:rsidRPr="00CB32B1">
        <w:t>in relation to supervisor models which would need further consideration by the NMBA. Some stakeholders felt that while this model could support not only training and development but safe care, its value was lost if PPMs were not provided with PPM supervisors. This was because it was felt that other midwives (</w:t>
      </w:r>
      <w:r w:rsidR="00F125A9">
        <w:t>such as those that do not currently practise in the community</w:t>
      </w:r>
      <w:r w:rsidRPr="00CB32B1">
        <w:t xml:space="preserve">) could not provide sufficient and relevant insight into the challenges of PPM practice. Given the current number of </w:t>
      </w:r>
      <w:r w:rsidR="000132F6">
        <w:t>PPMs</w:t>
      </w:r>
      <w:r w:rsidRPr="00CB32B1">
        <w:t>, assigning a sufficient number of supervisors could be problematic. In contrast, others believed that given the scope of practice of midwives adequately allows a PPM to be assigned a non-PPM supervisor.</w:t>
      </w:r>
    </w:p>
    <w:p w:rsidR="002C5ECC" w:rsidRPr="00CB32B1" w:rsidRDefault="002C5ECC" w:rsidP="008C4271">
      <w:pPr>
        <w:pStyle w:val="PwCNormal"/>
        <w:spacing w:before="120"/>
      </w:pPr>
      <w:r w:rsidRPr="00CB32B1">
        <w:t>Furthermore, the literature states that increasing regulation and bureaucracy in the model, as well as the negative approach undertaken (</w:t>
      </w:r>
      <w:r w:rsidR="00854DEF" w:rsidRPr="00CB32B1">
        <w:t>ie</w:t>
      </w:r>
      <w:r w:rsidRPr="00CB32B1">
        <w:t xml:space="preserve"> where midwives are policed in practice and criticised or punished for adverse outcomes) can diminish its benefits.</w:t>
      </w:r>
      <w:r w:rsidR="00BF6367" w:rsidRPr="00CB32B1">
        <w:rPr>
          <w:rStyle w:val="FootnoteReference"/>
        </w:rPr>
        <w:footnoteReference w:id="272"/>
      </w:r>
      <w:r w:rsidR="00854DEF" w:rsidRPr="00CB32B1">
        <w:t xml:space="preserve"> </w:t>
      </w:r>
      <w:r w:rsidRPr="00CB32B1">
        <w:t>Therefore, further consideration of the structure and practical application of the supervisor model w</w:t>
      </w:r>
      <w:r w:rsidR="00BB48E2">
        <w:t>ould</w:t>
      </w:r>
      <w:r w:rsidRPr="00CB32B1">
        <w:t xml:space="preserve"> need to be tested further</w:t>
      </w:r>
      <w:r w:rsidR="00021DF5">
        <w:t xml:space="preserve"> for applicability in the Australian context</w:t>
      </w:r>
      <w:r w:rsidRPr="00CB32B1">
        <w:t>.</w:t>
      </w:r>
    </w:p>
    <w:p w:rsidR="002C5ECC" w:rsidRPr="00CB32B1" w:rsidRDefault="002C5ECC" w:rsidP="008C4271">
      <w:pPr>
        <w:pStyle w:val="Minorheading2"/>
      </w:pPr>
      <w:r w:rsidRPr="00CB32B1">
        <w:t>Group practice</w:t>
      </w:r>
    </w:p>
    <w:p w:rsidR="002C5ECC" w:rsidRPr="00CB32B1" w:rsidRDefault="002C5ECC" w:rsidP="002C5ECC">
      <w:pPr>
        <w:pStyle w:val="PwCNormal"/>
      </w:pPr>
      <w:r w:rsidRPr="00CB32B1">
        <w:t>Group practice is a model that many who were consulted with felt should be considered by the NMBA to regulate as a requirement of practice, or alternatively, be a requirement of insurance. This is for several reasons, each making PPM practice more favourable in terms of PII:</w:t>
      </w:r>
    </w:p>
    <w:p w:rsidR="002C5ECC" w:rsidRPr="00CB32B1" w:rsidRDefault="002C5ECC" w:rsidP="008C4271">
      <w:pPr>
        <w:pStyle w:val="ListBullet"/>
      </w:pPr>
      <w:r w:rsidRPr="00CB32B1">
        <w:rPr>
          <w:b/>
          <w:color w:val="DC6900" w:themeColor="text2"/>
        </w:rPr>
        <w:t>More than one attendant at birth:</w:t>
      </w:r>
      <w:r w:rsidRPr="00CB32B1">
        <w:rPr>
          <w:b/>
        </w:rPr>
        <w:t xml:space="preserve"> </w:t>
      </w:r>
      <w:r w:rsidR="000132F6">
        <w:t>h</w:t>
      </w:r>
      <w:r w:rsidRPr="00CB32B1">
        <w:t xml:space="preserve">aving more than one attendant at a birth was identified in each </w:t>
      </w:r>
      <w:r w:rsidR="005A16C9" w:rsidRPr="00CB32B1">
        <w:t>jurisdiction</w:t>
      </w:r>
      <w:r w:rsidRPr="00CB32B1">
        <w:t xml:space="preserve"> researched, whether they were other midwives or other health professionals. This assisted the risk profile as there was another person to assess the woman and provide assistance in the delivery o</w:t>
      </w:r>
      <w:r w:rsidR="00CD0CA9" w:rsidRPr="00CB32B1">
        <w:t>f safe care and decision-making</w:t>
      </w:r>
    </w:p>
    <w:p w:rsidR="002C5ECC" w:rsidRPr="00CB32B1" w:rsidRDefault="002C5ECC" w:rsidP="008C4271">
      <w:pPr>
        <w:pStyle w:val="ListBullet"/>
      </w:pPr>
      <w:r w:rsidRPr="00CB32B1">
        <w:rPr>
          <w:b/>
          <w:color w:val="DC6900" w:themeColor="text2"/>
        </w:rPr>
        <w:t>Cover for workload:</w:t>
      </w:r>
      <w:r w:rsidRPr="00CB32B1">
        <w:t xml:space="preserve"> </w:t>
      </w:r>
      <w:r w:rsidR="000132F6">
        <w:t>i</w:t>
      </w:r>
      <w:r w:rsidRPr="00CB32B1">
        <w:t>t was identified that by having a group practice, it was possible for midwives to share workloads, particularly when more than one mother was in labour at the same time. Through this, timely and safe p</w:t>
      </w:r>
      <w:r w:rsidR="00CD0CA9" w:rsidRPr="00CB32B1">
        <w:t>ractice could still be provided</w:t>
      </w:r>
    </w:p>
    <w:p w:rsidR="002C5ECC" w:rsidRPr="00CB32B1" w:rsidRDefault="002C5ECC" w:rsidP="008C4271">
      <w:pPr>
        <w:pStyle w:val="ListBullet"/>
      </w:pPr>
      <w:r w:rsidRPr="00CB32B1">
        <w:rPr>
          <w:b/>
          <w:color w:val="DC6900" w:themeColor="text2"/>
        </w:rPr>
        <w:t>Insurance arrangements as a legal entity:</w:t>
      </w:r>
      <w:r w:rsidRPr="00CB32B1">
        <w:t xml:space="preserve"> </w:t>
      </w:r>
      <w:r w:rsidR="000132F6">
        <w:t>a</w:t>
      </w:r>
      <w:r w:rsidRPr="00CB32B1">
        <w:t>s shown in the English independent midwifery PII model, the insuring of a legal entity (</w:t>
      </w:r>
      <w:r w:rsidR="00854DEF" w:rsidRPr="00CB32B1">
        <w:t>ie</w:t>
      </w:r>
      <w:r w:rsidRPr="00CB32B1">
        <w:t xml:space="preserve"> a group practice) facilitated the development of a PII produ</w:t>
      </w:r>
      <w:r w:rsidR="00CD0CA9" w:rsidRPr="00CB32B1">
        <w:t>ct (see Chapter 4 and Option 6)</w:t>
      </w:r>
    </w:p>
    <w:p w:rsidR="002C5ECC" w:rsidRPr="00CB32B1" w:rsidRDefault="002C5ECC" w:rsidP="008C4271">
      <w:pPr>
        <w:pStyle w:val="ListBullet"/>
      </w:pPr>
      <w:r w:rsidRPr="00CB32B1">
        <w:rPr>
          <w:b/>
          <w:color w:val="DC6900" w:themeColor="text2"/>
        </w:rPr>
        <w:t xml:space="preserve">Quality accreditation: </w:t>
      </w:r>
      <w:r w:rsidR="000132F6">
        <w:t>a</w:t>
      </w:r>
      <w:r w:rsidRPr="00CB32B1">
        <w:t>s a group practice, as seen in the English model, additional quality accreditation standards were required to be met as a part of registering the entity as a health care provider. This gave the insurer insight, through official accreditation, over</w:t>
      </w:r>
      <w:r w:rsidR="00CD0CA9" w:rsidRPr="00CB32B1">
        <w:t xml:space="preserve"> the risk assumed by the entity</w:t>
      </w:r>
    </w:p>
    <w:p w:rsidR="002C5ECC" w:rsidRPr="00CB32B1" w:rsidRDefault="002C5ECC" w:rsidP="008C4271">
      <w:pPr>
        <w:pStyle w:val="ListBullet"/>
      </w:pPr>
      <w:r w:rsidRPr="00CB32B1">
        <w:rPr>
          <w:b/>
          <w:color w:val="DC6900" w:themeColor="text2"/>
        </w:rPr>
        <w:t xml:space="preserve">Collegiate support: </w:t>
      </w:r>
      <w:r w:rsidR="000132F6">
        <w:t>o</w:t>
      </w:r>
      <w:r w:rsidRPr="00CB32B1">
        <w:t>ne success identified of the legal entity model was that there was a vested interest in the owners of the practice to support the development and competency of other joint owners of the business, not only for collegiality but also in terms of the risk attached to premiums for the business. As a result, they could assist one another. This was seen to support the development of a PII product.</w:t>
      </w:r>
    </w:p>
    <w:p w:rsidR="002C5ECC" w:rsidRPr="00CB32B1" w:rsidRDefault="002C5ECC" w:rsidP="002C5ECC">
      <w:pPr>
        <w:pStyle w:val="PwCNormal"/>
      </w:pPr>
      <w:r w:rsidRPr="00CB32B1">
        <w:t>Again, issues were identified in terms of the group practice, the main one being the small number of PPMs currently practising which would need to be overcome (</w:t>
      </w:r>
      <w:r w:rsidR="00854DEF" w:rsidRPr="00CB32B1">
        <w:t>eg</w:t>
      </w:r>
      <w:r w:rsidRPr="00CB32B1">
        <w:t xml:space="preserve"> through having multiple locations of practice). If a group practice was mandated, then this may result in the same unintended consequences as described in </w:t>
      </w:r>
      <w:r w:rsidR="00BB48E2">
        <w:t xml:space="preserve">the </w:t>
      </w:r>
      <w:r w:rsidRPr="00CB32B1">
        <w:t>previous Option, of limiting access of birth options for women. In their role, the ACM may be an appropriate entity to pursue this consideration further as opposed to the NMBA in their regulatory role. Another consideration is whether this would be considered as restrictive trade practice. Therefore further investigation on the practicalities of this model may be required by entities such as the Australian Competition and Consumer Commission (ACCC).</w:t>
      </w:r>
    </w:p>
    <w:p w:rsidR="002C5ECC" w:rsidRPr="00CB32B1" w:rsidRDefault="002C5ECC" w:rsidP="00F56932">
      <w:pPr>
        <w:pStyle w:val="Minorheading"/>
      </w:pPr>
      <w:r w:rsidRPr="00CB32B1">
        <w:t>Option 3: Frameworks for care</w:t>
      </w:r>
    </w:p>
    <w:tbl>
      <w:tblPr>
        <w:tblStyle w:val="TableGrid"/>
        <w:tblW w:w="0" w:type="auto"/>
        <w:tblBorders>
          <w:top w:val="single" w:sz="4" w:space="0" w:color="DC6900" w:themeColor="text2"/>
          <w:left w:val="single" w:sz="4" w:space="0" w:color="DC6900" w:themeColor="text2"/>
          <w:bottom w:val="single" w:sz="4" w:space="0" w:color="DC6900" w:themeColor="text2"/>
          <w:right w:val="single" w:sz="4" w:space="0" w:color="DC6900" w:themeColor="text2"/>
          <w:insideH w:val="none" w:sz="0" w:space="0" w:color="auto"/>
          <w:insideV w:val="none" w:sz="0" w:space="0" w:color="auto"/>
        </w:tblBorders>
        <w:tblLook w:val="04A0"/>
      </w:tblPr>
      <w:tblGrid>
        <w:gridCol w:w="9285"/>
      </w:tblGrid>
      <w:tr w:rsidR="00F56932" w:rsidRPr="00CB32B1" w:rsidTr="005D672F">
        <w:tc>
          <w:tcPr>
            <w:tcW w:w="9288" w:type="dxa"/>
          </w:tcPr>
          <w:p w:rsidR="00F56932" w:rsidRPr="00CB32B1" w:rsidRDefault="00F56932" w:rsidP="00BB48E2">
            <w:pPr>
              <w:pStyle w:val="TableTextNormal"/>
              <w:rPr>
                <w:b/>
                <w:color w:val="DC6900" w:themeColor="text2"/>
              </w:rPr>
            </w:pPr>
            <w:r w:rsidRPr="00CB32B1">
              <w:rPr>
                <w:b/>
                <w:color w:val="DC6900" w:themeColor="text2"/>
              </w:rPr>
              <w:t xml:space="preserve">Develop clearer national safety and quality (including risk assessment) frameworks for </w:t>
            </w:r>
            <w:r w:rsidR="00137FC3" w:rsidRPr="00137FC3">
              <w:rPr>
                <w:b/>
                <w:color w:val="DC6900" w:themeColor="text2"/>
              </w:rPr>
              <w:t>births in the community</w:t>
            </w:r>
            <w:r w:rsidRPr="00CB32B1">
              <w:rPr>
                <w:b/>
                <w:color w:val="DC6900" w:themeColor="text2"/>
              </w:rPr>
              <w:t xml:space="preserve"> and support models for PPMs that address compliance</w:t>
            </w:r>
            <w:r w:rsidR="00BB48E2">
              <w:rPr>
                <w:b/>
                <w:color w:val="DC6900" w:themeColor="text2"/>
              </w:rPr>
              <w:t>,</w:t>
            </w:r>
            <w:r w:rsidRPr="00CB32B1">
              <w:rPr>
                <w:b/>
                <w:color w:val="DC6900" w:themeColor="text2"/>
              </w:rPr>
              <w:t xml:space="preserve"> complaints and the capability to meet the framework requirements</w:t>
            </w:r>
            <w:r w:rsidR="00B754B2" w:rsidRPr="00CB32B1">
              <w:rPr>
                <w:b/>
                <w:color w:val="DC6900" w:themeColor="text2"/>
              </w:rPr>
              <w:t>.</w:t>
            </w:r>
          </w:p>
        </w:tc>
      </w:tr>
    </w:tbl>
    <w:p w:rsidR="002C5ECC" w:rsidRPr="00CB32B1" w:rsidRDefault="002C5ECC" w:rsidP="00F56932">
      <w:pPr>
        <w:pStyle w:val="PwCNormal"/>
        <w:spacing w:before="120"/>
      </w:pPr>
      <w:r w:rsidRPr="00CB32B1">
        <w:t>Currently, the findings identified uncertainty around:</w:t>
      </w:r>
    </w:p>
    <w:p w:rsidR="002C5ECC" w:rsidRPr="00CB32B1" w:rsidRDefault="002C5ECC" w:rsidP="00F56932">
      <w:pPr>
        <w:pStyle w:val="ListBullet"/>
      </w:pPr>
      <w:r w:rsidRPr="00CB32B1">
        <w:t>the scope of practice of PPMs (and other health professionals) in terms of the frameworks under which PPMs practise</w:t>
      </w:r>
    </w:p>
    <w:p w:rsidR="002C5ECC" w:rsidRPr="00CB32B1" w:rsidRDefault="000132F6" w:rsidP="00F56932">
      <w:pPr>
        <w:pStyle w:val="ListBullet"/>
      </w:pPr>
      <w:r>
        <w:t>assessment of</w:t>
      </w:r>
      <w:r w:rsidR="002C5ECC" w:rsidRPr="00CB32B1">
        <w:t xml:space="preserve"> best practice</w:t>
      </w:r>
    </w:p>
    <w:p w:rsidR="002C5ECC" w:rsidRPr="00CB32B1" w:rsidRDefault="002C5ECC" w:rsidP="00F56932">
      <w:pPr>
        <w:pStyle w:val="ListBullet"/>
      </w:pPr>
      <w:r w:rsidRPr="00CB32B1">
        <w:t xml:space="preserve">indicators </w:t>
      </w:r>
      <w:r w:rsidR="000132F6">
        <w:t xml:space="preserve">that </w:t>
      </w:r>
      <w:r w:rsidRPr="00CB32B1">
        <w:t>mark a requirement to transfer and refer care to other health professionals.</w:t>
      </w:r>
    </w:p>
    <w:p w:rsidR="002C5ECC" w:rsidRPr="00CB32B1" w:rsidRDefault="002C5ECC" w:rsidP="002C5ECC">
      <w:pPr>
        <w:pStyle w:val="PwCNormal"/>
      </w:pPr>
      <w:r w:rsidRPr="00CB32B1">
        <w:t xml:space="preserve">Despite efforts for a nationally consistent framework of care, including the ACM </w:t>
      </w:r>
      <w:r w:rsidR="00BB48E2">
        <w:t>g</w:t>
      </w:r>
      <w:r w:rsidRPr="00CB32B1">
        <w:t>uidelines, variation in guidelines and frameworks were found. Issues identified (see Chapter 3) included:</w:t>
      </w:r>
    </w:p>
    <w:p w:rsidR="002C5ECC" w:rsidRPr="00CB32B1" w:rsidRDefault="002C5ECC" w:rsidP="00F56932">
      <w:pPr>
        <w:pStyle w:val="ListBullet"/>
      </w:pPr>
      <w:r w:rsidRPr="00CB32B1">
        <w:t>no one nationally consistent framework for midwifery services (let alone PPMs) in</w:t>
      </w:r>
      <w:r w:rsidR="000132F6">
        <w:t xml:space="preserve"> </w:t>
      </w:r>
      <w:r w:rsidRPr="00CB32B1">
        <w:t>plac</w:t>
      </w:r>
      <w:r w:rsidR="000132F6">
        <w:t>e</w:t>
      </w:r>
    </w:p>
    <w:p w:rsidR="002C5ECC" w:rsidRPr="00CB32B1" w:rsidRDefault="000132F6" w:rsidP="00F56932">
      <w:pPr>
        <w:pStyle w:val="ListBullet"/>
      </w:pPr>
      <w:r>
        <w:t>numerous</w:t>
      </w:r>
      <w:r w:rsidR="002C5ECC" w:rsidRPr="00CB32B1">
        <w:t xml:space="preserve"> frameworks that appear to be equally applicable to the same practice and PPM (</w:t>
      </w:r>
      <w:r w:rsidR="00854DEF" w:rsidRPr="00CB32B1">
        <w:t>eg</w:t>
      </w:r>
      <w:r w:rsidR="002C5ECC" w:rsidRPr="00CB32B1">
        <w:t xml:space="preserve"> state-based); </w:t>
      </w:r>
      <w:r>
        <w:t>varying</w:t>
      </w:r>
      <w:r w:rsidR="002C5ECC" w:rsidRPr="00CB32B1">
        <w:t xml:space="preserve"> in terms of requirements and recommendations, particu</w:t>
      </w:r>
      <w:r>
        <w:t>larly for transfer and referral</w:t>
      </w:r>
    </w:p>
    <w:p w:rsidR="002C5ECC" w:rsidRPr="00CB32B1" w:rsidRDefault="000132F6" w:rsidP="00F56932">
      <w:pPr>
        <w:pStyle w:val="ListBullet"/>
      </w:pPr>
      <w:r>
        <w:t>m</w:t>
      </w:r>
      <w:r w:rsidR="002C5ECC" w:rsidRPr="00CB32B1">
        <w:t xml:space="preserve">aternity service professional associations </w:t>
      </w:r>
      <w:r>
        <w:t>not appearing</w:t>
      </w:r>
      <w:r w:rsidR="002C5ECC" w:rsidRPr="00CB32B1">
        <w:t xml:space="preserve"> to agree on any one framework, and therefore </w:t>
      </w:r>
      <w:r>
        <w:t>having</w:t>
      </w:r>
      <w:r w:rsidR="002C5ECC" w:rsidRPr="00CB32B1">
        <w:t xml:space="preserve"> individual frameworks in place for their members.</w:t>
      </w:r>
    </w:p>
    <w:p w:rsidR="002C5ECC" w:rsidRPr="00CB32B1" w:rsidRDefault="002C5ECC" w:rsidP="002C5ECC">
      <w:pPr>
        <w:pStyle w:val="PwCNormal"/>
      </w:pPr>
      <w:r w:rsidRPr="00CB32B1">
        <w:t>A key enabler identified by stakeholders in each jurisdiction that was analysed by this report was the strength of their risk and quality frameworks. These frameworks included several components, such</w:t>
      </w:r>
      <w:r w:rsidR="000132F6">
        <w:t xml:space="preserve"> </w:t>
      </w:r>
      <w:r w:rsidRPr="00CB32B1">
        <w:t>as:</w:t>
      </w:r>
    </w:p>
    <w:p w:rsidR="002C5ECC" w:rsidRPr="00CB32B1" w:rsidRDefault="002C5ECC" w:rsidP="0008551A">
      <w:pPr>
        <w:pStyle w:val="ListBullet"/>
      </w:pPr>
      <w:r w:rsidRPr="00CB32B1">
        <w:rPr>
          <w:b/>
          <w:color w:val="DC6900" w:themeColor="text2"/>
        </w:rPr>
        <w:t xml:space="preserve">A level of training and professional development: </w:t>
      </w:r>
      <w:r w:rsidR="000132F6">
        <w:t>a</w:t>
      </w:r>
      <w:r w:rsidRPr="00CB32B1">
        <w:t xml:space="preserve"> certain number of hours of training was required to be completed per registration period as well as a number of births attended (</w:t>
      </w:r>
      <w:r w:rsidR="00854DEF" w:rsidRPr="00CB32B1">
        <w:t>eg</w:t>
      </w:r>
      <w:r w:rsidRPr="00CB32B1">
        <w:t xml:space="preserve"> in the Netherlan</w:t>
      </w:r>
      <w:r w:rsidR="00CD0CA9" w:rsidRPr="00CB32B1">
        <w:t>ds and the province of Ontario)</w:t>
      </w:r>
    </w:p>
    <w:p w:rsidR="002C5ECC" w:rsidRPr="00CB32B1" w:rsidRDefault="002C5ECC" w:rsidP="0008551A">
      <w:pPr>
        <w:pStyle w:val="ListBullet"/>
      </w:pPr>
      <w:r w:rsidRPr="00CB32B1">
        <w:rPr>
          <w:b/>
          <w:color w:val="DC6900" w:themeColor="text2"/>
        </w:rPr>
        <w:t xml:space="preserve">Quality accreditation of the practice: </w:t>
      </w:r>
      <w:r w:rsidR="000132F6">
        <w:t>a</w:t>
      </w:r>
      <w:r w:rsidRPr="00CB32B1">
        <w:t>dditional standards were required of the organisation in which the independent midwives practise (</w:t>
      </w:r>
      <w:r w:rsidR="00854DEF" w:rsidRPr="00CB32B1">
        <w:t>eg</w:t>
      </w:r>
      <w:r w:rsidR="00CD0CA9" w:rsidRPr="00CB32B1">
        <w:t xml:space="preserve"> England)</w:t>
      </w:r>
    </w:p>
    <w:p w:rsidR="002C5ECC" w:rsidRPr="00CB32B1" w:rsidRDefault="002C5ECC" w:rsidP="0008551A">
      <w:pPr>
        <w:pStyle w:val="ListBullet"/>
      </w:pPr>
      <w:r w:rsidRPr="00CB32B1">
        <w:rPr>
          <w:b/>
          <w:color w:val="DC6900" w:themeColor="text2"/>
        </w:rPr>
        <w:t>Consistent national risk and quality frameworks:</w:t>
      </w:r>
      <w:r w:rsidRPr="00CB32B1">
        <w:t xml:space="preserve"> </w:t>
      </w:r>
      <w:r w:rsidR="000132F6">
        <w:t>t</w:t>
      </w:r>
      <w:r w:rsidRPr="00CB32B1">
        <w:t>here were developed by all maternity service professionals (</w:t>
      </w:r>
      <w:r w:rsidR="00854DEF" w:rsidRPr="00CB32B1">
        <w:t>eg</w:t>
      </w:r>
      <w:r w:rsidRPr="00CB32B1">
        <w:t xml:space="preserve"> in New Zealand and the province of Ontario).</w:t>
      </w:r>
    </w:p>
    <w:p w:rsidR="002C5ECC" w:rsidRPr="00CB32B1" w:rsidRDefault="002C5ECC" w:rsidP="002C5ECC">
      <w:pPr>
        <w:pStyle w:val="PwCNormal"/>
      </w:pPr>
      <w:r w:rsidRPr="00CB32B1">
        <w:t>In the first instance, NMBA should consider its role in facilitating discussion on developing national risk and quality frameworks building off existing work completed and current standards, guidelines and frameworks. As identified above, consultations identified the importance of the collaborative development of the fram</w:t>
      </w:r>
      <w:r w:rsidR="00BB48E2">
        <w:t>eworks by all maternity service providers</w:t>
      </w:r>
      <w:r w:rsidRPr="00CB32B1">
        <w:t xml:space="preserve">. For the development of consultation, transfer and referral guidelines, this is important not only for determining the scope of practice of midwives (and it was identified as important to be led by midwives), but also for a mutual understanding of each professional’s role in the care pathway. It was also found to assist in the development of collegiality between the groups, through a better understanding of scope of practice and risk assumed by each </w:t>
      </w:r>
      <w:r w:rsidR="00BB48E2">
        <w:t>partner</w:t>
      </w:r>
      <w:r w:rsidRPr="00CB32B1">
        <w:t>.</w:t>
      </w:r>
    </w:p>
    <w:p w:rsidR="002C5ECC" w:rsidRPr="00CB32B1" w:rsidRDefault="002C5ECC" w:rsidP="002C5ECC">
      <w:pPr>
        <w:pStyle w:val="PwCNormal"/>
      </w:pPr>
      <w:r w:rsidRPr="00CB32B1">
        <w:t>While the need for flexibility in the frameworks was identified as important so they are applicable to the local context, a consistent framework was identified by insurers as important to both develop a risk profile of PPMs and to promote consistency in best practice.</w:t>
      </w:r>
    </w:p>
    <w:p w:rsidR="002C5ECC" w:rsidRPr="00CB32B1" w:rsidRDefault="002C5ECC" w:rsidP="005D672F">
      <w:pPr>
        <w:pStyle w:val="Minorheading"/>
      </w:pPr>
      <w:r w:rsidRPr="00CB32B1">
        <w:t>Option 4: Data reporting requirements</w:t>
      </w:r>
    </w:p>
    <w:tbl>
      <w:tblPr>
        <w:tblStyle w:val="TableGrid"/>
        <w:tblW w:w="0" w:type="auto"/>
        <w:tblBorders>
          <w:top w:val="single" w:sz="4" w:space="0" w:color="DC6900" w:themeColor="text2"/>
          <w:left w:val="single" w:sz="4" w:space="0" w:color="DC6900" w:themeColor="text2"/>
          <w:bottom w:val="single" w:sz="4" w:space="0" w:color="DC6900" w:themeColor="text2"/>
          <w:right w:val="single" w:sz="4" w:space="0" w:color="DC6900" w:themeColor="text2"/>
          <w:insideH w:val="none" w:sz="0" w:space="0" w:color="auto"/>
          <w:insideV w:val="none" w:sz="0" w:space="0" w:color="auto"/>
        </w:tblBorders>
        <w:tblLook w:val="04A0"/>
      </w:tblPr>
      <w:tblGrid>
        <w:gridCol w:w="9285"/>
      </w:tblGrid>
      <w:tr w:rsidR="00B754B2" w:rsidRPr="00CB32B1" w:rsidTr="004A789B">
        <w:tc>
          <w:tcPr>
            <w:tcW w:w="9288" w:type="dxa"/>
          </w:tcPr>
          <w:p w:rsidR="00B754B2" w:rsidRPr="00CB32B1" w:rsidRDefault="00E72697" w:rsidP="004A789B">
            <w:pPr>
              <w:pStyle w:val="TableTextNormal"/>
              <w:rPr>
                <w:b/>
                <w:color w:val="DC6900" w:themeColor="text2"/>
              </w:rPr>
            </w:pPr>
            <w:r w:rsidRPr="00CB32B1">
              <w:rPr>
                <w:b/>
                <w:color w:val="DC6900" w:themeColor="text2"/>
              </w:rPr>
              <w:t xml:space="preserve">Assess the feasibility of </w:t>
            </w:r>
            <w:r w:rsidR="00DB5DE6" w:rsidRPr="00CB32B1">
              <w:rPr>
                <w:b/>
                <w:color w:val="DC6900" w:themeColor="text2"/>
              </w:rPr>
              <w:t>improving</w:t>
            </w:r>
            <w:r w:rsidRPr="00CB32B1">
              <w:rPr>
                <w:b/>
                <w:color w:val="DC6900" w:themeColor="text2"/>
              </w:rPr>
              <w:t xml:space="preserve"> data quality and collection. Ensure that data collection systems can identify women attended by PPMs, place of birth and transfers from home to hospital.</w:t>
            </w:r>
          </w:p>
        </w:tc>
      </w:tr>
    </w:tbl>
    <w:p w:rsidR="002C5ECC" w:rsidRPr="00CB32B1" w:rsidRDefault="002C5ECC" w:rsidP="00B754B2">
      <w:pPr>
        <w:pStyle w:val="PwCNormal"/>
        <w:spacing w:before="120"/>
      </w:pPr>
      <w:r w:rsidRPr="00CB32B1">
        <w:t>The key issues identified in our findings (see Chapter 3</w:t>
      </w:r>
      <w:r w:rsidR="00551164" w:rsidRPr="00CB32B1">
        <w:t xml:space="preserve"> – Finding 2 and 3</w:t>
      </w:r>
      <w:r w:rsidRPr="00CB32B1">
        <w:t>) relating to data quality were that</w:t>
      </w:r>
      <w:r w:rsidR="00DA4368">
        <w:t xml:space="preserve"> data</w:t>
      </w:r>
      <w:r w:rsidRPr="00CB32B1">
        <w:t>:</w:t>
      </w:r>
    </w:p>
    <w:p w:rsidR="002C5ECC" w:rsidRPr="00CB32B1" w:rsidRDefault="00CD0CA9" w:rsidP="00B754B2">
      <w:pPr>
        <w:pStyle w:val="ListBullet"/>
      </w:pPr>
      <w:r w:rsidRPr="00CB32B1">
        <w:t>have never been collected</w:t>
      </w:r>
    </w:p>
    <w:p w:rsidR="002C5ECC" w:rsidRPr="00CB32B1" w:rsidRDefault="002C5ECC" w:rsidP="00B754B2">
      <w:pPr>
        <w:pStyle w:val="ListBullet"/>
      </w:pPr>
      <w:r w:rsidRPr="00CB32B1">
        <w:t>have not been collected at a level of detail that is sufficient to understand the practice of PPMs, activity levels, incidents, adverse outcomes, and causal fa</w:t>
      </w:r>
      <w:r w:rsidR="00CD0CA9" w:rsidRPr="00CB32B1">
        <w:t>ctors of incidents and outcomes</w:t>
      </w:r>
    </w:p>
    <w:p w:rsidR="002C5ECC" w:rsidRPr="00CB32B1" w:rsidRDefault="002C5ECC" w:rsidP="00B754B2">
      <w:pPr>
        <w:pStyle w:val="ListBullet"/>
      </w:pPr>
      <w:r w:rsidRPr="00CB32B1">
        <w:t>do not distinguish between public</w:t>
      </w:r>
      <w:r w:rsidR="00CD0CA9" w:rsidRPr="00CB32B1">
        <w:t xml:space="preserve"> and private maternity services</w:t>
      </w:r>
    </w:p>
    <w:p w:rsidR="002C5ECC" w:rsidRPr="00CB32B1" w:rsidRDefault="002C5ECC" w:rsidP="00B754B2">
      <w:pPr>
        <w:pStyle w:val="ListBullet"/>
      </w:pPr>
      <w:r w:rsidRPr="00CB32B1">
        <w:t>vary and are collected d</w:t>
      </w:r>
      <w:r w:rsidR="00CD0CA9" w:rsidRPr="00CB32B1">
        <w:t>ifferently across jurisdictions</w:t>
      </w:r>
    </w:p>
    <w:p w:rsidR="002C5ECC" w:rsidRPr="00CB32B1" w:rsidRDefault="002C5ECC" w:rsidP="00B754B2">
      <w:pPr>
        <w:pStyle w:val="ListBullet"/>
      </w:pPr>
      <w:r w:rsidRPr="00CB32B1">
        <w:t>have been lost or archived and cannot be located (this has been identified in the case of insurance products held prior to 2002 by brokers</w:t>
      </w:r>
      <w:r w:rsidR="00BF6367" w:rsidRPr="00CB32B1">
        <w:rPr>
          <w:rStyle w:val="FootnoteReference"/>
        </w:rPr>
        <w:footnoteReference w:id="273"/>
      </w:r>
      <w:r w:rsidR="00CD0CA9" w:rsidRPr="00CB32B1">
        <w:t>)</w:t>
      </w:r>
    </w:p>
    <w:p w:rsidR="002C5ECC" w:rsidRPr="00CB32B1" w:rsidRDefault="002C5ECC" w:rsidP="00B754B2">
      <w:pPr>
        <w:pStyle w:val="ListBullet"/>
      </w:pPr>
      <w:r w:rsidRPr="00CB32B1">
        <w:t xml:space="preserve">are unable and/or unwilling to be shared due to their being commercial-in-confidence or that they may give an unreasonable disadvantage to private companies, </w:t>
      </w:r>
      <w:r w:rsidR="00854DEF" w:rsidRPr="00CB32B1">
        <w:t>eg</w:t>
      </w:r>
      <w:r w:rsidRPr="00CB32B1">
        <w:t xml:space="preserve"> insurers.</w:t>
      </w:r>
      <w:r w:rsidR="00BF6367" w:rsidRPr="00CB32B1">
        <w:rPr>
          <w:rStyle w:val="FootnoteReference"/>
        </w:rPr>
        <w:footnoteReference w:id="274"/>
      </w:r>
    </w:p>
    <w:p w:rsidR="002C5ECC" w:rsidRPr="00CB32B1" w:rsidRDefault="002C5ECC" w:rsidP="002C5ECC">
      <w:pPr>
        <w:pStyle w:val="PwCNormal"/>
      </w:pPr>
      <w:r w:rsidRPr="00CB32B1">
        <w:t xml:space="preserve">NMBA should explore methods to improve the specificity, consistency and accessibility of data to support the risk profiling of PPMs. Examples of each are shown in </w:t>
      </w:r>
      <w:r w:rsidR="009129A6" w:rsidRPr="00CB32B1">
        <w:fldChar w:fldCharType="begin"/>
      </w:r>
      <w:r w:rsidR="00A33BD9" w:rsidRPr="00CB32B1">
        <w:instrText xml:space="preserve"> REF _Ref361223882 \h </w:instrText>
      </w:r>
      <w:r w:rsidR="009129A6" w:rsidRPr="00CB32B1">
        <w:fldChar w:fldCharType="separate"/>
      </w:r>
      <w:r w:rsidR="008816B4" w:rsidRPr="00CB32B1">
        <w:t xml:space="preserve">Table </w:t>
      </w:r>
      <w:r w:rsidR="008816B4">
        <w:rPr>
          <w:noProof/>
        </w:rPr>
        <w:t>18</w:t>
      </w:r>
      <w:r w:rsidR="009129A6" w:rsidRPr="00CB32B1">
        <w:fldChar w:fldCharType="end"/>
      </w:r>
      <w:r w:rsidRPr="00CB32B1">
        <w:t>.</w:t>
      </w:r>
    </w:p>
    <w:p w:rsidR="00625C2F" w:rsidRPr="00CB32B1" w:rsidRDefault="00625C2F" w:rsidP="00625C2F">
      <w:pPr>
        <w:pStyle w:val="Caption"/>
      </w:pPr>
      <w:bookmarkStart w:id="62" w:name="_Ref361223882"/>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18</w:t>
      </w:r>
      <w:r w:rsidR="009129A6" w:rsidRPr="00CB32B1">
        <w:fldChar w:fldCharType="end"/>
      </w:r>
      <w:bookmarkEnd w:id="62"/>
      <w:r w:rsidRPr="00CB32B1">
        <w:t>: Examples of improvement to data quality</w:t>
      </w:r>
    </w:p>
    <w:tbl>
      <w:tblPr>
        <w:tblStyle w:val="PwCTableStyle1"/>
        <w:tblW w:w="5000" w:type="pct"/>
        <w:tblLook w:val="04A0"/>
      </w:tblPr>
      <w:tblGrid>
        <w:gridCol w:w="1327"/>
        <w:gridCol w:w="3642"/>
        <w:gridCol w:w="4316"/>
      </w:tblGrid>
      <w:tr w:rsidR="00B754B2" w:rsidRPr="00CB32B1" w:rsidTr="009D37C7">
        <w:trPr>
          <w:cnfStyle w:val="100000000000"/>
        </w:trPr>
        <w:tc>
          <w:tcPr>
            <w:cnfStyle w:val="001000000000"/>
            <w:tcW w:w="715" w:type="pct"/>
            <w:shd w:val="clear" w:color="auto" w:fill="DC6900" w:themeFill="text2"/>
            <w:vAlign w:val="center"/>
          </w:tcPr>
          <w:p w:rsidR="00B754B2" w:rsidRPr="00CB32B1" w:rsidRDefault="00B754B2" w:rsidP="009D37C7">
            <w:pPr>
              <w:pStyle w:val="TableColumnHeadingNormal"/>
            </w:pPr>
          </w:p>
        </w:tc>
        <w:tc>
          <w:tcPr>
            <w:tcW w:w="1961" w:type="pct"/>
            <w:shd w:val="clear" w:color="auto" w:fill="DC6900" w:themeFill="text2"/>
            <w:vAlign w:val="center"/>
          </w:tcPr>
          <w:p w:rsidR="00B754B2" w:rsidRPr="00CB32B1" w:rsidRDefault="00B754B2" w:rsidP="009D37C7">
            <w:pPr>
              <w:pStyle w:val="TableColumnHeadingNormal"/>
              <w:cnfStyle w:val="100000000000"/>
            </w:pPr>
            <w:r w:rsidRPr="00CB32B1">
              <w:t>Description</w:t>
            </w:r>
          </w:p>
        </w:tc>
        <w:tc>
          <w:tcPr>
            <w:tcW w:w="2324" w:type="pct"/>
            <w:shd w:val="clear" w:color="auto" w:fill="DC6900" w:themeFill="text2"/>
            <w:vAlign w:val="center"/>
          </w:tcPr>
          <w:p w:rsidR="00B754B2" w:rsidRPr="00CB32B1" w:rsidRDefault="00B754B2" w:rsidP="009D37C7">
            <w:pPr>
              <w:pStyle w:val="TableColumnHeadingNormal"/>
              <w:cnfStyle w:val="100000000000"/>
            </w:pPr>
            <w:r w:rsidRPr="00CB32B1">
              <w:t>Examples</w:t>
            </w:r>
          </w:p>
        </w:tc>
      </w:tr>
      <w:tr w:rsidR="00B754B2" w:rsidRPr="00CB32B1" w:rsidTr="00B754B2">
        <w:tc>
          <w:tcPr>
            <w:cnfStyle w:val="001000000000"/>
            <w:tcW w:w="715" w:type="pct"/>
          </w:tcPr>
          <w:p w:rsidR="00B754B2" w:rsidRPr="00CB32B1" w:rsidRDefault="00B754B2" w:rsidP="00E007C3">
            <w:pPr>
              <w:pStyle w:val="TableTextNormal"/>
            </w:pPr>
            <w:r w:rsidRPr="00CB32B1">
              <w:t>Specificity</w:t>
            </w:r>
          </w:p>
        </w:tc>
        <w:tc>
          <w:tcPr>
            <w:tcW w:w="1961" w:type="pct"/>
          </w:tcPr>
          <w:p w:rsidR="00B754B2" w:rsidRPr="00CB32B1" w:rsidRDefault="00B754B2" w:rsidP="00E007C3">
            <w:pPr>
              <w:pStyle w:val="TableTextNormal"/>
              <w:cnfStyle w:val="000000000000"/>
            </w:pPr>
            <w:r w:rsidRPr="00CB32B1">
              <w:t>Data being collected at a level that improves the ability for a risk assessment to be completed on PPM practice</w:t>
            </w:r>
          </w:p>
        </w:tc>
        <w:tc>
          <w:tcPr>
            <w:tcW w:w="2324" w:type="pct"/>
          </w:tcPr>
          <w:p w:rsidR="00B754B2" w:rsidRPr="00CB32B1" w:rsidRDefault="00B754B2" w:rsidP="00E007C3">
            <w:pPr>
              <w:pStyle w:val="TableTextNormal"/>
              <w:cnfStyle w:val="000000000000"/>
            </w:pPr>
            <w:r w:rsidRPr="00CB32B1">
              <w:t>Attendance by a health professional at birth (identifying which health professional, and whether private or publicly funded)</w:t>
            </w:r>
          </w:p>
          <w:p w:rsidR="00B754B2" w:rsidRPr="00CB32B1" w:rsidRDefault="00B754B2" w:rsidP="00E007C3">
            <w:pPr>
              <w:pStyle w:val="TableTextNormal"/>
              <w:cnfStyle w:val="000000000000"/>
            </w:pPr>
            <w:r w:rsidRPr="00CB32B1">
              <w:t>Place of birth</w:t>
            </w:r>
          </w:p>
          <w:p w:rsidR="00B754B2" w:rsidRPr="00CB32B1" w:rsidRDefault="00B754B2" w:rsidP="00E007C3">
            <w:pPr>
              <w:pStyle w:val="TableTextNormal"/>
              <w:cnfStyle w:val="000000000000"/>
            </w:pPr>
            <w:r w:rsidRPr="00CB32B1">
              <w:t>Transfers from home to hospital</w:t>
            </w:r>
          </w:p>
          <w:p w:rsidR="00B754B2" w:rsidRPr="00CB32B1" w:rsidRDefault="00B754B2" w:rsidP="00E007C3">
            <w:pPr>
              <w:pStyle w:val="TableTextNormal"/>
              <w:cnfStyle w:val="000000000000"/>
            </w:pPr>
            <w:r w:rsidRPr="00CB32B1">
              <w:t>Registered and unregistered outcomes</w:t>
            </w:r>
          </w:p>
        </w:tc>
      </w:tr>
      <w:tr w:rsidR="00B754B2" w:rsidRPr="00CB32B1" w:rsidTr="00B754B2">
        <w:tc>
          <w:tcPr>
            <w:cnfStyle w:val="001000000000"/>
            <w:tcW w:w="715" w:type="pct"/>
          </w:tcPr>
          <w:p w:rsidR="00B754B2" w:rsidRPr="00CB32B1" w:rsidRDefault="00B754B2" w:rsidP="00E007C3">
            <w:pPr>
              <w:pStyle w:val="TableTextNormal"/>
            </w:pPr>
            <w:r w:rsidRPr="00CB32B1">
              <w:t>Consistency</w:t>
            </w:r>
          </w:p>
        </w:tc>
        <w:tc>
          <w:tcPr>
            <w:tcW w:w="1961" w:type="pct"/>
          </w:tcPr>
          <w:p w:rsidR="00B754B2" w:rsidRPr="00CB32B1" w:rsidRDefault="00B754B2" w:rsidP="00E007C3">
            <w:pPr>
              <w:pStyle w:val="TableTextNormal"/>
              <w:cnfStyle w:val="000000000000"/>
            </w:pPr>
            <w:r w:rsidRPr="00CB32B1">
              <w:t>Data being collected in the same way with consistent definitions applied to data within each state and territory</w:t>
            </w:r>
          </w:p>
        </w:tc>
        <w:tc>
          <w:tcPr>
            <w:tcW w:w="2324" w:type="pct"/>
          </w:tcPr>
          <w:p w:rsidR="00B754B2" w:rsidRPr="00CB32B1" w:rsidRDefault="00B754B2" w:rsidP="00E007C3">
            <w:pPr>
              <w:pStyle w:val="TableTextNormal"/>
              <w:cnfStyle w:val="000000000000"/>
            </w:pPr>
            <w:r w:rsidRPr="00CB32B1">
              <w:t>Time of transfer</w:t>
            </w:r>
          </w:p>
          <w:p w:rsidR="00B754B2" w:rsidRPr="00CB32B1" w:rsidRDefault="00B754B2" w:rsidP="00E007C3">
            <w:pPr>
              <w:pStyle w:val="TableTextNormal"/>
              <w:cnfStyle w:val="000000000000"/>
            </w:pPr>
            <w:r w:rsidRPr="00CB32B1">
              <w:t>Intended place of birth</w:t>
            </w:r>
          </w:p>
        </w:tc>
      </w:tr>
      <w:tr w:rsidR="00B754B2" w:rsidRPr="00CB32B1" w:rsidTr="00B754B2">
        <w:tc>
          <w:tcPr>
            <w:cnfStyle w:val="001000000000"/>
            <w:tcW w:w="715" w:type="pct"/>
          </w:tcPr>
          <w:p w:rsidR="00B754B2" w:rsidRPr="00CB32B1" w:rsidRDefault="00B754B2" w:rsidP="00E007C3">
            <w:pPr>
              <w:pStyle w:val="TableTextNormal"/>
            </w:pPr>
            <w:r w:rsidRPr="00CB32B1">
              <w:t>Accessibility</w:t>
            </w:r>
          </w:p>
        </w:tc>
        <w:tc>
          <w:tcPr>
            <w:tcW w:w="1961" w:type="pct"/>
          </w:tcPr>
          <w:p w:rsidR="00B754B2" w:rsidRPr="00CB32B1" w:rsidRDefault="00B754B2" w:rsidP="00E007C3">
            <w:pPr>
              <w:pStyle w:val="TableTextNormal"/>
              <w:cnfStyle w:val="000000000000"/>
            </w:pPr>
            <w:r w:rsidRPr="00CB32B1">
              <w:t>Making data available to, for example, policy makers, regulators, statistical organisations (</w:t>
            </w:r>
            <w:r w:rsidR="00854DEF" w:rsidRPr="00CB32B1">
              <w:t>eg</w:t>
            </w:r>
            <w:r w:rsidRPr="00CB32B1">
              <w:t xml:space="preserve"> ABS, AIHW), or potentially the broader insurance market</w:t>
            </w:r>
          </w:p>
        </w:tc>
        <w:tc>
          <w:tcPr>
            <w:tcW w:w="2324" w:type="pct"/>
          </w:tcPr>
          <w:p w:rsidR="00B754B2" w:rsidRPr="00CB32B1" w:rsidRDefault="00B754B2" w:rsidP="00E007C3">
            <w:pPr>
              <w:pStyle w:val="TableTextNormal"/>
              <w:cnfStyle w:val="000000000000"/>
            </w:pPr>
            <w:r w:rsidRPr="00CB32B1">
              <w:t xml:space="preserve">Number of incidents </w:t>
            </w:r>
          </w:p>
          <w:p w:rsidR="00B754B2" w:rsidRPr="00CB32B1" w:rsidRDefault="00B754B2" w:rsidP="00E007C3">
            <w:pPr>
              <w:pStyle w:val="TableTextNormal"/>
              <w:cnfStyle w:val="000000000000"/>
            </w:pPr>
            <w:r w:rsidRPr="00CB32B1">
              <w:t>Number of claims</w:t>
            </w:r>
          </w:p>
          <w:p w:rsidR="00B754B2" w:rsidRPr="00CB32B1" w:rsidRDefault="00B754B2" w:rsidP="00E007C3">
            <w:pPr>
              <w:pStyle w:val="TableTextNormal"/>
              <w:cnfStyle w:val="000000000000"/>
            </w:pPr>
            <w:r w:rsidRPr="00CB32B1">
              <w:t>Number of insurance product holders</w:t>
            </w:r>
          </w:p>
        </w:tc>
      </w:tr>
    </w:tbl>
    <w:p w:rsidR="002C5ECC" w:rsidRPr="00CB32B1" w:rsidRDefault="002C5ECC" w:rsidP="00E007C3">
      <w:pPr>
        <w:pStyle w:val="PwCNormal"/>
        <w:spacing w:before="120"/>
      </w:pPr>
      <w:r w:rsidRPr="00CB32B1">
        <w:t>Other jurisdictions have also increased their sophistication in relation to data collection, particularly in the Netherlands and in the province of Ontario. Central recording of information has also been seen in other jurisdictions. These improvements should also be considered.</w:t>
      </w:r>
    </w:p>
    <w:p w:rsidR="002C5ECC" w:rsidRPr="00CB32B1" w:rsidRDefault="002C5ECC" w:rsidP="002C5ECC">
      <w:pPr>
        <w:pStyle w:val="PwCNormal"/>
      </w:pPr>
      <w:r w:rsidRPr="00CB32B1">
        <w:t xml:space="preserve">Consideration of improvements to data quality should be cognisant of the cost-benefit relationship. It is recognised that much of this data cannot be collected (for reasons identified above), or may be costly to obtain. There also may be unintended consequences of improving data quality. For example, commercial insurers </w:t>
      </w:r>
      <w:r w:rsidR="002724A8">
        <w:t>may assess that it is more cost-</w:t>
      </w:r>
      <w:r w:rsidRPr="00CB32B1">
        <w:t xml:space="preserve">effective to exit the market </w:t>
      </w:r>
      <w:r w:rsidR="00BB48E2">
        <w:t>if it was mandated that they</w:t>
      </w:r>
      <w:r w:rsidRPr="00CB32B1">
        <w:t xml:space="preserve"> share confidential information. The costs and benefits will need to be weighed up when assessing the extent to which data improvements can be made.</w:t>
      </w:r>
    </w:p>
    <w:p w:rsidR="002C5ECC" w:rsidRPr="00CB32B1" w:rsidRDefault="002C5ECC" w:rsidP="00E007C3">
      <w:pPr>
        <w:pStyle w:val="Majorheading"/>
      </w:pPr>
      <w:r w:rsidRPr="00CB32B1">
        <w:t>Inherent risks of maternity services</w:t>
      </w:r>
    </w:p>
    <w:p w:rsidR="002C5ECC" w:rsidRPr="00CB32B1" w:rsidRDefault="002C5ECC" w:rsidP="002C5ECC">
      <w:pPr>
        <w:pStyle w:val="PwCNormal"/>
      </w:pPr>
      <w:r w:rsidRPr="00CB32B1">
        <w:t xml:space="preserve">The findings identified that beyond data quality and PPM practice, there are inherent risks within maternity services (including obstetric and midwifery care), combined with a small PPM market that result in limitations to insurance offers. It is necessary to explore these options external to the direct practice of </w:t>
      </w:r>
      <w:r w:rsidR="00727D37">
        <w:t>PPMs</w:t>
      </w:r>
      <w:r w:rsidRPr="00CB32B1">
        <w:t>, and look to the broader health system and insurance models, as has been successful in other jurisdictions.</w:t>
      </w:r>
    </w:p>
    <w:p w:rsidR="002C5ECC" w:rsidRPr="00CB32B1" w:rsidRDefault="002C5ECC" w:rsidP="00E007C3">
      <w:pPr>
        <w:pStyle w:val="Minorheading"/>
      </w:pPr>
      <w:r w:rsidRPr="00CB32B1">
        <w:t>Option 5: Strengthen ties between insurers and the industry</w:t>
      </w:r>
    </w:p>
    <w:tbl>
      <w:tblPr>
        <w:tblStyle w:val="TableGrid"/>
        <w:tblW w:w="0" w:type="auto"/>
        <w:tblBorders>
          <w:top w:val="single" w:sz="4" w:space="0" w:color="DC6900" w:themeColor="text2"/>
          <w:left w:val="single" w:sz="4" w:space="0" w:color="DC6900" w:themeColor="text2"/>
          <w:bottom w:val="single" w:sz="4" w:space="0" w:color="DC6900" w:themeColor="text2"/>
          <w:right w:val="single" w:sz="4" w:space="0" w:color="DC6900" w:themeColor="text2"/>
          <w:insideH w:val="none" w:sz="0" w:space="0" w:color="auto"/>
          <w:insideV w:val="none" w:sz="0" w:space="0" w:color="auto"/>
        </w:tblBorders>
        <w:tblLook w:val="04A0"/>
      </w:tblPr>
      <w:tblGrid>
        <w:gridCol w:w="9285"/>
      </w:tblGrid>
      <w:tr w:rsidR="00E007C3" w:rsidRPr="00CB32B1" w:rsidTr="004A789B">
        <w:tc>
          <w:tcPr>
            <w:tcW w:w="9288" w:type="dxa"/>
          </w:tcPr>
          <w:p w:rsidR="00E007C3" w:rsidRPr="00CB32B1" w:rsidRDefault="00F125A9" w:rsidP="004A789B">
            <w:pPr>
              <w:pStyle w:val="TableTextNormal"/>
              <w:rPr>
                <w:b/>
                <w:color w:val="DC6900" w:themeColor="text2"/>
              </w:rPr>
            </w:pPr>
            <w:r w:rsidRPr="00F125A9">
              <w:rPr>
                <w:b/>
                <w:color w:val="DC6900" w:themeColor="text2"/>
              </w:rPr>
              <w:t>Encourage stronger relationships between insurers, the NMBA, state/territory and Federal governments, midwifery and medical practitioner representatives.</w:t>
            </w:r>
          </w:p>
        </w:tc>
      </w:tr>
    </w:tbl>
    <w:p w:rsidR="002C5ECC" w:rsidRPr="00CB32B1" w:rsidRDefault="002C5ECC" w:rsidP="00E007C3">
      <w:pPr>
        <w:pStyle w:val="PwCNormal"/>
        <w:spacing w:before="120"/>
      </w:pPr>
      <w:r w:rsidRPr="00CB32B1">
        <w:t>NMBA should consider the relationship between the NMBA, ACM and the insurers</w:t>
      </w:r>
      <w:r w:rsidR="00F125A9">
        <w:t xml:space="preserve"> as well as both state and territory and Federal governments</w:t>
      </w:r>
      <w:r w:rsidRPr="00CB32B1">
        <w:t xml:space="preserve">. Strong relationships with insurers </w:t>
      </w:r>
      <w:r w:rsidR="00021DF5">
        <w:t>between regulatory authorities and professional associations</w:t>
      </w:r>
      <w:r w:rsidRPr="00CB32B1">
        <w:t xml:space="preserve"> were common in each jurisdiction analysed (see Chapter 4). Consultation identified that where stronger relationships can be formed, improvements to data quality, risk frameworks and the understanding of the relationships between incidences and claims may result. It could also provide insight as to the necessary role that each of the organisations must provide to support PII for PPMs.</w:t>
      </w:r>
    </w:p>
    <w:p w:rsidR="002C5ECC" w:rsidRPr="00CB32B1" w:rsidRDefault="002C5ECC" w:rsidP="004A789B">
      <w:pPr>
        <w:pStyle w:val="Minorheading"/>
      </w:pPr>
      <w:r w:rsidRPr="00CB32B1">
        <w:t>Option 6: Alternate insurance models</w:t>
      </w:r>
    </w:p>
    <w:tbl>
      <w:tblPr>
        <w:tblStyle w:val="TableGrid"/>
        <w:tblW w:w="0" w:type="auto"/>
        <w:tblBorders>
          <w:top w:val="single" w:sz="4" w:space="0" w:color="DC6900" w:themeColor="text2"/>
          <w:left w:val="single" w:sz="4" w:space="0" w:color="DC6900" w:themeColor="text2"/>
          <w:bottom w:val="single" w:sz="4" w:space="0" w:color="DC6900" w:themeColor="text2"/>
          <w:right w:val="single" w:sz="4" w:space="0" w:color="DC6900" w:themeColor="text2"/>
          <w:insideH w:val="none" w:sz="0" w:space="0" w:color="auto"/>
          <w:insideV w:val="none" w:sz="0" w:space="0" w:color="auto"/>
        </w:tblBorders>
        <w:tblLook w:val="04A0"/>
      </w:tblPr>
      <w:tblGrid>
        <w:gridCol w:w="9285"/>
      </w:tblGrid>
      <w:tr w:rsidR="004A789B" w:rsidRPr="00CB32B1" w:rsidTr="004A789B">
        <w:tc>
          <w:tcPr>
            <w:tcW w:w="9288" w:type="dxa"/>
          </w:tcPr>
          <w:p w:rsidR="004A789B" w:rsidRPr="00CB32B1" w:rsidRDefault="00BB48E2" w:rsidP="004A789B">
            <w:pPr>
              <w:pStyle w:val="TableTextNormal"/>
              <w:rPr>
                <w:b/>
                <w:color w:val="DC6900" w:themeColor="text2"/>
              </w:rPr>
            </w:pPr>
            <w:r>
              <w:rPr>
                <w:b/>
                <w:color w:val="DC6900" w:themeColor="text2"/>
              </w:rPr>
              <w:t>C</w:t>
            </w:r>
            <w:r w:rsidR="004A789B" w:rsidRPr="00CB32B1">
              <w:rPr>
                <w:b/>
                <w:color w:val="DC6900" w:themeColor="text2"/>
              </w:rPr>
              <w:t>onsider the range of insurance models and enabling factors seen internationally for the provision of PII for PPMs.</w:t>
            </w:r>
          </w:p>
        </w:tc>
      </w:tr>
    </w:tbl>
    <w:p w:rsidR="002C5ECC" w:rsidRPr="00CB32B1" w:rsidRDefault="002C5ECC" w:rsidP="004A789B">
      <w:pPr>
        <w:pStyle w:val="PwCNormal"/>
        <w:spacing w:before="120"/>
      </w:pPr>
      <w:r w:rsidRPr="00CB32B1">
        <w:t>Given that the indemnity exemption ends for intrapartum care provided by PPMs in July 2015, consideration should be given now as to what options are available in terms of PII arrangements, and what actions should be taken. As outlined previously, options available range from removing the exemption to making changes to the way in which PII is provided. If the latter were selected, as the research into international PII models highlighted, the model selected will need to be cognisant of, and appropriate to the Australian environment.</w:t>
      </w:r>
    </w:p>
    <w:p w:rsidR="002C5ECC" w:rsidRPr="00CB32B1" w:rsidRDefault="002C5ECC" w:rsidP="002C5ECC">
      <w:pPr>
        <w:pStyle w:val="PwCNormal"/>
      </w:pPr>
      <w:r w:rsidRPr="00CB32B1">
        <w:t xml:space="preserve">Various options exist in terms of PII models, but each will require varying degrees of change to the way in which not only PII is developed, but also how services are delivered. This is evident in the options below which have been developed as a result of </w:t>
      </w:r>
      <w:r w:rsidR="00BB48E2">
        <w:t>the</w:t>
      </w:r>
      <w:r w:rsidRPr="00CB32B1">
        <w:t xml:space="preserve"> findings </w:t>
      </w:r>
      <w:r w:rsidR="00BB48E2">
        <w:t xml:space="preserve">outlined, </w:t>
      </w:r>
      <w:r w:rsidRPr="00CB32B1">
        <w:t>and international research completed. Each of these, and their components, may be appropriate for the Australian market, and it is suggested that each of their components should be considered further.</w:t>
      </w:r>
    </w:p>
    <w:p w:rsidR="002C5ECC" w:rsidRPr="00CB32B1" w:rsidRDefault="002C5ECC" w:rsidP="002C5ECC">
      <w:pPr>
        <w:pStyle w:val="PwCNormal"/>
      </w:pPr>
      <w:r w:rsidRPr="00CB32B1">
        <w:t xml:space="preserve">These options given as examples of PII arrangements vary in </w:t>
      </w:r>
      <w:r w:rsidR="002D024F">
        <w:t>terms of the payer and provider</w:t>
      </w:r>
      <w:r w:rsidRPr="00CB32B1">
        <w:t xml:space="preserve"> </w:t>
      </w:r>
      <w:r w:rsidR="002D024F">
        <w:t>(</w:t>
      </w:r>
      <w:r w:rsidR="00854DEF" w:rsidRPr="00CB32B1">
        <w:t>ie</w:t>
      </w:r>
      <w:r w:rsidRPr="00CB32B1">
        <w:t xml:space="preserve"> who is paying for services, and who is being insured</w:t>
      </w:r>
      <w:r w:rsidR="002D024F">
        <w:t>)</w:t>
      </w:r>
      <w:r w:rsidRPr="00CB32B1">
        <w:t xml:space="preserve">. Given that each option has dependent variables, only the key benefits, enablers and challenges are identified. This list is not intended to be exhaustive. </w:t>
      </w:r>
    </w:p>
    <w:p w:rsidR="002C5ECC" w:rsidRPr="00CB32B1" w:rsidRDefault="002C5ECC" w:rsidP="002C5ECC">
      <w:pPr>
        <w:pStyle w:val="PwCNormal"/>
      </w:pPr>
      <w:r w:rsidRPr="00CB32B1">
        <w:t>As there is significant complexity in each of the models, information is provided to assist in future discussions. It is recommended that there is further consideration of the mechanics of each of the options and their assessment against an agreed list of requirements:</w:t>
      </w:r>
    </w:p>
    <w:p w:rsidR="002C5ECC" w:rsidRPr="00CB32B1" w:rsidRDefault="002D024F" w:rsidP="004A789B">
      <w:pPr>
        <w:pStyle w:val="ListBullet"/>
      </w:pPr>
      <w:r>
        <w:t>i</w:t>
      </w:r>
      <w:r w:rsidR="002C5ECC" w:rsidRPr="00CB32B1">
        <w:t>ndividual insurance model</w:t>
      </w:r>
    </w:p>
    <w:p w:rsidR="002C5ECC" w:rsidRPr="00CB32B1" w:rsidRDefault="002D024F" w:rsidP="004A789B">
      <w:pPr>
        <w:pStyle w:val="ListBullet"/>
      </w:pPr>
      <w:r>
        <w:t>l</w:t>
      </w:r>
      <w:r w:rsidR="002C5ECC" w:rsidRPr="00CB32B1">
        <w:t>egal entity funded insurance model</w:t>
      </w:r>
    </w:p>
    <w:p w:rsidR="002C5ECC" w:rsidRPr="00CB32B1" w:rsidRDefault="002D024F" w:rsidP="004A789B">
      <w:pPr>
        <w:pStyle w:val="ListBullet"/>
      </w:pPr>
      <w:r>
        <w:t>n</w:t>
      </w:r>
      <w:r w:rsidR="002C5ECC" w:rsidRPr="00CB32B1">
        <w:t>ot-for-profit insurance model (NFP) (</w:t>
      </w:r>
      <w:r w:rsidR="00854DEF" w:rsidRPr="00CB32B1">
        <w:t>eg</w:t>
      </w:r>
      <w:r w:rsidR="002C5ECC" w:rsidRPr="00CB32B1">
        <w:t xml:space="preserve"> NFP, professional association, Government supported)</w:t>
      </w:r>
    </w:p>
    <w:p w:rsidR="002C5ECC" w:rsidRPr="00CB32B1" w:rsidRDefault="002D024F" w:rsidP="004A789B">
      <w:pPr>
        <w:pStyle w:val="ListBullet"/>
      </w:pPr>
      <w:r>
        <w:t>c</w:t>
      </w:r>
      <w:r w:rsidR="002C5ECC" w:rsidRPr="00CB32B1">
        <w:t>o-payment insurance model.</w:t>
      </w:r>
    </w:p>
    <w:p w:rsidR="002C5ECC" w:rsidRPr="00CB32B1" w:rsidRDefault="002C5ECC" w:rsidP="00F86E4D">
      <w:pPr>
        <w:pStyle w:val="Minorheading2"/>
      </w:pPr>
      <w:r w:rsidRPr="00CB32B1">
        <w:t>Individual insurance model</w:t>
      </w:r>
    </w:p>
    <w:p w:rsidR="002C5ECC" w:rsidRPr="00CB32B1" w:rsidRDefault="002C5ECC" w:rsidP="002C5ECC">
      <w:pPr>
        <w:pStyle w:val="PwCNormal"/>
      </w:pPr>
      <w:r w:rsidRPr="00CB32B1">
        <w:t>This model would be similar to the existing PII arrangements. The variation to existing PII would be a change to the practice arrangements for PPMs in line with some of the considerations outlined in this</w:t>
      </w:r>
      <w:r w:rsidR="00645B3C">
        <w:t xml:space="preserve"> </w:t>
      </w:r>
      <w:r w:rsidRPr="00CB32B1">
        <w:t>Chapter.</w:t>
      </w:r>
    </w:p>
    <w:p w:rsidR="002C5ECC" w:rsidRPr="00CB32B1" w:rsidRDefault="002C5ECC" w:rsidP="00F86E4D">
      <w:pPr>
        <w:pStyle w:val="ListBullet"/>
      </w:pPr>
      <w:r w:rsidRPr="00CB32B1">
        <w:rPr>
          <w:b/>
          <w:color w:val="DC6900" w:themeColor="text2"/>
        </w:rPr>
        <w:t>Benefits:</w:t>
      </w:r>
      <w:r w:rsidRPr="00CB32B1">
        <w:t xml:space="preserve"> There may not need to be significant changes to the existing practice for this model to work. Howe</w:t>
      </w:r>
      <w:r w:rsidR="00CD0CA9" w:rsidRPr="00CB32B1">
        <w:t>ver, this is unknown at present</w:t>
      </w:r>
    </w:p>
    <w:p w:rsidR="002C5ECC" w:rsidRPr="00CB32B1" w:rsidRDefault="002C5ECC" w:rsidP="00F86E4D">
      <w:pPr>
        <w:pStyle w:val="ListBullet"/>
      </w:pPr>
      <w:r w:rsidRPr="00CB32B1">
        <w:rPr>
          <w:b/>
          <w:color w:val="DC6900" w:themeColor="text2"/>
        </w:rPr>
        <w:t>Enablers:</w:t>
      </w:r>
      <w:r w:rsidRPr="00CB32B1">
        <w:t xml:space="preserve"> There are numerous potential enablers to the existing insurance model which have been identified throughout this report: improvements to data quality; improved support to and collaboration with PPMs by other health professionals; support for continuity of care; changes to registration requirements; standardised risk and quality frameworks; standardised scope of practice; changes to practice arrangements (</w:t>
      </w:r>
      <w:r w:rsidR="00854DEF" w:rsidRPr="00CB32B1">
        <w:t>eg</w:t>
      </w:r>
      <w:r w:rsidRPr="00CB32B1">
        <w:t xml:space="preserve"> group practice, supervisor models); caps on premiums; and establishing or improving disciplinary frameworks. Each of these enablers has been identified as having the potential to assist in reducing the risk profile of PPMs either through making practice ‘safer’ or of ‘higher quality’, or improvin</w:t>
      </w:r>
      <w:r w:rsidR="00CD0CA9" w:rsidRPr="00CB32B1">
        <w:t>g the understanding of its risk</w:t>
      </w:r>
    </w:p>
    <w:p w:rsidR="002C5ECC" w:rsidRPr="00CB32B1" w:rsidRDefault="002C5ECC" w:rsidP="00F86E4D">
      <w:pPr>
        <w:pStyle w:val="ListBullet"/>
      </w:pPr>
      <w:r w:rsidRPr="00CB32B1">
        <w:rPr>
          <w:b/>
          <w:color w:val="DC6900" w:themeColor="text2"/>
        </w:rPr>
        <w:t>Challenges:</w:t>
      </w:r>
      <w:r w:rsidRPr="00CB32B1">
        <w:t xml:space="preserve"> It is unknown whether changes to, or the addition of each of the enablers identified, collectively or in combination, will be sufficient for a PII product to be successfully developed.</w:t>
      </w:r>
    </w:p>
    <w:p w:rsidR="002C5ECC" w:rsidRPr="00CB32B1" w:rsidRDefault="002C5ECC" w:rsidP="002C667F">
      <w:pPr>
        <w:pStyle w:val="Minorheading2"/>
      </w:pPr>
      <w:r w:rsidRPr="00CB32B1">
        <w:t>Legal entity funded insurance model</w:t>
      </w:r>
    </w:p>
    <w:p w:rsidR="002C5ECC" w:rsidRPr="00CB32B1" w:rsidRDefault="002C5ECC" w:rsidP="002C5ECC">
      <w:pPr>
        <w:pStyle w:val="PwCNormal"/>
      </w:pPr>
      <w:r w:rsidRPr="00CB32B1">
        <w:t>In line with the English model, PII may be offered only to PPMs through a legal entity. In this model, PPMs must form a group and it is the group, not the individual that is insured.</w:t>
      </w:r>
    </w:p>
    <w:p w:rsidR="002C5ECC" w:rsidRPr="00CB32B1" w:rsidRDefault="002C5ECC" w:rsidP="002C667F">
      <w:pPr>
        <w:pStyle w:val="ListBullet"/>
      </w:pPr>
      <w:r w:rsidRPr="00CB32B1">
        <w:rPr>
          <w:b/>
          <w:color w:val="DC6900" w:themeColor="text2"/>
        </w:rPr>
        <w:t>Benefit:</w:t>
      </w:r>
      <w:r w:rsidRPr="00CB32B1">
        <w:t xml:space="preserve"> This is the only model researched whereby a commercial insurer was able to overcome the issue of scale of practice (and quantum claims). While commercial insurers operate both in the Netherlands and New Zealand, scale was overcome as all midwives were required to have cover, and there were other social insurance schemes in place to assist in terms of the quant</w:t>
      </w:r>
      <w:r w:rsidR="00CD0CA9" w:rsidRPr="00CB32B1">
        <w:t>um of claims</w:t>
      </w:r>
    </w:p>
    <w:p w:rsidR="002C5ECC" w:rsidRPr="00CB32B1" w:rsidRDefault="002C5ECC" w:rsidP="002C667F">
      <w:pPr>
        <w:pStyle w:val="ListBullet"/>
      </w:pPr>
      <w:r w:rsidRPr="00CB32B1">
        <w:rPr>
          <w:b/>
          <w:color w:val="DC6900" w:themeColor="text2"/>
        </w:rPr>
        <w:t>Enablers:</w:t>
      </w:r>
      <w:r w:rsidRPr="00CB32B1">
        <w:t xml:space="preserve"> This model still requires a commercial insurance company to assess the risk of PII for PPMs as sufficiently low to develop an affordable product. Sufficient data quality, specificity and actuarial modelling are required as well as potential amendments as to how risk is perceived. Other enablers in terms of the product may need to be considered. For example, the English model included the entity to have minimum excess, a minimum number of births/year, a certain level of quality and al</w:t>
      </w:r>
      <w:r w:rsidR="00CD0CA9" w:rsidRPr="00CB32B1">
        <w:t>so fulfil risk requirements</w:t>
      </w:r>
    </w:p>
    <w:p w:rsidR="002C5ECC" w:rsidRPr="00CB32B1" w:rsidRDefault="002C5ECC" w:rsidP="002C667F">
      <w:pPr>
        <w:pStyle w:val="ListBullet"/>
      </w:pPr>
      <w:r w:rsidRPr="00CB32B1">
        <w:rPr>
          <w:b/>
          <w:color w:val="DC6900" w:themeColor="text2"/>
        </w:rPr>
        <w:t>Challenges:</w:t>
      </w:r>
      <w:r w:rsidRPr="00CB32B1">
        <w:t xml:space="preserve"> Given the small number of PPMs, forming group practices may be challenging. This may have the unintended consequence of reducing the number of PPMs available and therefore reducing accessibility of services for women. Like the individual insurance model, more stringent PII arrangements may drive practice underground if PPMs feel unable to fulfil them but desire continuing their practice.</w:t>
      </w:r>
    </w:p>
    <w:p w:rsidR="002C5ECC" w:rsidRPr="00CB32B1" w:rsidRDefault="002C5ECC" w:rsidP="002C667F">
      <w:pPr>
        <w:pStyle w:val="Minorheading2"/>
      </w:pPr>
      <w:r w:rsidRPr="00CB32B1">
        <w:t>Not-for-profit (NFP) insurance model</w:t>
      </w:r>
    </w:p>
    <w:p w:rsidR="002C5ECC" w:rsidRPr="00CB32B1" w:rsidRDefault="002C5ECC" w:rsidP="002C5ECC">
      <w:pPr>
        <w:pStyle w:val="PwCNormal"/>
      </w:pPr>
      <w:r w:rsidRPr="00CB32B1">
        <w:t>There were several versions of an NFP insurance model that were identified within our research and</w:t>
      </w:r>
      <w:r w:rsidR="00645B3C">
        <w:t xml:space="preserve"> </w:t>
      </w:r>
      <w:r w:rsidRPr="00CB32B1">
        <w:t>literature:</w:t>
      </w:r>
    </w:p>
    <w:p w:rsidR="002C5ECC" w:rsidRPr="00CB32B1" w:rsidRDefault="002C5ECC" w:rsidP="002C667F">
      <w:pPr>
        <w:pStyle w:val="ListBullet"/>
      </w:pPr>
      <w:r w:rsidRPr="00CB32B1">
        <w:rPr>
          <w:b/>
          <w:color w:val="DC6900" w:themeColor="text2"/>
        </w:rPr>
        <w:t>NFP:</w:t>
      </w:r>
      <w:r w:rsidRPr="00CB32B1">
        <w:t xml:space="preserve"> One NFP model was found in HIROC, the insurer in Canada. This model involves a NFP entity owned by members who share any profits (or losses) between them. While a risk-based premium is applied, some level of risk subsidisation applies. This model is similar to that rec</w:t>
      </w:r>
      <w:r w:rsidR="00CD0CA9" w:rsidRPr="00CB32B1">
        <w:t>ommended within the ‘Tito report’</w:t>
      </w:r>
    </w:p>
    <w:p w:rsidR="002C5ECC" w:rsidRPr="00CB32B1" w:rsidRDefault="002C5ECC" w:rsidP="002C667F">
      <w:pPr>
        <w:pStyle w:val="ListBullet"/>
      </w:pPr>
      <w:r w:rsidRPr="00CB32B1">
        <w:rPr>
          <w:b/>
          <w:color w:val="DC6900" w:themeColor="text2"/>
        </w:rPr>
        <w:t>Professional association:</w:t>
      </w:r>
      <w:r w:rsidRPr="00CB32B1">
        <w:t xml:space="preserve"> Building on the HIROC model, this model involves a professional association or </w:t>
      </w:r>
      <w:r w:rsidR="00BB48E2">
        <w:t>C</w:t>
      </w:r>
      <w:r w:rsidRPr="00CB32B1">
        <w:t>ollege entering in to a contractual arrangement on behalf of its members. Premiums can be subsidised by the association and may also be paid through membership fees. The professional association enters into a contractual arran</w:t>
      </w:r>
      <w:r w:rsidR="00CD0CA9" w:rsidRPr="00CB32B1">
        <w:t>gement on behalf of its members</w:t>
      </w:r>
    </w:p>
    <w:p w:rsidR="002C5ECC" w:rsidRPr="00CB32B1" w:rsidRDefault="002C5ECC" w:rsidP="002C667F">
      <w:pPr>
        <w:pStyle w:val="ListBullet"/>
      </w:pPr>
      <w:r w:rsidRPr="00CB32B1">
        <w:rPr>
          <w:b/>
          <w:color w:val="DC6900" w:themeColor="text2"/>
        </w:rPr>
        <w:t>Government subsidised:</w:t>
      </w:r>
      <w:r w:rsidRPr="00CB32B1">
        <w:t xml:space="preserve"> Under this model, the Commonwealth or state/territory Governments may provide a </w:t>
      </w:r>
      <w:r w:rsidR="00E25231">
        <w:t>PII</w:t>
      </w:r>
      <w:r w:rsidRPr="00CB32B1">
        <w:t xml:space="preserve"> product. Consultations identified that this may be an appropriate interim model to test whether PII for PPMs is profitable, and under what arrangements and conditions.</w:t>
      </w:r>
    </w:p>
    <w:p w:rsidR="002C5ECC" w:rsidRPr="00CB32B1" w:rsidRDefault="002C5ECC" w:rsidP="002C5ECC">
      <w:pPr>
        <w:pStyle w:val="PwCNormal"/>
      </w:pPr>
      <w:r w:rsidRPr="00CB32B1">
        <w:t>Hybrid models could also be considered in terms of a potential insurance model by the NMBA.</w:t>
      </w:r>
    </w:p>
    <w:p w:rsidR="002C5ECC" w:rsidRPr="00CB32B1" w:rsidRDefault="002C5ECC" w:rsidP="002C667F">
      <w:pPr>
        <w:pStyle w:val="ListBullet"/>
        <w:rPr>
          <w:b/>
          <w:color w:val="DC6900" w:themeColor="text2"/>
        </w:rPr>
      </w:pPr>
      <w:r w:rsidRPr="00CB32B1">
        <w:rPr>
          <w:b/>
          <w:color w:val="DC6900" w:themeColor="text2"/>
        </w:rPr>
        <w:t xml:space="preserve">Benefits: </w:t>
      </w:r>
    </w:p>
    <w:p w:rsidR="002C5ECC" w:rsidRPr="00CB32B1" w:rsidRDefault="002C5ECC" w:rsidP="002C5ECC">
      <w:pPr>
        <w:pStyle w:val="PwCNormal"/>
      </w:pPr>
      <w:r w:rsidRPr="00645B3C">
        <w:rPr>
          <w:i/>
          <w:color w:val="DC6900" w:themeColor="accent1"/>
        </w:rPr>
        <w:t>NFP</w:t>
      </w:r>
      <w:r w:rsidRPr="00CB32B1">
        <w:t xml:space="preserve"> – A PII product can be provided through the risk mitigation of supporting agencies, focusing away from commercial profit.</w:t>
      </w:r>
    </w:p>
    <w:p w:rsidR="002C5ECC" w:rsidRPr="00CB32B1" w:rsidRDefault="002C5ECC" w:rsidP="002C5ECC">
      <w:pPr>
        <w:pStyle w:val="PwCNormal"/>
      </w:pPr>
      <w:r w:rsidRPr="00645B3C">
        <w:rPr>
          <w:i/>
          <w:color w:val="DC6900" w:themeColor="accent1"/>
        </w:rPr>
        <w:t>Professional association</w:t>
      </w:r>
      <w:r w:rsidRPr="00CB32B1">
        <w:t xml:space="preserve"> – This provides a scale of practice as each of the</w:t>
      </w:r>
      <w:r w:rsidR="008341BC">
        <w:t xml:space="preserve"> members of the association or C</w:t>
      </w:r>
      <w:r w:rsidRPr="00CB32B1">
        <w:t xml:space="preserve">ollege is being insured. This model also has been identified as beneficial in improving the risk profiling of PPMs through a working relationship between the insurer and the association or </w:t>
      </w:r>
      <w:r w:rsidR="00BB48E2">
        <w:t>C</w:t>
      </w:r>
      <w:r w:rsidRPr="00CB32B1">
        <w:t>ollege.</w:t>
      </w:r>
    </w:p>
    <w:p w:rsidR="002C5ECC" w:rsidRPr="00CB32B1" w:rsidRDefault="002C5ECC" w:rsidP="002C5ECC">
      <w:pPr>
        <w:pStyle w:val="PwCNormal"/>
      </w:pPr>
      <w:r w:rsidRPr="00645B3C">
        <w:rPr>
          <w:i/>
          <w:color w:val="DC6900" w:themeColor="accent1"/>
        </w:rPr>
        <w:t>Government</w:t>
      </w:r>
      <w:r w:rsidR="00BB48E2">
        <w:t xml:space="preserve"> – The involvement of the g</w:t>
      </w:r>
      <w:r w:rsidRPr="00CB32B1">
        <w:t>overnment may also see improvement in data quality and transparency of practice for PPMs, which could lead to commercial insurers providing PII into the</w:t>
      </w:r>
      <w:r w:rsidR="00645B3C">
        <w:t xml:space="preserve"> </w:t>
      </w:r>
      <w:r w:rsidRPr="00CB32B1">
        <w:t>future.</w:t>
      </w:r>
    </w:p>
    <w:p w:rsidR="002C5ECC" w:rsidRPr="00CB32B1" w:rsidRDefault="002C5ECC" w:rsidP="002C667F">
      <w:pPr>
        <w:pStyle w:val="ListBullet"/>
        <w:rPr>
          <w:b/>
          <w:color w:val="DC6900" w:themeColor="text2"/>
        </w:rPr>
      </w:pPr>
      <w:r w:rsidRPr="00CB32B1">
        <w:rPr>
          <w:b/>
          <w:color w:val="DC6900" w:themeColor="text2"/>
        </w:rPr>
        <w:t xml:space="preserve">Enablers: </w:t>
      </w:r>
    </w:p>
    <w:p w:rsidR="002C5ECC" w:rsidRPr="00CB32B1" w:rsidRDefault="002C5ECC" w:rsidP="002C5ECC">
      <w:pPr>
        <w:pStyle w:val="PwCNormal"/>
      </w:pPr>
      <w:r w:rsidRPr="00645B3C">
        <w:rPr>
          <w:i/>
          <w:color w:val="DC6900" w:themeColor="accent1"/>
        </w:rPr>
        <w:t>NFP</w:t>
      </w:r>
      <w:r w:rsidRPr="00CB32B1">
        <w:t xml:space="preserve"> – The research completed did not identify a NFP PII organisation practising at present. Support may be needed from the Government to establish such an organisation, and legislative requirements to do so may also need to be considered. This organisation would also require scope of practice and a portfolio of products under which it can manage its risk.</w:t>
      </w:r>
    </w:p>
    <w:p w:rsidR="002C5ECC" w:rsidRPr="00CB32B1" w:rsidRDefault="002C5ECC" w:rsidP="002C5ECC">
      <w:pPr>
        <w:pStyle w:val="PwCNormal"/>
      </w:pPr>
      <w:r w:rsidRPr="00645B3C">
        <w:rPr>
          <w:i/>
          <w:color w:val="DC6900" w:themeColor="accent1"/>
        </w:rPr>
        <w:t>Professional association</w:t>
      </w:r>
      <w:r w:rsidRPr="00CB32B1">
        <w:t xml:space="preserve"> – The willingness of associations or </w:t>
      </w:r>
      <w:r w:rsidR="00BB48E2">
        <w:t>C</w:t>
      </w:r>
      <w:r w:rsidRPr="00CB32B1">
        <w:t>olleges to enter in to the arrangement is required. An insurer will still need to assess the risk profile as sufficiently low to develop a product.</w:t>
      </w:r>
    </w:p>
    <w:p w:rsidR="002C5ECC" w:rsidRPr="00CB32B1" w:rsidRDefault="002C5ECC" w:rsidP="002C5ECC">
      <w:pPr>
        <w:pStyle w:val="PwCNormal"/>
      </w:pPr>
      <w:r w:rsidRPr="00645B3C">
        <w:rPr>
          <w:i/>
          <w:color w:val="DC6900" w:themeColor="accent1"/>
        </w:rPr>
        <w:t>Government</w:t>
      </w:r>
      <w:r w:rsidRPr="00CB32B1">
        <w:t xml:space="preserve"> – This would require the support of the Government Actuary and be prudently assessed as appropriate. Legislative requirements again would need to be considered.</w:t>
      </w:r>
    </w:p>
    <w:p w:rsidR="002C5ECC" w:rsidRPr="00CB32B1" w:rsidRDefault="002C5ECC" w:rsidP="00C765D1">
      <w:pPr>
        <w:pStyle w:val="ListBullet"/>
        <w:keepNext/>
        <w:keepLines/>
        <w:rPr>
          <w:b/>
          <w:color w:val="DC6900" w:themeColor="text2"/>
        </w:rPr>
      </w:pPr>
      <w:r w:rsidRPr="00CB32B1">
        <w:rPr>
          <w:b/>
          <w:color w:val="DC6900" w:themeColor="text2"/>
        </w:rPr>
        <w:t xml:space="preserve">Challenges: </w:t>
      </w:r>
    </w:p>
    <w:p w:rsidR="002C5ECC" w:rsidRPr="00CB32B1" w:rsidRDefault="002C5ECC" w:rsidP="002C5ECC">
      <w:pPr>
        <w:pStyle w:val="PwCNormal"/>
      </w:pPr>
      <w:r w:rsidRPr="00DF76AB">
        <w:rPr>
          <w:i/>
          <w:color w:val="DC6900" w:themeColor="accent1"/>
        </w:rPr>
        <w:t>NFP</w:t>
      </w:r>
      <w:r w:rsidRPr="00CB32B1">
        <w:t xml:space="preserve"> – This model may require a cross-subsidisation of risk and given the </w:t>
      </w:r>
      <w:r w:rsidR="00E25231">
        <w:t>PII</w:t>
      </w:r>
      <w:r w:rsidRPr="00CB32B1">
        <w:t xml:space="preserve"> history in Australia, this may not be possible. It also requires multiple large health service entities to be members. In Australia, these could be the equivalent of members within TMFs.</w:t>
      </w:r>
    </w:p>
    <w:p w:rsidR="002C5ECC" w:rsidRPr="00CB32B1" w:rsidRDefault="002C5ECC" w:rsidP="002C5ECC">
      <w:pPr>
        <w:pStyle w:val="PwCNormal"/>
      </w:pPr>
      <w:r w:rsidRPr="00DF76AB">
        <w:rPr>
          <w:i/>
          <w:color w:val="DC6900" w:themeColor="accent1"/>
        </w:rPr>
        <w:t>Professional association</w:t>
      </w:r>
      <w:r w:rsidRPr="00CB32B1">
        <w:t xml:space="preserve"> – </w:t>
      </w:r>
      <w:r w:rsidR="00BB48E2">
        <w:t>There are many associations or C</w:t>
      </w:r>
      <w:r w:rsidRPr="00CB32B1">
        <w:t>olleges specifically for PPMs. This model may mean that the majority of members (</w:t>
      </w:r>
      <w:r w:rsidR="00854DEF" w:rsidRPr="00CB32B1">
        <w:t>eg</w:t>
      </w:r>
      <w:r w:rsidRPr="00CB32B1">
        <w:t xml:space="preserve"> those not practising in the home) may be subsidising the premium for others. This is not an issue in other places where this model is in operation (</w:t>
      </w:r>
      <w:r w:rsidR="00854DEF" w:rsidRPr="00CB32B1">
        <w:t>eg</w:t>
      </w:r>
      <w:r w:rsidRPr="00CB32B1">
        <w:t xml:space="preserve"> the province of Ontario and New Zealand), as every midwife while still cross subsidizing the risk, is effectively required to hold individual PII cover.</w:t>
      </w:r>
    </w:p>
    <w:p w:rsidR="002C5ECC" w:rsidRPr="00CB32B1" w:rsidRDefault="002C5ECC" w:rsidP="002C5ECC">
      <w:pPr>
        <w:pStyle w:val="PwCNormal"/>
      </w:pPr>
      <w:r w:rsidRPr="00DF76AB">
        <w:rPr>
          <w:i/>
          <w:color w:val="DC6900" w:themeColor="accent1"/>
        </w:rPr>
        <w:t>Government</w:t>
      </w:r>
      <w:r w:rsidRPr="00CB32B1">
        <w:t xml:space="preserve"> – Consultations identified that for varying reasons, there may be significant resistance to this option from other health professional groups. Some felt that PII should only be provided if commercially and financially viable, and should not be subsidised. Some believed that it should not be the role of the </w:t>
      </w:r>
      <w:r w:rsidR="00DF76AB">
        <w:t>g</w:t>
      </w:r>
      <w:r w:rsidRPr="00CB32B1">
        <w:t>overnment to support and provide PII. Others voiced that this could encourage unsafe practice, and should only occur unless under strict requirements (</w:t>
      </w:r>
      <w:r w:rsidR="00854DEF" w:rsidRPr="00CB32B1">
        <w:t>eg</w:t>
      </w:r>
      <w:r w:rsidRPr="00CB32B1">
        <w:t xml:space="preserve"> collaborative arrangements, risk and quality frameworks).</w:t>
      </w:r>
    </w:p>
    <w:p w:rsidR="002C5ECC" w:rsidRPr="00CB32B1" w:rsidRDefault="002C5ECC" w:rsidP="002C667F">
      <w:pPr>
        <w:pStyle w:val="Minorheading2"/>
      </w:pPr>
      <w:r w:rsidRPr="00CB32B1">
        <w:t>Co-payment insurance model</w:t>
      </w:r>
    </w:p>
    <w:p w:rsidR="002C5ECC" w:rsidRPr="00CB32B1" w:rsidRDefault="002C5ECC" w:rsidP="002C5ECC">
      <w:pPr>
        <w:pStyle w:val="PwCNormal"/>
      </w:pPr>
      <w:r w:rsidRPr="00CB32B1">
        <w:t>Similar to other industries, such as the horse racing business, this model involves the mother holding private health insurance (PHI) and providing an insurance co-payment to the PII held by the PPM.</w:t>
      </w:r>
    </w:p>
    <w:p w:rsidR="002C5ECC" w:rsidRPr="00CB32B1" w:rsidRDefault="002C5ECC" w:rsidP="002C667F">
      <w:pPr>
        <w:pStyle w:val="ListBullet"/>
      </w:pPr>
      <w:r w:rsidRPr="00CB32B1">
        <w:rPr>
          <w:b/>
          <w:color w:val="DC6900" w:themeColor="text2"/>
        </w:rPr>
        <w:t>Benefits:</w:t>
      </w:r>
      <w:r w:rsidRPr="00CB32B1">
        <w:t xml:space="preserve"> Risk is shared between the mother and the PPM. The mother is accepting a level </w:t>
      </w:r>
      <w:r w:rsidR="00CD0CA9" w:rsidRPr="00CB32B1">
        <w:t>of risk within the relationship</w:t>
      </w:r>
    </w:p>
    <w:p w:rsidR="002C5ECC" w:rsidRPr="00CB32B1" w:rsidRDefault="002C5ECC" w:rsidP="002C667F">
      <w:pPr>
        <w:pStyle w:val="ListBullet"/>
      </w:pPr>
      <w:r w:rsidRPr="00CB32B1">
        <w:rPr>
          <w:b/>
          <w:color w:val="DC6900" w:themeColor="text2"/>
        </w:rPr>
        <w:t>Enablers:</w:t>
      </w:r>
      <w:r w:rsidRPr="00CB32B1">
        <w:t xml:space="preserve"> Sufficient information would need to be provided to the mother, as well as appropriate legal documentation supporting the co-payment arrangement. From our research, PHI arrangements were not identified to provide this level of information and documentation at present, and therefore changes to PHI may need to be considered. This may have flow-on impacts to PHI more broadly. This again would also require insurers providing PII to assess that this model sufficiently reduces the risk profile for them to</w:t>
      </w:r>
      <w:r w:rsidR="00CD0CA9" w:rsidRPr="00CB32B1">
        <w:t xml:space="preserve"> develop intrapartum care cover</w:t>
      </w:r>
    </w:p>
    <w:p w:rsidR="002C5ECC" w:rsidRPr="00CB32B1" w:rsidRDefault="002C5ECC" w:rsidP="002C667F">
      <w:pPr>
        <w:pStyle w:val="ListBullet"/>
      </w:pPr>
      <w:r w:rsidRPr="00CB32B1">
        <w:rPr>
          <w:b/>
          <w:color w:val="DC6900" w:themeColor="text2"/>
        </w:rPr>
        <w:t>Challenges:</w:t>
      </w:r>
      <w:r w:rsidRPr="00CB32B1">
        <w:t xml:space="preserve"> This model has been identified in consultations to have challenges, such as the potential impact on accessibility for mothers. If PHI was required, mothers may not be able to afford the cover. Further investigation of the difference between PHI premiums and PPM fees would need to be completed. Also, access to alternate homebirth services including publicly funded homebirth schemes should be considered by the NMBA.</w:t>
      </w:r>
    </w:p>
    <w:p w:rsidR="002C5ECC" w:rsidRPr="00CB32B1" w:rsidRDefault="002C5ECC" w:rsidP="002C667F">
      <w:pPr>
        <w:pStyle w:val="Minorheading"/>
      </w:pPr>
      <w:r w:rsidRPr="00CB32B1">
        <w:t>Option 7: Enhance collaborative partnerships</w:t>
      </w:r>
    </w:p>
    <w:tbl>
      <w:tblPr>
        <w:tblStyle w:val="TableGrid"/>
        <w:tblW w:w="0" w:type="auto"/>
        <w:tblLook w:val="04A0"/>
      </w:tblPr>
      <w:tblGrid>
        <w:gridCol w:w="9285"/>
      </w:tblGrid>
      <w:tr w:rsidR="00122E7C" w:rsidRPr="00CB32B1" w:rsidTr="003E6ABC">
        <w:tc>
          <w:tcPr>
            <w:tcW w:w="9288" w:type="dxa"/>
            <w:tcBorders>
              <w:top w:val="single" w:sz="4" w:space="0" w:color="DC6900" w:themeColor="text2"/>
              <w:left w:val="single" w:sz="4" w:space="0" w:color="DC6900" w:themeColor="text2"/>
              <w:bottom w:val="single" w:sz="4" w:space="0" w:color="DC6900" w:themeColor="text2"/>
              <w:right w:val="single" w:sz="4" w:space="0" w:color="DC6900" w:themeColor="text2"/>
            </w:tcBorders>
          </w:tcPr>
          <w:p w:rsidR="00122E7C" w:rsidRPr="00CB32B1" w:rsidRDefault="00122E7C" w:rsidP="00E72697">
            <w:pPr>
              <w:pStyle w:val="TableTextNormal"/>
              <w:rPr>
                <w:b/>
                <w:color w:val="DC6900" w:themeColor="text2"/>
              </w:rPr>
            </w:pPr>
            <w:r w:rsidRPr="00CB32B1">
              <w:rPr>
                <w:b/>
                <w:color w:val="DC6900" w:themeColor="text2"/>
              </w:rPr>
              <w:t>Identify factors enhancing collaborative partnerships between PPMs and health services that could mitigate PPM practice risk for PII development</w:t>
            </w:r>
            <w:r w:rsidR="00E72697" w:rsidRPr="00CB32B1">
              <w:rPr>
                <w:b/>
                <w:color w:val="DC6900" w:themeColor="text2"/>
              </w:rPr>
              <w:t>.</w:t>
            </w:r>
          </w:p>
        </w:tc>
      </w:tr>
    </w:tbl>
    <w:p w:rsidR="00E72697" w:rsidRPr="00CB32B1" w:rsidRDefault="002C5ECC" w:rsidP="008D4EC1">
      <w:pPr>
        <w:pStyle w:val="PwCNormal"/>
        <w:spacing w:before="120"/>
      </w:pPr>
      <w:r w:rsidRPr="00CB32B1">
        <w:t>The World Health Organization articulates that a multidisciplinary collaborative and coordinated approach is essential to deliver safe maternity care.</w:t>
      </w:r>
      <w:r w:rsidR="00BF6367" w:rsidRPr="00CB32B1">
        <w:rPr>
          <w:rStyle w:val="FootnoteReference"/>
        </w:rPr>
        <w:footnoteReference w:id="275"/>
      </w:r>
      <w:r w:rsidR="00854DEF" w:rsidRPr="00CB32B1">
        <w:t xml:space="preserve"> </w:t>
      </w:r>
      <w:r w:rsidRPr="00CB32B1">
        <w:t xml:space="preserve">In light of this, collaboration between PPMs and other </w:t>
      </w:r>
      <w:r w:rsidR="00A31955">
        <w:t>maternity service providers</w:t>
      </w:r>
      <w:r w:rsidRPr="00CB32B1">
        <w:t xml:space="preserve"> and health services is identified </w:t>
      </w:r>
      <w:r w:rsidR="00E72697" w:rsidRPr="00CB32B1">
        <w:t>as a key area to be addressed. Access to collaborative arrangements with health services would ensure that effective pathways for consultation, referral and collaboration are in place.</w:t>
      </w:r>
    </w:p>
    <w:p w:rsidR="002C5ECC" w:rsidRPr="00CB32B1" w:rsidRDefault="00E72697" w:rsidP="008D4EC1">
      <w:pPr>
        <w:pStyle w:val="PwCNormal"/>
        <w:spacing w:before="120"/>
      </w:pPr>
      <w:r w:rsidRPr="00CB32B1">
        <w:t>C</w:t>
      </w:r>
      <w:r w:rsidR="002C5ECC" w:rsidRPr="00CB32B1">
        <w:t>onsultations both nationally and internationally, with professional associations, consumer groups, Department representatives and insurers, raised collaborative partnerships as a key issue. Without key tools for collaboration including privileging rights and more broadly, acceptance and respect between PPMs and the broader health service, the risk profile of PPMs in terms of PII appears to be increased. Literature supports that nurses and midwives should be ‘full partners’ with other health care professionals, including medical practitioners in redesigning the system.</w:t>
      </w:r>
      <w:r w:rsidR="00BF6367" w:rsidRPr="00CB32B1">
        <w:rPr>
          <w:rStyle w:val="FootnoteReference"/>
        </w:rPr>
        <w:footnoteReference w:id="276"/>
      </w:r>
      <w:r w:rsidR="00854DEF" w:rsidRPr="00CB32B1">
        <w:t xml:space="preserve"> </w:t>
      </w:r>
      <w:r w:rsidR="002C5ECC" w:rsidRPr="00CB32B1">
        <w:t>NMBA should consider its role in facilitating conversation, or in assisting other government agencies, professional associations and colleges to support good collaborative arrangements.</w:t>
      </w:r>
    </w:p>
    <w:tbl>
      <w:tblPr>
        <w:tblStyle w:val="TableGrid"/>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418"/>
        <w:gridCol w:w="360"/>
        <w:gridCol w:w="3510"/>
      </w:tblGrid>
      <w:tr w:rsidR="008D4EC1" w:rsidRPr="00CB32B1" w:rsidTr="00CC7C19">
        <w:tc>
          <w:tcPr>
            <w:tcW w:w="5418" w:type="dxa"/>
          </w:tcPr>
          <w:p w:rsidR="008D4EC1" w:rsidRPr="00CB32B1" w:rsidRDefault="008D4EC1" w:rsidP="00CB1BAB">
            <w:pPr>
              <w:pStyle w:val="TableTextNormal"/>
              <w:keepNext/>
              <w:keepLines/>
            </w:pPr>
            <w:r w:rsidRPr="00CB32B1">
              <w:t xml:space="preserve">The research completed has identified several national reviews and pieces of research that have already been completed in relation to collaborative arrangements and partnerships; most notably, the National Health and Medical Research Council (NHMRC) 2010 guidance, </w:t>
            </w:r>
            <w:r w:rsidRPr="00CB32B1">
              <w:rPr>
                <w:i/>
              </w:rPr>
              <w:t>National Guidance on Collaborative Maternity Care</w:t>
            </w:r>
            <w:r w:rsidRPr="00CB32B1">
              <w:t xml:space="preserve"> (further discussion on the NHMRC guidance, and collaborative arrangements in general can be found in Appendix </w:t>
            </w:r>
            <w:r w:rsidR="00CB1BAB" w:rsidRPr="00CB32B1">
              <w:t>E</w:t>
            </w:r>
            <w:r w:rsidRPr="00CB32B1">
              <w:t xml:space="preserve">). Within the NHMRC guidance, there were nine principles that outlined the aims of collaborative partnerships, what they should involve and notably, challenges to collaboration. Both the principles and the challenges identified (see Appendix </w:t>
            </w:r>
            <w:r w:rsidR="00CB1BAB" w:rsidRPr="00CB32B1">
              <w:t>E</w:t>
            </w:r>
            <w:r w:rsidRPr="00CB32B1">
              <w:t>) were supported by the findings within this report.</w:t>
            </w:r>
          </w:p>
        </w:tc>
        <w:tc>
          <w:tcPr>
            <w:tcW w:w="360" w:type="dxa"/>
          </w:tcPr>
          <w:p w:rsidR="008D4EC1" w:rsidRPr="00CB32B1" w:rsidRDefault="008D4EC1" w:rsidP="00902C2F">
            <w:pPr>
              <w:pStyle w:val="TableTextNormal"/>
              <w:keepNext/>
              <w:keepLines/>
            </w:pPr>
          </w:p>
        </w:tc>
        <w:tc>
          <w:tcPr>
            <w:tcW w:w="3510" w:type="dxa"/>
            <w:shd w:val="clear" w:color="auto" w:fill="DC6900" w:themeFill="text2"/>
            <w:vAlign w:val="center"/>
          </w:tcPr>
          <w:p w:rsidR="008D4EC1" w:rsidRPr="00E940E8" w:rsidRDefault="008D4EC1" w:rsidP="00902C2F">
            <w:pPr>
              <w:pStyle w:val="TableTextNormal"/>
              <w:keepNext/>
              <w:keepLines/>
              <w:rPr>
                <w:b/>
                <w:i/>
                <w:color w:val="FFFFFF" w:themeColor="background1"/>
              </w:rPr>
            </w:pPr>
            <w:r w:rsidRPr="00E940E8">
              <w:rPr>
                <w:b/>
                <w:i/>
                <w:color w:val="FFFFFF" w:themeColor="background1"/>
              </w:rPr>
              <w:t>“Good outcomes require the supportive continuum of care that may be needed by an individual pregnant woman from all those who provide maternity services. This collaboration is the chain that links community-based primary midwifery care with district and regional care from hospital-based midwives and medical specialists”</w:t>
            </w:r>
          </w:p>
          <w:p w:rsidR="008D4EC1" w:rsidRPr="00CB32B1" w:rsidRDefault="00CC7C19" w:rsidP="00CC7C19">
            <w:pPr>
              <w:pStyle w:val="TableTextNormal"/>
              <w:keepNext/>
              <w:keepLines/>
              <w:spacing w:before="40" w:after="40"/>
              <w:jc w:val="right"/>
              <w:rPr>
                <w:i/>
              </w:rPr>
            </w:pPr>
            <w:r w:rsidRPr="00CB32B1">
              <w:rPr>
                <w:i/>
                <w:color w:val="FFFFFF" w:themeColor="background1"/>
              </w:rPr>
              <w:t>(</w:t>
            </w:r>
            <w:r w:rsidR="008D4EC1" w:rsidRPr="00CB32B1">
              <w:rPr>
                <w:i/>
                <w:color w:val="FFFFFF" w:themeColor="background1"/>
              </w:rPr>
              <w:t>Guilliland K, 2011</w:t>
            </w:r>
            <w:r w:rsidRPr="00CB32B1">
              <w:rPr>
                <w:i/>
                <w:color w:val="FFFFFF" w:themeColor="background1"/>
              </w:rPr>
              <w:t>)</w:t>
            </w:r>
          </w:p>
        </w:tc>
      </w:tr>
      <w:tr w:rsidR="008D4EC1" w:rsidRPr="00CB32B1" w:rsidTr="00CC7C19">
        <w:trPr>
          <w:trHeight w:hRule="exact" w:val="86"/>
        </w:trPr>
        <w:tc>
          <w:tcPr>
            <w:tcW w:w="5418" w:type="dxa"/>
          </w:tcPr>
          <w:p w:rsidR="008D4EC1" w:rsidRPr="00CB32B1" w:rsidRDefault="008D4EC1" w:rsidP="00902C2F">
            <w:pPr>
              <w:pStyle w:val="TableTextNormal"/>
            </w:pPr>
          </w:p>
        </w:tc>
        <w:tc>
          <w:tcPr>
            <w:tcW w:w="360" w:type="dxa"/>
            <w:shd w:val="clear" w:color="auto" w:fill="DC6900" w:themeFill="text2"/>
          </w:tcPr>
          <w:p w:rsidR="008D4EC1" w:rsidRPr="00CB32B1" w:rsidRDefault="008D4EC1" w:rsidP="00902C2F">
            <w:pPr>
              <w:pStyle w:val="TableTextNormal"/>
            </w:pPr>
          </w:p>
        </w:tc>
        <w:tc>
          <w:tcPr>
            <w:tcW w:w="3510" w:type="dxa"/>
          </w:tcPr>
          <w:p w:rsidR="008D4EC1" w:rsidRPr="00CB32B1" w:rsidRDefault="008D4EC1" w:rsidP="00902C2F">
            <w:pPr>
              <w:pStyle w:val="TableTextNormal"/>
            </w:pPr>
          </w:p>
        </w:tc>
      </w:tr>
    </w:tbl>
    <w:p w:rsidR="00CC7C19" w:rsidRPr="00CB32B1" w:rsidRDefault="00CC7C19" w:rsidP="00CC7C19">
      <w:pPr>
        <w:pStyle w:val="ListBullet"/>
        <w:numPr>
          <w:ilvl w:val="0"/>
          <w:numId w:val="0"/>
        </w:numPr>
        <w:spacing w:before="120"/>
      </w:pPr>
      <w:r w:rsidRPr="00CB32B1">
        <w:t xml:space="preserve">The biggest challenges identified by </w:t>
      </w:r>
      <w:r w:rsidR="00BB48E2">
        <w:t>this</w:t>
      </w:r>
      <w:r w:rsidRPr="00CB32B1">
        <w:t xml:space="preserve"> </w:t>
      </w:r>
      <w:r w:rsidR="00D76345">
        <w:t>project</w:t>
      </w:r>
      <w:r w:rsidRPr="00CB32B1">
        <w:t xml:space="preserve"> to facilitating effective collaboration (concurring with those identified by the NHMRC (s</w:t>
      </w:r>
      <w:r w:rsidR="00E940E8">
        <w:t xml:space="preserve">ee Appendix E for a full list) </w:t>
      </w:r>
      <w:r w:rsidRPr="00CB32B1">
        <w:t>were:</w:t>
      </w:r>
    </w:p>
    <w:p w:rsidR="002C5ECC" w:rsidRPr="00CB32B1" w:rsidRDefault="002C5ECC" w:rsidP="00AD1B4A">
      <w:pPr>
        <w:pStyle w:val="ListBullet"/>
        <w:spacing w:before="120"/>
      </w:pPr>
      <w:r w:rsidRPr="00CB32B1">
        <w:rPr>
          <w:b/>
          <w:color w:val="DC6900" w:themeColor="text2"/>
        </w:rPr>
        <w:t>Defined roles in collaboration:</w:t>
      </w:r>
      <w:r w:rsidRPr="00CB32B1">
        <w:t xml:space="preserve"> </w:t>
      </w:r>
      <w:r w:rsidR="00E940E8">
        <w:t>c</w:t>
      </w:r>
      <w:r w:rsidRPr="00CB32B1">
        <w:t>onsultations identified that other professions should not necessarily define the scope of practice for PPMs but should accept and understand it. Agreement on roles in care, particularly around transfer and referral is believed to be important. It was also apparent through consultations, particularly those internationally, that midwifery activity could be or is perceived as competitive to other health professionals. An understanding of role</w:t>
      </w:r>
      <w:r w:rsidR="00CD0CA9" w:rsidRPr="00CB32B1">
        <w:t>s could reduce this perception</w:t>
      </w:r>
    </w:p>
    <w:p w:rsidR="002C5ECC" w:rsidRPr="00CB32B1" w:rsidRDefault="002C5ECC" w:rsidP="00AD1B4A">
      <w:pPr>
        <w:pStyle w:val="ListBullet"/>
      </w:pPr>
      <w:r w:rsidRPr="00CB32B1">
        <w:rPr>
          <w:b/>
          <w:color w:val="DC6900" w:themeColor="text2"/>
        </w:rPr>
        <w:t>Perceptions of litigation:</w:t>
      </w:r>
      <w:r w:rsidRPr="00CB32B1">
        <w:t xml:space="preserve"> </w:t>
      </w:r>
      <w:r w:rsidR="00E940E8">
        <w:t>c</w:t>
      </w:r>
      <w:r w:rsidRPr="00CB32B1">
        <w:t xml:space="preserve">onsultations highlighted that </w:t>
      </w:r>
      <w:r w:rsidR="00434E43">
        <w:t>maternity service providers</w:t>
      </w:r>
      <w:r w:rsidRPr="00CB32B1">
        <w:t xml:space="preserve"> and services felt potentially exposed through relationships with PPMs, in that negligent behaviour would be</w:t>
      </w:r>
      <w:r w:rsidR="00CD0CA9" w:rsidRPr="00CB32B1">
        <w:t xml:space="preserve"> potentially attributed to them</w:t>
      </w:r>
    </w:p>
    <w:p w:rsidR="002C5ECC" w:rsidRPr="00CB32B1" w:rsidRDefault="002C5ECC" w:rsidP="00AD1B4A">
      <w:pPr>
        <w:pStyle w:val="ListBullet"/>
      </w:pPr>
      <w:r w:rsidRPr="00CB32B1">
        <w:rPr>
          <w:b/>
          <w:color w:val="DC6900" w:themeColor="text2"/>
        </w:rPr>
        <w:t>Access arrangements:</w:t>
      </w:r>
      <w:r w:rsidRPr="00CB32B1">
        <w:t xml:space="preserve"> </w:t>
      </w:r>
      <w:r w:rsidR="00E940E8">
        <w:t>u</w:t>
      </w:r>
      <w:r w:rsidRPr="00CB32B1">
        <w:t>nlike in the province of Ontario or New Zealand where care can continue to be provided within the hospital, the limiting or excluding of any of the roles of PPMs from access arrangements in Australia can be seen to be detrimental, and has the potential to delay necessary transfers.</w:t>
      </w:r>
    </w:p>
    <w:p w:rsidR="002C5ECC" w:rsidRPr="00CB32B1" w:rsidRDefault="002C5ECC" w:rsidP="002C5ECC">
      <w:pPr>
        <w:pStyle w:val="PwCNormal"/>
      </w:pPr>
      <w:r w:rsidRPr="00CB32B1">
        <w:t xml:space="preserve">Efforts to enact some of the findings of the NHMRC relating to access arrangements and clinical privileging was proposed through the DoHA’s </w:t>
      </w:r>
      <w:r w:rsidRPr="00CB32B1">
        <w:rPr>
          <w:i/>
        </w:rPr>
        <w:t>National Maternity Services Plan</w:t>
      </w:r>
      <w:r w:rsidRPr="00CB32B1">
        <w:t xml:space="preserve"> in 2010 (also see Appendix </w:t>
      </w:r>
      <w:r w:rsidR="00CB1BAB" w:rsidRPr="00CB32B1">
        <w:t>E</w:t>
      </w:r>
      <w:r w:rsidRPr="00CB32B1">
        <w:t xml:space="preserve"> for further discussion). While the plan seeks consistent frameworks and monitoring to be in place, the onus is on jurisdictions to create frameworks and monitor in the most appropriate form for their state or territory. Consultations highlighted that this has led to variation in access and frameworks between jurisdictions, leading to recommendations for stronger national oversight and</w:t>
      </w:r>
      <w:r w:rsidR="00E940E8">
        <w:t xml:space="preserve"> </w:t>
      </w:r>
      <w:r w:rsidRPr="00CB32B1">
        <w:t>leadership.</w:t>
      </w:r>
    </w:p>
    <w:p w:rsidR="002C5ECC" w:rsidRPr="00CB32B1" w:rsidRDefault="002C5ECC" w:rsidP="002C5ECC">
      <w:pPr>
        <w:pStyle w:val="PwCNormal"/>
      </w:pPr>
      <w:r w:rsidRPr="00CB32B1">
        <w:t>As a result, examples of effective access arrangements, such as in Queensland, and frameworks, such as in South Australia on clinical privileging, should be further considered. However this should be to the extent that they do not provide additional burden, or are unachievable as some professionals warn.</w:t>
      </w:r>
      <w:r w:rsidR="00BF6367" w:rsidRPr="00CB32B1">
        <w:rPr>
          <w:rStyle w:val="FootnoteReference"/>
        </w:rPr>
        <w:footnoteReference w:id="277"/>
      </w:r>
      <w:r w:rsidR="00854DEF" w:rsidRPr="00CB32B1">
        <w:t xml:space="preserve"> </w:t>
      </w:r>
      <w:r w:rsidRPr="00CB32B1">
        <w:t xml:space="preserve">The involvement of an oversight body to assist in the development of generic frameworks should also be considered to drive collaboration and make the risk profiling of </w:t>
      </w:r>
      <w:r w:rsidR="00E940E8">
        <w:t xml:space="preserve">PPMs </w:t>
      </w:r>
      <w:r w:rsidRPr="00CB32B1">
        <w:t>consistent.</w:t>
      </w:r>
    </w:p>
    <w:p w:rsidR="002C5ECC" w:rsidRPr="00CB32B1" w:rsidRDefault="002C5ECC" w:rsidP="002C5ECC">
      <w:pPr>
        <w:pStyle w:val="PwCNormal"/>
      </w:pPr>
      <w:r w:rsidRPr="00CB32B1">
        <w:t xml:space="preserve">Also, the role of public health services in supporting PPMs and providing access to health services should be explored. The NHMRC suggests the development of Memorandums of Understanding (MOUs) or credentialing as possible mechanisms to negotiate hospital access for midwives. Research for this report could not identify whether any further investigation had been completed into either of these options, and therefore this could be something driven further. Supporting access arrangements may be one way to reduce the risk profile of </w:t>
      </w:r>
      <w:r w:rsidR="00727D37">
        <w:t>PPMs</w:t>
      </w:r>
      <w:r w:rsidRPr="00CB32B1">
        <w:t xml:space="preserve"> and facilitate the development of </w:t>
      </w:r>
      <w:r w:rsidR="00E25231">
        <w:t>PII</w:t>
      </w:r>
      <w:r w:rsidRPr="00CB32B1">
        <w:t>.</w:t>
      </w:r>
    </w:p>
    <w:p w:rsidR="002C5ECC" w:rsidRPr="00CB32B1" w:rsidRDefault="002C5ECC" w:rsidP="00A62696">
      <w:pPr>
        <w:pStyle w:val="Minorheading"/>
      </w:pPr>
      <w:r w:rsidRPr="00CB32B1">
        <w:t>Option 8: Understand the impact of broader health policies on PPMs</w:t>
      </w:r>
    </w:p>
    <w:tbl>
      <w:tblPr>
        <w:tblStyle w:val="TableGrid"/>
        <w:tblW w:w="0" w:type="auto"/>
        <w:tblBorders>
          <w:top w:val="single" w:sz="4" w:space="0" w:color="DC6900" w:themeColor="text2"/>
          <w:left w:val="single" w:sz="4" w:space="0" w:color="DC6900" w:themeColor="text2"/>
          <w:bottom w:val="single" w:sz="4" w:space="0" w:color="DC6900" w:themeColor="text2"/>
          <w:right w:val="single" w:sz="4" w:space="0" w:color="DC6900" w:themeColor="text2"/>
          <w:insideH w:val="single" w:sz="4" w:space="0" w:color="DC6900" w:themeColor="text2"/>
          <w:insideV w:val="single" w:sz="4" w:space="0" w:color="DC6900" w:themeColor="text2"/>
        </w:tblBorders>
        <w:tblLook w:val="04A0"/>
      </w:tblPr>
      <w:tblGrid>
        <w:gridCol w:w="9285"/>
      </w:tblGrid>
      <w:tr w:rsidR="00A62696" w:rsidRPr="00CB32B1" w:rsidTr="003E6ABC">
        <w:tc>
          <w:tcPr>
            <w:tcW w:w="9288" w:type="dxa"/>
          </w:tcPr>
          <w:p w:rsidR="00A62696" w:rsidRPr="00CB32B1" w:rsidRDefault="00A62696" w:rsidP="00A62696">
            <w:pPr>
              <w:pStyle w:val="TableTextNormalBold"/>
            </w:pPr>
            <w:r w:rsidRPr="00CB32B1">
              <w:t>Consider the impact of policies, particularly enablers that will support the provision of PII for PPMs</w:t>
            </w:r>
            <w:r w:rsidR="00FA152C" w:rsidRPr="00CB32B1">
              <w:t>.</w:t>
            </w:r>
          </w:p>
        </w:tc>
      </w:tr>
    </w:tbl>
    <w:p w:rsidR="002C5ECC" w:rsidRPr="00CB32B1" w:rsidRDefault="002C5ECC" w:rsidP="00A62696">
      <w:pPr>
        <w:pStyle w:val="PwCNormal"/>
        <w:spacing w:before="120"/>
      </w:pPr>
      <w:r w:rsidRPr="00CB32B1">
        <w:t xml:space="preserve">One of the key findings from this </w:t>
      </w:r>
      <w:r w:rsidR="00D76345">
        <w:t xml:space="preserve">project </w:t>
      </w:r>
      <w:r w:rsidRPr="00CB32B1">
        <w:t xml:space="preserve">has been that PPMs do not practise within a vacuum. Their practice is impacted upon by the broader health context. Therefore, in assessing the next steps for PII for PPMs, consideration should be given to enablers within the macro-environment influenced by the </w:t>
      </w:r>
      <w:r w:rsidR="00BB48E2">
        <w:t>F</w:t>
      </w:r>
      <w:r w:rsidR="00435094">
        <w:t>ederal</w:t>
      </w:r>
      <w:r w:rsidR="00BB48E2">
        <w:t xml:space="preserve">, state or </w:t>
      </w:r>
      <w:r w:rsidRPr="00CB32B1">
        <w:t xml:space="preserve">territory </w:t>
      </w:r>
      <w:r w:rsidR="00435094">
        <w:t>g</w:t>
      </w:r>
      <w:r w:rsidRPr="00CB32B1">
        <w:t>overnments that either currently (or may) exist, or should exist. To explain, here are several examples meriting further consideration:</w:t>
      </w:r>
    </w:p>
    <w:p w:rsidR="002C5ECC" w:rsidRPr="00CB32B1" w:rsidRDefault="008F2394" w:rsidP="004572BF">
      <w:pPr>
        <w:pStyle w:val="Minorheading2"/>
      </w:pPr>
      <w:r>
        <w:t>DisabilityCare Australia</w:t>
      </w:r>
    </w:p>
    <w:p w:rsidR="002C5ECC" w:rsidRPr="00CB32B1" w:rsidRDefault="008F2394" w:rsidP="002C5ECC">
      <w:pPr>
        <w:pStyle w:val="PwCNormal"/>
      </w:pPr>
      <w:r>
        <w:t>DisabilityCare Australia</w:t>
      </w:r>
      <w:r w:rsidR="002C5ECC" w:rsidRPr="00CB32B1">
        <w:t xml:space="preserve"> is a Commonwealth Government scheme </w:t>
      </w:r>
      <w:r>
        <w:t xml:space="preserve">progressively being rolled out across </w:t>
      </w:r>
      <w:r w:rsidR="002C5ECC" w:rsidRPr="00CB32B1">
        <w:t xml:space="preserve">Australia. </w:t>
      </w:r>
      <w:r>
        <w:t>DisabilityCare Australia</w:t>
      </w:r>
      <w:r w:rsidR="002C5ECC" w:rsidRPr="00CB32B1">
        <w:t xml:space="preserve"> is a scheme in which long-term, high-quality support is to be provided for people with permanent disability.</w:t>
      </w:r>
      <w:r w:rsidR="00BF6367" w:rsidRPr="00CB32B1">
        <w:rPr>
          <w:rStyle w:val="FootnoteReference"/>
        </w:rPr>
        <w:footnoteReference w:id="278"/>
      </w:r>
      <w:r w:rsidR="00854DEF" w:rsidRPr="00CB32B1">
        <w:t xml:space="preserve"> </w:t>
      </w:r>
      <w:r w:rsidR="002C5ECC" w:rsidRPr="00CB32B1">
        <w:t>Funding is provided to those persons with a disability, based on actuarial assessment of need.</w:t>
      </w:r>
    </w:p>
    <w:p w:rsidR="002C5ECC" w:rsidRPr="00CB32B1" w:rsidRDefault="002C5ECC" w:rsidP="002C5ECC">
      <w:pPr>
        <w:pStyle w:val="PwCNormal"/>
      </w:pPr>
      <w:r w:rsidRPr="00CB32B1">
        <w:t xml:space="preserve">In principle, </w:t>
      </w:r>
      <w:r w:rsidR="008F2394">
        <w:t>DisabilityCare Australia</w:t>
      </w:r>
      <w:r w:rsidRPr="00CB32B1">
        <w:t xml:space="preserve"> appears similar to other social insurance schemes within the Netherlands and New Zealand, but only to the extent that support and funding is to be provided to those with a disability. Further consideration could be made to understand, for example:</w:t>
      </w:r>
    </w:p>
    <w:p w:rsidR="002C5ECC" w:rsidRPr="00CB32B1" w:rsidRDefault="002C5ECC" w:rsidP="004572BF">
      <w:pPr>
        <w:pStyle w:val="ListBullet"/>
      </w:pPr>
      <w:r w:rsidRPr="00CB32B1">
        <w:rPr>
          <w:b/>
          <w:color w:val="DC6900" w:themeColor="text2"/>
        </w:rPr>
        <w:t xml:space="preserve">What is the current status of </w:t>
      </w:r>
      <w:r w:rsidR="008F2394" w:rsidRPr="008F2394">
        <w:rPr>
          <w:b/>
          <w:color w:val="DC6900" w:themeColor="text2"/>
        </w:rPr>
        <w:t>DisabilityCare Australia</w:t>
      </w:r>
      <w:r w:rsidRPr="00CB32B1">
        <w:rPr>
          <w:b/>
          <w:color w:val="DC6900" w:themeColor="text2"/>
        </w:rPr>
        <w:t>?</w:t>
      </w:r>
      <w:r w:rsidRPr="00CB32B1">
        <w:t xml:space="preserve"> </w:t>
      </w:r>
      <w:r w:rsidR="008F2394">
        <w:t>When will the scheme be fully operational?</w:t>
      </w:r>
    </w:p>
    <w:p w:rsidR="002C5ECC" w:rsidRPr="00CB32B1" w:rsidRDefault="002C5ECC" w:rsidP="004572BF">
      <w:pPr>
        <w:pStyle w:val="ListBullet"/>
      </w:pPr>
      <w:r w:rsidRPr="00CB32B1">
        <w:rPr>
          <w:b/>
          <w:color w:val="DC6900" w:themeColor="text2"/>
        </w:rPr>
        <w:t xml:space="preserve">What would the impact of the </w:t>
      </w:r>
      <w:r w:rsidR="008F2394">
        <w:rPr>
          <w:b/>
          <w:color w:val="DC6900" w:themeColor="text2"/>
        </w:rPr>
        <w:t>DisabilityCare Australia</w:t>
      </w:r>
      <w:r w:rsidRPr="00CB32B1">
        <w:rPr>
          <w:b/>
          <w:color w:val="DC6900" w:themeColor="text2"/>
        </w:rPr>
        <w:t xml:space="preserve"> be on PPM adverse outcomes, particularly where they result in a disability?</w:t>
      </w:r>
      <w:r w:rsidRPr="00CB32B1">
        <w:t xml:space="preserve"> </w:t>
      </w:r>
      <w:r w:rsidR="008F2394">
        <w:t>When DisabilityCare Australia is</w:t>
      </w:r>
      <w:r w:rsidRPr="00CB32B1">
        <w:t xml:space="preserve"> rolled out fully, would funding cover for outcomes from births in which PPMs assisted?</w:t>
      </w:r>
    </w:p>
    <w:p w:rsidR="002C5ECC" w:rsidRPr="00CB32B1" w:rsidRDefault="002C5ECC" w:rsidP="004572BF">
      <w:pPr>
        <w:pStyle w:val="ListBullet"/>
      </w:pPr>
      <w:r w:rsidRPr="00CB32B1">
        <w:rPr>
          <w:b/>
          <w:color w:val="DC6900" w:themeColor="text2"/>
        </w:rPr>
        <w:t>What would the flow-on impact be on actuarial assessments on risk and quantum of claims?</w:t>
      </w:r>
      <w:r w:rsidRPr="00CB32B1">
        <w:t xml:space="preserve"> If adverse outcomes from PPM-assisted births were supported in part or in full, what impact would this have on PII?</w:t>
      </w:r>
    </w:p>
    <w:p w:rsidR="002C5ECC" w:rsidRPr="00CB32B1" w:rsidRDefault="002C5ECC" w:rsidP="004F36C8">
      <w:pPr>
        <w:pStyle w:val="Minorheading2"/>
      </w:pPr>
      <w:r w:rsidRPr="00CB32B1">
        <w:t>Medicare Locals</w:t>
      </w:r>
    </w:p>
    <w:p w:rsidR="002C5ECC" w:rsidRPr="00CB32B1" w:rsidRDefault="002C5ECC" w:rsidP="002C5ECC">
      <w:pPr>
        <w:pStyle w:val="PwCNormal"/>
      </w:pPr>
      <w:r w:rsidRPr="00CB32B1">
        <w:t xml:space="preserve">The role of Medicare Locals as the primary care coordinator in communities should be considered by the NMBA in assessing the future state of </w:t>
      </w:r>
      <w:r w:rsidR="00E25231">
        <w:t>PII</w:t>
      </w:r>
      <w:r w:rsidRPr="00CB32B1">
        <w:t xml:space="preserve"> for </w:t>
      </w:r>
      <w:r w:rsidR="00727D37">
        <w:t>PPMs</w:t>
      </w:r>
      <w:r w:rsidRPr="00CB32B1">
        <w:t>.</w:t>
      </w:r>
    </w:p>
    <w:p w:rsidR="002C5ECC" w:rsidRPr="00CB32B1" w:rsidRDefault="002C5ECC" w:rsidP="002C5ECC">
      <w:pPr>
        <w:pStyle w:val="PwCNormal"/>
      </w:pPr>
      <w:r w:rsidRPr="00CB32B1">
        <w:t>As a part of the National Health Reforms, a network of Medicare Locals was established nationally. As defined by DoHA: ‘Medicare Locals are primary health care organisations established to coordinate primary health care delivery and tackle local health care needs and service ‘gaps’.</w:t>
      </w:r>
      <w:r w:rsidR="00BF6367" w:rsidRPr="00CB32B1">
        <w:rPr>
          <w:rStyle w:val="FootnoteReference"/>
        </w:rPr>
        <w:footnoteReference w:id="279"/>
      </w:r>
      <w:r w:rsidR="00854DEF" w:rsidRPr="00CB32B1">
        <w:t xml:space="preserve"> </w:t>
      </w:r>
      <w:r w:rsidRPr="00CB32B1">
        <w:t>It is intended that Medicare Locals drive efficiencies through their role as a local coordination point for services. Many health care community programs are being commissioned and led through Medicare Locals.</w:t>
      </w:r>
    </w:p>
    <w:p w:rsidR="002C5ECC" w:rsidRPr="00CB32B1" w:rsidRDefault="002C5ECC" w:rsidP="002C5ECC">
      <w:pPr>
        <w:pStyle w:val="PwCNormal"/>
      </w:pPr>
      <w:r w:rsidRPr="00CB32B1">
        <w:t>There may be a role for Medicare Locals in driving PPM activity given their role in primary</w:t>
      </w:r>
      <w:r w:rsidR="00434E43">
        <w:t xml:space="preserve"> health</w:t>
      </w:r>
      <w:r w:rsidRPr="00CB32B1">
        <w:t xml:space="preserve"> care. With more services being driven through Medicare Locals, it will be important to establish any role that they may have, including in partnerships with PPMs. This is because there may be flow-on impacts to </w:t>
      </w:r>
      <w:r w:rsidR="00E25231">
        <w:t>PII</w:t>
      </w:r>
      <w:r w:rsidRPr="00CB32B1">
        <w:t xml:space="preserve"> based on the assessment of risk profile from being in partnership with a Medicare Local.</w:t>
      </w:r>
    </w:p>
    <w:p w:rsidR="002C5ECC" w:rsidRPr="00CB32B1" w:rsidRDefault="002C5ECC" w:rsidP="0077480A">
      <w:pPr>
        <w:pStyle w:val="Minorheading2"/>
      </w:pPr>
      <w:r w:rsidRPr="00CB32B1">
        <w:t>Publicly funded homebirth schemes</w:t>
      </w:r>
    </w:p>
    <w:p w:rsidR="002C5ECC" w:rsidRPr="00CB32B1" w:rsidRDefault="002C5ECC" w:rsidP="002C5ECC">
      <w:pPr>
        <w:pStyle w:val="PwCNormal"/>
      </w:pPr>
      <w:r w:rsidRPr="00CB32B1">
        <w:t xml:space="preserve">The future role, expansion and delivery of publicly funded homebirth schemes may impact upon PII for PPMs and should therefore be considered further. </w:t>
      </w:r>
    </w:p>
    <w:p w:rsidR="002C5ECC" w:rsidRPr="00CB32B1" w:rsidRDefault="002C5ECC" w:rsidP="002C5ECC">
      <w:pPr>
        <w:pStyle w:val="PwCNormal"/>
      </w:pPr>
      <w:r w:rsidRPr="00CB32B1">
        <w:t xml:space="preserve">Currently, there are homebirth services provided publicly in several states </w:t>
      </w:r>
      <w:r w:rsidR="00BB48E2">
        <w:t xml:space="preserve">but not all </w:t>
      </w:r>
      <w:r w:rsidRPr="00CB32B1">
        <w:t xml:space="preserve">(see Appendix </w:t>
      </w:r>
      <w:r w:rsidR="00CB1BAB" w:rsidRPr="00CB32B1">
        <w:t>G</w:t>
      </w:r>
      <w:r w:rsidRPr="00CB32B1">
        <w:t xml:space="preserve">). Publicly funded homebirth schemes are based within the public hospital system with </w:t>
      </w:r>
      <w:r w:rsidR="00E25231">
        <w:t>PII</w:t>
      </w:r>
      <w:r w:rsidRPr="00CB32B1">
        <w:t xml:space="preserve"> cover for the midwives provided through vicarious liability of the hospital as part of their employment.</w:t>
      </w:r>
    </w:p>
    <w:p w:rsidR="002C5ECC" w:rsidRPr="00CB32B1" w:rsidRDefault="002C5ECC" w:rsidP="002C5ECC">
      <w:pPr>
        <w:pStyle w:val="PwCNormal"/>
      </w:pPr>
      <w:r w:rsidRPr="00CB32B1">
        <w:t xml:space="preserve">These products (homebirth and publicly funded homebirth schemes) are relatively substitutable </w:t>
      </w:r>
      <w:r w:rsidR="00BB48E2">
        <w:t>to the extent</w:t>
      </w:r>
      <w:r w:rsidRPr="00CB32B1">
        <w:t xml:space="preserve"> that they both provide homebirth services, and any changes to either model should be considered by decision-makers. For example, if publicly funded homebirth schemes services were increasingly supported, funded and expanded, then the demand for PPM services may fall. This could have a flow-on effect to the scale of PPM practice.</w:t>
      </w:r>
    </w:p>
    <w:p w:rsidR="002C5ECC" w:rsidRPr="00CB32B1" w:rsidRDefault="002C5ECC" w:rsidP="0077480A">
      <w:pPr>
        <w:pStyle w:val="Minorheading2"/>
      </w:pPr>
      <w:r w:rsidRPr="00CB32B1">
        <w:t>Cap on claims</w:t>
      </w:r>
    </w:p>
    <w:p w:rsidR="00D35847" w:rsidRPr="00CB32B1" w:rsidRDefault="002C5ECC" w:rsidP="00D35847">
      <w:pPr>
        <w:pStyle w:val="PwCNormal"/>
        <w:numPr>
          <w:ilvl w:val="0"/>
          <w:numId w:val="0"/>
        </w:numPr>
      </w:pPr>
      <w:r w:rsidRPr="00CB32B1">
        <w:t xml:space="preserve">Cap on claims refers to the extent of funding that can be claimed, or sought within the courts. In other </w:t>
      </w:r>
      <w:r w:rsidR="005A16C9" w:rsidRPr="00CB32B1">
        <w:t>jurisdictions</w:t>
      </w:r>
      <w:r w:rsidRPr="00CB32B1">
        <w:t xml:space="preserve"> such as the province of Ontario, this has been found to be important to reduce the risk profile of midwives, as the limit to the quantum of claims paid out is known. While this is not in place at present in Australia, the role of a cap on claims, or limits to payments made could be considered</w:t>
      </w:r>
      <w:r w:rsidR="0077480A" w:rsidRPr="00CB32B1">
        <w:t> </w:t>
      </w:r>
      <w:r w:rsidRPr="00CB32B1">
        <w:t>further.</w:t>
      </w:r>
    </w:p>
    <w:p w:rsidR="00A104EF" w:rsidRPr="00CB32B1" w:rsidRDefault="00A104EF" w:rsidP="00A104EF">
      <w:pPr>
        <w:pStyle w:val="PwCNormal"/>
        <w:numPr>
          <w:ilvl w:val="0"/>
          <w:numId w:val="0"/>
        </w:numPr>
        <w:sectPr w:rsidR="00A104EF" w:rsidRPr="00CB32B1" w:rsidSect="009E01C9">
          <w:headerReference w:type="even" r:id="rId47"/>
          <w:headerReference w:type="default" r:id="rId48"/>
          <w:footerReference w:type="default" r:id="rId49"/>
          <w:headerReference w:type="first" r:id="rId50"/>
          <w:footerReference w:type="first" r:id="rId51"/>
          <w:type w:val="evenPage"/>
          <w:pgSz w:w="11907" w:h="16840" w:code="9"/>
          <w:pgMar w:top="1699" w:right="1138" w:bottom="1699" w:left="1138" w:header="677" w:footer="677" w:gutter="562"/>
          <w:cols w:space="227"/>
          <w:titlePg/>
          <w:docGrid w:linePitch="360"/>
        </w:sectPr>
      </w:pPr>
    </w:p>
    <w:p w:rsidR="00816E76" w:rsidRPr="00CB32B1" w:rsidRDefault="00816E76" w:rsidP="00816E76">
      <w:pPr>
        <w:pStyle w:val="PwCNormal-Single"/>
      </w:pPr>
      <w:bookmarkStart w:id="63" w:name="_Toc150158830"/>
      <w:bookmarkStart w:id="64" w:name="_Toc152054531"/>
      <w:bookmarkStart w:id="65" w:name="_Toc175455170"/>
      <w:bookmarkStart w:id="66" w:name="_Toc188929763"/>
      <w:bookmarkStart w:id="67" w:name="_Toc190831168"/>
      <w:bookmarkStart w:id="68" w:name="_Toc190831919"/>
      <w:bookmarkStart w:id="69" w:name="_Toc222740491"/>
      <w:bookmarkStart w:id="70" w:name="_Toc222797936"/>
      <w:bookmarkStart w:id="71" w:name="_Toc222812200"/>
      <w:bookmarkStart w:id="72" w:name="_Toc222812227"/>
      <w:bookmarkStart w:id="73" w:name="_Toc222812328"/>
      <w:bookmarkStart w:id="74" w:name="_Toc222812365"/>
      <w:bookmarkStart w:id="75" w:name="_Toc225761846"/>
      <w:bookmarkStart w:id="76" w:name="_Toc225761870"/>
      <w:bookmarkStart w:id="77" w:name="_Toc225761910"/>
      <w:bookmarkStart w:id="78" w:name="_Toc225761938"/>
      <w:bookmarkStart w:id="79" w:name="_Toc225761943"/>
      <w:bookmarkStart w:id="80" w:name="_Toc225761966"/>
      <w:bookmarkStart w:id="81" w:name="_Toc225761994"/>
      <w:bookmarkStart w:id="82" w:name="_Toc225762001"/>
      <w:bookmarkStart w:id="83" w:name="_Toc225762006"/>
      <w:bookmarkStart w:id="84" w:name="_Toc225762012"/>
      <w:bookmarkStart w:id="85" w:name="_Toc225762175"/>
      <w:bookmarkStart w:id="86" w:name="_Toc225762181"/>
      <w:bookmarkStart w:id="87" w:name="_Toc225762203"/>
      <w:bookmarkStart w:id="88" w:name="_Toc225763053"/>
      <w:bookmarkStart w:id="89" w:name="_Toc225910585"/>
      <w:bookmarkStart w:id="90" w:name="_Toc225910639"/>
      <w:bookmarkStart w:id="91" w:name="_Toc225910665"/>
      <w:bookmarkStart w:id="92" w:name="_Toc225910695"/>
      <w:bookmarkStart w:id="93" w:name="_Toc225911504"/>
      <w:bookmarkStart w:id="94" w:name="_Toc225911520"/>
      <w:bookmarkStart w:id="95" w:name="_Toc225912405"/>
      <w:bookmarkStart w:id="96" w:name="_Toc225912871"/>
      <w:bookmarkStart w:id="97" w:name="_Toc225913057"/>
      <w:bookmarkStart w:id="98" w:name="_Toc225913091"/>
      <w:bookmarkStart w:id="99" w:name="_Toc225913280"/>
    </w:p>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rsidR="00924BB2" w:rsidRPr="00CB32B1" w:rsidRDefault="00816E76" w:rsidP="00924BB2">
      <w:pPr>
        <w:pStyle w:val="Appendicestitle"/>
      </w:pPr>
      <w:r w:rsidRPr="00CB32B1">
        <w:br w:type="column"/>
      </w:r>
      <w:bookmarkStart w:id="100" w:name="_Toc283315212"/>
      <w:bookmarkStart w:id="101" w:name="_Toc361328122"/>
      <w:bookmarkStart w:id="102" w:name="_Toc362975064"/>
      <w:r w:rsidR="00924BB2" w:rsidRPr="00CB32B1">
        <w:t>Appendices</w:t>
      </w:r>
      <w:bookmarkStart w:id="103" w:name="TOCAppendix"/>
      <w:bookmarkEnd w:id="100"/>
      <w:bookmarkEnd w:id="101"/>
      <w:bookmarkEnd w:id="103"/>
      <w:bookmarkEnd w:id="102"/>
    </w:p>
    <w:p w:rsidR="008816B4" w:rsidRPr="008816B4" w:rsidRDefault="009129A6">
      <w:pPr>
        <w:pStyle w:val="TOC4"/>
      </w:pPr>
      <w:r w:rsidRPr="009129A6">
        <w:rPr>
          <w:noProof w:val="0"/>
          <w:color w:val="FFFFFF" w:themeColor="background1"/>
          <w:sz w:val="18"/>
        </w:rPr>
        <w:fldChar w:fldCharType="begin"/>
      </w:r>
      <w:r w:rsidR="00816E76" w:rsidRPr="00CB32B1">
        <w:rPr>
          <w:noProof w:val="0"/>
        </w:rPr>
        <w:instrText xml:space="preserve"> TOC \t " Heading 3,3,Heading 4,4" \*Charformat </w:instrText>
      </w:r>
      <w:r w:rsidRPr="009129A6">
        <w:rPr>
          <w:noProof w:val="0"/>
          <w:color w:val="FFFFFF" w:themeColor="background1"/>
          <w:sz w:val="18"/>
        </w:rPr>
        <w:fldChar w:fldCharType="separate"/>
      </w:r>
      <w:r w:rsidR="008816B4">
        <w:t>Appendix A</w:t>
      </w:r>
      <w:r w:rsidR="008816B4" w:rsidRPr="008816B4">
        <w:tab/>
      </w:r>
      <w:r w:rsidR="008816B4">
        <w:t>Glossary</w:t>
      </w:r>
      <w:r w:rsidR="008816B4">
        <w:tab/>
      </w:r>
      <w:r>
        <w:fldChar w:fldCharType="begin"/>
      </w:r>
      <w:r w:rsidR="008816B4">
        <w:instrText xml:space="preserve"> PAGEREF _Toc362975076 \h </w:instrText>
      </w:r>
      <w:r>
        <w:fldChar w:fldCharType="separate"/>
      </w:r>
      <w:r w:rsidR="008816B4">
        <w:t>106</w:t>
      </w:r>
      <w:r>
        <w:fldChar w:fldCharType="end"/>
      </w:r>
    </w:p>
    <w:p w:rsidR="008816B4" w:rsidRPr="008816B4" w:rsidRDefault="008816B4">
      <w:pPr>
        <w:pStyle w:val="TOC4"/>
      </w:pPr>
      <w:r>
        <w:t>Appendix B</w:t>
      </w:r>
      <w:r w:rsidRPr="008816B4">
        <w:tab/>
      </w:r>
      <w:r>
        <w:t>Bibliography</w:t>
      </w:r>
      <w:r>
        <w:tab/>
      </w:r>
      <w:r w:rsidR="009129A6">
        <w:fldChar w:fldCharType="begin"/>
      </w:r>
      <w:r>
        <w:instrText xml:space="preserve"> PAGEREF _Toc362975077 \h </w:instrText>
      </w:r>
      <w:r w:rsidR="009129A6">
        <w:fldChar w:fldCharType="separate"/>
      </w:r>
      <w:r>
        <w:t>110</w:t>
      </w:r>
      <w:r w:rsidR="009129A6">
        <w:fldChar w:fldCharType="end"/>
      </w:r>
    </w:p>
    <w:p w:rsidR="008816B4" w:rsidRPr="008816B4" w:rsidRDefault="008816B4">
      <w:pPr>
        <w:pStyle w:val="TOC4"/>
      </w:pPr>
      <w:r>
        <w:t>Appendix C</w:t>
      </w:r>
      <w:r w:rsidRPr="008816B4">
        <w:tab/>
      </w:r>
      <w:r>
        <w:t>Stakeholder consultation</w:t>
      </w:r>
      <w:r>
        <w:tab/>
      </w:r>
      <w:r w:rsidR="009129A6">
        <w:fldChar w:fldCharType="begin"/>
      </w:r>
      <w:r>
        <w:instrText xml:space="preserve"> PAGEREF _Toc362975078 \h </w:instrText>
      </w:r>
      <w:r w:rsidR="009129A6">
        <w:fldChar w:fldCharType="separate"/>
      </w:r>
      <w:r>
        <w:t>121</w:t>
      </w:r>
      <w:r w:rsidR="009129A6">
        <w:fldChar w:fldCharType="end"/>
      </w:r>
    </w:p>
    <w:p w:rsidR="008816B4" w:rsidRPr="008816B4" w:rsidRDefault="008816B4">
      <w:pPr>
        <w:pStyle w:val="TOC4"/>
      </w:pPr>
      <w:r>
        <w:t>Appendix D</w:t>
      </w:r>
      <w:r w:rsidRPr="008816B4">
        <w:tab/>
      </w:r>
      <w:r>
        <w:t>Definitions</w:t>
      </w:r>
      <w:r>
        <w:tab/>
      </w:r>
      <w:r w:rsidR="009129A6">
        <w:fldChar w:fldCharType="begin"/>
      </w:r>
      <w:r>
        <w:instrText xml:space="preserve"> PAGEREF _Toc362975079 \h </w:instrText>
      </w:r>
      <w:r w:rsidR="009129A6">
        <w:fldChar w:fldCharType="separate"/>
      </w:r>
      <w:r>
        <w:t>124</w:t>
      </w:r>
      <w:r w:rsidR="009129A6">
        <w:fldChar w:fldCharType="end"/>
      </w:r>
    </w:p>
    <w:p w:rsidR="008816B4" w:rsidRPr="008816B4" w:rsidRDefault="008816B4">
      <w:pPr>
        <w:pStyle w:val="TOC4"/>
      </w:pPr>
      <w:r>
        <w:t>Appendix E</w:t>
      </w:r>
      <w:r w:rsidRPr="008816B4">
        <w:tab/>
      </w:r>
      <w:r>
        <w:t>Access to health services and collaborative partnerships</w:t>
      </w:r>
      <w:r>
        <w:tab/>
      </w:r>
      <w:r w:rsidR="009129A6">
        <w:fldChar w:fldCharType="begin"/>
      </w:r>
      <w:r>
        <w:instrText xml:space="preserve"> PAGEREF _Toc362975080 \h </w:instrText>
      </w:r>
      <w:r w:rsidR="009129A6">
        <w:fldChar w:fldCharType="separate"/>
      </w:r>
      <w:r>
        <w:t>127</w:t>
      </w:r>
      <w:r w:rsidR="009129A6">
        <w:fldChar w:fldCharType="end"/>
      </w:r>
    </w:p>
    <w:p w:rsidR="008816B4" w:rsidRPr="008816B4" w:rsidRDefault="008816B4">
      <w:pPr>
        <w:pStyle w:val="TOC4"/>
      </w:pPr>
      <w:r>
        <w:t>Appendix F</w:t>
      </w:r>
      <w:r w:rsidRPr="008816B4">
        <w:tab/>
      </w:r>
      <w:r>
        <w:t>Risk and quality frameworks</w:t>
      </w:r>
      <w:r>
        <w:tab/>
      </w:r>
      <w:r w:rsidR="009129A6">
        <w:fldChar w:fldCharType="begin"/>
      </w:r>
      <w:r>
        <w:instrText xml:space="preserve"> PAGEREF _Toc362975081 \h </w:instrText>
      </w:r>
      <w:r w:rsidR="009129A6">
        <w:fldChar w:fldCharType="separate"/>
      </w:r>
      <w:r>
        <w:t>133</w:t>
      </w:r>
      <w:r w:rsidR="009129A6">
        <w:fldChar w:fldCharType="end"/>
      </w:r>
    </w:p>
    <w:p w:rsidR="008816B4" w:rsidRPr="008816B4" w:rsidRDefault="008816B4">
      <w:pPr>
        <w:pStyle w:val="TOC4"/>
      </w:pPr>
      <w:r>
        <w:t>Appendix G</w:t>
      </w:r>
      <w:r w:rsidRPr="008816B4">
        <w:tab/>
      </w:r>
      <w:r>
        <w:t>Publicly funded homebirth schemes</w:t>
      </w:r>
      <w:r>
        <w:tab/>
      </w:r>
      <w:r w:rsidR="009129A6">
        <w:fldChar w:fldCharType="begin"/>
      </w:r>
      <w:r>
        <w:instrText xml:space="preserve"> PAGEREF _Toc362975082 \h </w:instrText>
      </w:r>
      <w:r w:rsidR="009129A6">
        <w:fldChar w:fldCharType="separate"/>
      </w:r>
      <w:r>
        <w:t>134</w:t>
      </w:r>
      <w:r w:rsidR="009129A6">
        <w:fldChar w:fldCharType="end"/>
      </w:r>
    </w:p>
    <w:p w:rsidR="008816B4" w:rsidRPr="008816B4" w:rsidRDefault="008816B4">
      <w:pPr>
        <w:pStyle w:val="TOC4"/>
      </w:pPr>
      <w:r>
        <w:t>Appendix H</w:t>
      </w:r>
      <w:r w:rsidRPr="008816B4">
        <w:tab/>
      </w:r>
      <w:r>
        <w:t>Benchmarking of risk frameworks</w:t>
      </w:r>
      <w:r>
        <w:tab/>
      </w:r>
      <w:r w:rsidR="009129A6">
        <w:fldChar w:fldCharType="begin"/>
      </w:r>
      <w:r>
        <w:instrText xml:space="preserve"> PAGEREF _Toc362975083 \h </w:instrText>
      </w:r>
      <w:r w:rsidR="009129A6">
        <w:fldChar w:fldCharType="separate"/>
      </w:r>
      <w:r>
        <w:t>136</w:t>
      </w:r>
      <w:r w:rsidR="009129A6">
        <w:fldChar w:fldCharType="end"/>
      </w:r>
    </w:p>
    <w:p w:rsidR="008816B4" w:rsidRPr="008816B4" w:rsidRDefault="008816B4">
      <w:pPr>
        <w:pStyle w:val="TOC4"/>
      </w:pPr>
      <w:r>
        <w:t>Appendix I</w:t>
      </w:r>
      <w:r w:rsidRPr="008816B4">
        <w:tab/>
      </w:r>
      <w:r>
        <w:t>Discipline and legislation of Health Practitioners</w:t>
      </w:r>
      <w:r>
        <w:tab/>
      </w:r>
      <w:r w:rsidR="009129A6">
        <w:fldChar w:fldCharType="begin"/>
      </w:r>
      <w:r>
        <w:instrText xml:space="preserve"> PAGEREF _Toc362975084 \h </w:instrText>
      </w:r>
      <w:r w:rsidR="009129A6">
        <w:fldChar w:fldCharType="separate"/>
      </w:r>
      <w:r>
        <w:t>140</w:t>
      </w:r>
      <w:r w:rsidR="009129A6">
        <w:fldChar w:fldCharType="end"/>
      </w:r>
    </w:p>
    <w:p w:rsidR="008816B4" w:rsidRPr="008816B4" w:rsidRDefault="008816B4">
      <w:pPr>
        <w:pStyle w:val="TOC4"/>
      </w:pPr>
      <w:r>
        <w:t>Appendix J</w:t>
      </w:r>
      <w:r w:rsidRPr="008816B4">
        <w:tab/>
      </w:r>
      <w:r>
        <w:t>Data quality</w:t>
      </w:r>
      <w:r>
        <w:tab/>
      </w:r>
      <w:r w:rsidR="009129A6">
        <w:fldChar w:fldCharType="begin"/>
      </w:r>
      <w:r>
        <w:instrText xml:space="preserve"> PAGEREF _Toc362975085 \h </w:instrText>
      </w:r>
      <w:r w:rsidR="009129A6">
        <w:fldChar w:fldCharType="separate"/>
      </w:r>
      <w:r>
        <w:t>141</w:t>
      </w:r>
      <w:r w:rsidR="009129A6">
        <w:fldChar w:fldCharType="end"/>
      </w:r>
    </w:p>
    <w:p w:rsidR="008816B4" w:rsidRPr="008816B4" w:rsidRDefault="008816B4">
      <w:pPr>
        <w:pStyle w:val="TOC4"/>
      </w:pPr>
      <w:r>
        <w:t>Appendix K</w:t>
      </w:r>
      <w:r w:rsidRPr="008816B4">
        <w:tab/>
      </w:r>
      <w:r>
        <w:t>Research on PPM practice internationally</w:t>
      </w:r>
      <w:r>
        <w:tab/>
      </w:r>
      <w:r w:rsidR="009129A6">
        <w:fldChar w:fldCharType="begin"/>
      </w:r>
      <w:r>
        <w:instrText xml:space="preserve"> PAGEREF _Toc362975086 \h </w:instrText>
      </w:r>
      <w:r w:rsidR="009129A6">
        <w:fldChar w:fldCharType="separate"/>
      </w:r>
      <w:r>
        <w:t>176</w:t>
      </w:r>
      <w:r w:rsidR="009129A6">
        <w:fldChar w:fldCharType="end"/>
      </w:r>
    </w:p>
    <w:p w:rsidR="00816E76" w:rsidRPr="00CB32B1" w:rsidRDefault="009129A6" w:rsidP="00816E76">
      <w:pPr>
        <w:pStyle w:val="PwCNormal"/>
      </w:pPr>
      <w:r w:rsidRPr="00CB32B1">
        <w:fldChar w:fldCharType="end"/>
      </w:r>
    </w:p>
    <w:p w:rsidR="00A925C6" w:rsidRPr="00CB32B1" w:rsidRDefault="00A925C6" w:rsidP="00A925C6">
      <w:pPr>
        <w:pStyle w:val="PwCNormal"/>
      </w:pPr>
    </w:p>
    <w:p w:rsidR="004F0878" w:rsidRPr="00CB32B1" w:rsidRDefault="004F0878" w:rsidP="00286BF2">
      <w:pPr>
        <w:pStyle w:val="ChapterNumberLong"/>
        <w:numPr>
          <w:ilvl w:val="0"/>
          <w:numId w:val="9"/>
        </w:numPr>
        <w:sectPr w:rsidR="004F0878" w:rsidRPr="00CB32B1" w:rsidSect="00A104EF">
          <w:headerReference w:type="even" r:id="rId52"/>
          <w:headerReference w:type="default" r:id="rId53"/>
          <w:footerReference w:type="even" r:id="rId54"/>
          <w:footerReference w:type="default" r:id="rId55"/>
          <w:headerReference w:type="first" r:id="rId56"/>
          <w:footerReference w:type="first" r:id="rId57"/>
          <w:type w:val="oddPage"/>
          <w:pgSz w:w="11907" w:h="16840" w:code="9"/>
          <w:pgMar w:top="1701" w:right="1134" w:bottom="1701" w:left="1134" w:header="680" w:footer="680" w:gutter="567"/>
          <w:cols w:num="2" w:space="1134" w:equalWidth="0">
            <w:col w:w="3402" w:space="1134"/>
            <w:col w:w="4536"/>
          </w:cols>
          <w:titlePg/>
          <w:docGrid w:linePitch="360"/>
        </w:sectPr>
      </w:pPr>
    </w:p>
    <w:p w:rsidR="00F82F88" w:rsidRPr="00CB32B1" w:rsidRDefault="00F82F88" w:rsidP="00FC0CC6">
      <w:pPr>
        <w:pStyle w:val="AppendixPanelFrameappendix"/>
        <w:framePr w:wrap="notBeside" w:hAnchor="page" w:x="1044"/>
        <w:rPr>
          <w:lang w:val="en-AU"/>
        </w:rPr>
      </w:pPr>
    </w:p>
    <w:p w:rsidR="00693A3D" w:rsidRPr="00CB32B1" w:rsidRDefault="00693A3D" w:rsidP="00693A3D">
      <w:pPr>
        <w:pStyle w:val="Heading4"/>
      </w:pPr>
      <w:bookmarkStart w:id="105" w:name="_Toc361328123"/>
      <w:bookmarkStart w:id="106" w:name="_Toc362975065"/>
      <w:bookmarkStart w:id="107" w:name="_Toc362975076"/>
      <w:r w:rsidRPr="00CB32B1">
        <w:t>Glossary</w:t>
      </w:r>
      <w:bookmarkEnd w:id="105"/>
      <w:bookmarkEnd w:id="106"/>
      <w:bookmarkEnd w:id="107"/>
    </w:p>
    <w:p w:rsidR="00693A3D" w:rsidRPr="00CB32B1" w:rsidRDefault="00693A3D" w:rsidP="002E2001">
      <w:pPr>
        <w:pStyle w:val="Majorheading"/>
      </w:pPr>
      <w:r w:rsidRPr="00CB32B1">
        <w:t>A.1. Glossary listing</w:t>
      </w:r>
    </w:p>
    <w:p w:rsidR="00693A3D" w:rsidRPr="00CB32B1" w:rsidRDefault="00693A3D" w:rsidP="00693A3D">
      <w:pPr>
        <w:pStyle w:val="Caption"/>
      </w:pPr>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19</w:t>
      </w:r>
      <w:r w:rsidR="009129A6" w:rsidRPr="00CB32B1">
        <w:fldChar w:fldCharType="end"/>
      </w:r>
      <w:r w:rsidRPr="00CB32B1">
        <w:t>:</w:t>
      </w:r>
      <w:r w:rsidRPr="00CB32B1">
        <w:tab/>
        <w:t>Glossary for report</w:t>
      </w:r>
    </w:p>
    <w:tbl>
      <w:tblPr>
        <w:tblStyle w:val="PwCTableStyle1"/>
        <w:tblW w:w="0" w:type="auto"/>
        <w:tblLayout w:type="fixed"/>
        <w:tblLook w:val="04A0"/>
      </w:tblPr>
      <w:tblGrid>
        <w:gridCol w:w="1908"/>
        <w:gridCol w:w="7380"/>
      </w:tblGrid>
      <w:tr w:rsidR="00693A3D" w:rsidRPr="00CB32B1" w:rsidTr="009D37C7">
        <w:trPr>
          <w:cnfStyle w:val="100000000000"/>
        </w:trPr>
        <w:tc>
          <w:tcPr>
            <w:cnfStyle w:val="001000000000"/>
            <w:tcW w:w="1908" w:type="dxa"/>
            <w:tcBorders>
              <w:bottom w:val="single" w:sz="6" w:space="0" w:color="DC6900" w:themeColor="text2"/>
              <w:right w:val="single" w:sz="6" w:space="0" w:color="FFFFFF" w:themeColor="background2"/>
            </w:tcBorders>
            <w:shd w:val="clear" w:color="auto" w:fill="DC6900" w:themeFill="text2"/>
            <w:vAlign w:val="center"/>
          </w:tcPr>
          <w:p w:rsidR="00693A3D" w:rsidRPr="00CB32B1" w:rsidRDefault="00693A3D" w:rsidP="009D37C7">
            <w:pPr>
              <w:pStyle w:val="Tablecolumnheadingwhite"/>
            </w:pPr>
            <w:r w:rsidRPr="00CB32B1">
              <w:t>Term</w:t>
            </w:r>
          </w:p>
        </w:tc>
        <w:tc>
          <w:tcPr>
            <w:tcW w:w="7380" w:type="dxa"/>
            <w:tcBorders>
              <w:left w:val="single" w:sz="6" w:space="0" w:color="FFFFFF" w:themeColor="background2"/>
              <w:bottom w:val="single" w:sz="6" w:space="0" w:color="DC6900" w:themeColor="text2"/>
            </w:tcBorders>
            <w:shd w:val="clear" w:color="auto" w:fill="DC6900" w:themeFill="text2"/>
            <w:vAlign w:val="center"/>
          </w:tcPr>
          <w:p w:rsidR="00693A3D" w:rsidRPr="00CB32B1" w:rsidRDefault="00693A3D" w:rsidP="009D37C7">
            <w:pPr>
              <w:pStyle w:val="Tablecolumnheadingwhite"/>
              <w:cnfStyle w:val="100000000000"/>
            </w:pPr>
            <w:r w:rsidRPr="00CB32B1">
              <w:t>Definition</w:t>
            </w:r>
          </w:p>
        </w:tc>
      </w:tr>
      <w:tr w:rsidR="00693A3D" w:rsidRPr="00CB32B1" w:rsidTr="0047587A">
        <w:tc>
          <w:tcPr>
            <w:cnfStyle w:val="001000000000"/>
            <w:tcW w:w="1908" w:type="dxa"/>
            <w:tcBorders>
              <w:top w:val="single" w:sz="6" w:space="0" w:color="DC6900" w:themeColor="text2"/>
            </w:tcBorders>
          </w:tcPr>
          <w:p w:rsidR="00693A3D" w:rsidRPr="00CB32B1" w:rsidRDefault="00693A3D" w:rsidP="0047587A">
            <w:pPr>
              <w:pStyle w:val="TableTextNormal"/>
            </w:pPr>
            <w:r w:rsidRPr="00CB32B1">
              <w:t>Alternate dispute resolution (ADR)</w:t>
            </w:r>
          </w:p>
        </w:tc>
        <w:tc>
          <w:tcPr>
            <w:tcW w:w="7380" w:type="dxa"/>
            <w:tcBorders>
              <w:top w:val="single" w:sz="6" w:space="0" w:color="DC6900" w:themeColor="text2"/>
            </w:tcBorders>
          </w:tcPr>
          <w:p w:rsidR="00693A3D" w:rsidRPr="00CB32B1" w:rsidRDefault="00693A3D" w:rsidP="0047587A">
            <w:pPr>
              <w:pStyle w:val="TableTextNormal"/>
              <w:cnfStyle w:val="000000000000"/>
              <w:rPr>
                <w:rFonts w:eastAsiaTheme="majorEastAsia"/>
              </w:rPr>
            </w:pPr>
            <w:r w:rsidRPr="00CB32B1">
              <w:t>ADR is an umbrella term for processes, other than judicial determination, in which an impartial person assists those in a dispute to resolve the issues between them.</w:t>
            </w:r>
            <w:r w:rsidRPr="00CB32B1">
              <w:rPr>
                <w:rStyle w:val="FootnoteReference"/>
              </w:rPr>
              <w:footnoteReference w:id="280"/>
            </w:r>
            <w:r w:rsidRPr="00CB32B1">
              <w:t xml:space="preserve"> Examples of ADR include negotiation, mediation and arbitration.</w:t>
            </w:r>
          </w:p>
        </w:tc>
      </w:tr>
      <w:tr w:rsidR="00693A3D" w:rsidRPr="00CB32B1" w:rsidTr="0047587A">
        <w:tc>
          <w:tcPr>
            <w:cnfStyle w:val="001000000000"/>
            <w:tcW w:w="1908" w:type="dxa"/>
          </w:tcPr>
          <w:p w:rsidR="00693A3D" w:rsidRPr="00CB32B1" w:rsidRDefault="00693A3D" w:rsidP="0047587A">
            <w:pPr>
              <w:pStyle w:val="TableTextNormal"/>
            </w:pPr>
            <w:r w:rsidRPr="00CB32B1">
              <w:t>Analgesia</w:t>
            </w:r>
          </w:p>
        </w:tc>
        <w:tc>
          <w:tcPr>
            <w:tcW w:w="7380" w:type="dxa"/>
          </w:tcPr>
          <w:p w:rsidR="00693A3D" w:rsidRPr="00CB32B1" w:rsidRDefault="00693A3D" w:rsidP="0047587A">
            <w:pPr>
              <w:pStyle w:val="TableTextNormal"/>
              <w:cnfStyle w:val="000000000000"/>
            </w:pPr>
            <w:r w:rsidRPr="00CB32B1">
              <w:t>The relief of pain without the loss of consciousness.</w:t>
            </w:r>
            <w:r w:rsidRPr="00CB32B1">
              <w:rPr>
                <w:rStyle w:val="FootnoteReference"/>
              </w:rPr>
              <w:footnoteReference w:id="281"/>
            </w:r>
          </w:p>
        </w:tc>
      </w:tr>
      <w:tr w:rsidR="00693A3D" w:rsidRPr="00CB32B1" w:rsidTr="0047587A">
        <w:tc>
          <w:tcPr>
            <w:cnfStyle w:val="001000000000"/>
            <w:tcW w:w="1908" w:type="dxa"/>
          </w:tcPr>
          <w:p w:rsidR="00693A3D" w:rsidRPr="00CB32B1" w:rsidRDefault="00693A3D" w:rsidP="0047587A">
            <w:pPr>
              <w:pStyle w:val="TableTextNormal"/>
            </w:pPr>
            <w:r w:rsidRPr="00CB32B1">
              <w:t>Antenatal</w:t>
            </w:r>
          </w:p>
        </w:tc>
        <w:tc>
          <w:tcPr>
            <w:tcW w:w="7380" w:type="dxa"/>
          </w:tcPr>
          <w:p w:rsidR="00693A3D" w:rsidRPr="00CB32B1" w:rsidRDefault="00693A3D" w:rsidP="0047587A">
            <w:pPr>
              <w:pStyle w:val="TableTextNormal"/>
              <w:cnfStyle w:val="000000000000"/>
            </w:pPr>
            <w:r w:rsidRPr="00CB32B1">
              <w:t>Antenatal care includes recording medical history, assessment of individual needs, advice and guidance on pregnancy and delivery, screening tests, education on self-care during pregnancy, identification of conditions detrimental to health during pregnancy, first-line management and referral if necessary.</w:t>
            </w:r>
            <w:r w:rsidRPr="00CB32B1">
              <w:rPr>
                <w:rStyle w:val="FootnoteReference"/>
              </w:rPr>
              <w:footnoteReference w:id="282"/>
            </w:r>
          </w:p>
        </w:tc>
      </w:tr>
      <w:tr w:rsidR="00693A3D" w:rsidRPr="00CB32B1" w:rsidTr="0047587A">
        <w:tc>
          <w:tcPr>
            <w:cnfStyle w:val="001000000000"/>
            <w:tcW w:w="1908" w:type="dxa"/>
          </w:tcPr>
          <w:p w:rsidR="00693A3D" w:rsidRPr="00CB32B1" w:rsidRDefault="00693A3D" w:rsidP="0047587A">
            <w:pPr>
              <w:pStyle w:val="TableTextNormal"/>
            </w:pPr>
            <w:r w:rsidRPr="00CB32B1">
              <w:t>APGAR score</w:t>
            </w:r>
          </w:p>
        </w:tc>
        <w:tc>
          <w:tcPr>
            <w:tcW w:w="7380" w:type="dxa"/>
          </w:tcPr>
          <w:p w:rsidR="00693A3D" w:rsidRPr="00CB32B1" w:rsidRDefault="00693A3D" w:rsidP="0047587A">
            <w:pPr>
              <w:pStyle w:val="TableTextNormal"/>
              <w:cnfStyle w:val="000000000000"/>
            </w:pPr>
            <w:r w:rsidRPr="00CB32B1">
              <w:t>APGAR is a quick test performed on a baby at 1 and 5 minutes after birth. The 1-minute score determines how well the baby tolerated the birthing process. The 5-minute score informs the health professional how well the baby is doing outside the mother's womb.</w:t>
            </w:r>
            <w:r w:rsidRPr="00CB32B1">
              <w:rPr>
                <w:rStyle w:val="FootnoteReference"/>
              </w:rPr>
              <w:footnoteReference w:id="283"/>
            </w:r>
          </w:p>
        </w:tc>
      </w:tr>
      <w:tr w:rsidR="00693A3D" w:rsidRPr="00CB32B1" w:rsidTr="0047587A">
        <w:tc>
          <w:tcPr>
            <w:cnfStyle w:val="001000000000"/>
            <w:tcW w:w="1908" w:type="dxa"/>
          </w:tcPr>
          <w:p w:rsidR="00693A3D" w:rsidRPr="00CB32B1" w:rsidRDefault="00693A3D" w:rsidP="0047587A">
            <w:pPr>
              <w:pStyle w:val="TableTextNormal"/>
            </w:pPr>
            <w:r w:rsidRPr="00CB32B1">
              <w:t>Augmentation</w:t>
            </w:r>
          </w:p>
        </w:tc>
        <w:tc>
          <w:tcPr>
            <w:tcW w:w="7380" w:type="dxa"/>
          </w:tcPr>
          <w:p w:rsidR="00693A3D" w:rsidRPr="00CB32B1" w:rsidRDefault="00693A3D" w:rsidP="0047587A">
            <w:pPr>
              <w:pStyle w:val="TableTextNormal"/>
              <w:cnfStyle w:val="000000000000"/>
            </w:pPr>
            <w:r w:rsidRPr="00CB32B1">
              <w:t xml:space="preserve">Augmentation of labour refers to the use of medication or other intervention to </w:t>
            </w:r>
            <w:r w:rsidR="006959C5" w:rsidRPr="00CB32B1">
              <w:t>accelerate</w:t>
            </w:r>
            <w:r w:rsidR="00854DEF" w:rsidRPr="00CB32B1">
              <w:t xml:space="preserve"> </w:t>
            </w:r>
            <w:r w:rsidRPr="00CB32B1">
              <w:t>the process of labour.</w:t>
            </w:r>
            <w:r w:rsidRPr="00CB32B1">
              <w:rPr>
                <w:rStyle w:val="FootnoteReference"/>
              </w:rPr>
              <w:footnoteReference w:id="284"/>
            </w:r>
          </w:p>
        </w:tc>
      </w:tr>
      <w:tr w:rsidR="00693A3D" w:rsidRPr="00CB32B1" w:rsidTr="0047587A">
        <w:tc>
          <w:tcPr>
            <w:cnfStyle w:val="001000000000"/>
            <w:tcW w:w="1908" w:type="dxa"/>
          </w:tcPr>
          <w:p w:rsidR="00693A3D" w:rsidRPr="00CB32B1" w:rsidRDefault="00693A3D" w:rsidP="0047587A">
            <w:pPr>
              <w:pStyle w:val="TableTextNormal"/>
            </w:pPr>
            <w:r w:rsidRPr="00CB32B1">
              <w:t>Case</w:t>
            </w:r>
          </w:p>
        </w:tc>
        <w:tc>
          <w:tcPr>
            <w:tcW w:w="7380" w:type="dxa"/>
          </w:tcPr>
          <w:p w:rsidR="00693A3D" w:rsidRPr="00CB32B1" w:rsidRDefault="00693A3D" w:rsidP="0047587A">
            <w:pPr>
              <w:pStyle w:val="TableTextNormal"/>
              <w:cnfStyle w:val="000000000000"/>
            </w:pPr>
            <w:r w:rsidRPr="00CB32B1">
              <w:t>A case is a proceeding in a court of law whereby an individual or entity seeks a legal solution or remedy for a perceived injustice. The case will generally result in a judge, judges or jury making a judgement about the proceeding, based on the facts and their interpretation of the law.</w:t>
            </w:r>
            <w:r w:rsidRPr="00CB32B1">
              <w:rPr>
                <w:rStyle w:val="FootnoteReference"/>
              </w:rPr>
              <w:footnoteReference w:id="285"/>
            </w:r>
          </w:p>
        </w:tc>
      </w:tr>
      <w:tr w:rsidR="00693A3D" w:rsidRPr="00CB32B1" w:rsidTr="0047587A">
        <w:tc>
          <w:tcPr>
            <w:cnfStyle w:val="001000000000"/>
            <w:tcW w:w="1908" w:type="dxa"/>
          </w:tcPr>
          <w:p w:rsidR="00693A3D" w:rsidRPr="00CB32B1" w:rsidRDefault="00693A3D" w:rsidP="0047587A">
            <w:pPr>
              <w:pStyle w:val="TableTextNormal"/>
            </w:pPr>
            <w:r w:rsidRPr="00CB32B1">
              <w:t>Case load</w:t>
            </w:r>
          </w:p>
        </w:tc>
        <w:tc>
          <w:tcPr>
            <w:tcW w:w="7380" w:type="dxa"/>
          </w:tcPr>
          <w:p w:rsidR="00693A3D" w:rsidRPr="00CB32B1" w:rsidRDefault="00693A3D" w:rsidP="0047587A">
            <w:pPr>
              <w:pStyle w:val="TableTextNormal"/>
              <w:cnfStyle w:val="000000000000"/>
            </w:pPr>
            <w:r w:rsidRPr="00CB32B1">
              <w:t>A caseload refers to the number of women that are in the care of a PPM. A full caseload has been considered in previous reports to be around 40 births per year.</w:t>
            </w:r>
            <w:r w:rsidRPr="00CB32B1">
              <w:rPr>
                <w:rStyle w:val="FootnoteReference"/>
              </w:rPr>
              <w:footnoteReference w:id="286"/>
            </w:r>
          </w:p>
        </w:tc>
      </w:tr>
      <w:tr w:rsidR="00693A3D" w:rsidRPr="00CB32B1" w:rsidTr="0047587A">
        <w:tc>
          <w:tcPr>
            <w:cnfStyle w:val="001000000000"/>
            <w:tcW w:w="1908" w:type="dxa"/>
          </w:tcPr>
          <w:p w:rsidR="00693A3D" w:rsidRPr="00CB32B1" w:rsidRDefault="00693A3D" w:rsidP="0047587A">
            <w:pPr>
              <w:pStyle w:val="TableTextNormal"/>
            </w:pPr>
            <w:r w:rsidRPr="00CB32B1">
              <w:t>Cerebral palsy</w:t>
            </w:r>
          </w:p>
        </w:tc>
        <w:tc>
          <w:tcPr>
            <w:tcW w:w="7380" w:type="dxa"/>
          </w:tcPr>
          <w:p w:rsidR="00693A3D" w:rsidRPr="00CB32B1" w:rsidRDefault="00693A3D" w:rsidP="0047587A">
            <w:pPr>
              <w:pStyle w:val="TableTextNormal"/>
              <w:cnfStyle w:val="000000000000"/>
            </w:pPr>
            <w:r w:rsidRPr="00CB32B1">
              <w:t>A disorder thought to result from brain damage that occurs before, during, or immediately after birth. The primary indications include disturbances in speech and a noticeable lack of muscle coordination.</w:t>
            </w:r>
            <w:r w:rsidRPr="00CB32B1">
              <w:rPr>
                <w:rStyle w:val="FootnoteReference"/>
              </w:rPr>
              <w:footnoteReference w:id="287"/>
            </w:r>
          </w:p>
        </w:tc>
      </w:tr>
      <w:tr w:rsidR="00693A3D" w:rsidRPr="00CB32B1" w:rsidTr="0047587A">
        <w:tc>
          <w:tcPr>
            <w:cnfStyle w:val="001000000000"/>
            <w:tcW w:w="1908" w:type="dxa"/>
          </w:tcPr>
          <w:p w:rsidR="00693A3D" w:rsidRPr="00CB32B1" w:rsidRDefault="00693A3D" w:rsidP="0047587A">
            <w:pPr>
              <w:pStyle w:val="TableTextNormal"/>
            </w:pPr>
            <w:r w:rsidRPr="00CB32B1">
              <w:t>Claim</w:t>
            </w:r>
          </w:p>
        </w:tc>
        <w:tc>
          <w:tcPr>
            <w:tcW w:w="7380" w:type="dxa"/>
          </w:tcPr>
          <w:p w:rsidR="00693A3D" w:rsidRPr="00CB32B1" w:rsidRDefault="00693A3D" w:rsidP="0047587A">
            <w:pPr>
              <w:pStyle w:val="TableTextNormal"/>
              <w:cnfStyle w:val="000000000000"/>
            </w:pPr>
            <w:r w:rsidRPr="00CB32B1">
              <w:t>An application for benefits from an insurance company.</w:t>
            </w:r>
          </w:p>
        </w:tc>
      </w:tr>
      <w:tr w:rsidR="00693A3D" w:rsidRPr="00CB32B1" w:rsidTr="0047587A">
        <w:tc>
          <w:tcPr>
            <w:cnfStyle w:val="001000000000"/>
            <w:tcW w:w="1908" w:type="dxa"/>
          </w:tcPr>
          <w:p w:rsidR="00693A3D" w:rsidRPr="00CB32B1" w:rsidRDefault="00693A3D" w:rsidP="0047587A">
            <w:pPr>
              <w:pStyle w:val="TableTextNormal"/>
            </w:pPr>
            <w:r w:rsidRPr="00CB32B1">
              <w:t>Clinical privileging</w:t>
            </w:r>
          </w:p>
        </w:tc>
        <w:tc>
          <w:tcPr>
            <w:tcW w:w="7380" w:type="dxa"/>
          </w:tcPr>
          <w:p w:rsidR="00693A3D" w:rsidRPr="00CB32B1" w:rsidRDefault="00693A3D" w:rsidP="007849E4">
            <w:pPr>
              <w:pStyle w:val="TableTextNormal"/>
              <w:cnfStyle w:val="000000000000"/>
            </w:pPr>
            <w:r w:rsidRPr="00CB32B1">
              <w:t>Clinical privileging is the process by which a health care professional is granted permission by a health service (</w:t>
            </w:r>
            <w:r w:rsidR="00854DEF" w:rsidRPr="00CB32B1">
              <w:t>eg</w:t>
            </w:r>
            <w:r w:rsidRPr="00CB32B1">
              <w:t xml:space="preserve"> a hospital) to provide care services within defined limits. These limits are based on an individual’s qualifications, experience and registration status</w:t>
            </w:r>
            <w:r w:rsidR="007849E4">
              <w:t>.</w:t>
            </w:r>
            <w:r w:rsidR="007849E4">
              <w:rPr>
                <w:rStyle w:val="FootnoteReference"/>
              </w:rPr>
              <w:footnoteReference w:id="288"/>
            </w:r>
          </w:p>
        </w:tc>
      </w:tr>
      <w:tr w:rsidR="007849E4" w:rsidRPr="00CB32B1" w:rsidTr="0047587A">
        <w:tc>
          <w:tcPr>
            <w:cnfStyle w:val="001000000000"/>
            <w:tcW w:w="1908" w:type="dxa"/>
          </w:tcPr>
          <w:p w:rsidR="007849E4" w:rsidRPr="00CB32B1" w:rsidRDefault="007849E4" w:rsidP="0047587A">
            <w:pPr>
              <w:pStyle w:val="TableTextNormal"/>
            </w:pPr>
            <w:r>
              <w:t>Collaborative arrangements</w:t>
            </w:r>
          </w:p>
        </w:tc>
        <w:tc>
          <w:tcPr>
            <w:tcW w:w="7380" w:type="dxa"/>
          </w:tcPr>
          <w:p w:rsidR="007849E4" w:rsidRPr="00CB32B1" w:rsidRDefault="007849E4" w:rsidP="0047587A">
            <w:pPr>
              <w:pStyle w:val="TableTextNormal"/>
              <w:cnfStyle w:val="000000000000"/>
            </w:pPr>
            <w:r>
              <w:t>Informal and/or formal recognition of the terms of collaboration</w:t>
            </w:r>
            <w:r w:rsidR="00122FC9">
              <w:t>.</w:t>
            </w:r>
          </w:p>
        </w:tc>
      </w:tr>
      <w:tr w:rsidR="00693A3D" w:rsidRPr="00CB32B1" w:rsidTr="0047587A">
        <w:tc>
          <w:tcPr>
            <w:cnfStyle w:val="001000000000"/>
            <w:tcW w:w="1908" w:type="dxa"/>
          </w:tcPr>
          <w:p w:rsidR="00693A3D" w:rsidRPr="00CB32B1" w:rsidRDefault="00693A3D" w:rsidP="0047587A">
            <w:pPr>
              <w:pStyle w:val="TableTextNormal"/>
            </w:pPr>
            <w:r w:rsidRPr="00CB32B1">
              <w:t>Credentialing</w:t>
            </w:r>
          </w:p>
        </w:tc>
        <w:tc>
          <w:tcPr>
            <w:tcW w:w="7380" w:type="dxa"/>
          </w:tcPr>
          <w:p w:rsidR="00693A3D" w:rsidRPr="00CB32B1" w:rsidRDefault="00693A3D" w:rsidP="0047587A">
            <w:pPr>
              <w:pStyle w:val="TableTextNormal"/>
              <w:cnfStyle w:val="000000000000"/>
            </w:pPr>
            <w:r w:rsidRPr="00CB32B1">
              <w:t>A process undertaken through a professional organisation by an individual to ensure they meet competency standards, or in some cases, advanced practice</w:t>
            </w:r>
            <w:r w:rsidR="00122FC9">
              <w:t>.</w:t>
            </w:r>
          </w:p>
        </w:tc>
      </w:tr>
      <w:tr w:rsidR="00693A3D" w:rsidRPr="00CB32B1" w:rsidTr="0047587A">
        <w:tc>
          <w:tcPr>
            <w:cnfStyle w:val="001000000000"/>
            <w:tcW w:w="1908" w:type="dxa"/>
          </w:tcPr>
          <w:p w:rsidR="00693A3D" w:rsidRPr="00CB32B1" w:rsidRDefault="00693A3D" w:rsidP="0047587A">
            <w:pPr>
              <w:pStyle w:val="TableTextNormal"/>
            </w:pPr>
            <w:r w:rsidRPr="00CB32B1">
              <w:t>Eligible midwife</w:t>
            </w:r>
          </w:p>
        </w:tc>
        <w:tc>
          <w:tcPr>
            <w:tcW w:w="7380" w:type="dxa"/>
          </w:tcPr>
          <w:p w:rsidR="00693A3D" w:rsidRPr="00CB32B1" w:rsidRDefault="00693A3D" w:rsidP="0047587A">
            <w:pPr>
              <w:pStyle w:val="TableTextNormal"/>
              <w:cnfStyle w:val="000000000000"/>
            </w:pPr>
            <w:r w:rsidRPr="00CB32B1">
              <w:t>A midwife registered with AHPRA that who meets the requirements of the NMBA and renders a Medicare rebatable service in a collaborative arrangement or collaborative arrangements of a kind or kinds specified in the regulations, with one or more medical practitioners, of a kind or kinds specified in the regulations. The midwife must have a Medicare provider number, be working in private practice, have professional indemnity insurance and have collaborative arrangements in place with a specified medical practitioner.</w:t>
            </w:r>
            <w:r w:rsidR="00E952DC">
              <w:rPr>
                <w:rStyle w:val="FootnoteReference"/>
              </w:rPr>
              <w:footnoteReference w:id="289"/>
            </w:r>
          </w:p>
        </w:tc>
      </w:tr>
      <w:tr w:rsidR="00693A3D" w:rsidRPr="00CB32B1" w:rsidTr="0047587A">
        <w:tc>
          <w:tcPr>
            <w:cnfStyle w:val="001000000000"/>
            <w:tcW w:w="1908" w:type="dxa"/>
          </w:tcPr>
          <w:p w:rsidR="00693A3D" w:rsidRPr="00CB32B1" w:rsidRDefault="007849E4" w:rsidP="0047587A">
            <w:pPr>
              <w:pStyle w:val="TableTextNormal"/>
            </w:pPr>
            <w:r>
              <w:t>Fitness to practis</w:t>
            </w:r>
            <w:r w:rsidR="00693A3D" w:rsidRPr="00CB32B1">
              <w:t>e</w:t>
            </w:r>
          </w:p>
        </w:tc>
        <w:tc>
          <w:tcPr>
            <w:tcW w:w="7380" w:type="dxa"/>
          </w:tcPr>
          <w:p w:rsidR="00693A3D" w:rsidRPr="00CB32B1" w:rsidRDefault="007849E4" w:rsidP="0047587A">
            <w:pPr>
              <w:pStyle w:val="TableTextNormal"/>
              <w:cnfStyle w:val="000000000000"/>
            </w:pPr>
            <w:r>
              <w:t>Fitness to practis</w:t>
            </w:r>
            <w:r w:rsidR="00693A3D" w:rsidRPr="00CB32B1">
              <w:t xml:space="preserve">e hearings relates to misconduct, lack of competence, </w:t>
            </w:r>
            <w:r w:rsidR="006959C5" w:rsidRPr="00CB32B1">
              <w:t>and character</w:t>
            </w:r>
            <w:r w:rsidR="00693A3D" w:rsidRPr="00CB32B1">
              <w:t xml:space="preserve"> issues of poor health of a practitioner.</w:t>
            </w:r>
            <w:r w:rsidR="00693A3D" w:rsidRPr="00CB32B1">
              <w:rPr>
                <w:rStyle w:val="FootnoteReference"/>
              </w:rPr>
              <w:footnoteReference w:id="290"/>
            </w:r>
          </w:p>
        </w:tc>
      </w:tr>
      <w:tr w:rsidR="00693A3D" w:rsidRPr="00CB32B1" w:rsidTr="0047587A">
        <w:tc>
          <w:tcPr>
            <w:cnfStyle w:val="001000000000"/>
            <w:tcW w:w="1908" w:type="dxa"/>
          </w:tcPr>
          <w:p w:rsidR="00693A3D" w:rsidRPr="00CB32B1" w:rsidRDefault="00693A3D" w:rsidP="0047587A">
            <w:pPr>
              <w:pStyle w:val="TableTextNormal"/>
            </w:pPr>
            <w:r w:rsidRPr="00CB32B1">
              <w:t>Free birth</w:t>
            </w:r>
          </w:p>
        </w:tc>
        <w:tc>
          <w:tcPr>
            <w:tcW w:w="7380" w:type="dxa"/>
          </w:tcPr>
          <w:p w:rsidR="00693A3D" w:rsidRPr="00CB32B1" w:rsidRDefault="00693A3D" w:rsidP="0047587A">
            <w:pPr>
              <w:pStyle w:val="TableTextNormal"/>
              <w:cnfStyle w:val="000000000000"/>
            </w:pPr>
            <w:r w:rsidRPr="00CB32B1">
              <w:t>Intentionally giving birth without the assistance of a medical or profession</w:t>
            </w:r>
            <w:r w:rsidR="00E952DC">
              <w:t>al</w:t>
            </w:r>
            <w:r w:rsidRPr="00CB32B1">
              <w:t xml:space="preserve"> at the birth. </w:t>
            </w:r>
            <w:r w:rsidR="00E952DC">
              <w:t>\</w:t>
            </w:r>
          </w:p>
        </w:tc>
      </w:tr>
      <w:tr w:rsidR="00693A3D" w:rsidRPr="00CB32B1" w:rsidTr="0047587A">
        <w:tc>
          <w:tcPr>
            <w:cnfStyle w:val="001000000000"/>
            <w:tcW w:w="1908" w:type="dxa"/>
          </w:tcPr>
          <w:p w:rsidR="00693A3D" w:rsidRPr="00CB32B1" w:rsidRDefault="00693A3D" w:rsidP="0047587A">
            <w:pPr>
              <w:pStyle w:val="TableTextNormal"/>
            </w:pPr>
            <w:r w:rsidRPr="00CB32B1">
              <w:t>Health service arrangements</w:t>
            </w:r>
          </w:p>
        </w:tc>
        <w:tc>
          <w:tcPr>
            <w:tcW w:w="7380" w:type="dxa"/>
          </w:tcPr>
          <w:p w:rsidR="00693A3D" w:rsidRPr="00CB32B1" w:rsidRDefault="00693A3D" w:rsidP="0047587A">
            <w:pPr>
              <w:pStyle w:val="TableTextNormal"/>
              <w:cnfStyle w:val="000000000000"/>
            </w:pPr>
            <w:r w:rsidRPr="00CB32B1">
              <w:t>Arrangements held with health services.</w:t>
            </w:r>
          </w:p>
        </w:tc>
      </w:tr>
      <w:tr w:rsidR="00693A3D" w:rsidRPr="00CB32B1" w:rsidTr="0047587A">
        <w:tc>
          <w:tcPr>
            <w:cnfStyle w:val="001000000000"/>
            <w:tcW w:w="1908" w:type="dxa"/>
          </w:tcPr>
          <w:p w:rsidR="00693A3D" w:rsidRPr="00CB32B1" w:rsidRDefault="00693A3D" w:rsidP="008341BC">
            <w:pPr>
              <w:pStyle w:val="TableTextNormal"/>
            </w:pPr>
            <w:r w:rsidRPr="00CB32B1">
              <w:t>High</w:t>
            </w:r>
            <w:r w:rsidR="008341BC">
              <w:t>-</w:t>
            </w:r>
            <w:r w:rsidRPr="00CB32B1">
              <w:t>risk</w:t>
            </w:r>
          </w:p>
        </w:tc>
        <w:tc>
          <w:tcPr>
            <w:tcW w:w="7380" w:type="dxa"/>
          </w:tcPr>
          <w:p w:rsidR="00693A3D" w:rsidRPr="00CB32B1" w:rsidRDefault="00693A3D" w:rsidP="0047587A">
            <w:pPr>
              <w:pStyle w:val="TableTextNormal"/>
              <w:cnfStyle w:val="000000000000"/>
            </w:pPr>
            <w:r w:rsidRPr="00CB32B1">
              <w:t>A term used by clinicians to describe women who have a history of problems in a previous pregnancy or have an existing medical condition or have some potential risk of complications that might require speedy or specialist treatment.</w:t>
            </w:r>
            <w:r w:rsidRPr="007849E4">
              <w:rPr>
                <w:rStyle w:val="FootnoteReference"/>
              </w:rPr>
              <w:footnoteReference w:id="291"/>
            </w:r>
          </w:p>
        </w:tc>
      </w:tr>
      <w:tr w:rsidR="00693A3D" w:rsidRPr="00CB32B1" w:rsidTr="0047587A">
        <w:tc>
          <w:tcPr>
            <w:cnfStyle w:val="001000000000"/>
            <w:tcW w:w="1908" w:type="dxa"/>
          </w:tcPr>
          <w:p w:rsidR="00693A3D" w:rsidRPr="00CB32B1" w:rsidRDefault="00693A3D" w:rsidP="0047587A">
            <w:pPr>
              <w:pStyle w:val="TableTextNormal"/>
            </w:pPr>
            <w:r w:rsidRPr="00CB32B1">
              <w:t>Hypoxia</w:t>
            </w:r>
          </w:p>
        </w:tc>
        <w:tc>
          <w:tcPr>
            <w:tcW w:w="7380" w:type="dxa"/>
          </w:tcPr>
          <w:p w:rsidR="00693A3D" w:rsidRPr="00CB32B1" w:rsidRDefault="00693A3D" w:rsidP="0047587A">
            <w:pPr>
              <w:pStyle w:val="TableTextNormal"/>
              <w:cnfStyle w:val="000000000000"/>
            </w:pPr>
            <w:r w:rsidRPr="00CB32B1">
              <w:t>Reduction of oxygen supply to a tissue below physiological levels despite adequate perfusion of the tissue by blood.</w:t>
            </w:r>
            <w:r w:rsidRPr="00CB32B1">
              <w:rPr>
                <w:rStyle w:val="FootnoteReference"/>
              </w:rPr>
              <w:footnoteReference w:id="292"/>
            </w:r>
          </w:p>
        </w:tc>
      </w:tr>
      <w:tr w:rsidR="00693A3D" w:rsidRPr="00CB32B1" w:rsidTr="0047587A">
        <w:tc>
          <w:tcPr>
            <w:cnfStyle w:val="001000000000"/>
            <w:tcW w:w="1908" w:type="dxa"/>
          </w:tcPr>
          <w:p w:rsidR="00693A3D" w:rsidRPr="00CB32B1" w:rsidRDefault="00693A3D" w:rsidP="0047587A">
            <w:pPr>
              <w:pStyle w:val="TableTextNormal"/>
            </w:pPr>
            <w:r w:rsidRPr="00CB32B1">
              <w:t>Intrapartum</w:t>
            </w:r>
          </w:p>
        </w:tc>
        <w:tc>
          <w:tcPr>
            <w:tcW w:w="7380" w:type="dxa"/>
          </w:tcPr>
          <w:p w:rsidR="00693A3D" w:rsidRPr="00CB32B1" w:rsidRDefault="00693A3D" w:rsidP="0047587A">
            <w:pPr>
              <w:pStyle w:val="TableTextNormal"/>
              <w:cnfStyle w:val="000000000000"/>
            </w:pPr>
            <w:r w:rsidRPr="00CB32B1">
              <w:t xml:space="preserve">The birthing stage of the pregnancy pathway. </w:t>
            </w:r>
          </w:p>
        </w:tc>
      </w:tr>
      <w:tr w:rsidR="00693A3D" w:rsidRPr="00CB32B1" w:rsidTr="0047587A">
        <w:tc>
          <w:tcPr>
            <w:cnfStyle w:val="001000000000"/>
            <w:tcW w:w="1908" w:type="dxa"/>
          </w:tcPr>
          <w:p w:rsidR="00693A3D" w:rsidRPr="00CB32B1" w:rsidRDefault="00693A3D" w:rsidP="0047587A">
            <w:pPr>
              <w:pStyle w:val="TableTextNormal"/>
            </w:pPr>
            <w:r w:rsidRPr="00CB32B1">
              <w:t>Long tail</w:t>
            </w:r>
          </w:p>
        </w:tc>
        <w:tc>
          <w:tcPr>
            <w:tcW w:w="7380" w:type="dxa"/>
          </w:tcPr>
          <w:p w:rsidR="00693A3D" w:rsidRPr="00CB32B1" w:rsidRDefault="00693A3D" w:rsidP="0047587A">
            <w:pPr>
              <w:pStyle w:val="TableTextNormal"/>
              <w:cnfStyle w:val="000000000000"/>
            </w:pPr>
            <w:r w:rsidRPr="00CB32B1">
              <w:t>The liability for claims that do not proceed to final settlement until a length of time beyond the policy year.</w:t>
            </w:r>
            <w:r w:rsidRPr="00CB32B1">
              <w:rPr>
                <w:rStyle w:val="FootnoteReference"/>
              </w:rPr>
              <w:footnoteReference w:id="293"/>
            </w:r>
          </w:p>
        </w:tc>
      </w:tr>
      <w:tr w:rsidR="00693A3D" w:rsidRPr="00CB32B1" w:rsidTr="0047587A">
        <w:tc>
          <w:tcPr>
            <w:cnfStyle w:val="001000000000"/>
            <w:tcW w:w="1908" w:type="dxa"/>
          </w:tcPr>
          <w:p w:rsidR="00693A3D" w:rsidRPr="00CB32B1" w:rsidRDefault="00693A3D" w:rsidP="0047587A">
            <w:pPr>
              <w:pStyle w:val="TableTextNormal"/>
            </w:pPr>
            <w:r w:rsidRPr="00CB32B1">
              <w:t>Medical Negligence</w:t>
            </w:r>
          </w:p>
        </w:tc>
        <w:tc>
          <w:tcPr>
            <w:tcW w:w="7380" w:type="dxa"/>
          </w:tcPr>
          <w:p w:rsidR="00693A3D" w:rsidRPr="00CB32B1" w:rsidRDefault="00693A3D" w:rsidP="0047587A">
            <w:pPr>
              <w:pStyle w:val="TableTextNormal"/>
              <w:cnfStyle w:val="000000000000"/>
            </w:pPr>
            <w:r w:rsidRPr="00CB32B1">
              <w:t>Breach of the standard of care owed by a medical professional to a patient in medical treatment.</w:t>
            </w:r>
            <w:r w:rsidRPr="00CB32B1">
              <w:rPr>
                <w:rStyle w:val="FootnoteReference"/>
              </w:rPr>
              <w:footnoteReference w:id="294"/>
            </w:r>
          </w:p>
        </w:tc>
      </w:tr>
      <w:tr w:rsidR="00693A3D" w:rsidRPr="00CB32B1" w:rsidTr="0047587A">
        <w:tc>
          <w:tcPr>
            <w:cnfStyle w:val="001000000000"/>
            <w:tcW w:w="1908" w:type="dxa"/>
          </w:tcPr>
          <w:p w:rsidR="00693A3D" w:rsidRPr="00CB32B1" w:rsidRDefault="00693A3D" w:rsidP="0047587A">
            <w:pPr>
              <w:pStyle w:val="TableTextNormal"/>
              <w:keepNext/>
              <w:keepLines/>
            </w:pPr>
            <w:r w:rsidRPr="00CB32B1">
              <w:t>Memoranda of Understanding</w:t>
            </w:r>
          </w:p>
        </w:tc>
        <w:tc>
          <w:tcPr>
            <w:tcW w:w="7380" w:type="dxa"/>
          </w:tcPr>
          <w:p w:rsidR="00693A3D" w:rsidRPr="00CB32B1" w:rsidRDefault="00E952DC" w:rsidP="0047587A">
            <w:pPr>
              <w:pStyle w:val="TableTextNormal"/>
              <w:keepNext/>
              <w:keepLines/>
              <w:cnfStyle w:val="000000000000"/>
            </w:pPr>
            <w:r>
              <w:t>P</w:t>
            </w:r>
            <w:r w:rsidR="00693A3D" w:rsidRPr="00CB32B1">
              <w:t>rovide</w:t>
            </w:r>
            <w:r>
              <w:t>s</w:t>
            </w:r>
            <w:r w:rsidR="00693A3D" w:rsidRPr="00CB32B1">
              <w:t xml:space="preserve"> a written statement of agreement about the roles and functions of, for example, a hospital or health service and the visiting midwife. It will highlight their joint commitment to women’s care and agreed objectives of both parties to achieve this care.</w:t>
            </w:r>
            <w:r w:rsidR="00693A3D" w:rsidRPr="00CB32B1">
              <w:rPr>
                <w:rStyle w:val="FootnoteReference"/>
              </w:rPr>
              <w:footnoteReference w:id="295"/>
            </w:r>
          </w:p>
        </w:tc>
      </w:tr>
      <w:tr w:rsidR="00693A3D" w:rsidRPr="00CB32B1" w:rsidTr="0047587A">
        <w:tc>
          <w:tcPr>
            <w:cnfStyle w:val="001000000000"/>
            <w:tcW w:w="1908" w:type="dxa"/>
          </w:tcPr>
          <w:p w:rsidR="00693A3D" w:rsidRPr="00CB32B1" w:rsidRDefault="00693A3D" w:rsidP="0047587A">
            <w:pPr>
              <w:pStyle w:val="TableTextNormal"/>
            </w:pPr>
            <w:r w:rsidRPr="00CB32B1">
              <w:t>Midwife</w:t>
            </w:r>
          </w:p>
        </w:tc>
        <w:tc>
          <w:tcPr>
            <w:tcW w:w="7380" w:type="dxa"/>
          </w:tcPr>
          <w:p w:rsidR="00693A3D" w:rsidRPr="00CB32B1" w:rsidRDefault="00693A3D" w:rsidP="0047587A">
            <w:pPr>
              <w:pStyle w:val="TableTextNormal"/>
              <w:cnfStyle w:val="000000000000"/>
            </w:pPr>
            <w:r w:rsidRPr="00CB32B1">
              <w:t>A midwife is a person who has successfully completed a midwifery education programme that is duly recognized in the country where it is located and that is based on the ICM Essential Competencies for Basic Midwifery Practice and the framework of the ICM Global Standards for Midwifery Education; who has acquired the requisite qualifications to be registered and/or legally licensed to practice midwifery and use the title ‘midwife’; and who demonstrates competency in the practice of midwifery.</w:t>
            </w:r>
            <w:r w:rsidRPr="00CB32B1">
              <w:rPr>
                <w:rStyle w:val="FootnoteReference"/>
              </w:rPr>
              <w:footnoteReference w:id="296"/>
            </w:r>
          </w:p>
        </w:tc>
      </w:tr>
      <w:tr w:rsidR="00693A3D" w:rsidRPr="00CB32B1" w:rsidTr="0047587A">
        <w:tc>
          <w:tcPr>
            <w:cnfStyle w:val="001000000000"/>
            <w:tcW w:w="1908" w:type="dxa"/>
          </w:tcPr>
          <w:p w:rsidR="00693A3D" w:rsidRPr="00CB32B1" w:rsidRDefault="00693A3D" w:rsidP="0047587A">
            <w:pPr>
              <w:pStyle w:val="TableTextNormal"/>
            </w:pPr>
            <w:r w:rsidRPr="00CB32B1">
              <w:t>Oligohydramnios</w:t>
            </w:r>
          </w:p>
        </w:tc>
        <w:tc>
          <w:tcPr>
            <w:tcW w:w="7380" w:type="dxa"/>
          </w:tcPr>
          <w:p w:rsidR="00693A3D" w:rsidRPr="00CB32B1" w:rsidRDefault="00693A3D" w:rsidP="0047587A">
            <w:pPr>
              <w:pStyle w:val="TableTextNormal"/>
              <w:cnfStyle w:val="000000000000"/>
            </w:pPr>
            <w:r w:rsidRPr="00CB32B1">
              <w:t>A deficiency in the amount of amniotic fluid.</w:t>
            </w:r>
            <w:r w:rsidRPr="00CB32B1">
              <w:rPr>
                <w:rStyle w:val="FootnoteReference"/>
              </w:rPr>
              <w:footnoteReference w:id="297"/>
            </w:r>
          </w:p>
        </w:tc>
      </w:tr>
      <w:tr w:rsidR="00693A3D" w:rsidRPr="00CB32B1" w:rsidTr="0047587A">
        <w:tc>
          <w:tcPr>
            <w:cnfStyle w:val="001000000000"/>
            <w:tcW w:w="1908" w:type="dxa"/>
          </w:tcPr>
          <w:p w:rsidR="00693A3D" w:rsidRPr="00CB32B1" w:rsidRDefault="00693A3D" w:rsidP="0047587A">
            <w:pPr>
              <w:pStyle w:val="TableTextNormal"/>
            </w:pPr>
            <w:r w:rsidRPr="00CB32B1">
              <w:t>Polyhydramnios</w:t>
            </w:r>
          </w:p>
        </w:tc>
        <w:tc>
          <w:tcPr>
            <w:tcW w:w="7380" w:type="dxa"/>
          </w:tcPr>
          <w:p w:rsidR="00693A3D" w:rsidRPr="00CB32B1" w:rsidRDefault="00693A3D" w:rsidP="0047587A">
            <w:pPr>
              <w:pStyle w:val="TableTextNormal"/>
              <w:cnfStyle w:val="000000000000"/>
            </w:pPr>
            <w:r w:rsidRPr="00CB32B1">
              <w:t>A high level of amniotic fluid.</w:t>
            </w:r>
            <w:r w:rsidRPr="00CB32B1">
              <w:rPr>
                <w:rStyle w:val="FootnoteReference"/>
              </w:rPr>
              <w:footnoteReference w:id="298"/>
            </w:r>
          </w:p>
        </w:tc>
      </w:tr>
      <w:tr w:rsidR="00693A3D" w:rsidRPr="00CB32B1" w:rsidTr="0047587A">
        <w:tc>
          <w:tcPr>
            <w:cnfStyle w:val="001000000000"/>
            <w:tcW w:w="1908" w:type="dxa"/>
          </w:tcPr>
          <w:p w:rsidR="00693A3D" w:rsidRPr="00CB32B1" w:rsidRDefault="00693A3D" w:rsidP="0047587A">
            <w:pPr>
              <w:pStyle w:val="TableTextNormal"/>
            </w:pPr>
            <w:r w:rsidRPr="00CB32B1">
              <w:t>Postnatal</w:t>
            </w:r>
          </w:p>
        </w:tc>
        <w:tc>
          <w:tcPr>
            <w:tcW w:w="7380" w:type="dxa"/>
          </w:tcPr>
          <w:p w:rsidR="00693A3D" w:rsidRPr="00CB32B1" w:rsidRDefault="00693A3D" w:rsidP="0047587A">
            <w:pPr>
              <w:pStyle w:val="TableTextNormal"/>
              <w:cnfStyle w:val="000000000000"/>
            </w:pPr>
            <w:r w:rsidRPr="00CB32B1">
              <w:t>Period of time after birth.</w:t>
            </w:r>
          </w:p>
        </w:tc>
      </w:tr>
      <w:tr w:rsidR="00693A3D" w:rsidRPr="00CB32B1" w:rsidTr="0047587A">
        <w:tc>
          <w:tcPr>
            <w:cnfStyle w:val="001000000000"/>
            <w:tcW w:w="1908" w:type="dxa"/>
          </w:tcPr>
          <w:p w:rsidR="00693A3D" w:rsidRPr="00CB32B1" w:rsidRDefault="00693A3D" w:rsidP="0047587A">
            <w:pPr>
              <w:pStyle w:val="TableTextNormal"/>
            </w:pPr>
            <w:r w:rsidRPr="00CB32B1">
              <w:t>Premium</w:t>
            </w:r>
          </w:p>
        </w:tc>
        <w:tc>
          <w:tcPr>
            <w:tcW w:w="7380" w:type="dxa"/>
          </w:tcPr>
          <w:p w:rsidR="00693A3D" w:rsidRPr="00CB32B1" w:rsidRDefault="00693A3D" w:rsidP="0047587A">
            <w:pPr>
              <w:pStyle w:val="TableTextNormal"/>
              <w:cnfStyle w:val="000000000000"/>
            </w:pPr>
            <w:r w:rsidRPr="00CB32B1">
              <w:t>The cost of an insurance product that is paid by a professional person to an insurer to gain access to the terms and conditions of the product over the period of the product cover.</w:t>
            </w:r>
          </w:p>
        </w:tc>
      </w:tr>
      <w:tr w:rsidR="00693A3D" w:rsidRPr="00CB32B1" w:rsidTr="0047587A">
        <w:tc>
          <w:tcPr>
            <w:cnfStyle w:val="001000000000"/>
            <w:tcW w:w="1908" w:type="dxa"/>
          </w:tcPr>
          <w:p w:rsidR="00693A3D" w:rsidRPr="00CB32B1" w:rsidRDefault="00693A3D" w:rsidP="0047587A">
            <w:pPr>
              <w:pStyle w:val="TableTextNormal"/>
            </w:pPr>
            <w:r w:rsidRPr="00CB32B1">
              <w:t>Premium Pools</w:t>
            </w:r>
          </w:p>
        </w:tc>
        <w:tc>
          <w:tcPr>
            <w:tcW w:w="7380" w:type="dxa"/>
          </w:tcPr>
          <w:p w:rsidR="00693A3D" w:rsidRPr="00CB32B1" w:rsidRDefault="00904784" w:rsidP="00904784">
            <w:pPr>
              <w:pStyle w:val="TableTextNormal"/>
              <w:cnfStyle w:val="000000000000"/>
            </w:pPr>
            <w:r>
              <w:t>Where p</w:t>
            </w:r>
            <w:r w:rsidR="00693A3D" w:rsidRPr="00CB32B1">
              <w:t xml:space="preserve">remiums </w:t>
            </w:r>
            <w:r w:rsidR="007849E4">
              <w:t>are</w:t>
            </w:r>
            <w:r w:rsidR="00693A3D" w:rsidRPr="00CB32B1">
              <w:t xml:space="preserve"> collected for different groups or people. </w:t>
            </w:r>
          </w:p>
        </w:tc>
      </w:tr>
      <w:tr w:rsidR="00693A3D" w:rsidRPr="00CB32B1" w:rsidTr="0047587A">
        <w:tc>
          <w:tcPr>
            <w:cnfStyle w:val="001000000000"/>
            <w:tcW w:w="1908" w:type="dxa"/>
          </w:tcPr>
          <w:p w:rsidR="00693A3D" w:rsidRPr="00CB32B1" w:rsidRDefault="00693A3D" w:rsidP="0047587A">
            <w:pPr>
              <w:pStyle w:val="TableTextNormal"/>
            </w:pPr>
            <w:r w:rsidRPr="00CB32B1">
              <w:t>Privately Practising Midwife (PPM)</w:t>
            </w:r>
          </w:p>
        </w:tc>
        <w:tc>
          <w:tcPr>
            <w:tcW w:w="7380" w:type="dxa"/>
          </w:tcPr>
          <w:p w:rsidR="00693A3D" w:rsidRPr="00CB32B1" w:rsidRDefault="00693A3D" w:rsidP="00E952DC">
            <w:pPr>
              <w:pStyle w:val="TableTextNormal"/>
              <w:cnfStyle w:val="000000000000"/>
            </w:pPr>
            <w:r w:rsidRPr="00CB32B1">
              <w:t>Health professional practi</w:t>
            </w:r>
            <w:r w:rsidR="00E952DC">
              <w:t>s</w:t>
            </w:r>
            <w:r w:rsidRPr="00CB32B1">
              <w:t>ing the nursing and midwifery profession who attends a homebirth in the capacity of a sole practitioner, within a partnership or collective, or employed by a company owned solely by the midwife or practising midwives.</w:t>
            </w:r>
            <w:r w:rsidRPr="00CB32B1">
              <w:rPr>
                <w:rStyle w:val="FootnoteReference"/>
              </w:rPr>
              <w:footnoteReference w:id="299"/>
            </w:r>
          </w:p>
        </w:tc>
      </w:tr>
      <w:tr w:rsidR="00693A3D" w:rsidRPr="00CB32B1" w:rsidTr="0047587A">
        <w:tc>
          <w:tcPr>
            <w:cnfStyle w:val="001000000000"/>
            <w:tcW w:w="1908" w:type="dxa"/>
          </w:tcPr>
          <w:p w:rsidR="00693A3D" w:rsidRPr="00CB32B1" w:rsidRDefault="00693A3D" w:rsidP="0047587A">
            <w:pPr>
              <w:pStyle w:val="TableTextNormal"/>
            </w:pPr>
            <w:r w:rsidRPr="00CB32B1">
              <w:t>Professional indemnity insurance (PII)</w:t>
            </w:r>
          </w:p>
        </w:tc>
        <w:tc>
          <w:tcPr>
            <w:tcW w:w="7380" w:type="dxa"/>
          </w:tcPr>
          <w:p w:rsidR="00693A3D" w:rsidRPr="00CB32B1" w:rsidRDefault="00693A3D" w:rsidP="0047587A">
            <w:pPr>
              <w:pStyle w:val="TableTextNormal"/>
              <w:cnfStyle w:val="000000000000"/>
            </w:pPr>
            <w:r w:rsidRPr="00CB32B1">
              <w:t>Arrangements that secure, for the practitioner’s professional practice, insurance from civil liability incurred by, or loss arising from, a claim that is made as a result of a negligent act, error or omission in the conduct of the practitioner. This type of insurance is available to practitioners and organisations across a range of industries and covers the costs and expenses of defending a legal claim, as well as any damages payable. Some government organisation</w:t>
            </w:r>
            <w:r w:rsidR="00E952DC">
              <w:t>s under policies of the owning g</w:t>
            </w:r>
            <w:r w:rsidRPr="00CB32B1">
              <w:t>overnment are self-insured for the same range of matters.</w:t>
            </w:r>
            <w:r w:rsidRPr="00CB32B1">
              <w:rPr>
                <w:rStyle w:val="FootnoteReference"/>
              </w:rPr>
              <w:footnoteReference w:id="300"/>
            </w:r>
          </w:p>
        </w:tc>
      </w:tr>
      <w:tr w:rsidR="00693A3D" w:rsidRPr="00CB32B1" w:rsidTr="0047587A">
        <w:tc>
          <w:tcPr>
            <w:cnfStyle w:val="001000000000"/>
            <w:tcW w:w="1908" w:type="dxa"/>
          </w:tcPr>
          <w:p w:rsidR="00693A3D" w:rsidRPr="00CB32B1" w:rsidRDefault="00693A3D" w:rsidP="0047587A">
            <w:pPr>
              <w:pStyle w:val="TableTextNormal"/>
            </w:pPr>
            <w:r w:rsidRPr="00CB32B1">
              <w:t>Quantum of cover</w:t>
            </w:r>
          </w:p>
        </w:tc>
        <w:tc>
          <w:tcPr>
            <w:tcW w:w="7380" w:type="dxa"/>
          </w:tcPr>
          <w:p w:rsidR="00693A3D" w:rsidRPr="00CB32B1" w:rsidRDefault="00693A3D" w:rsidP="0047587A">
            <w:pPr>
              <w:pStyle w:val="TableTextNormal"/>
              <w:cnfStyle w:val="000000000000"/>
            </w:pPr>
            <w:r w:rsidRPr="00CB32B1">
              <w:t>The amount the insurer or reinsurer is legally liable to pay for the claim.</w:t>
            </w:r>
          </w:p>
        </w:tc>
      </w:tr>
      <w:tr w:rsidR="00693A3D" w:rsidRPr="00CB32B1" w:rsidTr="0047587A">
        <w:tc>
          <w:tcPr>
            <w:cnfStyle w:val="001000000000"/>
            <w:tcW w:w="1908" w:type="dxa"/>
          </w:tcPr>
          <w:p w:rsidR="00693A3D" w:rsidRPr="00CB32B1" w:rsidRDefault="00693A3D" w:rsidP="0047587A">
            <w:pPr>
              <w:pStyle w:val="TableTextNormal"/>
              <w:keepNext/>
              <w:keepLines/>
            </w:pPr>
            <w:r w:rsidRPr="00CB32B1">
              <w:t>Retroactive cover</w:t>
            </w:r>
          </w:p>
        </w:tc>
        <w:tc>
          <w:tcPr>
            <w:tcW w:w="7380" w:type="dxa"/>
          </w:tcPr>
          <w:p w:rsidR="00693A3D" w:rsidRPr="00CB32B1" w:rsidRDefault="00693A3D" w:rsidP="0047587A">
            <w:pPr>
              <w:pStyle w:val="TableTextNormal"/>
              <w:keepNext/>
              <w:keepLines/>
              <w:cnfStyle w:val="000000000000"/>
            </w:pPr>
            <w:r w:rsidRPr="00CB32B1">
              <w:t>PII arrangements which cover the insured against claims arising out of, or as a consequence of, activities that were undertaken in the course of the practitioner’s professional practice, prior to the date of commencement of the insurance.</w:t>
            </w:r>
            <w:r w:rsidR="00904784">
              <w:rPr>
                <w:rStyle w:val="FootnoteReference"/>
              </w:rPr>
              <w:footnoteReference w:id="301"/>
            </w:r>
            <w:r w:rsidRPr="00CB32B1">
              <w:t xml:space="preserve"> (NMBA, 2011)</w:t>
            </w:r>
          </w:p>
        </w:tc>
      </w:tr>
      <w:tr w:rsidR="00693A3D" w:rsidRPr="00CB32B1" w:rsidTr="0047587A">
        <w:tc>
          <w:tcPr>
            <w:cnfStyle w:val="001000000000"/>
            <w:tcW w:w="1908" w:type="dxa"/>
          </w:tcPr>
          <w:p w:rsidR="00693A3D" w:rsidRPr="00CB32B1" w:rsidRDefault="00693A3D" w:rsidP="0047587A">
            <w:pPr>
              <w:pStyle w:val="TableTextNormal"/>
            </w:pPr>
            <w:r w:rsidRPr="00CB32B1">
              <w:t>Run-off cover</w:t>
            </w:r>
          </w:p>
        </w:tc>
        <w:tc>
          <w:tcPr>
            <w:tcW w:w="7380" w:type="dxa"/>
          </w:tcPr>
          <w:p w:rsidR="00693A3D" w:rsidRPr="00CB32B1" w:rsidRDefault="00693A3D" w:rsidP="0047587A">
            <w:pPr>
              <w:pStyle w:val="TableTextNormal"/>
              <w:cnfStyle w:val="000000000000"/>
            </w:pPr>
            <w:r w:rsidRPr="00CB32B1">
              <w:t>Insurance that protects a practitioner who has ceased a particular practice against claims that arise out of, or are a consequence of, activities that were undertaken when he or she was conducting that practice or business.</w:t>
            </w:r>
            <w:r w:rsidRPr="00CB32B1">
              <w:rPr>
                <w:rStyle w:val="FootnoteReference"/>
              </w:rPr>
              <w:footnoteReference w:id="302"/>
            </w:r>
          </w:p>
        </w:tc>
      </w:tr>
      <w:tr w:rsidR="00693A3D" w:rsidRPr="00CB32B1" w:rsidTr="0047587A">
        <w:tc>
          <w:tcPr>
            <w:cnfStyle w:val="001000000000"/>
            <w:tcW w:w="1908" w:type="dxa"/>
          </w:tcPr>
          <w:p w:rsidR="00693A3D" w:rsidRPr="00CB32B1" w:rsidRDefault="00693A3D" w:rsidP="0047587A">
            <w:pPr>
              <w:pStyle w:val="TableTextNormal"/>
            </w:pPr>
            <w:r w:rsidRPr="00CB32B1">
              <w:t>Tort</w:t>
            </w:r>
          </w:p>
        </w:tc>
        <w:tc>
          <w:tcPr>
            <w:tcW w:w="7380" w:type="dxa"/>
          </w:tcPr>
          <w:p w:rsidR="00693A3D" w:rsidRPr="00CB32B1" w:rsidRDefault="00693A3D" w:rsidP="0047587A">
            <w:pPr>
              <w:pStyle w:val="TableTextNormal"/>
              <w:cnfStyle w:val="000000000000"/>
            </w:pPr>
            <w:r w:rsidRPr="00CB32B1">
              <w:t>A civil wrong occurring between two more persons. A tort is not necessarily illegal but does cause harm.</w:t>
            </w:r>
          </w:p>
        </w:tc>
      </w:tr>
      <w:tr w:rsidR="00693A3D" w:rsidRPr="00CB32B1" w:rsidTr="0047587A">
        <w:tc>
          <w:tcPr>
            <w:cnfStyle w:val="001000000000"/>
            <w:tcW w:w="1908" w:type="dxa"/>
          </w:tcPr>
          <w:p w:rsidR="00693A3D" w:rsidRPr="00CB32B1" w:rsidRDefault="00693A3D" w:rsidP="0047587A">
            <w:pPr>
              <w:pStyle w:val="TableTextNormal"/>
            </w:pPr>
            <w:r w:rsidRPr="00CB32B1">
              <w:t>Tribunal</w:t>
            </w:r>
          </w:p>
        </w:tc>
        <w:tc>
          <w:tcPr>
            <w:tcW w:w="7380" w:type="dxa"/>
          </w:tcPr>
          <w:p w:rsidR="00693A3D" w:rsidRPr="00CB32B1" w:rsidRDefault="00693A3D" w:rsidP="0047587A">
            <w:pPr>
              <w:pStyle w:val="TableTextNormal"/>
              <w:cnfStyle w:val="000000000000"/>
            </w:pPr>
            <w:r w:rsidRPr="00CB32B1">
              <w:t>Generally, a body appointed to adjudicate disputes. In administrative law, a Tribunal is a body that reviews administrative action or makes primary decisions. A Tribunal may conciliate or determine disputes or complaints or administer a regulatory scheme.</w:t>
            </w:r>
            <w:r w:rsidRPr="00CB32B1">
              <w:rPr>
                <w:rStyle w:val="FootnoteReference"/>
              </w:rPr>
              <w:footnoteReference w:id="303"/>
            </w:r>
          </w:p>
        </w:tc>
      </w:tr>
    </w:tbl>
    <w:p w:rsidR="00693A3D" w:rsidRPr="00CB32B1" w:rsidRDefault="00693A3D" w:rsidP="00693A3D">
      <w:pPr>
        <w:pStyle w:val="PwCNormal"/>
        <w:numPr>
          <w:ilvl w:val="0"/>
          <w:numId w:val="0"/>
        </w:numPr>
      </w:pPr>
    </w:p>
    <w:p w:rsidR="00693A3D" w:rsidRPr="00CB32B1" w:rsidRDefault="00693A3D" w:rsidP="00693A3D">
      <w:pPr>
        <w:pStyle w:val="PwCNormal"/>
        <w:numPr>
          <w:ilvl w:val="0"/>
          <w:numId w:val="0"/>
        </w:numPr>
        <w:sectPr w:rsidR="00693A3D" w:rsidRPr="00CB32B1" w:rsidSect="00A104EF">
          <w:headerReference w:type="even" r:id="rId58"/>
          <w:headerReference w:type="default" r:id="rId59"/>
          <w:footerReference w:type="even" r:id="rId60"/>
          <w:headerReference w:type="first" r:id="rId61"/>
          <w:type w:val="evenPage"/>
          <w:pgSz w:w="11907" w:h="16840" w:code="9"/>
          <w:pgMar w:top="1701" w:right="1134" w:bottom="1701" w:left="1134" w:header="680" w:footer="680" w:gutter="567"/>
          <w:cols w:space="708"/>
          <w:docGrid w:linePitch="360"/>
        </w:sectPr>
      </w:pPr>
    </w:p>
    <w:p w:rsidR="00693A3D" w:rsidRPr="00CB32B1" w:rsidRDefault="00693A3D" w:rsidP="00693A3D">
      <w:pPr>
        <w:pStyle w:val="Heading4"/>
      </w:pPr>
      <w:bookmarkStart w:id="108" w:name="_Toc361328124"/>
      <w:bookmarkStart w:id="109" w:name="_Toc362975066"/>
      <w:bookmarkStart w:id="110" w:name="_Toc362975077"/>
      <w:r w:rsidRPr="00CB32B1">
        <w:t>Bibliography</w:t>
      </w:r>
      <w:bookmarkEnd w:id="108"/>
      <w:bookmarkEnd w:id="109"/>
      <w:bookmarkEnd w:id="110"/>
    </w:p>
    <w:p w:rsidR="00693A3D" w:rsidRPr="00CB32B1" w:rsidRDefault="00693A3D" w:rsidP="00693A3D">
      <w:pPr>
        <w:pStyle w:val="PwCNormal"/>
      </w:pPr>
      <w:r w:rsidRPr="00CB32B1">
        <w:t>Ackermann-Liebrich</w:t>
      </w:r>
      <w:r w:rsidR="00472342" w:rsidRPr="00CB32B1">
        <w:t>, U, Voegeli, T, Gunter-Witt, K, Kunz, I, Zullig, M, Schindler, C &amp; Maruer, M</w:t>
      </w:r>
      <w:r w:rsidRPr="00CB32B1">
        <w:t xml:space="preserve"> 1996</w:t>
      </w:r>
      <w:r w:rsidR="00E307AA">
        <w:t xml:space="preserve">, </w:t>
      </w:r>
      <w:r w:rsidRPr="00E307AA">
        <w:rPr>
          <w:i/>
        </w:rPr>
        <w:t>Home versus hospital deliveries: follow up study of matched pairs of procedures and outcome</w:t>
      </w:r>
      <w:r w:rsidR="00E307AA">
        <w:t>;</w:t>
      </w:r>
      <w:r w:rsidR="00472342" w:rsidRPr="00CB32B1">
        <w:t xml:space="preserve"> </w:t>
      </w:r>
      <w:r w:rsidRPr="00CB32B1">
        <w:rPr>
          <w:i/>
        </w:rPr>
        <w:t>British Medical Journal</w:t>
      </w:r>
      <w:r w:rsidRPr="00CB32B1">
        <w:t xml:space="preserve"> </w:t>
      </w:r>
      <w:r w:rsidR="00472342" w:rsidRPr="00CB32B1">
        <w:t>313(7068)</w:t>
      </w:r>
      <w:r w:rsidRPr="00CB32B1">
        <w:t xml:space="preserve">, </w:t>
      </w:r>
      <w:r w:rsidR="00472342" w:rsidRPr="00CB32B1">
        <w:t>pp.</w:t>
      </w:r>
      <w:r w:rsidRPr="00CB32B1">
        <w:t>1313-1318.</w:t>
      </w:r>
    </w:p>
    <w:p w:rsidR="00A63354" w:rsidRDefault="00A63354" w:rsidP="00693A3D">
      <w:pPr>
        <w:pStyle w:val="PwCNormal"/>
      </w:pPr>
      <w:r>
        <w:t xml:space="preserve">Allens, 2001, </w:t>
      </w:r>
      <w:r w:rsidRPr="00A63354">
        <w:rPr>
          <w:i/>
        </w:rPr>
        <w:t>Annual Review of Insurance Law – Medical Negligence</w:t>
      </w:r>
      <w:r w:rsidRPr="00CB32B1">
        <w:t xml:space="preserve">, </w:t>
      </w:r>
      <w:r>
        <w:t>viewed February 2013 at</w:t>
      </w:r>
      <w:r w:rsidRPr="00CB32B1">
        <w:t>: www.allens.com.au/pubs/ari/2001/medneg.htm#Record.</w:t>
      </w:r>
    </w:p>
    <w:p w:rsidR="00693A3D" w:rsidRPr="00CB32B1" w:rsidRDefault="00693A3D" w:rsidP="00693A3D">
      <w:pPr>
        <w:pStyle w:val="PwCNormal"/>
      </w:pPr>
      <w:r w:rsidRPr="00CB32B1">
        <w:t>Anderson RE &amp; Murphy PA 1995</w:t>
      </w:r>
      <w:r w:rsidR="00E832F2" w:rsidRPr="00CB32B1">
        <w:t>,</w:t>
      </w:r>
      <w:r w:rsidRPr="00CB32B1">
        <w:t xml:space="preserve"> </w:t>
      </w:r>
      <w:r w:rsidRPr="00E307AA">
        <w:rPr>
          <w:i/>
        </w:rPr>
        <w:t>Outcomes of 11,788 planned home births attended by certified nurse-midwives: a retrospective descriptive study</w:t>
      </w:r>
      <w:r w:rsidR="00064CCC" w:rsidRPr="00E307AA">
        <w:t>,</w:t>
      </w:r>
      <w:r w:rsidRPr="00E307AA">
        <w:t xml:space="preserve"> Journal of Nurse-Midwifery</w:t>
      </w:r>
      <w:r w:rsidR="00E832F2" w:rsidRPr="00CB32B1">
        <w:t>, 40(6)</w:t>
      </w:r>
      <w:r w:rsidRPr="00CB32B1">
        <w:t xml:space="preserve">, </w:t>
      </w:r>
      <w:r w:rsidR="00E832F2" w:rsidRPr="00CB32B1">
        <w:t>pp.</w:t>
      </w:r>
      <w:r w:rsidRPr="00CB32B1">
        <w:t>483-492.</w:t>
      </w:r>
    </w:p>
    <w:p w:rsidR="00693A3D" w:rsidRPr="00CB32B1" w:rsidRDefault="00693A3D" w:rsidP="00693A3D">
      <w:pPr>
        <w:pStyle w:val="PwCNormal"/>
      </w:pPr>
      <w:r w:rsidRPr="00CB32B1">
        <w:t>Association of Ontario Midwives</w:t>
      </w:r>
      <w:r w:rsidR="00E832F2" w:rsidRPr="00CB32B1">
        <w:t>,</w:t>
      </w:r>
      <w:r w:rsidRPr="00CB32B1">
        <w:t xml:space="preserve"> </w:t>
      </w:r>
      <w:r w:rsidRPr="00E307AA">
        <w:rPr>
          <w:i/>
        </w:rPr>
        <w:t>Differences in midwifery care and regulation before and after Legislation in 1994</w:t>
      </w:r>
      <w:r w:rsidR="00064CCC" w:rsidRPr="00CB32B1">
        <w:t>, v</w:t>
      </w:r>
      <w:r w:rsidR="00E832F2" w:rsidRPr="00CB32B1">
        <w:t xml:space="preserve">iewed </w:t>
      </w:r>
      <w:r w:rsidR="00064CCC" w:rsidRPr="00CB32B1">
        <w:t>April 2013</w:t>
      </w:r>
      <w:r w:rsidR="00ED127D" w:rsidRPr="00CB32B1">
        <w:t>a</w:t>
      </w:r>
      <w:r w:rsidR="00064CCC" w:rsidRPr="00CB32B1">
        <w:t xml:space="preserve"> </w:t>
      </w:r>
      <w:r w:rsidR="00E832F2" w:rsidRPr="00CB32B1">
        <w:t xml:space="preserve">at: </w:t>
      </w:r>
      <w:r w:rsidRPr="00CB32B1">
        <w:t>http://www.aom.on.ca/Health_Care_Professionals/Benefits_of_Regulation/</w:t>
      </w:r>
      <w:r w:rsidR="00064CCC" w:rsidRPr="00CB32B1">
        <w:t>.</w:t>
      </w:r>
    </w:p>
    <w:p w:rsidR="00693A3D" w:rsidRPr="00CB32B1" w:rsidRDefault="00693A3D" w:rsidP="00693A3D">
      <w:pPr>
        <w:pStyle w:val="PwCNormal"/>
      </w:pPr>
      <w:r w:rsidRPr="00CB32B1">
        <w:t>Association of Ontario Midwives</w:t>
      </w:r>
      <w:r w:rsidR="00064CCC" w:rsidRPr="00CB32B1">
        <w:t>,</w:t>
      </w:r>
      <w:r w:rsidRPr="00CB32B1">
        <w:t xml:space="preserve"> </w:t>
      </w:r>
      <w:r w:rsidRPr="00E307AA">
        <w:rPr>
          <w:i/>
        </w:rPr>
        <w:t>The AOM</w:t>
      </w:r>
      <w:r w:rsidR="00064CCC" w:rsidRPr="00CB32B1">
        <w:t>, viewed April 2013</w:t>
      </w:r>
      <w:r w:rsidR="00ED127D" w:rsidRPr="00CB32B1">
        <w:t>b</w:t>
      </w:r>
      <w:r w:rsidR="00064CCC" w:rsidRPr="00CB32B1">
        <w:t xml:space="preserve"> at:</w:t>
      </w:r>
      <w:r w:rsidRPr="00CB32B1">
        <w:t xml:space="preserve"> http://www.aom.on.ca/AOM/</w:t>
      </w:r>
      <w:r w:rsidR="00064CCC" w:rsidRPr="00CB32B1">
        <w:t>.</w:t>
      </w:r>
    </w:p>
    <w:p w:rsidR="004D4F44" w:rsidRPr="00CB32B1" w:rsidRDefault="004D4F44" w:rsidP="00693A3D">
      <w:pPr>
        <w:pStyle w:val="PwCNormal"/>
      </w:pPr>
      <w:r w:rsidRPr="00CB32B1">
        <w:t>As</w:t>
      </w:r>
      <w:r w:rsidR="00E307AA">
        <w:t xml:space="preserve">sociation of Ontario Midwives, </w:t>
      </w:r>
      <w:r w:rsidRPr="00E307AA">
        <w:rPr>
          <w:i/>
        </w:rPr>
        <w:t>Benefits of Midwifery to Health Care System, May 2007</w:t>
      </w:r>
      <w:r w:rsidRPr="00CB32B1">
        <w:t>, viewed April 2013c at: http://www.aom.on.ca/Communications/Government_Relations/Benefits_of_Midwifery.aspx.</w:t>
      </w:r>
    </w:p>
    <w:p w:rsidR="00C405B3" w:rsidRPr="00CB32B1" w:rsidRDefault="00C405B3" w:rsidP="00693A3D">
      <w:pPr>
        <w:pStyle w:val="PwCNormal"/>
      </w:pPr>
      <w:r w:rsidRPr="00CB32B1">
        <w:t xml:space="preserve">Australian Bureau of Statistics, 2011, </w:t>
      </w:r>
      <w:r w:rsidRPr="00CB32B1">
        <w:rPr>
          <w:i/>
        </w:rPr>
        <w:t>Births</w:t>
      </w:r>
      <w:r w:rsidRPr="00CB32B1">
        <w:t>, viewed January 2013 at: http://www.abs.gov.au/AUSSTATS/abs@.nsf/DetailsPage/3301.02011?OpenDocument.</w:t>
      </w:r>
    </w:p>
    <w:p w:rsidR="00C405B3" w:rsidRPr="00CB32B1" w:rsidRDefault="00C405B3" w:rsidP="00693A3D">
      <w:pPr>
        <w:pStyle w:val="PwCNormal"/>
      </w:pPr>
      <w:r w:rsidRPr="00CB32B1">
        <w:t xml:space="preserve">Australian College of Midwives, 2011, </w:t>
      </w:r>
      <w:r w:rsidRPr="00CB32B1">
        <w:rPr>
          <w:i/>
        </w:rPr>
        <w:t>Homebirth Literature Review 2011</w:t>
      </w:r>
      <w:r w:rsidRPr="00CB32B1">
        <w:t>, ACM.</w:t>
      </w:r>
    </w:p>
    <w:p w:rsidR="002C169D" w:rsidRPr="00CB32B1" w:rsidRDefault="002C169D" w:rsidP="00693A3D">
      <w:pPr>
        <w:pStyle w:val="PwCNormal"/>
      </w:pPr>
      <w:r w:rsidRPr="00CB32B1">
        <w:t xml:space="preserve">Australian College of Midwives, </w:t>
      </w:r>
      <w:r w:rsidR="001D6BC8">
        <w:t>2008</w:t>
      </w:r>
      <w:r w:rsidRPr="00CB32B1">
        <w:t xml:space="preserve">, </w:t>
      </w:r>
      <w:r w:rsidRPr="00CB32B1">
        <w:rPr>
          <w:i/>
        </w:rPr>
        <w:t>National Midwifery Guidelines for Consultation and Referral</w:t>
      </w:r>
      <w:r w:rsidRPr="00CB32B1">
        <w:t xml:space="preserve">, </w:t>
      </w:r>
      <w:r w:rsidR="001D6BC8">
        <w:t>2</w:t>
      </w:r>
      <w:r w:rsidRPr="00CB32B1">
        <w:rPr>
          <w:vertAlign w:val="superscript"/>
        </w:rPr>
        <w:t>nd</w:t>
      </w:r>
      <w:r w:rsidRPr="00CB32B1">
        <w:t xml:space="preserve"> Edition, Australian College of Midwives, Deakin.</w:t>
      </w:r>
    </w:p>
    <w:p w:rsidR="00693A3D" w:rsidRPr="00CB32B1" w:rsidRDefault="00693A3D" w:rsidP="00693A3D">
      <w:pPr>
        <w:pStyle w:val="PwCNormal"/>
      </w:pPr>
      <w:r w:rsidRPr="00CB32B1">
        <w:t>Australian Competition &amp; Consumer Commission</w:t>
      </w:r>
      <w:r w:rsidR="00064CCC" w:rsidRPr="00CB32B1">
        <w:t xml:space="preserve">, </w:t>
      </w:r>
      <w:r w:rsidRPr="00CB32B1">
        <w:t>2009</w:t>
      </w:r>
      <w:r w:rsidR="00064CCC" w:rsidRPr="00CB32B1">
        <w:t>,</w:t>
      </w:r>
      <w:r w:rsidRPr="00CB32B1">
        <w:t xml:space="preserve"> </w:t>
      </w:r>
      <w:r w:rsidRPr="00CB32B1">
        <w:rPr>
          <w:i/>
        </w:rPr>
        <w:t>Medical indemnity insurance</w:t>
      </w:r>
      <w:r w:rsidR="00854DEF" w:rsidRPr="00CB32B1">
        <w:rPr>
          <w:i/>
        </w:rPr>
        <w:t xml:space="preserve"> – </w:t>
      </w:r>
      <w:r w:rsidRPr="00CB32B1">
        <w:rPr>
          <w:i/>
        </w:rPr>
        <w:t>Sixth Monitoring report</w:t>
      </w:r>
      <w:r w:rsidR="00064CCC" w:rsidRPr="00CB32B1">
        <w:t>, Commonwealth of Australia, Canberra.</w:t>
      </w:r>
    </w:p>
    <w:p w:rsidR="00693A3D" w:rsidRPr="00CB32B1" w:rsidRDefault="00693A3D" w:rsidP="00693A3D">
      <w:pPr>
        <w:pStyle w:val="PwCNormal"/>
      </w:pPr>
      <w:r w:rsidRPr="00CB32B1">
        <w:t>Australian Government Actuary</w:t>
      </w:r>
      <w:r w:rsidR="00064CCC" w:rsidRPr="00CB32B1">
        <w:t xml:space="preserve">, </w:t>
      </w:r>
      <w:r w:rsidRPr="00CB32B1">
        <w:t>2012</w:t>
      </w:r>
      <w:r w:rsidR="00064CCC" w:rsidRPr="00CB32B1">
        <w:t>,</w:t>
      </w:r>
      <w:r w:rsidRPr="00CB32B1">
        <w:t xml:space="preserve"> </w:t>
      </w:r>
      <w:r w:rsidRPr="00CB32B1">
        <w:rPr>
          <w:i/>
        </w:rPr>
        <w:t>First report on the costs of the Australian Government's Run-Off Cover Scheme for midwife professional indemnity insurers: 2010-11 financial year</w:t>
      </w:r>
      <w:r w:rsidR="00064CCC" w:rsidRPr="00CB32B1">
        <w:t>, Commonwealth of Australia, Canberra.</w:t>
      </w:r>
    </w:p>
    <w:p w:rsidR="003C46A2" w:rsidRDefault="00050CC5" w:rsidP="00C55DAF">
      <w:pPr>
        <w:pStyle w:val="PwCNormal"/>
      </w:pPr>
      <w:r w:rsidRPr="00CB32B1">
        <w:t>Australian Health P</w:t>
      </w:r>
      <w:r w:rsidR="00E307AA">
        <w:t xml:space="preserve">ractitioner Regulation Agency, </w:t>
      </w:r>
      <w:r w:rsidR="00E307AA" w:rsidRPr="00E307AA">
        <w:rPr>
          <w:i/>
        </w:rPr>
        <w:t>Legislation</w:t>
      </w:r>
      <w:r w:rsidRPr="00CB32B1">
        <w:t>, vi</w:t>
      </w:r>
      <w:r w:rsidR="00E952DC">
        <w:t>ew</w:t>
      </w:r>
      <w:r w:rsidRPr="00CB32B1">
        <w:t>ed April 2013 at: www.ahpra.gov.au/Legislation-and-Publications/Legislation.aspx.</w:t>
      </w:r>
    </w:p>
    <w:p w:rsidR="00166874" w:rsidRDefault="00166874" w:rsidP="005C2238">
      <w:pPr>
        <w:pStyle w:val="PwCNormal"/>
      </w:pPr>
      <w:r>
        <w:t xml:space="preserve">Australian Institute of Health and Welfare 2013, </w:t>
      </w:r>
      <w:r>
        <w:rPr>
          <w:i/>
        </w:rPr>
        <w:t>Australia’s medical indemnity claims 2011-12</w:t>
      </w:r>
      <w:r>
        <w:t>, Safety and quality of health care services no. 14. Cat. No. HSE 137, AIHW, Canberra.</w:t>
      </w:r>
    </w:p>
    <w:p w:rsidR="005C2238" w:rsidRPr="00CB32B1" w:rsidRDefault="005C2238" w:rsidP="005C2238">
      <w:pPr>
        <w:pStyle w:val="PwCNormal"/>
      </w:pPr>
      <w:r w:rsidRPr="00CB32B1">
        <w:t>Australian Institute of Health a</w:t>
      </w:r>
      <w:r w:rsidR="00C55DAF">
        <w:t>nd Welfare 2012</w:t>
      </w:r>
      <w:r w:rsidRPr="00CB32B1">
        <w:t xml:space="preserve">, </w:t>
      </w:r>
      <w:r w:rsidRPr="00CB32B1">
        <w:rPr>
          <w:i/>
        </w:rPr>
        <w:t>Australia’s mothers and babies 2010</w:t>
      </w:r>
      <w:r w:rsidRPr="00CB32B1">
        <w:t>, Perinatal statistics series no. 27. Cat. no. PER 57, AIHW, Canberra.</w:t>
      </w:r>
    </w:p>
    <w:p w:rsidR="00E34B9D" w:rsidRPr="00CB32B1" w:rsidRDefault="00E34B9D" w:rsidP="00E34B9D">
      <w:pPr>
        <w:pStyle w:val="PwCNormal"/>
      </w:pPr>
      <w:r w:rsidRPr="00CB32B1">
        <w:t>Australian Inst</w:t>
      </w:r>
      <w:r w:rsidR="00C55DAF">
        <w:t>itute of Health and Welfare 2011</w:t>
      </w:r>
      <w:r w:rsidRPr="00CB32B1">
        <w:t xml:space="preserve">, </w:t>
      </w:r>
      <w:r w:rsidRPr="00CB32B1">
        <w:rPr>
          <w:i/>
        </w:rPr>
        <w:t>Australia’s mothers and babies 200</w:t>
      </w:r>
      <w:r w:rsidR="003C46A2">
        <w:rPr>
          <w:i/>
        </w:rPr>
        <w:t>9</w:t>
      </w:r>
      <w:r w:rsidRPr="00CB32B1">
        <w:t>, Perinatal statistics series no. 25. Cat. no. PER 52, AIHW, Canberra.</w:t>
      </w:r>
    </w:p>
    <w:p w:rsidR="005C2238" w:rsidRDefault="005C2238" w:rsidP="005C2238">
      <w:pPr>
        <w:pStyle w:val="PwCNormal"/>
      </w:pPr>
      <w:r w:rsidRPr="00CB32B1">
        <w:t>Australian Inst</w:t>
      </w:r>
      <w:r w:rsidR="00C55DAF">
        <w:t>itute of Health and Welfare 2010</w:t>
      </w:r>
      <w:r w:rsidRPr="00CB32B1">
        <w:t xml:space="preserve">, </w:t>
      </w:r>
      <w:r w:rsidRPr="00CB32B1">
        <w:rPr>
          <w:i/>
        </w:rPr>
        <w:t>Australia’s mothers and babies 2008</w:t>
      </w:r>
      <w:r w:rsidRPr="00CB32B1">
        <w:t>, Perinatal statistics series no. 24. Cat. no. PER 50, AIHW, Canberra.</w:t>
      </w:r>
    </w:p>
    <w:p w:rsidR="00E919E6" w:rsidRDefault="00E919E6" w:rsidP="005C2238">
      <w:pPr>
        <w:pStyle w:val="PwCNormal"/>
      </w:pPr>
      <w:r w:rsidRPr="00CB32B1">
        <w:t>Australian Inst</w:t>
      </w:r>
      <w:r>
        <w:t>itute of Health and Welfare 2009</w:t>
      </w:r>
      <w:r w:rsidRPr="00CB32B1">
        <w:t xml:space="preserve">, </w:t>
      </w:r>
      <w:r w:rsidRPr="00CB32B1">
        <w:rPr>
          <w:i/>
        </w:rPr>
        <w:t>Australia’s mothers and babies 200</w:t>
      </w:r>
      <w:r>
        <w:rPr>
          <w:i/>
        </w:rPr>
        <w:t>7</w:t>
      </w:r>
      <w:r w:rsidRPr="00CB32B1">
        <w:t>, Perinatal statistics series no. 2</w:t>
      </w:r>
      <w:r>
        <w:t>3</w:t>
      </w:r>
      <w:r w:rsidRPr="00CB32B1">
        <w:t xml:space="preserve">. Cat. no. PER </w:t>
      </w:r>
      <w:r>
        <w:t>48</w:t>
      </w:r>
      <w:r w:rsidRPr="00CB32B1">
        <w:t>, AIHW, Canberra.</w:t>
      </w:r>
    </w:p>
    <w:p w:rsidR="00E919E6" w:rsidRDefault="00E919E6" w:rsidP="00E919E6">
      <w:pPr>
        <w:pStyle w:val="PwCNormal"/>
      </w:pPr>
      <w:r w:rsidRPr="00CB32B1">
        <w:t>Australian Inst</w:t>
      </w:r>
      <w:r>
        <w:t>itute of Health and Welfare 2008</w:t>
      </w:r>
      <w:r w:rsidRPr="00CB32B1">
        <w:t xml:space="preserve">, </w:t>
      </w:r>
      <w:r w:rsidRPr="00CB32B1">
        <w:rPr>
          <w:i/>
        </w:rPr>
        <w:t>Australia’s mothers and babies 200</w:t>
      </w:r>
      <w:r>
        <w:rPr>
          <w:i/>
        </w:rPr>
        <w:t>6</w:t>
      </w:r>
      <w:r w:rsidRPr="00CB32B1">
        <w:t>, Perinatal statistics series no. 2</w:t>
      </w:r>
      <w:r>
        <w:t>2</w:t>
      </w:r>
      <w:r w:rsidRPr="00CB32B1">
        <w:t xml:space="preserve">. Cat. no. PER </w:t>
      </w:r>
      <w:r>
        <w:t>46</w:t>
      </w:r>
      <w:r w:rsidRPr="00CB32B1">
        <w:t>, AIHW, Canberra.</w:t>
      </w:r>
    </w:p>
    <w:p w:rsidR="00E919E6" w:rsidRDefault="00E919E6" w:rsidP="00E919E6">
      <w:pPr>
        <w:pStyle w:val="PwCNormal"/>
      </w:pPr>
      <w:r w:rsidRPr="00CB32B1">
        <w:t>Australian Inst</w:t>
      </w:r>
      <w:r>
        <w:t>itute of Health and Welfare 2007</w:t>
      </w:r>
      <w:r w:rsidRPr="00CB32B1">
        <w:t xml:space="preserve">, </w:t>
      </w:r>
      <w:r w:rsidRPr="00CB32B1">
        <w:rPr>
          <w:i/>
        </w:rPr>
        <w:t>Australia’s mothers and babies 200</w:t>
      </w:r>
      <w:r>
        <w:rPr>
          <w:i/>
        </w:rPr>
        <w:t>5</w:t>
      </w:r>
      <w:r w:rsidRPr="00CB32B1">
        <w:t>, Perinatal statistics series no. 2</w:t>
      </w:r>
      <w:r>
        <w:t>0</w:t>
      </w:r>
      <w:r w:rsidRPr="00CB32B1">
        <w:t xml:space="preserve">. Cat. no. PER </w:t>
      </w:r>
      <w:r>
        <w:t>40</w:t>
      </w:r>
      <w:r w:rsidRPr="00CB32B1">
        <w:t>, AIHW, Canberra.</w:t>
      </w:r>
    </w:p>
    <w:p w:rsidR="001A57CA" w:rsidRDefault="001A57CA" w:rsidP="001A57CA">
      <w:pPr>
        <w:pStyle w:val="PwCNormal"/>
      </w:pPr>
      <w:r w:rsidRPr="00CB32B1">
        <w:t>Australian Inst</w:t>
      </w:r>
      <w:r>
        <w:t>itute of Health and Welfare 2006</w:t>
      </w:r>
      <w:r w:rsidRPr="00CB32B1">
        <w:t xml:space="preserve">, </w:t>
      </w:r>
      <w:r w:rsidRPr="00CB32B1">
        <w:rPr>
          <w:i/>
        </w:rPr>
        <w:t>Australia’s mothers and babies 200</w:t>
      </w:r>
      <w:r>
        <w:rPr>
          <w:i/>
        </w:rPr>
        <w:t>4</w:t>
      </w:r>
      <w:r w:rsidRPr="00CB32B1">
        <w:t xml:space="preserve">, Perinatal statistics series no. </w:t>
      </w:r>
      <w:r>
        <w:t>18</w:t>
      </w:r>
      <w:r w:rsidRPr="00CB32B1">
        <w:t xml:space="preserve">. Cat. no. PER </w:t>
      </w:r>
      <w:r>
        <w:t>34</w:t>
      </w:r>
      <w:r w:rsidRPr="00CB32B1">
        <w:t>, AIHW, Canberra.</w:t>
      </w:r>
    </w:p>
    <w:p w:rsidR="001A57CA" w:rsidRDefault="001A57CA" w:rsidP="001A57CA">
      <w:pPr>
        <w:pStyle w:val="PwCNormal"/>
      </w:pPr>
      <w:r w:rsidRPr="00CB32B1">
        <w:t>Australian Inst</w:t>
      </w:r>
      <w:r>
        <w:t>itute of Health and Welfare 2005</w:t>
      </w:r>
      <w:r w:rsidRPr="00CB32B1">
        <w:t xml:space="preserve">, </w:t>
      </w:r>
      <w:r w:rsidRPr="00CB32B1">
        <w:rPr>
          <w:i/>
        </w:rPr>
        <w:t>Australia’s mothers and babies 200</w:t>
      </w:r>
      <w:r>
        <w:rPr>
          <w:i/>
        </w:rPr>
        <w:t>3</w:t>
      </w:r>
      <w:r w:rsidRPr="00CB32B1">
        <w:t xml:space="preserve">, Perinatal statistics series no. </w:t>
      </w:r>
      <w:r>
        <w:t>16</w:t>
      </w:r>
      <w:r w:rsidRPr="00CB32B1">
        <w:t xml:space="preserve">. Cat. no. PER </w:t>
      </w:r>
      <w:r>
        <w:t>29</w:t>
      </w:r>
      <w:r w:rsidRPr="00CB32B1">
        <w:t>, AIHW, Canberra.</w:t>
      </w:r>
    </w:p>
    <w:p w:rsidR="001A57CA" w:rsidRDefault="001A57CA" w:rsidP="001A57CA">
      <w:pPr>
        <w:pStyle w:val="PwCNormal"/>
      </w:pPr>
      <w:r w:rsidRPr="00CB32B1">
        <w:t>Australian Inst</w:t>
      </w:r>
      <w:r>
        <w:t>itute of Health and Welfare 2004a</w:t>
      </w:r>
      <w:r w:rsidRPr="00CB32B1">
        <w:t xml:space="preserve">, </w:t>
      </w:r>
      <w:r w:rsidRPr="00CB32B1">
        <w:rPr>
          <w:i/>
        </w:rPr>
        <w:t>Australia’s mothers and babies 200</w:t>
      </w:r>
      <w:r>
        <w:rPr>
          <w:i/>
        </w:rPr>
        <w:t>2</w:t>
      </w:r>
      <w:r w:rsidRPr="00CB32B1">
        <w:t xml:space="preserve">, Perinatal statistics series no. </w:t>
      </w:r>
      <w:r>
        <w:t>15</w:t>
      </w:r>
      <w:r w:rsidRPr="00CB32B1">
        <w:t xml:space="preserve">. Cat. no. PER </w:t>
      </w:r>
      <w:r>
        <w:t>28</w:t>
      </w:r>
      <w:r w:rsidRPr="00CB32B1">
        <w:t>, AIHW, Canberra.</w:t>
      </w:r>
    </w:p>
    <w:p w:rsidR="00E919E6" w:rsidRPr="00CB32B1" w:rsidRDefault="001A57CA" w:rsidP="001A57CA">
      <w:pPr>
        <w:pStyle w:val="PwCNormal"/>
      </w:pPr>
      <w:r w:rsidRPr="00CB32B1">
        <w:t>Australian Inst</w:t>
      </w:r>
      <w:r>
        <w:t>itute of Health and Welfare 2004b</w:t>
      </w:r>
      <w:r w:rsidRPr="00CB32B1">
        <w:t xml:space="preserve">, </w:t>
      </w:r>
      <w:r w:rsidRPr="00CB32B1">
        <w:rPr>
          <w:i/>
        </w:rPr>
        <w:t>Australia’s mothers and babies 200</w:t>
      </w:r>
      <w:r>
        <w:rPr>
          <w:i/>
        </w:rPr>
        <w:t>1</w:t>
      </w:r>
      <w:r w:rsidRPr="00CB32B1">
        <w:t xml:space="preserve">, Perinatal statistics series no. </w:t>
      </w:r>
      <w:r>
        <w:t>13</w:t>
      </w:r>
      <w:r w:rsidRPr="00CB32B1">
        <w:t xml:space="preserve">. Cat. no. PER </w:t>
      </w:r>
      <w:r>
        <w:t>25</w:t>
      </w:r>
      <w:r w:rsidRPr="00CB32B1">
        <w:t>, AIHW, Canberra.</w:t>
      </w:r>
    </w:p>
    <w:p w:rsidR="00C405B3" w:rsidRPr="00CB32B1" w:rsidRDefault="00E307AA" w:rsidP="00693A3D">
      <w:pPr>
        <w:pStyle w:val="PwCNormal"/>
      </w:pPr>
      <w:r>
        <w:t xml:space="preserve">Baby Centre, </w:t>
      </w:r>
      <w:r w:rsidRPr="00E307AA">
        <w:rPr>
          <w:i/>
        </w:rPr>
        <w:t>Perineal tears</w:t>
      </w:r>
      <w:r w:rsidR="00C405B3" w:rsidRPr="00CB32B1">
        <w:t xml:space="preserve">, </w:t>
      </w:r>
      <w:r w:rsidR="00E952DC">
        <w:t>viewed</w:t>
      </w:r>
      <w:r w:rsidR="00C405B3" w:rsidRPr="00CB32B1">
        <w:t xml:space="preserve"> December 2012 at: www.babycenter.com/0_perineal-tears_1451354.bc.</w:t>
      </w:r>
    </w:p>
    <w:p w:rsidR="00693A3D" w:rsidRPr="00CB32B1" w:rsidRDefault="00693A3D" w:rsidP="00693A3D">
      <w:pPr>
        <w:pStyle w:val="PwCNormal"/>
      </w:pPr>
      <w:r w:rsidRPr="00CB32B1">
        <w:t>Barclay L, Tracy SK</w:t>
      </w:r>
      <w:r w:rsidR="00064CCC" w:rsidRPr="00CB32B1">
        <w:t xml:space="preserve"> </w:t>
      </w:r>
      <w:r w:rsidRPr="00CB32B1">
        <w:t>2010</w:t>
      </w:r>
      <w:r w:rsidR="00064CCC" w:rsidRPr="00CB32B1">
        <w:t>,</w:t>
      </w:r>
      <w:r w:rsidRPr="00CB32B1">
        <w:t xml:space="preserve"> </w:t>
      </w:r>
      <w:r w:rsidRPr="00E307AA">
        <w:rPr>
          <w:i/>
        </w:rPr>
        <w:t>Legally binding midwives to doctors is not collaboration</w:t>
      </w:r>
      <w:r w:rsidR="00064CCC" w:rsidRPr="00CB32B1">
        <w:t>,</w:t>
      </w:r>
      <w:r w:rsidRPr="00CB32B1">
        <w:t xml:space="preserve"> </w:t>
      </w:r>
      <w:r w:rsidRPr="00E307AA">
        <w:t>Women and Birth</w:t>
      </w:r>
      <w:r w:rsidRPr="00CB32B1">
        <w:t xml:space="preserve">, 23(1) </w:t>
      </w:r>
      <w:r w:rsidR="00064CCC" w:rsidRPr="00CB32B1">
        <w:t>pp:</w:t>
      </w:r>
      <w:r w:rsidRPr="00CB32B1">
        <w:t>1-2.</w:t>
      </w:r>
    </w:p>
    <w:p w:rsidR="00693A3D" w:rsidRPr="00CB32B1" w:rsidRDefault="00693A3D" w:rsidP="00693A3D">
      <w:pPr>
        <w:pStyle w:val="PwCNormal"/>
      </w:pPr>
      <w:r w:rsidRPr="00CB32B1">
        <w:t xml:space="preserve">Bastian H </w:t>
      </w:r>
      <w:r w:rsidR="00064CCC" w:rsidRPr="00CB32B1">
        <w:t>&amp;</w:t>
      </w:r>
      <w:r w:rsidRPr="00CB32B1">
        <w:t xml:space="preserve"> Lancaster P 1992</w:t>
      </w:r>
      <w:r w:rsidR="00064CCC" w:rsidRPr="00CB32B1">
        <w:t>,</w:t>
      </w:r>
      <w:r w:rsidRPr="00CB32B1">
        <w:t xml:space="preserve"> </w:t>
      </w:r>
      <w:r w:rsidRPr="00CB32B1">
        <w:rPr>
          <w:i/>
        </w:rPr>
        <w:t>Homebirths in Australia 1998-1990</w:t>
      </w:r>
      <w:r w:rsidR="00064CCC" w:rsidRPr="00CB32B1">
        <w:t xml:space="preserve">, </w:t>
      </w:r>
      <w:r w:rsidRPr="00CB32B1">
        <w:t>AIHW</w:t>
      </w:r>
      <w:r w:rsidR="00854DEF" w:rsidRPr="00CB32B1">
        <w:t>/</w:t>
      </w:r>
      <w:r w:rsidRPr="00CB32B1">
        <w:t>NPSU and Home Birth Australia</w:t>
      </w:r>
      <w:r w:rsidR="00064CCC" w:rsidRPr="00CB32B1">
        <w:t>, Canberra</w:t>
      </w:r>
      <w:r w:rsidRPr="00CB32B1">
        <w:t>.</w:t>
      </w:r>
    </w:p>
    <w:p w:rsidR="00693A3D" w:rsidRPr="00CB32B1" w:rsidRDefault="00693A3D" w:rsidP="00693A3D">
      <w:pPr>
        <w:pStyle w:val="PwCNormal"/>
      </w:pPr>
      <w:r w:rsidRPr="00CB32B1">
        <w:t>Bastian H</w:t>
      </w:r>
      <w:r w:rsidR="00064CCC" w:rsidRPr="00CB32B1">
        <w:t>,</w:t>
      </w:r>
      <w:r w:rsidRPr="00CB32B1">
        <w:t xml:space="preserve"> Keirse MJ &amp; Lancaster PA 1998</w:t>
      </w:r>
      <w:r w:rsidR="00064CCC" w:rsidRPr="00CB32B1">
        <w:t>,</w:t>
      </w:r>
      <w:r w:rsidRPr="00CB32B1">
        <w:t xml:space="preserve"> </w:t>
      </w:r>
      <w:r w:rsidRPr="00E307AA">
        <w:rPr>
          <w:i/>
        </w:rPr>
        <w:t>Perinatal death associated with planned homebirth in Australia: population-based study</w:t>
      </w:r>
      <w:r w:rsidR="00064CCC" w:rsidRPr="00CB32B1">
        <w:t>,</w:t>
      </w:r>
      <w:r w:rsidRPr="00CB32B1">
        <w:t xml:space="preserve"> </w:t>
      </w:r>
      <w:r w:rsidRPr="00CB32B1">
        <w:rPr>
          <w:i/>
        </w:rPr>
        <w:t>BMJ</w:t>
      </w:r>
      <w:r w:rsidRPr="00CB32B1">
        <w:t xml:space="preserve">, </w:t>
      </w:r>
      <w:r w:rsidR="00064CCC" w:rsidRPr="00CB32B1">
        <w:t>317(7155), pp.</w:t>
      </w:r>
      <w:r w:rsidRPr="00CB32B1">
        <w:t>384-8.</w:t>
      </w:r>
    </w:p>
    <w:p w:rsidR="006E176A" w:rsidRPr="00CB32B1" w:rsidRDefault="00E307AA" w:rsidP="00CB151C">
      <w:pPr>
        <w:pStyle w:val="PwCNormal"/>
      </w:pPr>
      <w:r>
        <w:t xml:space="preserve">Birthrights, 2013, </w:t>
      </w:r>
      <w:r w:rsidR="006E176A" w:rsidRPr="00E307AA">
        <w:rPr>
          <w:i/>
        </w:rPr>
        <w:t xml:space="preserve">The End of Independent Midwifery? Consultation launched into mandatory insurance </w:t>
      </w:r>
      <w:r w:rsidRPr="00E307AA">
        <w:rPr>
          <w:i/>
        </w:rPr>
        <w:t>for midwives</w:t>
      </w:r>
      <w:r w:rsidR="006E176A" w:rsidRPr="00CB32B1">
        <w:t xml:space="preserve">, </w:t>
      </w:r>
      <w:r w:rsidR="00E952DC">
        <w:t>viewed</w:t>
      </w:r>
      <w:r w:rsidR="006E176A" w:rsidRPr="00CB32B1">
        <w:t xml:space="preserve"> March 2013 at: http://www.birthrights.org.uk/2013/02/the-end-of-independent-midwifery-consultation-launched-into-mandatory-insurance-for-midwives/.</w:t>
      </w:r>
    </w:p>
    <w:p w:rsidR="00CB151C" w:rsidRPr="00CB32B1" w:rsidRDefault="00E307AA" w:rsidP="00CB151C">
      <w:pPr>
        <w:pStyle w:val="PwCNormal"/>
      </w:pPr>
      <w:r>
        <w:t xml:space="preserve">BORN Ontario, </w:t>
      </w:r>
      <w:r w:rsidRPr="00E307AA">
        <w:rPr>
          <w:i/>
        </w:rPr>
        <w:t>Maternal Newborn Dashboard</w:t>
      </w:r>
      <w:r w:rsidR="00CB151C" w:rsidRPr="00CB32B1">
        <w:t xml:space="preserve">, </w:t>
      </w:r>
      <w:r w:rsidR="00E952DC">
        <w:t>viewed</w:t>
      </w:r>
      <w:r w:rsidR="00CB151C" w:rsidRPr="00CB32B1">
        <w:t xml:space="preserve"> November 2012 at: http://www.bornontario.ca/reports/dashboard.</w:t>
      </w:r>
    </w:p>
    <w:p w:rsidR="00787608" w:rsidRPr="00CB32B1" w:rsidRDefault="00E307AA" w:rsidP="00693A3D">
      <w:pPr>
        <w:pStyle w:val="PwCNormal"/>
      </w:pPr>
      <w:r>
        <w:t xml:space="preserve">Bubhub, </w:t>
      </w:r>
      <w:r w:rsidR="00787608" w:rsidRPr="00E307AA">
        <w:rPr>
          <w:i/>
        </w:rPr>
        <w:t xml:space="preserve">Online directory of </w:t>
      </w:r>
      <w:r w:rsidRPr="00E307AA">
        <w:rPr>
          <w:i/>
        </w:rPr>
        <w:t>midwives and homebirth midwives</w:t>
      </w:r>
      <w:r w:rsidR="00787608" w:rsidRPr="00CB32B1">
        <w:t xml:space="preserve">, </w:t>
      </w:r>
      <w:r w:rsidR="00E952DC">
        <w:t>viewed</w:t>
      </w:r>
      <w:r w:rsidR="00787608" w:rsidRPr="00CB32B1">
        <w:t xml:space="preserve"> December 2012 at: </w:t>
      </w:r>
      <w:hyperlink r:id="rId62" w:history="1">
        <w:r w:rsidR="00787608" w:rsidRPr="00CB32B1">
          <w:t>www.bubhub.com.au/directory/find/midwives</w:t>
        </w:r>
      </w:hyperlink>
      <w:r w:rsidR="00787608" w:rsidRPr="00CB32B1">
        <w:t>.</w:t>
      </w:r>
    </w:p>
    <w:p w:rsidR="00F94B0D" w:rsidRDefault="00F94B0D" w:rsidP="00693A3D">
      <w:pPr>
        <w:pStyle w:val="PwCNormal"/>
      </w:pPr>
      <w:r>
        <w:t xml:space="preserve">Caitling-Paull C, Coddington RL, Foureur MJ &amp; Homer CSE 2013, </w:t>
      </w:r>
      <w:r>
        <w:rPr>
          <w:i/>
        </w:rPr>
        <w:t>Publicly funded homebirth in Australia: a review of maternal and neonatal outcomes over 6 years</w:t>
      </w:r>
      <w:r>
        <w:t>.</w:t>
      </w:r>
    </w:p>
    <w:p w:rsidR="00693A3D" w:rsidRPr="00CB32B1" w:rsidRDefault="00693A3D" w:rsidP="00693A3D">
      <w:pPr>
        <w:pStyle w:val="PwCNormal"/>
      </w:pPr>
      <w:r w:rsidRPr="00CB32B1">
        <w:t>Caitling-Pau</w:t>
      </w:r>
      <w:r w:rsidR="00064CCC" w:rsidRPr="00CB32B1">
        <w:t>l</w:t>
      </w:r>
      <w:r w:rsidRPr="00CB32B1">
        <w:t>l C</w:t>
      </w:r>
      <w:r w:rsidR="00064CCC" w:rsidRPr="00CB32B1">
        <w:t>,</w:t>
      </w:r>
      <w:r w:rsidRPr="00CB32B1">
        <w:t xml:space="preserve"> Foureur MJ</w:t>
      </w:r>
      <w:r w:rsidR="00064CCC" w:rsidRPr="00CB32B1">
        <w:t xml:space="preserve"> &amp;</w:t>
      </w:r>
      <w:r w:rsidRPr="00CB32B1">
        <w:t xml:space="preserve"> Homer CS</w:t>
      </w:r>
      <w:r w:rsidR="00064CCC" w:rsidRPr="00CB32B1">
        <w:t xml:space="preserve"> </w:t>
      </w:r>
      <w:r w:rsidRPr="00CB32B1">
        <w:t>2012</w:t>
      </w:r>
      <w:r w:rsidR="00064CCC" w:rsidRPr="00CB32B1">
        <w:t>,</w:t>
      </w:r>
      <w:r w:rsidRPr="00CB32B1">
        <w:t xml:space="preserve"> </w:t>
      </w:r>
      <w:r w:rsidRPr="00E307AA">
        <w:rPr>
          <w:i/>
        </w:rPr>
        <w:t>Publicly-funded homebirth models in Australia</w:t>
      </w:r>
      <w:r w:rsidR="00064CCC" w:rsidRPr="00CB32B1">
        <w:t>,</w:t>
      </w:r>
      <w:r w:rsidRPr="00CB32B1">
        <w:t xml:space="preserve"> </w:t>
      </w:r>
      <w:r w:rsidRPr="00CB32B1">
        <w:rPr>
          <w:i/>
        </w:rPr>
        <w:t>Women &amp; Birth</w:t>
      </w:r>
      <w:r w:rsidRPr="00CB32B1">
        <w:t>, 25</w:t>
      </w:r>
      <w:r w:rsidR="00064CCC" w:rsidRPr="00CB32B1">
        <w:t>(4), pp.</w:t>
      </w:r>
      <w:r w:rsidRPr="00CB32B1">
        <w:t>152-158.</w:t>
      </w:r>
    </w:p>
    <w:p w:rsidR="00693A3D" w:rsidRPr="00CB32B1" w:rsidRDefault="00693A3D" w:rsidP="00693A3D">
      <w:pPr>
        <w:pStyle w:val="PwCNormal"/>
      </w:pPr>
      <w:r w:rsidRPr="00CB32B1">
        <w:t>Callinan R 2001</w:t>
      </w:r>
      <w:r w:rsidR="00064CCC" w:rsidRPr="00CB32B1">
        <w:t>,</w:t>
      </w:r>
      <w:r w:rsidRPr="00CB32B1">
        <w:t xml:space="preserve"> </w:t>
      </w:r>
      <w:r w:rsidRPr="00CB32B1">
        <w:rPr>
          <w:i/>
        </w:rPr>
        <w:t>Medical Negligence and Professional Indemnity Insurance</w:t>
      </w:r>
      <w:r w:rsidR="00854DEF" w:rsidRPr="00CB32B1">
        <w:rPr>
          <w:i/>
        </w:rPr>
        <w:t xml:space="preserve"> – </w:t>
      </w:r>
      <w:r w:rsidRPr="00CB32B1">
        <w:rPr>
          <w:i/>
        </w:rPr>
        <w:t>Background paper No 2/01</w:t>
      </w:r>
      <w:r w:rsidRPr="00CB32B1">
        <w:t>.</w:t>
      </w:r>
      <w:r w:rsidR="00470160" w:rsidRPr="00CB32B1">
        <w:t xml:space="preserve">, </w:t>
      </w:r>
      <w:r w:rsidRPr="00CB32B1">
        <w:t>NSW Parliamentary Library Research Service</w:t>
      </w:r>
      <w:r w:rsidR="00352A51" w:rsidRPr="00CB32B1">
        <w:t>, Sydney</w:t>
      </w:r>
      <w:r w:rsidRPr="00CB32B1">
        <w:t>.</w:t>
      </w:r>
    </w:p>
    <w:p w:rsidR="00693A3D" w:rsidRPr="00CB32B1" w:rsidRDefault="00693A3D" w:rsidP="00693A3D">
      <w:pPr>
        <w:pStyle w:val="PwCNormal"/>
      </w:pPr>
      <w:r w:rsidRPr="00CB32B1">
        <w:t>Cameron HL 2005</w:t>
      </w:r>
      <w:r w:rsidR="00470160" w:rsidRPr="00CB32B1">
        <w:t>,</w:t>
      </w:r>
      <w:r w:rsidRPr="00CB32B1">
        <w:t xml:space="preserve"> </w:t>
      </w:r>
      <w:r w:rsidRPr="00E307AA">
        <w:rPr>
          <w:i/>
        </w:rPr>
        <w:t>Modern Midwifery in Ontario: An Effective Model of Health Care</w:t>
      </w:r>
      <w:r w:rsidR="00940850" w:rsidRPr="00CB32B1">
        <w:t xml:space="preserve">, </w:t>
      </w:r>
      <w:r w:rsidRPr="00E307AA">
        <w:t>University of Toronto Medical Journal</w:t>
      </w:r>
      <w:r w:rsidRPr="00CB32B1">
        <w:t>, 82</w:t>
      </w:r>
      <w:r w:rsidR="00940850" w:rsidRPr="00CB32B1">
        <w:t>, pp.</w:t>
      </w:r>
      <w:r w:rsidRPr="00CB32B1">
        <w:t>207-209.</w:t>
      </w:r>
    </w:p>
    <w:p w:rsidR="00E832F2" w:rsidRPr="00CB32B1" w:rsidRDefault="00E832F2" w:rsidP="00E832F2">
      <w:pPr>
        <w:pStyle w:val="PwCNormal"/>
      </w:pPr>
      <w:r w:rsidRPr="00CB32B1">
        <w:t xml:space="preserve">Canil, M 2008, </w:t>
      </w:r>
      <w:r w:rsidRPr="00E307AA">
        <w:rPr>
          <w:i/>
        </w:rPr>
        <w:t>Australia’s insurance crisis and the inequitable treatment of self-employed midwives</w:t>
      </w:r>
      <w:r w:rsidRPr="00CB32B1">
        <w:t xml:space="preserve">, </w:t>
      </w:r>
      <w:r w:rsidRPr="00E307AA">
        <w:t>Australian and New Zealand Health Policy</w:t>
      </w:r>
      <w:r w:rsidRPr="00CB32B1">
        <w:t>, 5(6).</w:t>
      </w:r>
    </w:p>
    <w:p w:rsidR="00693A3D" w:rsidRPr="00CB32B1" w:rsidRDefault="00693A3D" w:rsidP="00693A3D">
      <w:pPr>
        <w:pStyle w:val="PwCNormal"/>
      </w:pPr>
      <w:r w:rsidRPr="00CB32B1">
        <w:t>Centre for Health Economics, Research and Evaluation</w:t>
      </w:r>
      <w:r w:rsidR="00940850" w:rsidRPr="00CB32B1">
        <w:t xml:space="preserve">, </w:t>
      </w:r>
      <w:r w:rsidRPr="00CB32B1">
        <w:t>2005</w:t>
      </w:r>
      <w:r w:rsidR="00940850" w:rsidRPr="00CB32B1">
        <w:t>,</w:t>
      </w:r>
      <w:r w:rsidRPr="00CB32B1">
        <w:t xml:space="preserve"> </w:t>
      </w:r>
      <w:r w:rsidRPr="00CB32B1">
        <w:rPr>
          <w:i/>
        </w:rPr>
        <w:t>Medical indemnity: Crisis and response (Discussion paper 56)</w:t>
      </w:r>
      <w:r w:rsidR="00940850" w:rsidRPr="00CB32B1">
        <w:t>,</w:t>
      </w:r>
      <w:r w:rsidRPr="00CB32B1">
        <w:t xml:space="preserve"> University of Technology Sydney</w:t>
      </w:r>
      <w:r w:rsidR="00352A51" w:rsidRPr="00CB32B1">
        <w:t>, Sydney</w:t>
      </w:r>
      <w:r w:rsidRPr="00CB32B1">
        <w:t>.</w:t>
      </w:r>
    </w:p>
    <w:p w:rsidR="00693A3D" w:rsidRPr="00CB32B1" w:rsidRDefault="00693A3D" w:rsidP="00693A3D">
      <w:pPr>
        <w:pStyle w:val="PwCNormal"/>
      </w:pPr>
      <w:r w:rsidRPr="00CB32B1">
        <w:t>Chamberlain G &amp; Wraight</w:t>
      </w:r>
      <w:r w:rsidR="00940850" w:rsidRPr="00CB32B1">
        <w:t xml:space="preserve"> A </w:t>
      </w:r>
      <w:r w:rsidRPr="00CB32B1">
        <w:t>1997</w:t>
      </w:r>
      <w:r w:rsidR="00940850" w:rsidRPr="00CB32B1">
        <w:t>,</w:t>
      </w:r>
      <w:r w:rsidRPr="00CB32B1">
        <w:t xml:space="preserve"> </w:t>
      </w:r>
      <w:r w:rsidRPr="00CB32B1">
        <w:rPr>
          <w:i/>
        </w:rPr>
        <w:t>Ho</w:t>
      </w:r>
      <w:r w:rsidR="00940850" w:rsidRPr="00CB32B1">
        <w:rPr>
          <w:i/>
        </w:rPr>
        <w:t>m</w:t>
      </w:r>
      <w:r w:rsidRPr="00CB32B1">
        <w:rPr>
          <w:i/>
        </w:rPr>
        <w:t>ebirths: the report of the 1994 confidential enquiry by the National Birthday Trust Fund</w:t>
      </w:r>
      <w:r w:rsidR="00940850" w:rsidRPr="00CB32B1">
        <w:t xml:space="preserve">, </w:t>
      </w:r>
      <w:r w:rsidRPr="00CB32B1">
        <w:t>Parthenon Publishing Group</w:t>
      </w:r>
      <w:r w:rsidR="00352A51" w:rsidRPr="00CB32B1">
        <w:t>, Carnforth</w:t>
      </w:r>
      <w:r w:rsidRPr="00CB32B1">
        <w:t>.</w:t>
      </w:r>
    </w:p>
    <w:p w:rsidR="00693A3D" w:rsidRPr="00CB32B1" w:rsidRDefault="00693A3D" w:rsidP="00693A3D">
      <w:pPr>
        <w:pStyle w:val="PwCNormal"/>
      </w:pPr>
      <w:r w:rsidRPr="00CB32B1">
        <w:t>Chang JJ &amp; Macones GA 2011</w:t>
      </w:r>
      <w:r w:rsidR="00940850" w:rsidRPr="00CB32B1">
        <w:t>,</w:t>
      </w:r>
      <w:r w:rsidRPr="00CB32B1">
        <w:t xml:space="preserve"> </w:t>
      </w:r>
      <w:r w:rsidRPr="00E307AA">
        <w:rPr>
          <w:i/>
        </w:rPr>
        <w:t>Birth outcomes of planned homebirths in Missouri: a population-based study</w:t>
      </w:r>
      <w:r w:rsidR="00940850" w:rsidRPr="00CB32B1">
        <w:t>,</w:t>
      </w:r>
      <w:r w:rsidRPr="00CB32B1">
        <w:t xml:space="preserve"> </w:t>
      </w:r>
      <w:r w:rsidRPr="00E307AA">
        <w:t>American Journal of Perinatology</w:t>
      </w:r>
      <w:r w:rsidR="00940850" w:rsidRPr="00CB32B1">
        <w:t>, 28(7), pp.529-36</w:t>
      </w:r>
      <w:r w:rsidRPr="00CB32B1">
        <w:t>.</w:t>
      </w:r>
    </w:p>
    <w:p w:rsidR="002B6E59" w:rsidRPr="00CB32B1" w:rsidRDefault="00E307AA" w:rsidP="002B6E59">
      <w:pPr>
        <w:pStyle w:val="PwCNormal"/>
      </w:pPr>
      <w:r>
        <w:t xml:space="preserve">Claims Canada, </w:t>
      </w:r>
      <w:r w:rsidR="002B6E59" w:rsidRPr="00E307AA">
        <w:rPr>
          <w:i/>
        </w:rPr>
        <w:t>Damages Resulting from Fatalities</w:t>
      </w:r>
      <w:r w:rsidR="002B6E59" w:rsidRPr="00CB32B1">
        <w:t>, viewed March 2013 at: www.claimscanada.ca/issues/article.aspx?aid=1000370112.</w:t>
      </w:r>
    </w:p>
    <w:p w:rsidR="00693A3D" w:rsidRPr="00CB32B1" w:rsidRDefault="00693A3D" w:rsidP="00693A3D">
      <w:pPr>
        <w:pStyle w:val="PwCNormal"/>
      </w:pPr>
      <w:r w:rsidRPr="00CB32B1">
        <w:t>College of Midwives of Ontario</w:t>
      </w:r>
      <w:r w:rsidR="00E307AA">
        <w:t xml:space="preserve">, </w:t>
      </w:r>
      <w:r w:rsidRPr="00E307AA">
        <w:rPr>
          <w:i/>
        </w:rPr>
        <w:t>Becoming Registered – Access to the Midwifery Profession in Ontario</w:t>
      </w:r>
      <w:r w:rsidR="00940850" w:rsidRPr="00CB32B1">
        <w:t>, viewed April 2013</w:t>
      </w:r>
      <w:r w:rsidR="004D4F44" w:rsidRPr="00CB32B1">
        <w:t>a</w:t>
      </w:r>
      <w:r w:rsidR="00940850" w:rsidRPr="00CB32B1">
        <w:t xml:space="preserve"> at:</w:t>
      </w:r>
      <w:r w:rsidRPr="00CB32B1">
        <w:t xml:space="preserve"> http://www.cmo.on.ca/AMPO.php</w:t>
      </w:r>
      <w:r w:rsidR="00940850" w:rsidRPr="00CB32B1">
        <w:t>.</w:t>
      </w:r>
    </w:p>
    <w:p w:rsidR="004D4F44" w:rsidRPr="00CB32B1" w:rsidRDefault="004D4F44" w:rsidP="00693A3D">
      <w:pPr>
        <w:pStyle w:val="PwCNormal"/>
      </w:pPr>
      <w:r w:rsidRPr="00CB32B1">
        <w:t xml:space="preserve">College of Midwives </w:t>
      </w:r>
      <w:r w:rsidR="00BE0EB6" w:rsidRPr="00CB32B1">
        <w:t xml:space="preserve">of </w:t>
      </w:r>
      <w:r w:rsidR="00E307AA">
        <w:t xml:space="preserve">Ontario, </w:t>
      </w:r>
      <w:r w:rsidRPr="00E307AA">
        <w:rPr>
          <w:i/>
        </w:rPr>
        <w:t>Disciplinary hearings</w:t>
      </w:r>
      <w:r w:rsidR="00BE0EB6" w:rsidRPr="00CB32B1">
        <w:t>,</w:t>
      </w:r>
      <w:r w:rsidRPr="00CB32B1">
        <w:t xml:space="preserve"> viewed February 2013b at: </w:t>
      </w:r>
      <w:hyperlink r:id="rId63" w:history="1">
        <w:r w:rsidRPr="00CB32B1">
          <w:rPr>
            <w:rStyle w:val="Hyperlink"/>
            <w:color w:val="auto"/>
            <w:u w:val="none"/>
          </w:rPr>
          <w:t>www.cmo.on.ca/documents/CMOandColumbia-Rains_Article.pdf</w:t>
        </w:r>
      </w:hyperlink>
      <w:r w:rsidRPr="00CB32B1">
        <w:t xml:space="preserve">; </w:t>
      </w:r>
      <w:hyperlink r:id="rId64" w:history="1">
        <w:r w:rsidRPr="00CB32B1">
          <w:rPr>
            <w:rStyle w:val="Hyperlink"/>
            <w:color w:val="auto"/>
            <w:u w:val="none"/>
          </w:rPr>
          <w:t>www.cmo.on.ca/documents/DisciplineSummary-MaryMolnar_May2002.pdf</w:t>
        </w:r>
      </w:hyperlink>
      <w:r w:rsidRPr="00CB32B1">
        <w:t xml:space="preserve">; </w:t>
      </w:r>
      <w:hyperlink r:id="rId65" w:history="1">
        <w:r w:rsidRPr="00CB32B1">
          <w:rPr>
            <w:rStyle w:val="Hyperlink"/>
            <w:color w:val="auto"/>
            <w:u w:val="none"/>
          </w:rPr>
          <w:t>www.cmo.on.ca/downloads/SeddonSummary.pdf</w:t>
        </w:r>
      </w:hyperlink>
      <w:r w:rsidRPr="00CB32B1">
        <w:t>.</w:t>
      </w:r>
    </w:p>
    <w:p w:rsidR="00BE0EB6" w:rsidRPr="00CB32B1" w:rsidRDefault="00BE0EB6" w:rsidP="00BE0EB6">
      <w:pPr>
        <w:pStyle w:val="PwCNormal"/>
      </w:pPr>
      <w:r w:rsidRPr="00CB32B1">
        <w:t>Col</w:t>
      </w:r>
      <w:r w:rsidR="00E307AA">
        <w:t xml:space="preserve">lege of Midwives of Ontario, </w:t>
      </w:r>
      <w:r w:rsidRPr="00E307AA">
        <w:rPr>
          <w:i/>
        </w:rPr>
        <w:t>Fees overview for Registration Applicants</w:t>
      </w:r>
      <w:r w:rsidRPr="00CB32B1">
        <w:t>, viewed March 2013c at: http://www.cmo.on.ca/documents/FeesOverviewforRegistrationApplicants_Mar92011.pdf.</w:t>
      </w:r>
    </w:p>
    <w:p w:rsidR="00BE0EB6" w:rsidRPr="00CB32B1" w:rsidRDefault="00BE0EB6" w:rsidP="00BE0EB6">
      <w:pPr>
        <w:pStyle w:val="PwCNormal"/>
      </w:pPr>
      <w:r w:rsidRPr="00CB32B1">
        <w:t>College of Midwives of Ontario,</w:t>
      </w:r>
      <w:r w:rsidR="00E307AA">
        <w:t xml:space="preserve"> </w:t>
      </w:r>
      <w:r w:rsidRPr="00E307AA">
        <w:rPr>
          <w:i/>
        </w:rPr>
        <w:t>Discipline</w:t>
      </w:r>
      <w:r w:rsidRPr="00CB32B1">
        <w:t>, viewed March 2013</w:t>
      </w:r>
      <w:r w:rsidR="004243F2" w:rsidRPr="00CB32B1">
        <w:t>d</w:t>
      </w:r>
      <w:r w:rsidRPr="00CB32B1">
        <w:t xml:space="preserve"> at: </w:t>
      </w:r>
      <w:r w:rsidR="004243F2" w:rsidRPr="00CB32B1">
        <w:t>http://www.cmo.on.ca/discipline_process.php.</w:t>
      </w:r>
    </w:p>
    <w:p w:rsidR="004243F2" w:rsidRPr="00CB32B1" w:rsidRDefault="004243F2" w:rsidP="00BE0EB6">
      <w:pPr>
        <w:pStyle w:val="PwCNormal"/>
      </w:pPr>
      <w:r w:rsidRPr="00CB32B1">
        <w:t>C</w:t>
      </w:r>
      <w:r w:rsidR="00E307AA">
        <w:t xml:space="preserve">ollege of Midwives of Ontario, </w:t>
      </w:r>
      <w:r w:rsidRPr="00E307AA">
        <w:rPr>
          <w:i/>
        </w:rPr>
        <w:t>Policies, Guidelines, Standards and Statements</w:t>
      </w:r>
      <w:r w:rsidRPr="00CB32B1">
        <w:t>, viewed March 2013e at: www.cmo.on.ca/binder.php.</w:t>
      </w:r>
    </w:p>
    <w:p w:rsidR="00711B07" w:rsidRPr="00CB32B1" w:rsidRDefault="00BE0EB6" w:rsidP="00693A3D">
      <w:pPr>
        <w:pStyle w:val="PwCNormal"/>
      </w:pPr>
      <w:r w:rsidRPr="00CB32B1">
        <w:t xml:space="preserve">College of Midwives of </w:t>
      </w:r>
      <w:r w:rsidR="00711B07" w:rsidRPr="00CB32B1">
        <w:t xml:space="preserve">Ontario, 2000, </w:t>
      </w:r>
      <w:r w:rsidR="00711B07" w:rsidRPr="00E307AA">
        <w:rPr>
          <w:i/>
        </w:rPr>
        <w:t>Indications for Mandatory Discussion Consultation and Transfer</w:t>
      </w:r>
      <w:r w:rsidR="00711B07" w:rsidRPr="00CB32B1">
        <w:t>, v</w:t>
      </w:r>
      <w:r w:rsidRPr="00CB32B1">
        <w:t>i</w:t>
      </w:r>
      <w:r w:rsidR="00E307AA">
        <w:t>e</w:t>
      </w:r>
      <w:r w:rsidRPr="00CB32B1">
        <w:t>wed</w:t>
      </w:r>
      <w:r w:rsidR="00711B07" w:rsidRPr="00CB32B1">
        <w:t xml:space="preserve"> at: http://www.cmo.on.ca/downloads/communications/standards/G04-Indications%20for%20Mandatory%20Discussion%20Consultation%20and%20Transfer%20Jun00.pdf.</w:t>
      </w:r>
    </w:p>
    <w:p w:rsidR="00693A3D" w:rsidRPr="00CB32B1" w:rsidRDefault="00693A3D" w:rsidP="00693A3D">
      <w:pPr>
        <w:pStyle w:val="PwCNormal"/>
      </w:pPr>
      <w:r w:rsidRPr="00CB32B1">
        <w:t>College of Midwives of Ontario</w:t>
      </w:r>
      <w:r w:rsidR="00940850" w:rsidRPr="00CB32B1">
        <w:t xml:space="preserve">, </w:t>
      </w:r>
      <w:r w:rsidRPr="00CB32B1">
        <w:t>1994</w:t>
      </w:r>
      <w:r w:rsidR="00940850" w:rsidRPr="00CB32B1">
        <w:t>,</w:t>
      </w:r>
      <w:r w:rsidRPr="00CB32B1">
        <w:t xml:space="preserve"> </w:t>
      </w:r>
      <w:r w:rsidRPr="00CB32B1">
        <w:rPr>
          <w:i/>
        </w:rPr>
        <w:t>The Midwifery Model of Practice in Ontario</w:t>
      </w:r>
      <w:r w:rsidR="00940850" w:rsidRPr="00CB32B1">
        <w:t>, College of Midwives</w:t>
      </w:r>
      <w:r w:rsidR="00352A51" w:rsidRPr="00CB32B1">
        <w:t>, Ontario</w:t>
      </w:r>
      <w:r w:rsidRPr="00CB32B1">
        <w:t>.</w:t>
      </w:r>
    </w:p>
    <w:p w:rsidR="00797AF1" w:rsidRPr="00CB32B1" w:rsidRDefault="00E307AA" w:rsidP="00693A3D">
      <w:pPr>
        <w:pStyle w:val="PwCNormal"/>
      </w:pPr>
      <w:r>
        <w:t xml:space="preserve">Commonwealth of Australia, </w:t>
      </w:r>
      <w:r w:rsidR="00797AF1" w:rsidRPr="00E307AA">
        <w:rPr>
          <w:i/>
        </w:rPr>
        <w:t>National Disability Insurance Scheme – FAQs</w:t>
      </w:r>
      <w:r w:rsidR="00797AF1" w:rsidRPr="00CB32B1">
        <w:t>, viewed April 2013 at: http://www.ndis.gov.au/about-an-ndis/frequently-asked-questions/.</w:t>
      </w:r>
    </w:p>
    <w:p w:rsidR="00875B69" w:rsidRPr="00CB32B1" w:rsidRDefault="00875B69" w:rsidP="00875B69">
      <w:pPr>
        <w:pStyle w:val="PwCNormal"/>
      </w:pPr>
      <w:r w:rsidRPr="00CB32B1">
        <w:t xml:space="preserve">Commonwealth of Australia, 2011, </w:t>
      </w:r>
      <w:r w:rsidRPr="00CB32B1">
        <w:rPr>
          <w:i/>
        </w:rPr>
        <w:t>National Maternity Services Plan</w:t>
      </w:r>
      <w:r w:rsidRPr="00CB32B1">
        <w:t>, Commonwealth of Australia, Canberra.</w:t>
      </w:r>
    </w:p>
    <w:p w:rsidR="00875B69" w:rsidRPr="00CB32B1" w:rsidRDefault="00875B69" w:rsidP="00875B69">
      <w:pPr>
        <w:pStyle w:val="PwCNormal"/>
      </w:pPr>
      <w:r w:rsidRPr="00CB32B1">
        <w:t xml:space="preserve">Commonwealth of Australia, 2010, </w:t>
      </w:r>
      <w:r w:rsidRPr="00CB32B1">
        <w:rPr>
          <w:i/>
        </w:rPr>
        <w:t>National Health (Collaborative arrangements for midwives) Determination 2010</w:t>
      </w:r>
      <w:r w:rsidRPr="00CB32B1">
        <w:t>, Commonwealth of Australia, Canberra.</w:t>
      </w:r>
    </w:p>
    <w:p w:rsidR="00D30958" w:rsidRPr="00CB32B1" w:rsidRDefault="00797AF1" w:rsidP="00693A3D">
      <w:pPr>
        <w:pStyle w:val="PwCNormal"/>
      </w:pPr>
      <w:r w:rsidRPr="00CB32B1">
        <w:t xml:space="preserve">Commonwealth of Australia, 2009, </w:t>
      </w:r>
      <w:r w:rsidRPr="00CB32B1">
        <w:rPr>
          <w:i/>
        </w:rPr>
        <w:t>Medical indemnity insurance – Sixth monitoring report, April 2009</w:t>
      </w:r>
      <w:r w:rsidRPr="00CB32B1">
        <w:t>, Australian Competition &amp; Consumer Commission, Canberra.</w:t>
      </w:r>
    </w:p>
    <w:p w:rsidR="00693A3D" w:rsidRPr="00CB32B1" w:rsidRDefault="00693A3D" w:rsidP="00693A3D">
      <w:pPr>
        <w:pStyle w:val="PwCNormal"/>
      </w:pPr>
      <w:r w:rsidRPr="00CB32B1">
        <w:t>Commonwealth of Australia</w:t>
      </w:r>
      <w:r w:rsidR="00797AF1" w:rsidRPr="00CB32B1">
        <w:t>,</w:t>
      </w:r>
      <w:r w:rsidRPr="00CB32B1">
        <w:t xml:space="preserve"> 2008</w:t>
      </w:r>
      <w:r w:rsidR="00797AF1" w:rsidRPr="00CB32B1">
        <w:t>a,</w:t>
      </w:r>
      <w:r w:rsidRPr="00CB32B1">
        <w:t xml:space="preserve"> </w:t>
      </w:r>
      <w:r w:rsidRPr="00CB32B1">
        <w:rPr>
          <w:i/>
        </w:rPr>
        <w:t>Improving Maternity Services in Australia: The Report of the Maternity Services Review</w:t>
      </w:r>
      <w:r w:rsidR="00797AF1" w:rsidRPr="00CB32B1">
        <w:t>, Commonwealth of Australia, Canberra.</w:t>
      </w:r>
    </w:p>
    <w:p w:rsidR="00797AF1" w:rsidRPr="00CB32B1" w:rsidRDefault="00797AF1" w:rsidP="00797AF1">
      <w:pPr>
        <w:pStyle w:val="PwCNormal"/>
      </w:pPr>
      <w:r w:rsidRPr="00CB32B1">
        <w:t xml:space="preserve">Commonwealth of Australia, 2008b, </w:t>
      </w:r>
      <w:r w:rsidRPr="00CB32B1">
        <w:rPr>
          <w:i/>
        </w:rPr>
        <w:t>Improving Maternity Services in Australia: A discussion paper from the Australian government</w:t>
      </w:r>
      <w:r w:rsidRPr="00CB32B1">
        <w:t>, Commonwealth of Australia, Canberra.</w:t>
      </w:r>
    </w:p>
    <w:p w:rsidR="005C2238" w:rsidRPr="00CB32B1" w:rsidRDefault="005C2238" w:rsidP="005C2238">
      <w:pPr>
        <w:pStyle w:val="PwCNormal"/>
      </w:pPr>
      <w:r w:rsidRPr="00CB32B1">
        <w:t>Commonwealth of Australia</w:t>
      </w:r>
      <w:r w:rsidR="003B4C6B" w:rsidRPr="00CB32B1">
        <w:t>,</w:t>
      </w:r>
      <w:r w:rsidRPr="00CB32B1">
        <w:t xml:space="preserve"> 2003, </w:t>
      </w:r>
      <w:r w:rsidRPr="00CB32B1">
        <w:rPr>
          <w:i/>
        </w:rPr>
        <w:t>Medical Indemnity (Prudential Supervision and Product Standards) Bill. (2002). Revised explanatory memorandum</w:t>
      </w:r>
      <w:r w:rsidRPr="00CB32B1">
        <w:t>, Commonwealth of Australia, Canberra.</w:t>
      </w:r>
    </w:p>
    <w:p w:rsidR="00693A3D" w:rsidRPr="00CB32B1" w:rsidRDefault="00797AF1" w:rsidP="00693A3D">
      <w:pPr>
        <w:pStyle w:val="PwCNormal"/>
      </w:pPr>
      <w:r w:rsidRPr="00CB32B1">
        <w:t xml:space="preserve">Commonwealth of Australia, 1995, </w:t>
      </w:r>
      <w:r w:rsidRPr="00CB32B1">
        <w:rPr>
          <w:i/>
        </w:rPr>
        <w:t>Compensation and Professional Indemnity in Health Care – Final report</w:t>
      </w:r>
      <w:r w:rsidR="00B5348A" w:rsidRPr="00CB32B1">
        <w:rPr>
          <w:i/>
        </w:rPr>
        <w:t>:</w:t>
      </w:r>
      <w:r w:rsidRPr="00CB32B1">
        <w:rPr>
          <w:i/>
        </w:rPr>
        <w:t xml:space="preserve"> Review of Professional Indemnity Arrangements for Health Care Professionals</w:t>
      </w:r>
      <w:r w:rsidRPr="00CB32B1">
        <w:t>, Commonwealth of Australia, Canberra.</w:t>
      </w:r>
    </w:p>
    <w:p w:rsidR="00693A3D" w:rsidRPr="00CB32B1" w:rsidRDefault="00693A3D" w:rsidP="00693A3D">
      <w:pPr>
        <w:pStyle w:val="PwCNormal"/>
      </w:pPr>
      <w:r w:rsidRPr="00CB32B1">
        <w:t>Crotty M</w:t>
      </w:r>
      <w:r w:rsidR="00797AF1" w:rsidRPr="00CB32B1">
        <w:t>,</w:t>
      </w:r>
      <w:r w:rsidRPr="00CB32B1">
        <w:t xml:space="preserve"> Ramsay AT, Smart R &amp; Chan A 1990</w:t>
      </w:r>
      <w:r w:rsidR="00797AF1" w:rsidRPr="00CB32B1">
        <w:t>,</w:t>
      </w:r>
      <w:r w:rsidRPr="00CB32B1">
        <w:t xml:space="preserve"> </w:t>
      </w:r>
      <w:r w:rsidRPr="00E307AA">
        <w:rPr>
          <w:i/>
        </w:rPr>
        <w:t>Planned homebirths in South Australia 1976-1987</w:t>
      </w:r>
      <w:r w:rsidR="00797AF1" w:rsidRPr="00CB32B1">
        <w:t xml:space="preserve">, </w:t>
      </w:r>
      <w:r w:rsidRPr="00E307AA">
        <w:t>Medical Journal of Australia</w:t>
      </w:r>
      <w:r w:rsidRPr="00CB32B1">
        <w:t xml:space="preserve">, </w:t>
      </w:r>
      <w:r w:rsidR="00797AF1" w:rsidRPr="00CB32B1">
        <w:t>153(11-12), pp.</w:t>
      </w:r>
      <w:r w:rsidRPr="00CB32B1">
        <w:t>664-71.</w:t>
      </w:r>
    </w:p>
    <w:p w:rsidR="001F7539" w:rsidRDefault="001F7539" w:rsidP="00693A3D">
      <w:pPr>
        <w:pStyle w:val="PwCNormal"/>
      </w:pPr>
      <w:r>
        <w:t xml:space="preserve">Dahlen H, Jackson M, Schmied V, Tracy S &amp; Priddis H 2011, </w:t>
      </w:r>
      <w:r>
        <w:rPr>
          <w:i/>
        </w:rPr>
        <w:t>Birth centres and the national service review: response to consumer demand or compromise?</w:t>
      </w:r>
      <w:r>
        <w:t>, Women Birth, 24(4), pp.165-72.</w:t>
      </w:r>
    </w:p>
    <w:p w:rsidR="00693A3D" w:rsidRPr="00CB32B1" w:rsidRDefault="00693A3D" w:rsidP="00693A3D">
      <w:pPr>
        <w:pStyle w:val="PwCNormal"/>
      </w:pPr>
      <w:r w:rsidRPr="00CB32B1">
        <w:t>de Jonge A</w:t>
      </w:r>
      <w:r w:rsidR="00797AF1" w:rsidRPr="00CB32B1">
        <w:t>,</w:t>
      </w:r>
      <w:r w:rsidRPr="00CB32B1">
        <w:t xml:space="preserve"> van der Goes B</w:t>
      </w:r>
      <w:r w:rsidR="00797AF1" w:rsidRPr="00CB32B1">
        <w:t>Y, Ravelli AC, Amelink-Verburg MP, Mol BW, Nijhuis JG, Bennebroek Gravenhorst J &amp; Butiendijk SE</w:t>
      </w:r>
      <w:r w:rsidRPr="00CB32B1">
        <w:t xml:space="preserve"> 2009</w:t>
      </w:r>
      <w:r w:rsidR="00797AF1" w:rsidRPr="00CB32B1">
        <w:t>,</w:t>
      </w:r>
      <w:r w:rsidRPr="00CB32B1">
        <w:t xml:space="preserve"> </w:t>
      </w:r>
      <w:r w:rsidRPr="00E307AA">
        <w:rPr>
          <w:i/>
        </w:rPr>
        <w:t>Perinatal mortality and morbidity in a nationwide cohort of 529</w:t>
      </w:r>
      <w:r w:rsidR="00797AF1" w:rsidRPr="00E307AA">
        <w:rPr>
          <w:i/>
        </w:rPr>
        <w:t>,</w:t>
      </w:r>
      <w:r w:rsidRPr="00E307AA">
        <w:rPr>
          <w:i/>
        </w:rPr>
        <w:t>688 low-risk planned home and hospital births</w:t>
      </w:r>
      <w:r w:rsidR="00797AF1" w:rsidRPr="00CB32B1">
        <w:t>,</w:t>
      </w:r>
      <w:r w:rsidRPr="00E307AA">
        <w:t xml:space="preserve"> BJOG</w:t>
      </w:r>
      <w:r w:rsidR="00797AF1" w:rsidRPr="00CB32B1">
        <w:t>, 116(9), pp.1177-84.</w:t>
      </w:r>
    </w:p>
    <w:p w:rsidR="00693A3D" w:rsidRPr="00CB32B1" w:rsidRDefault="006959C5" w:rsidP="00693A3D">
      <w:pPr>
        <w:pStyle w:val="PwCNormal"/>
      </w:pPr>
      <w:r w:rsidRPr="00CB32B1">
        <w:t xml:space="preserve">De Reu PA, Hijuis JG, Oosterbaan HP &amp; Eskes TK 2000, </w:t>
      </w:r>
      <w:r w:rsidRPr="00564CA8">
        <w:rPr>
          <w:i/>
        </w:rPr>
        <w:t>Perinatal audit</w:t>
      </w:r>
      <w:r>
        <w:rPr>
          <w:i/>
        </w:rPr>
        <w:t xml:space="preserve"> </w:t>
      </w:r>
      <w:r w:rsidRPr="00564CA8">
        <w:rPr>
          <w:i/>
        </w:rPr>
        <w:t>on avoidable mortality</w:t>
      </w:r>
      <w:r>
        <w:rPr>
          <w:i/>
        </w:rPr>
        <w:t xml:space="preserve"> </w:t>
      </w:r>
      <w:r w:rsidRPr="00564CA8">
        <w:rPr>
          <w:i/>
        </w:rPr>
        <w:t>in a Dutch rural region: a retrospective study</w:t>
      </w:r>
      <w:r w:rsidRPr="00CB32B1">
        <w:t xml:space="preserve">, </w:t>
      </w:r>
      <w:r w:rsidRPr="00564CA8">
        <w:t>Eur J Obst Gynecol reprod Biol</w:t>
      </w:r>
      <w:r w:rsidRPr="00CB32B1">
        <w:t>, 88(1), pp.65-69.</w:t>
      </w:r>
    </w:p>
    <w:p w:rsidR="00693A3D" w:rsidRPr="00CB32B1" w:rsidRDefault="00693A3D" w:rsidP="00693A3D">
      <w:pPr>
        <w:pStyle w:val="PwCNormal"/>
      </w:pPr>
      <w:r w:rsidRPr="00CB32B1">
        <w:t>Department of Health and Ageing</w:t>
      </w:r>
      <w:r w:rsidR="00564CA8">
        <w:t xml:space="preserve">, </w:t>
      </w:r>
      <w:r w:rsidRPr="00564CA8">
        <w:rPr>
          <w:i/>
        </w:rPr>
        <w:t>Medical indemnity</w:t>
      </w:r>
      <w:r w:rsidR="00854DEF" w:rsidRPr="00564CA8">
        <w:rPr>
          <w:i/>
        </w:rPr>
        <w:t xml:space="preserve"> – </w:t>
      </w:r>
      <w:r w:rsidRPr="00564CA8">
        <w:rPr>
          <w:i/>
        </w:rPr>
        <w:t>Run Off-Cover Scheme (ROCS)</w:t>
      </w:r>
      <w:r w:rsidR="00854DEF" w:rsidRPr="00564CA8">
        <w:rPr>
          <w:i/>
        </w:rPr>
        <w:t xml:space="preserve"> – </w:t>
      </w:r>
      <w:r w:rsidRPr="00564CA8">
        <w:rPr>
          <w:i/>
        </w:rPr>
        <w:t>Frequently asked questions</w:t>
      </w:r>
      <w:r w:rsidR="00797AF1" w:rsidRPr="00CB32B1">
        <w:t>, viewed April 2013 at: http://www.health.gov.au/internet/main/publishing.nsf/Content/health-medicalindemnity-faq-rocs.htm</w:t>
      </w:r>
      <w:r w:rsidRPr="00CB32B1">
        <w:t>.</w:t>
      </w:r>
    </w:p>
    <w:p w:rsidR="002B580E" w:rsidRPr="00CB32B1" w:rsidRDefault="002B580E" w:rsidP="002B580E">
      <w:pPr>
        <w:pStyle w:val="PwCNormal"/>
      </w:pPr>
      <w:r w:rsidRPr="00CB32B1">
        <w:t>De</w:t>
      </w:r>
      <w:r w:rsidR="00564CA8">
        <w:t xml:space="preserve">partment of Health and Ageing, </w:t>
      </w:r>
      <w:r w:rsidRPr="00564CA8">
        <w:rPr>
          <w:i/>
        </w:rPr>
        <w:t>Medicare Locals</w:t>
      </w:r>
      <w:r w:rsidRPr="00CB32B1">
        <w:t>, viewed April 2013 at: http://www.yourhealth.gov.au/internet/yourhealth/publishing.nsf/content/medilocals-lp-1#.UXypoLXfC8A.</w:t>
      </w:r>
    </w:p>
    <w:p w:rsidR="00693A3D" w:rsidRPr="00CB32B1" w:rsidRDefault="00693A3D" w:rsidP="00693A3D">
      <w:pPr>
        <w:pStyle w:val="PwCNormal"/>
      </w:pPr>
      <w:r w:rsidRPr="00CB32B1">
        <w:t>Department of Health and Ageing</w:t>
      </w:r>
      <w:r w:rsidR="00797AF1" w:rsidRPr="00CB32B1">
        <w:t xml:space="preserve">, </w:t>
      </w:r>
      <w:r w:rsidRPr="00564CA8">
        <w:rPr>
          <w:i/>
        </w:rPr>
        <w:t>Premium support scheme (PSS)</w:t>
      </w:r>
      <w:r w:rsidR="00854DEF" w:rsidRPr="00564CA8">
        <w:rPr>
          <w:i/>
        </w:rPr>
        <w:t xml:space="preserve"> – </w:t>
      </w:r>
      <w:r w:rsidRPr="00564CA8">
        <w:rPr>
          <w:i/>
        </w:rPr>
        <w:t>Frequently asked questions</w:t>
      </w:r>
      <w:r w:rsidR="0028384D" w:rsidRPr="00CB32B1">
        <w:t>, viewed April 2013 at:</w:t>
      </w:r>
      <w:r w:rsidRPr="00CB32B1">
        <w:t xml:space="preserve"> </w:t>
      </w:r>
      <w:r w:rsidR="003B4C6B" w:rsidRPr="00CB32B1">
        <w:t>http://www.health.gov.au/internet/main/publishing.nsf/Content/health-medicalindemnity-faq-pss.htm</w:t>
      </w:r>
      <w:r w:rsidR="0028384D" w:rsidRPr="00CB32B1">
        <w:t>.</w:t>
      </w:r>
    </w:p>
    <w:p w:rsidR="003B4C6B" w:rsidRPr="00CB32B1" w:rsidRDefault="003B4C6B" w:rsidP="00693A3D">
      <w:pPr>
        <w:pStyle w:val="PwCNormal"/>
      </w:pPr>
      <w:r w:rsidRPr="00CB32B1">
        <w:t xml:space="preserve">Department of Health and Ageing, 2012, </w:t>
      </w:r>
      <w:r w:rsidRPr="00CB32B1">
        <w:rPr>
          <w:i/>
        </w:rPr>
        <w:t>National Maternity Services Plan: 2010-2011 Annual report</w:t>
      </w:r>
      <w:r w:rsidRPr="00CB32B1">
        <w:t xml:space="preserve">, </w:t>
      </w:r>
      <w:r w:rsidR="00E952DC">
        <w:t>viewed</w:t>
      </w:r>
      <w:r w:rsidRPr="00CB32B1">
        <w:t xml:space="preserve"> February 2013 at: </w:t>
      </w:r>
      <w:r w:rsidR="000B1C40" w:rsidRPr="00CB32B1">
        <w:t>http://www.health.gov.au/internet/main/publishing.nsf/Content/7B8BE9D94791315CCA257A2100025DCA/$File/NMSP%202011%20Annual%20Report.pdf</w:t>
      </w:r>
      <w:r w:rsidRPr="00CB32B1">
        <w:t>.</w:t>
      </w:r>
    </w:p>
    <w:p w:rsidR="000B1C40" w:rsidRPr="00CB32B1" w:rsidRDefault="000B1C40" w:rsidP="000B1C40">
      <w:pPr>
        <w:pStyle w:val="PwCNormal"/>
      </w:pPr>
      <w:r w:rsidRPr="00CB32B1">
        <w:t xml:space="preserve">Department of Health and Ageing, Standing Council on Health, 2012, </w:t>
      </w:r>
      <w:r w:rsidRPr="00CB32B1">
        <w:rPr>
          <w:i/>
        </w:rPr>
        <w:t>National Maternity Services Plan Phase 2: An implementation plan for the middle years – 2012–2013</w:t>
      </w:r>
      <w:r w:rsidRPr="00CB32B1">
        <w:t>, Commonwealth of Australia, Canberra.</w:t>
      </w:r>
    </w:p>
    <w:p w:rsidR="000B1C40" w:rsidRPr="00CB32B1" w:rsidRDefault="000B1C40" w:rsidP="000B1C40">
      <w:pPr>
        <w:pStyle w:val="PwCNormal"/>
      </w:pPr>
      <w:r w:rsidRPr="00CB32B1">
        <w:t xml:space="preserve">Department of Health, Victoria, </w:t>
      </w:r>
      <w:r w:rsidRPr="00564CA8">
        <w:rPr>
          <w:i/>
        </w:rPr>
        <w:t>Midwives in Victoria</w:t>
      </w:r>
      <w:r w:rsidRPr="00CB32B1">
        <w:t xml:space="preserve">, </w:t>
      </w:r>
      <w:r w:rsidR="00E952DC">
        <w:t>viewed</w:t>
      </w:r>
      <w:r w:rsidRPr="00CB32B1">
        <w:t xml:space="preserve"> December 2012 at: </w:t>
      </w:r>
      <w:hyperlink r:id="rId66" w:history="1">
        <w:r w:rsidRPr="00CB32B1">
          <w:rPr>
            <w:rStyle w:val="Hyperlink"/>
            <w:color w:val="auto"/>
            <w:u w:val="none"/>
          </w:rPr>
          <w:t>www.health.vic.gov.au/nursing/midwives-in-victoria</w:t>
        </w:r>
      </w:hyperlink>
      <w:r w:rsidRPr="00CB32B1">
        <w:t>.</w:t>
      </w:r>
    </w:p>
    <w:p w:rsidR="006E3F82" w:rsidRPr="00CB32B1" w:rsidRDefault="006E3F82" w:rsidP="006E3F82">
      <w:pPr>
        <w:pStyle w:val="PwCNormal"/>
        <w:numPr>
          <w:ilvl w:val="0"/>
          <w:numId w:val="0"/>
        </w:numPr>
      </w:pPr>
      <w:r w:rsidRPr="00CB32B1">
        <w:t xml:space="preserve">Department of Health, Victoria, </w:t>
      </w:r>
      <w:r w:rsidRPr="00CB32B1">
        <w:rPr>
          <w:i/>
        </w:rPr>
        <w:t>Health Professions Registration Act 2005</w:t>
      </w:r>
      <w:r w:rsidRPr="00CB32B1">
        <w:t xml:space="preserve">, </w:t>
      </w:r>
      <w:r w:rsidR="00E952DC">
        <w:t>viewed</w:t>
      </w:r>
      <w:r w:rsidRPr="00CB32B1">
        <w:t xml:space="preserve"> January 2013 at: www.health.vic.gov.au/pracreg/hpract.</w:t>
      </w:r>
    </w:p>
    <w:p w:rsidR="00787608" w:rsidRPr="00CB32B1" w:rsidRDefault="00787608" w:rsidP="006E3F82">
      <w:pPr>
        <w:pStyle w:val="PwCNormal"/>
        <w:numPr>
          <w:ilvl w:val="0"/>
          <w:numId w:val="0"/>
        </w:numPr>
      </w:pPr>
      <w:r w:rsidRPr="00CB32B1">
        <w:t xml:space="preserve">Department of Health WA, 2012, </w:t>
      </w:r>
      <w:r w:rsidRPr="00CB32B1">
        <w:rPr>
          <w:i/>
        </w:rPr>
        <w:t>Women’s and Newborns’ Health Network: Policy for Publicly Funded Homebirths including Guidance for Consumers, Health Professionals and Health Services</w:t>
      </w:r>
      <w:r w:rsidRPr="00CB32B1">
        <w:t>, Department of Health WA, Perth.</w:t>
      </w:r>
    </w:p>
    <w:p w:rsidR="002C169D" w:rsidRPr="00CB32B1" w:rsidRDefault="00564CA8" w:rsidP="00693A3D">
      <w:pPr>
        <w:pStyle w:val="PwCNormal"/>
      </w:pPr>
      <w:r>
        <w:t xml:space="preserve">Department of Health WA, 2008, </w:t>
      </w:r>
      <w:r w:rsidR="002C169D" w:rsidRPr="00564CA8">
        <w:rPr>
          <w:i/>
        </w:rPr>
        <w:t>Review of homebirths in Western Australia</w:t>
      </w:r>
      <w:r w:rsidR="002C169D" w:rsidRPr="00CB32B1">
        <w:t xml:space="preserve">, </w:t>
      </w:r>
      <w:r w:rsidR="006959C5" w:rsidRPr="00CB32B1">
        <w:t>visited</w:t>
      </w:r>
      <w:r w:rsidR="002C169D" w:rsidRPr="00CB32B1">
        <w:t xml:space="preserve"> at: www.healthnetworks.health.wa.gov.au/publications/docs/11284_HOMEBIRTH.pdf</w:t>
      </w:r>
      <w:r w:rsidR="004F0A86" w:rsidRPr="00CB32B1">
        <w:t>.</w:t>
      </w:r>
    </w:p>
    <w:p w:rsidR="004F0A86" w:rsidRPr="00CB32B1" w:rsidRDefault="004F0A86" w:rsidP="00693A3D">
      <w:pPr>
        <w:pStyle w:val="PwCNormal"/>
      </w:pPr>
      <w:r w:rsidRPr="00CB32B1">
        <w:t xml:space="preserve">Department of Health WA, </w:t>
      </w:r>
      <w:r w:rsidR="009A378F" w:rsidRPr="00CB32B1">
        <w:t xml:space="preserve">2007, </w:t>
      </w:r>
      <w:r w:rsidRPr="00CB32B1">
        <w:rPr>
          <w:i/>
        </w:rPr>
        <w:t>Models of Maternity Care: A Review of the Evidence – Towards Future Directions in Maternity Care</w:t>
      </w:r>
      <w:r w:rsidRPr="00CB32B1">
        <w:t xml:space="preserve">, </w:t>
      </w:r>
      <w:r w:rsidR="009A378F" w:rsidRPr="00CB32B1">
        <w:t>Department of Health WA, Perth.</w:t>
      </w:r>
    </w:p>
    <w:p w:rsidR="0020177E" w:rsidRPr="00CB32B1" w:rsidRDefault="0020177E" w:rsidP="00693A3D">
      <w:pPr>
        <w:pStyle w:val="PwCNormal"/>
      </w:pPr>
      <w:r w:rsidRPr="00CB32B1">
        <w:t>Dowsell T, Thornton JG, Hewison J, Lilford RJ, Raisler J, Macfarlane A, Young G, Newburn M, Dodds R &amp; Settatr</w:t>
      </w:r>
      <w:r w:rsidR="00E06A5E" w:rsidRPr="00CB32B1">
        <w:t>ee RS</w:t>
      </w:r>
      <w:r w:rsidRPr="00CB32B1">
        <w:t xml:space="preserve"> 1996, </w:t>
      </w:r>
      <w:r w:rsidR="00E06A5E" w:rsidRPr="00564CA8">
        <w:rPr>
          <w:i/>
        </w:rPr>
        <w:t xml:space="preserve">Should there be a trial of home versus hospital delivery in the United </w:t>
      </w:r>
      <w:r w:rsidR="006959C5" w:rsidRPr="00564CA8">
        <w:rPr>
          <w:i/>
        </w:rPr>
        <w:t>Kingdom?</w:t>
      </w:r>
      <w:r w:rsidR="006959C5" w:rsidRPr="00CB32B1">
        <w:t>,</w:t>
      </w:r>
      <w:r w:rsidR="006959C5">
        <w:t xml:space="preserve"> </w:t>
      </w:r>
      <w:r w:rsidR="006959C5" w:rsidRPr="00564CA8">
        <w:t>BMJ</w:t>
      </w:r>
      <w:r w:rsidRPr="00CB32B1">
        <w:t>, 312(7033), pp.753-757.</w:t>
      </w:r>
    </w:p>
    <w:p w:rsidR="00693A3D" w:rsidRPr="00CB32B1" w:rsidRDefault="00693A3D" w:rsidP="00693A3D">
      <w:pPr>
        <w:pStyle w:val="PwCNormal"/>
      </w:pPr>
      <w:r w:rsidRPr="00CB32B1">
        <w:t>Fahy K</w:t>
      </w:r>
      <w:r w:rsidR="0028384D" w:rsidRPr="00CB32B1">
        <w:t xml:space="preserve"> &amp;</w:t>
      </w:r>
      <w:r w:rsidRPr="00CB32B1">
        <w:t xml:space="preserve"> Tracy SK 2007</w:t>
      </w:r>
      <w:r w:rsidR="0028384D" w:rsidRPr="00CB32B1">
        <w:t>,</w:t>
      </w:r>
      <w:r w:rsidRPr="00CB32B1">
        <w:t xml:space="preserve"> </w:t>
      </w:r>
      <w:r w:rsidRPr="00564CA8">
        <w:rPr>
          <w:i/>
        </w:rPr>
        <w:t>Critique of Cochrane systematic review of home-like setting for birth</w:t>
      </w:r>
      <w:r w:rsidR="0028384D" w:rsidRPr="00CB32B1">
        <w:t>,</w:t>
      </w:r>
      <w:r w:rsidRPr="00CB32B1">
        <w:t xml:space="preserve"> </w:t>
      </w:r>
      <w:r w:rsidRPr="00564CA8">
        <w:t xml:space="preserve">Int J Evid Based </w:t>
      </w:r>
      <w:r w:rsidR="006959C5">
        <w:t>Health</w:t>
      </w:r>
      <w:r w:rsidRPr="00CB32B1">
        <w:t xml:space="preserve">, 5(3), </w:t>
      </w:r>
      <w:r w:rsidR="0028384D" w:rsidRPr="00CB32B1">
        <w:t>pp.</w:t>
      </w:r>
      <w:r w:rsidRPr="00CB32B1">
        <w:t>360-4.</w:t>
      </w:r>
    </w:p>
    <w:p w:rsidR="00693A3D" w:rsidRPr="00CB32B1" w:rsidRDefault="00693A3D" w:rsidP="00693A3D">
      <w:pPr>
        <w:pStyle w:val="PwCNormal"/>
      </w:pPr>
      <w:r w:rsidRPr="00CB32B1">
        <w:t>Flaxman Partners</w:t>
      </w:r>
      <w:r w:rsidR="0028384D" w:rsidRPr="00CB32B1">
        <w:t xml:space="preserve">, </w:t>
      </w:r>
      <w:r w:rsidRPr="00CB32B1">
        <w:t>2011</w:t>
      </w:r>
      <w:r w:rsidR="0028384D" w:rsidRPr="00CB32B1">
        <w:t>,</w:t>
      </w:r>
      <w:r w:rsidRPr="00CB32B1">
        <w:t xml:space="preserve"> </w:t>
      </w:r>
      <w:r w:rsidRPr="00CB32B1">
        <w:rPr>
          <w:i/>
        </w:rPr>
        <w:t>The Feasibility and Insurability of Independent Midwifery in England (for the Royal College of Midwives and Nursing &amp; Midwifery Council)</w:t>
      </w:r>
      <w:r w:rsidR="0028384D" w:rsidRPr="00CB32B1">
        <w:t>,</w:t>
      </w:r>
      <w:r w:rsidRPr="00CB32B1">
        <w:t xml:space="preserve"> Flaxman Partners Limited</w:t>
      </w:r>
      <w:r w:rsidR="0028384D" w:rsidRPr="00CB32B1">
        <w:t>, London</w:t>
      </w:r>
      <w:r w:rsidRPr="00CB32B1">
        <w:t>.</w:t>
      </w:r>
    </w:p>
    <w:p w:rsidR="00693A3D" w:rsidRPr="00CB32B1" w:rsidRDefault="00693A3D" w:rsidP="00693A3D">
      <w:pPr>
        <w:pStyle w:val="PwCNormal"/>
      </w:pPr>
      <w:r w:rsidRPr="00CB32B1">
        <w:t>Government of the Netherlands</w:t>
      </w:r>
      <w:r w:rsidR="0028384D" w:rsidRPr="00CB32B1">
        <w:t>,</w:t>
      </w:r>
      <w:r w:rsidRPr="00CB32B1">
        <w:t xml:space="preserve"> </w:t>
      </w:r>
      <w:r w:rsidRPr="00564CA8">
        <w:rPr>
          <w:i/>
        </w:rPr>
        <w:t>Health issues</w:t>
      </w:r>
      <w:r w:rsidR="0028384D" w:rsidRPr="00CB32B1">
        <w:t xml:space="preserve">, viewed </w:t>
      </w:r>
      <w:r w:rsidRPr="00CB32B1">
        <w:t>April 2013</w:t>
      </w:r>
      <w:r w:rsidR="0028384D" w:rsidRPr="00CB32B1">
        <w:t xml:space="preserve"> at:</w:t>
      </w:r>
      <w:r w:rsidRPr="00CB32B1">
        <w:t xml:space="preserve"> http://www.government.nl/issues/health-issues/exceptional-medical-expenses-act%5B2%5D</w:t>
      </w:r>
      <w:r w:rsidR="0028384D" w:rsidRPr="00CB32B1">
        <w:t>.</w:t>
      </w:r>
    </w:p>
    <w:p w:rsidR="00693A3D" w:rsidRPr="00CB32B1" w:rsidRDefault="006959C5" w:rsidP="00693A3D">
      <w:pPr>
        <w:pStyle w:val="PwCNormal"/>
      </w:pPr>
      <w:r w:rsidRPr="00BA5387">
        <w:t>Guilliland</w:t>
      </w:r>
      <w:r w:rsidR="00693A3D" w:rsidRPr="00CB32B1">
        <w:t xml:space="preserve"> K</w:t>
      </w:r>
      <w:r w:rsidR="0028384D" w:rsidRPr="00CB32B1">
        <w:t>,</w:t>
      </w:r>
      <w:r w:rsidR="00693A3D" w:rsidRPr="00CB32B1">
        <w:t xml:space="preserve"> 1999</w:t>
      </w:r>
      <w:r w:rsidR="0028384D" w:rsidRPr="00CB32B1">
        <w:t>,</w:t>
      </w:r>
      <w:r w:rsidR="00693A3D" w:rsidRPr="00CB32B1">
        <w:t xml:space="preserve"> </w:t>
      </w:r>
      <w:r w:rsidR="00693A3D" w:rsidRPr="00564CA8">
        <w:rPr>
          <w:i/>
        </w:rPr>
        <w:t>Midwifery in New Zealand</w:t>
      </w:r>
      <w:r w:rsidR="0028384D" w:rsidRPr="00CB32B1">
        <w:t>, viewed April 2013 at</w:t>
      </w:r>
      <w:r w:rsidR="00693A3D" w:rsidRPr="00CB32B1">
        <w:t xml:space="preserve"> https://www.birthinternational.com/articles/midwifery/52-midwifery-in-new-zealand</w:t>
      </w:r>
      <w:r w:rsidR="0028384D" w:rsidRPr="00CB32B1">
        <w:t>.</w:t>
      </w:r>
    </w:p>
    <w:p w:rsidR="00693A3D" w:rsidRPr="00CB32B1" w:rsidRDefault="006959C5" w:rsidP="00693A3D">
      <w:pPr>
        <w:pStyle w:val="PwCNormal"/>
      </w:pPr>
      <w:r w:rsidRPr="00BA5387">
        <w:t>Guilliland</w:t>
      </w:r>
      <w:r w:rsidR="00693A3D" w:rsidRPr="00CB32B1">
        <w:t xml:space="preserve"> K 2011</w:t>
      </w:r>
      <w:r w:rsidR="0028384D" w:rsidRPr="00CB32B1">
        <w:t>,</w:t>
      </w:r>
      <w:r w:rsidR="00693A3D" w:rsidRPr="00CB32B1">
        <w:t xml:space="preserve"> </w:t>
      </w:r>
      <w:r w:rsidR="00693A3D" w:rsidRPr="00564CA8">
        <w:rPr>
          <w:i/>
        </w:rPr>
        <w:t>Birth at home: NZ's position</w:t>
      </w:r>
      <w:r w:rsidR="00693A3D" w:rsidRPr="00CB32B1">
        <w:t xml:space="preserve">. </w:t>
      </w:r>
      <w:r w:rsidR="00693A3D" w:rsidRPr="00564CA8">
        <w:t>O&amp;G magazine</w:t>
      </w:r>
      <w:r w:rsidR="00693A3D" w:rsidRPr="00CB32B1">
        <w:t xml:space="preserve">, </w:t>
      </w:r>
      <w:r w:rsidR="0028384D" w:rsidRPr="00CB32B1">
        <w:t>13(4), pp.</w:t>
      </w:r>
      <w:r w:rsidR="00693A3D" w:rsidRPr="00CB32B1">
        <w:t>30-31.</w:t>
      </w:r>
    </w:p>
    <w:p w:rsidR="00693A3D" w:rsidRPr="00CB32B1" w:rsidRDefault="00693A3D" w:rsidP="00693A3D">
      <w:pPr>
        <w:pStyle w:val="PwCNormal"/>
      </w:pPr>
      <w:r w:rsidRPr="00CB32B1">
        <w:t>Gulbransen G, Hilton J, McKay L &amp; Cox A 1997</w:t>
      </w:r>
      <w:r w:rsidR="0028384D" w:rsidRPr="00CB32B1">
        <w:t>,</w:t>
      </w:r>
      <w:r w:rsidRPr="00CB32B1">
        <w:t xml:space="preserve"> </w:t>
      </w:r>
      <w:r w:rsidRPr="00564CA8">
        <w:rPr>
          <w:i/>
        </w:rPr>
        <w:t>Homebirth in New Zealand 1973-93: incidence and mortality</w:t>
      </w:r>
      <w:r w:rsidR="0028384D" w:rsidRPr="00CB32B1">
        <w:t>,</w:t>
      </w:r>
      <w:r w:rsidRPr="00CB32B1">
        <w:t xml:space="preserve"> </w:t>
      </w:r>
      <w:r w:rsidRPr="00564CA8">
        <w:t>New Zealand Medical Journal</w:t>
      </w:r>
      <w:r w:rsidRPr="00CB32B1">
        <w:t xml:space="preserve">, </w:t>
      </w:r>
      <w:r w:rsidR="0028384D" w:rsidRPr="00CB32B1">
        <w:t>110(1040), pp.</w:t>
      </w:r>
      <w:r w:rsidRPr="00CB32B1">
        <w:t>87-9.</w:t>
      </w:r>
    </w:p>
    <w:p w:rsidR="00693A3D" w:rsidRPr="00CB32B1" w:rsidRDefault="00693A3D" w:rsidP="00693A3D">
      <w:pPr>
        <w:pStyle w:val="PwCNormal"/>
      </w:pPr>
      <w:r w:rsidRPr="00CB32B1">
        <w:t>Hatem M</w:t>
      </w:r>
      <w:r w:rsidR="0028384D" w:rsidRPr="00CB32B1">
        <w:t>, Sandall J, Devane D, Soltani H &amp;</w:t>
      </w:r>
      <w:r w:rsidRPr="00CB32B1">
        <w:t xml:space="preserve"> Gates S 2009</w:t>
      </w:r>
      <w:r w:rsidR="0028384D" w:rsidRPr="00CB32B1">
        <w:t>,</w:t>
      </w:r>
      <w:r w:rsidRPr="00CB32B1">
        <w:t xml:space="preserve"> </w:t>
      </w:r>
      <w:r w:rsidRPr="00564CA8">
        <w:rPr>
          <w:i/>
        </w:rPr>
        <w:t>Midwife-led versus other models of care for childbearing women (Review)</w:t>
      </w:r>
      <w:r w:rsidR="0028384D" w:rsidRPr="00CB32B1">
        <w:t>,</w:t>
      </w:r>
      <w:r w:rsidRPr="00CB32B1">
        <w:t xml:space="preserve"> </w:t>
      </w:r>
      <w:r w:rsidRPr="00564CA8">
        <w:t xml:space="preserve">Cochrane </w:t>
      </w:r>
      <w:r w:rsidR="0028384D" w:rsidRPr="00564CA8">
        <w:t>Database of Systematic Review</w:t>
      </w:r>
      <w:r w:rsidR="0028384D" w:rsidRPr="00CB32B1">
        <w:t>, Issue 4</w:t>
      </w:r>
      <w:r w:rsidRPr="00CB32B1">
        <w:t>.</w:t>
      </w:r>
    </w:p>
    <w:p w:rsidR="0020177E" w:rsidRPr="00CB32B1" w:rsidRDefault="0020177E" w:rsidP="00693A3D">
      <w:pPr>
        <w:pStyle w:val="PwCNormal"/>
      </w:pPr>
      <w:r w:rsidRPr="00CB32B1">
        <w:t xml:space="preserve">Hendrix M, Van Horck M, Moreta D, Nieman F, Nieuwenhuijze </w:t>
      </w:r>
      <w:r w:rsidR="00564CA8">
        <w:t xml:space="preserve">M, Severens J, Nijhuis J 2009, </w:t>
      </w:r>
      <w:r w:rsidRPr="00564CA8">
        <w:rPr>
          <w:i/>
        </w:rPr>
        <w:t>Why women do not accept r</w:t>
      </w:r>
      <w:r w:rsidR="00564CA8">
        <w:rPr>
          <w:i/>
        </w:rPr>
        <w:t>andomisation for place of birth</w:t>
      </w:r>
      <w:r w:rsidRPr="00564CA8">
        <w:rPr>
          <w:i/>
        </w:rPr>
        <w:t xml:space="preserve"> feasibility of a RCT in The Netherlands</w:t>
      </w:r>
      <w:r w:rsidRPr="00CB32B1">
        <w:t xml:space="preserve">, </w:t>
      </w:r>
      <w:r w:rsidRPr="00CB32B1">
        <w:rPr>
          <w:i/>
        </w:rPr>
        <w:t>BJOG</w:t>
      </w:r>
      <w:r w:rsidRPr="00CB32B1">
        <w:t>, 116(4), pp.537-4.</w:t>
      </w:r>
    </w:p>
    <w:p w:rsidR="000C29FB" w:rsidRPr="00CB32B1" w:rsidRDefault="00564CA8" w:rsidP="00693A3D">
      <w:pPr>
        <w:pStyle w:val="PwCNormal"/>
      </w:pPr>
      <w:r>
        <w:t xml:space="preserve">HIROC, </w:t>
      </w:r>
      <w:r w:rsidR="000C29FB" w:rsidRPr="00564CA8">
        <w:rPr>
          <w:i/>
        </w:rPr>
        <w:t>Subscriber Stories – Association of Midwives Ontario</w:t>
      </w:r>
      <w:r>
        <w:rPr>
          <w:i/>
        </w:rPr>
        <w:t xml:space="preserve">, </w:t>
      </w:r>
      <w:r w:rsidR="000C29FB" w:rsidRPr="00CB32B1">
        <w:t xml:space="preserve">viewed March 2013a at: </w:t>
      </w:r>
      <w:hyperlink r:id="rId67" w:history="1">
        <w:r w:rsidR="000C29FB" w:rsidRPr="00CB32B1">
          <w:rPr>
            <w:rStyle w:val="Hyperlink"/>
            <w:color w:val="auto"/>
            <w:u w:val="none"/>
          </w:rPr>
          <w:t>www.hiroc.com/About-Us/25th-Anniversary/Subscriber-Stories/Association-of-Ontario-Midwives.aspx</w:t>
        </w:r>
      </w:hyperlink>
      <w:r w:rsidR="000C29FB" w:rsidRPr="00CB32B1">
        <w:t>, accessed March, 2013a.</w:t>
      </w:r>
    </w:p>
    <w:p w:rsidR="000C29FB" w:rsidRPr="00CB32B1" w:rsidRDefault="00564CA8" w:rsidP="00693A3D">
      <w:pPr>
        <w:pStyle w:val="PwCNormal"/>
      </w:pPr>
      <w:r>
        <w:t xml:space="preserve">HIROC, </w:t>
      </w:r>
      <w:r w:rsidR="000C29FB" w:rsidRPr="00564CA8">
        <w:rPr>
          <w:i/>
        </w:rPr>
        <w:t>About us</w:t>
      </w:r>
      <w:r w:rsidR="000C29FB" w:rsidRPr="00CB32B1">
        <w:t xml:space="preserve">, viewed March 2013b at: </w:t>
      </w:r>
      <w:hyperlink r:id="rId68" w:history="1">
        <w:r w:rsidR="000C29FB" w:rsidRPr="00CB32B1">
          <w:rPr>
            <w:rStyle w:val="Hyperlink"/>
            <w:color w:val="auto"/>
            <w:u w:val="none"/>
          </w:rPr>
          <w:t>www.hiroc.com/About-Us/The-HIROC-Advantage.aspx</w:t>
        </w:r>
      </w:hyperlink>
      <w:r w:rsidR="000C29FB" w:rsidRPr="00CB32B1">
        <w:t>, accessed.</w:t>
      </w:r>
    </w:p>
    <w:p w:rsidR="00693A3D" w:rsidRPr="00CB32B1" w:rsidRDefault="00693A3D" w:rsidP="00693A3D">
      <w:pPr>
        <w:pStyle w:val="PwCNormal"/>
      </w:pPr>
      <w:r w:rsidRPr="00CB32B1">
        <w:t>HIROC</w:t>
      </w:r>
      <w:r w:rsidR="0028384D" w:rsidRPr="00CB32B1">
        <w:t xml:space="preserve">, </w:t>
      </w:r>
      <w:r w:rsidRPr="00564CA8">
        <w:rPr>
          <w:i/>
        </w:rPr>
        <w:t xml:space="preserve">White paper: Subrogation &amp; </w:t>
      </w:r>
      <w:r w:rsidR="0028384D" w:rsidRPr="00564CA8">
        <w:rPr>
          <w:i/>
        </w:rPr>
        <w:t>Cost efficiencies in healthcare</w:t>
      </w:r>
      <w:r w:rsidR="0028384D" w:rsidRPr="00CB32B1">
        <w:t>, viewed April 2013</w:t>
      </w:r>
      <w:r w:rsidR="000C29FB" w:rsidRPr="00CB32B1">
        <w:t>c</w:t>
      </w:r>
      <w:r w:rsidR="0028384D" w:rsidRPr="00CB32B1">
        <w:t xml:space="preserve"> at:</w:t>
      </w:r>
      <w:r w:rsidRPr="00CB32B1">
        <w:t xml:space="preserve"> http://www.hiroc.com/HIROC/files/32/320ad083-99ab-4473-a00f-0ccdb6a500f3.pdf.</w:t>
      </w:r>
    </w:p>
    <w:p w:rsidR="00693A3D" w:rsidRPr="00CB32B1" w:rsidRDefault="00693A3D" w:rsidP="00693A3D">
      <w:pPr>
        <w:pStyle w:val="PwCNormal"/>
      </w:pPr>
      <w:r w:rsidRPr="00CB32B1">
        <w:t>Hodnett ED, Downe S, Edwards N &amp; Walsh D 2005</w:t>
      </w:r>
      <w:r w:rsidR="0028384D" w:rsidRPr="00CB32B1">
        <w:t>,</w:t>
      </w:r>
      <w:r w:rsidRPr="00CB32B1">
        <w:t xml:space="preserve"> </w:t>
      </w:r>
      <w:r w:rsidRPr="00564CA8">
        <w:rPr>
          <w:i/>
        </w:rPr>
        <w:t>Home-like versus conventional institutional settings for birth</w:t>
      </w:r>
      <w:r w:rsidR="0028384D" w:rsidRPr="00CB32B1">
        <w:t xml:space="preserve">, </w:t>
      </w:r>
      <w:r w:rsidRPr="00564CA8">
        <w:t>Cochrane Database of Systematic Reviews</w:t>
      </w:r>
      <w:r w:rsidR="0028384D" w:rsidRPr="00CB32B1">
        <w:t>, Issue 1</w:t>
      </w:r>
      <w:r w:rsidRPr="00CB32B1">
        <w:t>.</w:t>
      </w:r>
    </w:p>
    <w:p w:rsidR="00E34B9D" w:rsidRDefault="00564CA8" w:rsidP="00693A3D">
      <w:pPr>
        <w:pStyle w:val="PwCNormal"/>
      </w:pPr>
      <w:r>
        <w:t xml:space="preserve">Homebirth access Sydney, </w:t>
      </w:r>
      <w:r w:rsidR="00E34B9D" w:rsidRPr="00564CA8">
        <w:rPr>
          <w:i/>
        </w:rPr>
        <w:t>Directory of homebirth midwives</w:t>
      </w:r>
      <w:r w:rsidR="00E34B9D" w:rsidRPr="00CB32B1">
        <w:t xml:space="preserve">, </w:t>
      </w:r>
      <w:r>
        <w:t>viewed</w:t>
      </w:r>
      <w:r w:rsidR="00E34B9D" w:rsidRPr="00CB32B1">
        <w:t xml:space="preserve"> December 2012 at: </w:t>
      </w:r>
      <w:hyperlink r:id="rId69" w:history="1">
        <w:r w:rsidR="00E34B9D" w:rsidRPr="00CB32B1">
          <w:t>www.homebirthsydney.org.au/?q=node/77</w:t>
        </w:r>
      </w:hyperlink>
      <w:r w:rsidR="00E34B9D" w:rsidRPr="00CB32B1">
        <w:t>.</w:t>
      </w:r>
    </w:p>
    <w:p w:rsidR="006444F0" w:rsidRPr="00CB32B1" w:rsidRDefault="006444F0" w:rsidP="00693A3D">
      <w:pPr>
        <w:pStyle w:val="PwCNormal"/>
      </w:pPr>
      <w:r>
        <w:t xml:space="preserve">Home Birth Aotearoa, </w:t>
      </w:r>
      <w:r>
        <w:rPr>
          <w:i/>
        </w:rPr>
        <w:t>What are the statistics of home births?</w:t>
      </w:r>
      <w:r>
        <w:t xml:space="preserve">, </w:t>
      </w:r>
      <w:r w:rsidR="00564CA8">
        <w:t>viewed April 2013 at</w:t>
      </w:r>
      <w:r>
        <w:t xml:space="preserve">: </w:t>
      </w:r>
      <w:r w:rsidRPr="008A6281">
        <w:t>www.homebirth.org.nz/index.php/information/faq-s-about-home-birth/8-information/faqs/68-statistics</w:t>
      </w:r>
      <w:r w:rsidR="008A6281">
        <w:t>.</w:t>
      </w:r>
    </w:p>
    <w:p w:rsidR="00693A3D" w:rsidRPr="00CB32B1" w:rsidRDefault="00693A3D" w:rsidP="00693A3D">
      <w:pPr>
        <w:pStyle w:val="PwCNormal"/>
      </w:pPr>
      <w:r w:rsidRPr="00CB32B1">
        <w:t>Homer C 2011</w:t>
      </w:r>
      <w:r w:rsidR="0028384D" w:rsidRPr="00CB32B1">
        <w:t>,</w:t>
      </w:r>
      <w:r w:rsidRPr="00CB32B1">
        <w:t xml:space="preserve"> </w:t>
      </w:r>
      <w:r w:rsidRPr="00564CA8">
        <w:rPr>
          <w:i/>
        </w:rPr>
        <w:t>Chapter 9: Evidence based paradigms and contemporary midwifery</w:t>
      </w:r>
      <w:r w:rsidRPr="00CB32B1">
        <w:t xml:space="preserve">. In Broom </w:t>
      </w:r>
      <w:r w:rsidR="0028384D" w:rsidRPr="00CB32B1">
        <w:t>EA &amp; Adam J</w:t>
      </w:r>
      <w:r w:rsidRPr="00CB32B1">
        <w:t xml:space="preserve">, </w:t>
      </w:r>
      <w:r w:rsidRPr="00CB32B1">
        <w:rPr>
          <w:i/>
        </w:rPr>
        <w:t>Evidence Based Healthcare in Context: Critical Social Science Perspectives</w:t>
      </w:r>
      <w:r w:rsidRPr="00CB32B1">
        <w:t>. Ashgate Publishers</w:t>
      </w:r>
      <w:r w:rsidR="0028384D" w:rsidRPr="00CB32B1">
        <w:t>, Sydney</w:t>
      </w:r>
      <w:r w:rsidRPr="00CB32B1">
        <w:t>.</w:t>
      </w:r>
    </w:p>
    <w:p w:rsidR="00693A3D" w:rsidRPr="00CB32B1" w:rsidRDefault="00693A3D" w:rsidP="00693A3D">
      <w:pPr>
        <w:pStyle w:val="PwCNormal"/>
      </w:pPr>
      <w:r w:rsidRPr="00CB32B1">
        <w:t>Hutton EK, Reitsma, AH &amp; Kaufman K 2009</w:t>
      </w:r>
      <w:r w:rsidR="0028384D" w:rsidRPr="00CB32B1">
        <w:t>,</w:t>
      </w:r>
      <w:r w:rsidRPr="00CB32B1">
        <w:t xml:space="preserve"> </w:t>
      </w:r>
      <w:r w:rsidRPr="00564CA8">
        <w:rPr>
          <w:i/>
        </w:rPr>
        <w:t>Outcomes associated with planned home and planned hospital births in low-risk women attended by midwives in Ontario, Canada, 2003-2006: a retrospective cohort study</w:t>
      </w:r>
      <w:r w:rsidR="0028384D" w:rsidRPr="00CB32B1">
        <w:t xml:space="preserve">, </w:t>
      </w:r>
      <w:r w:rsidRPr="00564CA8">
        <w:t>Birth</w:t>
      </w:r>
      <w:r w:rsidRPr="00CB32B1">
        <w:t xml:space="preserve">, </w:t>
      </w:r>
      <w:r w:rsidR="0028384D" w:rsidRPr="00CB32B1">
        <w:t>36(3), pp.</w:t>
      </w:r>
      <w:r w:rsidRPr="00CB32B1">
        <w:t>180-189.</w:t>
      </w:r>
    </w:p>
    <w:p w:rsidR="00693A3D" w:rsidRPr="00CB32B1" w:rsidRDefault="00693A3D" w:rsidP="00693A3D">
      <w:pPr>
        <w:pStyle w:val="PwCNormal"/>
      </w:pPr>
      <w:r w:rsidRPr="00CB32B1">
        <w:t>Iglehart JK 2013</w:t>
      </w:r>
      <w:r w:rsidR="0028384D" w:rsidRPr="00CB32B1">
        <w:t>,</w:t>
      </w:r>
      <w:r w:rsidRPr="00CB32B1">
        <w:t xml:space="preserve"> </w:t>
      </w:r>
      <w:r w:rsidRPr="00564CA8">
        <w:rPr>
          <w:i/>
        </w:rPr>
        <w:t>Expanding the Role of Advanced Nurse Practitioners</w:t>
      </w:r>
      <w:r w:rsidR="00854DEF" w:rsidRPr="00564CA8">
        <w:rPr>
          <w:i/>
        </w:rPr>
        <w:t xml:space="preserve"> – </w:t>
      </w:r>
      <w:r w:rsidRPr="00564CA8">
        <w:rPr>
          <w:i/>
        </w:rPr>
        <w:t>Risks and Rewards</w:t>
      </w:r>
      <w:r w:rsidR="0028384D" w:rsidRPr="00CB32B1">
        <w:t xml:space="preserve">, </w:t>
      </w:r>
      <w:r w:rsidRPr="00564CA8">
        <w:t>The New England Journal of Medicine</w:t>
      </w:r>
      <w:r w:rsidRPr="00CB32B1">
        <w:t xml:space="preserve">, 368:20, </w:t>
      </w:r>
      <w:r w:rsidR="002B580E" w:rsidRPr="00CB32B1">
        <w:t>pp.</w:t>
      </w:r>
      <w:r w:rsidRPr="00CB32B1">
        <w:t>1935-1941.</w:t>
      </w:r>
    </w:p>
    <w:p w:rsidR="007020BB" w:rsidRPr="00CB32B1" w:rsidRDefault="007020BB" w:rsidP="007020BB">
      <w:pPr>
        <w:pStyle w:val="PwCNormal"/>
      </w:pPr>
      <w:r w:rsidRPr="00CB32B1">
        <w:t xml:space="preserve">IMGA, </w:t>
      </w:r>
      <w:r w:rsidRPr="00564CA8">
        <w:rPr>
          <w:i/>
        </w:rPr>
        <w:t>Midwife Professional Indemnity Application</w:t>
      </w:r>
      <w:r w:rsidRPr="00CB32B1">
        <w:t>, viewed November 2012 at: www.mediprotect.com.au/files/APPMIDWIFEPROP.pdf.</w:t>
      </w:r>
    </w:p>
    <w:p w:rsidR="00806C5F" w:rsidRPr="00CB32B1" w:rsidRDefault="00564CA8" w:rsidP="00806C5F">
      <w:pPr>
        <w:pStyle w:val="PwCNormal"/>
      </w:pPr>
      <w:r>
        <w:t xml:space="preserve">Independent Midwives, </w:t>
      </w:r>
      <w:r w:rsidR="00806C5F" w:rsidRPr="00564CA8">
        <w:rPr>
          <w:i/>
        </w:rPr>
        <w:t>Frequently asked questions</w:t>
      </w:r>
      <w:r w:rsidR="00806C5F" w:rsidRPr="00CB32B1">
        <w:t>, viewed January 2013 at: www.independentmidwives.org.uk/?node=750.</w:t>
      </w:r>
    </w:p>
    <w:p w:rsidR="00806C5F" w:rsidRPr="00CB32B1" w:rsidRDefault="00806C5F" w:rsidP="00693A3D">
      <w:pPr>
        <w:pStyle w:val="PwCNormal"/>
      </w:pPr>
      <w:r w:rsidRPr="00CB32B1">
        <w:t xml:space="preserve">Independent Midwives, </w:t>
      </w:r>
      <w:r w:rsidRPr="00564CA8">
        <w:rPr>
          <w:i/>
        </w:rPr>
        <w:t>Professional Indemnity Insurance</w:t>
      </w:r>
      <w:r w:rsidRPr="00CB32B1">
        <w:t>, viewed November 2012 at: www.independentmidwives.org.uk/?node=11615.</w:t>
      </w:r>
    </w:p>
    <w:p w:rsidR="00693A3D" w:rsidRPr="00CB32B1" w:rsidRDefault="00693A3D" w:rsidP="00693A3D">
      <w:pPr>
        <w:pStyle w:val="PwCNormal"/>
      </w:pPr>
      <w:r w:rsidRPr="00CB32B1">
        <w:t>International Confederation of Midwives</w:t>
      </w:r>
      <w:r w:rsidR="00564CA8">
        <w:t xml:space="preserve">, </w:t>
      </w:r>
      <w:r w:rsidR="002B580E" w:rsidRPr="00564CA8">
        <w:rPr>
          <w:i/>
        </w:rPr>
        <w:t>Definition of the Midwife</w:t>
      </w:r>
      <w:r w:rsidR="002B580E" w:rsidRPr="00CB32B1">
        <w:t>, viewed November 2012 at:</w:t>
      </w:r>
      <w:r w:rsidRPr="00CB32B1">
        <w:t xml:space="preserve"> http://www.internationalmidwives.org/Portals/5/2011/Definition%20of%20the%20Midwife%20-%202011.pdf</w:t>
      </w:r>
      <w:r w:rsidR="008A6281">
        <w:t>.</w:t>
      </w:r>
    </w:p>
    <w:p w:rsidR="009A378F" w:rsidRPr="00CB32B1" w:rsidRDefault="00564CA8" w:rsidP="009A378F">
      <w:pPr>
        <w:pStyle w:val="PwCNormal"/>
      </w:pPr>
      <w:r>
        <w:t xml:space="preserve">IRMI Online, </w:t>
      </w:r>
      <w:r w:rsidR="009A378F" w:rsidRPr="00564CA8">
        <w:rPr>
          <w:i/>
        </w:rPr>
        <w:t>Long tail liability</w:t>
      </w:r>
      <w:r w:rsidR="009A378F" w:rsidRPr="00CB32B1">
        <w:t xml:space="preserve">, </w:t>
      </w:r>
      <w:r w:rsidR="00E952DC">
        <w:t>viewed</w:t>
      </w:r>
      <w:r w:rsidR="009A378F" w:rsidRPr="00CB32B1">
        <w:t xml:space="preserve"> June 2013 at: www.irmi.com/online/insurance-glossary/terms/l/long-tail-liability.aspx.</w:t>
      </w:r>
    </w:p>
    <w:p w:rsidR="0020177E" w:rsidRPr="00CB32B1" w:rsidRDefault="0020177E" w:rsidP="0020177E">
      <w:pPr>
        <w:pStyle w:val="PwCNormal"/>
      </w:pPr>
      <w:r w:rsidRPr="00CB32B1">
        <w:t>Janssen PA, Saxell L, Page LA, Klei</w:t>
      </w:r>
      <w:r w:rsidR="00564CA8">
        <w:t xml:space="preserve">n MC, Liston RM &amp; Lee SK 2009, </w:t>
      </w:r>
      <w:r w:rsidRPr="00564CA8">
        <w:rPr>
          <w:i/>
        </w:rPr>
        <w:t>Outcomes of planned home birth with registered midwife versus planned hospital birth with midwife or physician</w:t>
      </w:r>
      <w:r w:rsidRPr="00CB32B1">
        <w:t xml:space="preserve">, </w:t>
      </w:r>
      <w:r w:rsidRPr="00564CA8">
        <w:t>Canadian Medical Association Journal</w:t>
      </w:r>
      <w:r w:rsidRPr="00CB32B1">
        <w:t>, 181(6-7), pp.377-383.</w:t>
      </w:r>
    </w:p>
    <w:p w:rsidR="002B580E" w:rsidRPr="00CB32B1" w:rsidRDefault="002B580E" w:rsidP="00693A3D">
      <w:pPr>
        <w:pStyle w:val="PwCNormal"/>
      </w:pPr>
      <w:r w:rsidRPr="00CB32B1">
        <w:t xml:space="preserve">Janssen PA, Lee SK, Ryan EM, Etches DJ, Farquharson </w:t>
      </w:r>
      <w:r w:rsidR="00564CA8">
        <w:t xml:space="preserve">DF, Peacock D &amp; Klein MC 2002, </w:t>
      </w:r>
      <w:r w:rsidRPr="00564CA8">
        <w:rPr>
          <w:i/>
        </w:rPr>
        <w:t>Outcomes of planned home births versus hospital births after regulation of midwifery in British Columbia</w:t>
      </w:r>
      <w:r w:rsidRPr="00CB32B1">
        <w:t xml:space="preserve">, </w:t>
      </w:r>
      <w:r w:rsidRPr="00564CA8">
        <w:t>Canadian Medical Association Journal</w:t>
      </w:r>
      <w:r w:rsidRPr="00CB32B1">
        <w:t>, 166(3), pp.315-323.</w:t>
      </w:r>
    </w:p>
    <w:p w:rsidR="00693A3D" w:rsidRPr="00CB32B1" w:rsidRDefault="00693A3D" w:rsidP="00693A3D">
      <w:pPr>
        <w:pStyle w:val="PwCNormal"/>
      </w:pPr>
      <w:r w:rsidRPr="00CB32B1">
        <w:t>Johnson KC &amp; Daviss BA 2005</w:t>
      </w:r>
      <w:r w:rsidR="002B580E" w:rsidRPr="00CB32B1">
        <w:t>,</w:t>
      </w:r>
      <w:r w:rsidRPr="00CB32B1">
        <w:t xml:space="preserve"> </w:t>
      </w:r>
      <w:r w:rsidRPr="00564CA8">
        <w:rPr>
          <w:i/>
        </w:rPr>
        <w:t>Outcomes of planned home births with certified professional midwives: large prospective study in North America</w:t>
      </w:r>
      <w:r w:rsidR="002B580E" w:rsidRPr="00CB32B1">
        <w:t>,</w:t>
      </w:r>
      <w:r w:rsidRPr="00CB32B1">
        <w:t xml:space="preserve"> </w:t>
      </w:r>
      <w:r w:rsidRPr="00564CA8">
        <w:t>BMJ</w:t>
      </w:r>
      <w:r w:rsidRPr="00CB32B1">
        <w:t>, 330</w:t>
      </w:r>
      <w:r w:rsidR="002B580E" w:rsidRPr="00CB32B1">
        <w:t>(7505), pp.</w:t>
      </w:r>
      <w:r w:rsidRPr="00CB32B1">
        <w:t>1416-1422.</w:t>
      </w:r>
    </w:p>
    <w:p w:rsidR="00693A3D" w:rsidRPr="00CB32B1" w:rsidRDefault="00693A3D" w:rsidP="00693A3D">
      <w:pPr>
        <w:pStyle w:val="PwCNormal"/>
      </w:pPr>
      <w:r w:rsidRPr="00CB32B1">
        <w:t>Kennare RM, Keirse MJ, Tucker GR &amp; Chan AC 2010</w:t>
      </w:r>
      <w:r w:rsidR="002B580E" w:rsidRPr="00CB32B1">
        <w:t>,</w:t>
      </w:r>
      <w:r w:rsidRPr="00CB32B1">
        <w:t xml:space="preserve"> </w:t>
      </w:r>
      <w:r w:rsidRPr="00564CA8">
        <w:rPr>
          <w:i/>
        </w:rPr>
        <w:t>Planned home and hospital births in South Australia, 1991-2006: differences in outcomes</w:t>
      </w:r>
      <w:r w:rsidR="002B580E" w:rsidRPr="00CB32B1">
        <w:t>,</w:t>
      </w:r>
      <w:r w:rsidRPr="00CB32B1">
        <w:t xml:space="preserve"> </w:t>
      </w:r>
      <w:r w:rsidRPr="00564CA8">
        <w:t>Medical Journal of Australia</w:t>
      </w:r>
      <w:r w:rsidRPr="00CB32B1">
        <w:t xml:space="preserve">, </w:t>
      </w:r>
      <w:r w:rsidR="002B580E" w:rsidRPr="00CB32B1">
        <w:t>192(2), pp.</w:t>
      </w:r>
      <w:r w:rsidRPr="00CB32B1">
        <w:t>76-80.</w:t>
      </w:r>
    </w:p>
    <w:p w:rsidR="00472B36" w:rsidRDefault="00472B36" w:rsidP="00472B36">
      <w:pPr>
        <w:pStyle w:val="PwCNormal"/>
      </w:pPr>
      <w:r w:rsidRPr="00CB32B1">
        <w:t>KNOV (The Royal Du</w:t>
      </w:r>
      <w:r w:rsidR="00564CA8">
        <w:t xml:space="preserve">tch Organisation of Midwives), </w:t>
      </w:r>
      <w:r w:rsidRPr="00564CA8">
        <w:rPr>
          <w:i/>
        </w:rPr>
        <w:t>Quality register midwives</w:t>
      </w:r>
      <w:r w:rsidRPr="00CB32B1">
        <w:t>, viewed February 2013</w:t>
      </w:r>
      <w:r w:rsidR="00230931">
        <w:t>a</w:t>
      </w:r>
      <w:r w:rsidRPr="00CB32B1">
        <w:t xml:space="preserve"> at: </w:t>
      </w:r>
      <w:hyperlink r:id="rId70" w:history="1">
        <w:r w:rsidRPr="00CB32B1">
          <w:rPr>
            <w:rStyle w:val="Hyperlink"/>
            <w:color w:val="auto"/>
            <w:u w:val="none"/>
          </w:rPr>
          <w:t>www.knov.nl/voor-verloskundigen/kwaliteitsverbetering-in-de-verloskundige-praktijk/kwaliteitsregister-verloskundigen/</w:t>
        </w:r>
      </w:hyperlink>
      <w:r w:rsidRPr="00CB32B1">
        <w:t>.</w:t>
      </w:r>
    </w:p>
    <w:p w:rsidR="00230931" w:rsidRPr="00CB32B1" w:rsidRDefault="00230931" w:rsidP="00472B36">
      <w:pPr>
        <w:pStyle w:val="PwCNormal"/>
      </w:pPr>
      <w:r>
        <w:t xml:space="preserve">KNOV (The Royal Dutch Organisation of Midwives), </w:t>
      </w:r>
      <w:r>
        <w:rPr>
          <w:i/>
        </w:rPr>
        <w:t>The KNOV</w:t>
      </w:r>
      <w:r>
        <w:t xml:space="preserve">, viewed March 2013b at: </w:t>
      </w:r>
      <w:r w:rsidRPr="00CB32B1">
        <w:t>www.mdg5-meshwork.org/content/royal-dutch-organisation-midwives-knov</w:t>
      </w:r>
      <w:r>
        <w:t>.</w:t>
      </w:r>
    </w:p>
    <w:p w:rsidR="00693A3D" w:rsidRPr="00CB32B1" w:rsidRDefault="00693A3D" w:rsidP="00693A3D">
      <w:pPr>
        <w:pStyle w:val="PwCNormal"/>
      </w:pPr>
      <w:r w:rsidRPr="00CB32B1">
        <w:t>KNOV (The Royal Dutch Organisation of Midwives) 2012</w:t>
      </w:r>
      <w:r w:rsidR="002B580E" w:rsidRPr="00CB32B1">
        <w:t>,</w:t>
      </w:r>
      <w:r w:rsidRPr="00CB32B1">
        <w:t xml:space="preserve"> </w:t>
      </w:r>
      <w:r w:rsidRPr="00564CA8">
        <w:rPr>
          <w:i/>
        </w:rPr>
        <w:t>Midwifery in the Netherlands</w:t>
      </w:r>
      <w:r w:rsidR="002B580E" w:rsidRPr="00CB32B1">
        <w:t>, viewed October 2012 at: http://www.knov.nl/docs/uploads/KNOV_Midwifery_in_the_Netherlands_20121112.pdf.</w:t>
      </w:r>
    </w:p>
    <w:p w:rsidR="00B8628B" w:rsidRPr="00CB32B1" w:rsidRDefault="00B8628B" w:rsidP="00693A3D">
      <w:pPr>
        <w:pStyle w:val="PwCNormal"/>
      </w:pPr>
      <w:r w:rsidRPr="00CB32B1">
        <w:t xml:space="preserve">KNOV (The Royal Dutch Organisation of Midwives), 2003, </w:t>
      </w:r>
      <w:r w:rsidRPr="00564CA8">
        <w:rPr>
          <w:i/>
        </w:rPr>
        <w:t>Verloskundig vandemecum (VIL) 2003</w:t>
      </w:r>
      <w:r w:rsidRPr="00CB32B1">
        <w:t>, KNOV, Diemen.</w:t>
      </w:r>
    </w:p>
    <w:p w:rsidR="00693A3D" w:rsidRPr="00CB32B1" w:rsidRDefault="00693A3D" w:rsidP="00693A3D">
      <w:pPr>
        <w:pStyle w:val="PwCNormal"/>
      </w:pPr>
      <w:r w:rsidRPr="00CB32B1">
        <w:t>Kutinova A 2008</w:t>
      </w:r>
      <w:r w:rsidR="002B580E" w:rsidRPr="00CB32B1">
        <w:t>,</w:t>
      </w:r>
      <w:r w:rsidRPr="00CB32B1">
        <w:t xml:space="preserve"> </w:t>
      </w:r>
      <w:r w:rsidRPr="00CB32B1">
        <w:rPr>
          <w:i/>
        </w:rPr>
        <w:t>Midwifery in New Zealand: Government policies, provider choice, and health outcomes</w:t>
      </w:r>
      <w:r w:rsidR="002B580E" w:rsidRPr="00CB32B1">
        <w:t xml:space="preserve">, </w:t>
      </w:r>
      <w:r w:rsidRPr="00CB32B1">
        <w:t>University of Canterbury</w:t>
      </w:r>
      <w:r w:rsidR="002B580E" w:rsidRPr="00CB32B1">
        <w:t>, Christchurch</w:t>
      </w:r>
      <w:r w:rsidRPr="00CB32B1">
        <w:t>.</w:t>
      </w:r>
    </w:p>
    <w:p w:rsidR="00693A3D" w:rsidRPr="00CB32B1" w:rsidRDefault="00693A3D" w:rsidP="00693A3D">
      <w:pPr>
        <w:pStyle w:val="PwCNormal"/>
      </w:pPr>
      <w:r w:rsidRPr="00CB32B1">
        <w:t>Lewis P 2002</w:t>
      </w:r>
      <w:r w:rsidR="005C2238" w:rsidRPr="00CB32B1">
        <w:t>,</w:t>
      </w:r>
      <w:r w:rsidRPr="00CB32B1">
        <w:t xml:space="preserve"> </w:t>
      </w:r>
      <w:r w:rsidRPr="00564CA8">
        <w:rPr>
          <w:i/>
        </w:rPr>
        <w:t>Help or hindrance: The supervision of midwives</w:t>
      </w:r>
      <w:r w:rsidR="005C2238" w:rsidRPr="00CB32B1">
        <w:t xml:space="preserve">, </w:t>
      </w:r>
      <w:r w:rsidRPr="00564CA8">
        <w:t>British Journal of Midwifery</w:t>
      </w:r>
      <w:r w:rsidRPr="00CB32B1">
        <w:t>, 20(12),</w:t>
      </w:r>
      <w:r w:rsidR="005C2238" w:rsidRPr="00CB32B1">
        <w:t xml:space="preserve"> pp.</w:t>
      </w:r>
      <w:r w:rsidRPr="00CB32B1">
        <w:t>842.</w:t>
      </w:r>
    </w:p>
    <w:p w:rsidR="009A378F" w:rsidRPr="00CB32B1" w:rsidRDefault="00564CA8" w:rsidP="009A378F">
      <w:pPr>
        <w:pStyle w:val="PwCNormal"/>
      </w:pPr>
      <w:r>
        <w:t xml:space="preserve">LexisNexis AU, </w:t>
      </w:r>
      <w:r>
        <w:rPr>
          <w:i/>
        </w:rPr>
        <w:t>Home page,</w:t>
      </w:r>
      <w:r w:rsidR="009A378F" w:rsidRPr="00CB32B1">
        <w:t xml:space="preserve"> </w:t>
      </w:r>
      <w:r w:rsidR="00E952DC">
        <w:t>viewed</w:t>
      </w:r>
      <w:r w:rsidR="009A378F" w:rsidRPr="00CB32B1">
        <w:t xml:space="preserve"> April 2013 at: </w:t>
      </w:r>
      <w:hyperlink r:id="rId71" w:history="1">
        <w:r w:rsidR="009A378F" w:rsidRPr="00CB32B1">
          <w:t>www.lexisnexis.com.au</w:t>
        </w:r>
      </w:hyperlink>
      <w:r w:rsidR="009A378F" w:rsidRPr="00CB32B1">
        <w:t>.</w:t>
      </w:r>
    </w:p>
    <w:p w:rsidR="00693A3D" w:rsidRPr="00CB32B1" w:rsidRDefault="00693A3D" w:rsidP="00693A3D">
      <w:pPr>
        <w:pStyle w:val="PwCNormal"/>
      </w:pPr>
      <w:r w:rsidRPr="00CB32B1">
        <w:t>Lindgren HE</w:t>
      </w:r>
      <w:r w:rsidR="005C2238" w:rsidRPr="00CB32B1">
        <w:t>,</w:t>
      </w:r>
      <w:r w:rsidRPr="00CB32B1">
        <w:t xml:space="preserve"> Radestad IJ</w:t>
      </w:r>
      <w:r w:rsidR="005C2238" w:rsidRPr="00CB32B1">
        <w:t>, Christensson K &amp; Hildingsson IM</w:t>
      </w:r>
      <w:r w:rsidRPr="00CB32B1">
        <w:t xml:space="preserve"> 2008</w:t>
      </w:r>
      <w:r w:rsidR="005C2238" w:rsidRPr="00CB32B1">
        <w:t>,</w:t>
      </w:r>
      <w:r w:rsidRPr="00CB32B1">
        <w:t xml:space="preserve"> </w:t>
      </w:r>
      <w:r w:rsidRPr="00564CA8">
        <w:rPr>
          <w:i/>
        </w:rPr>
        <w:t>Outcome of planned home births compared to hospital births in Sweden between 1992 and 2004. A population-based register study</w:t>
      </w:r>
      <w:r w:rsidR="005C2238" w:rsidRPr="00CB32B1">
        <w:t xml:space="preserve">, </w:t>
      </w:r>
      <w:r w:rsidRPr="00564CA8">
        <w:t>Acta Obstetrica et Gynecologica Scandinavica</w:t>
      </w:r>
      <w:r w:rsidRPr="00CB32B1">
        <w:t xml:space="preserve">, </w:t>
      </w:r>
      <w:r w:rsidR="005C2238" w:rsidRPr="00CB32B1">
        <w:t>87(7), pp.</w:t>
      </w:r>
      <w:r w:rsidRPr="00CB32B1">
        <w:t>751-759.</w:t>
      </w:r>
    </w:p>
    <w:p w:rsidR="00064CCC" w:rsidRPr="00CB32B1" w:rsidRDefault="00064CCC" w:rsidP="00064CCC">
      <w:pPr>
        <w:pStyle w:val="PwCNormal"/>
      </w:pPr>
      <w:r w:rsidRPr="00B2247C">
        <w:rPr>
          <w:i/>
        </w:rPr>
        <w:t>Living Large Profile: Fiona Tito</w:t>
      </w:r>
      <w:r w:rsidRPr="00CB32B1">
        <w:t xml:space="preserve">, 2002, </w:t>
      </w:r>
      <w:r w:rsidRPr="00B2247C">
        <w:t>Australian Doctor</w:t>
      </w:r>
      <w:r w:rsidRPr="00CB32B1">
        <w:t>, viewed April 2013 at: http://www.sweetcommunication.com.au/files/ausdoc/profiles/2002/tito.pdf.</w:t>
      </w:r>
    </w:p>
    <w:p w:rsidR="00693A3D" w:rsidRPr="00CB32B1" w:rsidRDefault="00693A3D" w:rsidP="00693A3D">
      <w:pPr>
        <w:pStyle w:val="PwCNormal"/>
      </w:pPr>
      <w:r w:rsidRPr="00CB32B1">
        <w:t>McLachlan HL, Forster DA, Davey MA, Farrell T, Gold L, Biro MA, Albers L, Flood M, Oats J, Waldenstrom U</w:t>
      </w:r>
      <w:r w:rsidR="005C2238" w:rsidRPr="00CB32B1">
        <w:t xml:space="preserve">, </w:t>
      </w:r>
      <w:r w:rsidRPr="00CB32B1">
        <w:t>2012</w:t>
      </w:r>
      <w:r w:rsidR="005C2238" w:rsidRPr="00CB32B1">
        <w:t>,</w:t>
      </w:r>
      <w:r w:rsidRPr="00CB32B1">
        <w:t xml:space="preserve"> </w:t>
      </w:r>
      <w:r w:rsidRPr="00B2247C">
        <w:rPr>
          <w:i/>
        </w:rPr>
        <w:t>Effects of continuity of care by a primary midwife (caseload midwifery) on caesarean section rates in women of low obstetric risk: the COSMOS randomised controlled trial</w:t>
      </w:r>
      <w:r w:rsidR="005C2238" w:rsidRPr="00CB32B1">
        <w:t>,</w:t>
      </w:r>
      <w:r w:rsidRPr="00CB32B1">
        <w:t xml:space="preserve"> </w:t>
      </w:r>
      <w:r w:rsidRPr="00B2247C">
        <w:t>BJOG</w:t>
      </w:r>
      <w:r w:rsidRPr="00CB32B1">
        <w:t>, 1</w:t>
      </w:r>
      <w:r w:rsidR="005C2238" w:rsidRPr="00CB32B1">
        <w:t>19(12), pp.1483-92.</w:t>
      </w:r>
    </w:p>
    <w:p w:rsidR="00693A3D" w:rsidRPr="00CB32B1" w:rsidRDefault="00693A3D" w:rsidP="00693A3D">
      <w:pPr>
        <w:pStyle w:val="PwCNormal"/>
      </w:pPr>
      <w:r w:rsidRPr="00CB32B1">
        <w:t>McMurtrie J</w:t>
      </w:r>
      <w:r w:rsidR="005C2238" w:rsidRPr="00CB32B1">
        <w:t>,</w:t>
      </w:r>
      <w:r w:rsidRPr="00CB32B1">
        <w:t xml:space="preserve"> Catling-Paul</w:t>
      </w:r>
      <w:r w:rsidR="005C2238" w:rsidRPr="00CB32B1">
        <w:t>l</w:t>
      </w:r>
      <w:r w:rsidRPr="00CB32B1">
        <w:t xml:space="preserve"> C</w:t>
      </w:r>
      <w:r w:rsidR="005C2238" w:rsidRPr="00CB32B1">
        <w:t>,</w:t>
      </w:r>
      <w:r w:rsidRPr="00CB32B1">
        <w:t xml:space="preserve"> Teate A</w:t>
      </w:r>
      <w:r w:rsidR="005C2238" w:rsidRPr="00CB32B1">
        <w:t>,</w:t>
      </w:r>
      <w:r w:rsidRPr="00CB32B1">
        <w:t xml:space="preserve"> Caplice S</w:t>
      </w:r>
      <w:r w:rsidR="005C2238" w:rsidRPr="00CB32B1">
        <w:t>,</w:t>
      </w:r>
      <w:r w:rsidRPr="00CB32B1">
        <w:t xml:space="preserve"> Chapman M</w:t>
      </w:r>
      <w:r w:rsidR="005C2238" w:rsidRPr="00CB32B1">
        <w:t xml:space="preserve"> &amp;</w:t>
      </w:r>
      <w:r w:rsidRPr="00CB32B1">
        <w:t xml:space="preserve"> Homer C 2009</w:t>
      </w:r>
      <w:r w:rsidR="005C2238" w:rsidRPr="00CB32B1">
        <w:t>,</w:t>
      </w:r>
      <w:r w:rsidRPr="00CB32B1">
        <w:t xml:space="preserve"> </w:t>
      </w:r>
      <w:r w:rsidRPr="00B2247C">
        <w:rPr>
          <w:i/>
        </w:rPr>
        <w:t>The St George Homebirth Program: An evaluation of the first 100 booked women</w:t>
      </w:r>
      <w:r w:rsidR="005C2238" w:rsidRPr="00CB32B1">
        <w:t xml:space="preserve">, </w:t>
      </w:r>
      <w:r w:rsidRPr="00B2247C">
        <w:t>Australian New Zealand Journal of Obstetrics and Gynaecology</w:t>
      </w:r>
      <w:r w:rsidRPr="00CB32B1">
        <w:t xml:space="preserve">, </w:t>
      </w:r>
      <w:r w:rsidR="005C2238" w:rsidRPr="00CB32B1">
        <w:t>49(6), pp.</w:t>
      </w:r>
      <w:r w:rsidRPr="00CB32B1">
        <w:t>631-36.</w:t>
      </w:r>
    </w:p>
    <w:p w:rsidR="003163B8" w:rsidRDefault="00B2247C" w:rsidP="003163B8">
      <w:pPr>
        <w:pStyle w:val="PwCNormal"/>
      </w:pPr>
      <w:r>
        <w:t xml:space="preserve">Medical Encyclopaedia, </w:t>
      </w:r>
      <w:r w:rsidR="003163B8" w:rsidRPr="00B2247C">
        <w:rPr>
          <w:i/>
        </w:rPr>
        <w:t>APGAR</w:t>
      </w:r>
      <w:r w:rsidR="003163B8" w:rsidRPr="00CB32B1">
        <w:t xml:space="preserve">, viewed June 2013 at: </w:t>
      </w:r>
      <w:hyperlink r:id="rId72" w:history="1">
        <w:r w:rsidR="003163B8" w:rsidRPr="00CB32B1">
          <w:t>www.nlm.nih.gov/medlineplus/ency/article/003402.htm</w:t>
        </w:r>
      </w:hyperlink>
      <w:r w:rsidR="003163B8" w:rsidRPr="00CB32B1">
        <w:t>.</w:t>
      </w:r>
    </w:p>
    <w:p w:rsidR="00674BFB" w:rsidRPr="00674BFB" w:rsidRDefault="00674BFB" w:rsidP="00674BFB">
      <w:pPr>
        <w:pStyle w:val="PwCNormal"/>
      </w:pPr>
      <w:r>
        <w:t xml:space="preserve">Midwifery Council of New Zealand, </w:t>
      </w:r>
      <w:r>
        <w:rPr>
          <w:i/>
        </w:rPr>
        <w:t>About the Midwifery Council of New Zealand</w:t>
      </w:r>
      <w:r>
        <w:t xml:space="preserve">, viewed April 2013a at: </w:t>
      </w:r>
      <w:r w:rsidRPr="00674BFB">
        <w:rPr>
          <w:rFonts w:cs="Georgia"/>
          <w:snapToGrid/>
          <w:color w:val="000000"/>
          <w:lang w:eastAsia="en-AU"/>
        </w:rPr>
        <w:t>www.midwiferycouncil.health.nz/about-the-midwifery-council-of-new-zealand/</w:t>
      </w:r>
      <w:r>
        <w:rPr>
          <w:rFonts w:cs="Georgia"/>
          <w:snapToGrid/>
          <w:color w:val="000000"/>
          <w:lang w:eastAsia="en-AU"/>
        </w:rPr>
        <w:t>.</w:t>
      </w:r>
    </w:p>
    <w:p w:rsidR="00674BFB" w:rsidRDefault="00674BFB" w:rsidP="00674BFB">
      <w:pPr>
        <w:pStyle w:val="PwCNormal"/>
      </w:pPr>
      <w:r>
        <w:rPr>
          <w:rFonts w:cs="Georgia"/>
          <w:snapToGrid/>
          <w:color w:val="000000"/>
          <w:lang w:eastAsia="en-AU"/>
        </w:rPr>
        <w:t xml:space="preserve">Midwifery Council of New Zealand, </w:t>
      </w:r>
      <w:r>
        <w:rPr>
          <w:rFonts w:cs="Georgia"/>
          <w:i/>
          <w:snapToGrid/>
          <w:color w:val="000000"/>
          <w:lang w:eastAsia="en-AU"/>
        </w:rPr>
        <w:t>Code of Conduct</w:t>
      </w:r>
      <w:r>
        <w:rPr>
          <w:rFonts w:cs="Georgia"/>
          <w:snapToGrid/>
          <w:color w:val="000000"/>
          <w:lang w:eastAsia="en-AU"/>
        </w:rPr>
        <w:t xml:space="preserve">, viewed April 2013b at: </w:t>
      </w:r>
      <w:r w:rsidRPr="00674BFB">
        <w:rPr>
          <w:rFonts w:cs="Georgia"/>
          <w:snapToGrid/>
          <w:color w:val="000000"/>
          <w:lang w:eastAsia="en-AU"/>
        </w:rPr>
        <w:t>www.midwiferycouncil.health.nz/conduct/</w:t>
      </w:r>
      <w:r>
        <w:rPr>
          <w:rFonts w:cs="Georgia"/>
          <w:snapToGrid/>
          <w:color w:val="000000"/>
          <w:lang w:eastAsia="en-AU"/>
        </w:rPr>
        <w:t>.</w:t>
      </w:r>
    </w:p>
    <w:p w:rsidR="003C46A2" w:rsidRPr="00CB32B1" w:rsidRDefault="003C46A2" w:rsidP="00674BFB">
      <w:pPr>
        <w:pStyle w:val="PwCNormal"/>
      </w:pPr>
      <w:r>
        <w:t xml:space="preserve">Midwifery Council of New Zealand, </w:t>
      </w:r>
      <w:r>
        <w:rPr>
          <w:i/>
        </w:rPr>
        <w:t>2012 Midwifery Workforce Survey</w:t>
      </w:r>
      <w:r>
        <w:t xml:space="preserve">, </w:t>
      </w:r>
      <w:r w:rsidR="00E952DC">
        <w:t xml:space="preserve">viewed November 2012 at: </w:t>
      </w:r>
      <w:r w:rsidR="00E952DC" w:rsidRPr="00E952DC">
        <w:t>http://www.midwiferycouncil.health.nz/images/stories/pdf/Publications/workforce%20survey%202012.pdf</w:t>
      </w:r>
      <w:r w:rsidR="00E952DC">
        <w:t>.</w:t>
      </w:r>
    </w:p>
    <w:p w:rsidR="007020BB" w:rsidRPr="00CB32B1" w:rsidRDefault="00B2247C" w:rsidP="00693A3D">
      <w:pPr>
        <w:pStyle w:val="PwCNormal"/>
      </w:pPr>
      <w:r>
        <w:t xml:space="preserve">MIGA, </w:t>
      </w:r>
      <w:r w:rsidR="007020BB" w:rsidRPr="00B2247C">
        <w:rPr>
          <w:i/>
        </w:rPr>
        <w:t>Professional Indemnity Insurance for Eligible Midwives</w:t>
      </w:r>
      <w:r w:rsidR="007020BB" w:rsidRPr="00CB32B1">
        <w:t>, viewed November 2012 at: www.miga.com.au/library/MIGA%20Midwives%20A5Brochure.pdf’.</w:t>
      </w:r>
    </w:p>
    <w:p w:rsidR="00693A3D" w:rsidRPr="00CB32B1" w:rsidRDefault="00693A3D" w:rsidP="00693A3D">
      <w:pPr>
        <w:pStyle w:val="PwCNormal"/>
      </w:pPr>
      <w:r w:rsidRPr="00CB32B1">
        <w:t>Ministry of Health (NZ)</w:t>
      </w:r>
      <w:r w:rsidR="009C79FC" w:rsidRPr="00CB32B1">
        <w:t xml:space="preserve"> </w:t>
      </w:r>
      <w:r w:rsidRPr="00CB32B1">
        <w:t>2012</w:t>
      </w:r>
      <w:r w:rsidR="009C79FC" w:rsidRPr="00CB32B1">
        <w:t>,</w:t>
      </w:r>
      <w:r w:rsidRPr="00CB32B1">
        <w:t xml:space="preserve"> </w:t>
      </w:r>
      <w:r w:rsidRPr="00B2247C">
        <w:rPr>
          <w:i/>
        </w:rPr>
        <w:t>Guidelines for Consultation with Obstetric and Related Medical Services (Referral Guidelines)</w:t>
      </w:r>
      <w:r w:rsidR="009C79FC" w:rsidRPr="00CB32B1">
        <w:t>, viewed April 2013 at:</w:t>
      </w:r>
      <w:r w:rsidRPr="00CB32B1">
        <w:t xml:space="preserve"> http://www.health.govt.nz/publication/guidelines-consultation-obstetric-and-related-medical-services-referral-guidelines</w:t>
      </w:r>
      <w:r w:rsidR="009C79FC" w:rsidRPr="00CB32B1">
        <w:t>.</w:t>
      </w:r>
    </w:p>
    <w:p w:rsidR="00693A3D" w:rsidRPr="00CB32B1" w:rsidRDefault="00693A3D" w:rsidP="00693A3D">
      <w:pPr>
        <w:pStyle w:val="PwCNormal"/>
      </w:pPr>
      <w:r w:rsidRPr="00CB32B1">
        <w:t>Ministry of Health (NZ)</w:t>
      </w:r>
      <w:r w:rsidR="009C79FC" w:rsidRPr="00CB32B1">
        <w:t xml:space="preserve"> </w:t>
      </w:r>
      <w:r w:rsidRPr="00CB32B1">
        <w:t>2007</w:t>
      </w:r>
      <w:r w:rsidR="009C79FC" w:rsidRPr="00CB32B1">
        <w:t>,</w:t>
      </w:r>
      <w:r w:rsidRPr="00CB32B1">
        <w:t xml:space="preserve"> </w:t>
      </w:r>
      <w:r w:rsidRPr="00CB32B1">
        <w:rPr>
          <w:i/>
        </w:rPr>
        <w:t>Primary Maternity Services Notice 2007 (Section 88)</w:t>
      </w:r>
      <w:r w:rsidR="009C79FC" w:rsidRPr="00CB32B1">
        <w:t>, Ministry of Health (NZ), Wellington</w:t>
      </w:r>
      <w:r w:rsidRPr="00CB32B1">
        <w:t>.</w:t>
      </w:r>
    </w:p>
    <w:p w:rsidR="00693A3D" w:rsidRPr="00CB32B1" w:rsidRDefault="00693A3D" w:rsidP="00693A3D">
      <w:pPr>
        <w:pStyle w:val="PwCNormal"/>
      </w:pPr>
      <w:r w:rsidRPr="00CB32B1">
        <w:t>Mori R, Dougherty M &amp; Whittle M 2008</w:t>
      </w:r>
      <w:r w:rsidR="009C79FC" w:rsidRPr="00CB32B1">
        <w:t>,</w:t>
      </w:r>
      <w:r w:rsidRPr="00CB32B1">
        <w:t xml:space="preserve"> </w:t>
      </w:r>
      <w:r w:rsidRPr="00B2247C">
        <w:rPr>
          <w:i/>
        </w:rPr>
        <w:t>An estimation of intrapartum related perinatal mortality rates for booked home births in England and Wales between 1994 and 2003</w:t>
      </w:r>
      <w:r w:rsidR="009C79FC" w:rsidRPr="00CB32B1">
        <w:t xml:space="preserve">, </w:t>
      </w:r>
      <w:r w:rsidRPr="00B2247C">
        <w:t xml:space="preserve">British Journal of </w:t>
      </w:r>
      <w:r w:rsidR="006959C5" w:rsidRPr="00B2247C">
        <w:t>Gynaecology</w:t>
      </w:r>
      <w:r w:rsidR="00B2247C">
        <w:t xml:space="preserve">, </w:t>
      </w:r>
      <w:r w:rsidR="009C79FC" w:rsidRPr="00CB32B1">
        <w:t>115(5), pp.</w:t>
      </w:r>
      <w:r w:rsidRPr="00CB32B1">
        <w:t>554-559.</w:t>
      </w:r>
    </w:p>
    <w:p w:rsidR="00693A3D" w:rsidRPr="00CB32B1" w:rsidRDefault="00693A3D" w:rsidP="00693A3D">
      <w:pPr>
        <w:pStyle w:val="PwCNormal"/>
      </w:pPr>
      <w:r w:rsidRPr="00CB32B1">
        <w:t>Murphy</w:t>
      </w:r>
      <w:r w:rsidR="009C79FC" w:rsidRPr="00CB32B1">
        <w:t xml:space="preserve"> PA</w:t>
      </w:r>
      <w:r w:rsidRPr="00CB32B1">
        <w:t xml:space="preserve"> &amp; Fullerton J 1998</w:t>
      </w:r>
      <w:r w:rsidR="009C79FC" w:rsidRPr="00CB32B1">
        <w:t>,</w:t>
      </w:r>
      <w:r w:rsidRPr="00CB32B1">
        <w:t xml:space="preserve"> </w:t>
      </w:r>
      <w:r w:rsidRPr="00B2247C">
        <w:rPr>
          <w:i/>
        </w:rPr>
        <w:t>Outcomes of intended home births in nurse-midwifery practice: a prospective descriptive study</w:t>
      </w:r>
      <w:r w:rsidR="009C79FC" w:rsidRPr="00CB32B1">
        <w:t>,</w:t>
      </w:r>
      <w:r w:rsidRPr="00CB32B1">
        <w:t xml:space="preserve"> </w:t>
      </w:r>
      <w:r w:rsidRPr="00B2247C">
        <w:t xml:space="preserve">Obstetrics and </w:t>
      </w:r>
      <w:r w:rsidR="006959C5" w:rsidRPr="00B2247C">
        <w:t>Gynaecology</w:t>
      </w:r>
      <w:r w:rsidRPr="00CB32B1">
        <w:t xml:space="preserve">, </w:t>
      </w:r>
      <w:r w:rsidR="009C79FC" w:rsidRPr="00CB32B1">
        <w:t>92(3), pp.</w:t>
      </w:r>
      <w:r w:rsidRPr="00CB32B1">
        <w:t>461-470.</w:t>
      </w:r>
    </w:p>
    <w:p w:rsidR="00A0363B" w:rsidRPr="00CB32B1" w:rsidRDefault="00A0363B" w:rsidP="00693A3D">
      <w:pPr>
        <w:pStyle w:val="PwCNormal"/>
      </w:pPr>
      <w:r w:rsidRPr="00CB32B1">
        <w:t>National Alternative Disput</w:t>
      </w:r>
      <w:r w:rsidR="00B2247C">
        <w:t xml:space="preserve">e Resolution Advisory Council, </w:t>
      </w:r>
      <w:r w:rsidRPr="00B2247C">
        <w:rPr>
          <w:i/>
        </w:rPr>
        <w:t>Alternative dispute resolution</w:t>
      </w:r>
      <w:r w:rsidRPr="00CB32B1">
        <w:t xml:space="preserve">, </w:t>
      </w:r>
      <w:r w:rsidR="00E952DC">
        <w:t>viewed</w:t>
      </w:r>
      <w:r w:rsidRPr="00CB32B1">
        <w:t xml:space="preserve"> June 2013 at: </w:t>
      </w:r>
      <w:hyperlink r:id="rId73" w:history="1">
        <w:r w:rsidRPr="00CB32B1">
          <w:t>www.nadrac.gov.au/</w:t>
        </w:r>
      </w:hyperlink>
      <w:r w:rsidRPr="00CB32B1">
        <w:t>, accessed 23 March, 2013.</w:t>
      </w:r>
    </w:p>
    <w:p w:rsidR="00693A3D" w:rsidRDefault="00693A3D" w:rsidP="00693A3D">
      <w:pPr>
        <w:pStyle w:val="PwCNormal"/>
      </w:pPr>
      <w:r w:rsidRPr="00CB32B1">
        <w:t>National Health and Medical Research Council</w:t>
      </w:r>
      <w:r w:rsidR="00ED127D" w:rsidRPr="00CB32B1">
        <w:t>,</w:t>
      </w:r>
      <w:r w:rsidR="009C79FC" w:rsidRPr="00CB32B1">
        <w:t xml:space="preserve"> </w:t>
      </w:r>
      <w:r w:rsidRPr="00CB32B1">
        <w:t>2010</w:t>
      </w:r>
      <w:r w:rsidR="009C79FC" w:rsidRPr="00CB32B1">
        <w:t>,</w:t>
      </w:r>
      <w:r w:rsidRPr="00CB32B1">
        <w:t xml:space="preserve"> </w:t>
      </w:r>
      <w:r w:rsidRPr="00CB32B1">
        <w:rPr>
          <w:i/>
        </w:rPr>
        <w:t>National guidance on collaborative maternity care</w:t>
      </w:r>
      <w:r w:rsidR="009C79FC" w:rsidRPr="00CB32B1">
        <w:t xml:space="preserve">, Commonwealth of Australia, </w:t>
      </w:r>
      <w:r w:rsidRPr="00CB32B1">
        <w:t>Canberra.</w:t>
      </w:r>
    </w:p>
    <w:p w:rsidR="00BD2F83" w:rsidRPr="00CB32B1" w:rsidRDefault="00BD2F83" w:rsidP="00693A3D">
      <w:pPr>
        <w:pStyle w:val="PwCNormal"/>
      </w:pPr>
      <w:r>
        <w:t xml:space="preserve">National Health Service Litigation Authority (NHSLA), 2011, </w:t>
      </w:r>
      <w:r>
        <w:rPr>
          <w:i/>
        </w:rPr>
        <w:t>NHSLA Fact Sheet 5</w:t>
      </w:r>
      <w:r>
        <w:t xml:space="preserve">, </w:t>
      </w:r>
      <w:r w:rsidR="00B2247C">
        <w:t>viewed</w:t>
      </w:r>
      <w:r>
        <w:t xml:space="preserve"> March 2013</w:t>
      </w:r>
      <w:r w:rsidR="00865724">
        <w:t>.</w:t>
      </w:r>
    </w:p>
    <w:p w:rsidR="00B8628B" w:rsidRPr="00CB32B1" w:rsidRDefault="00B8628B" w:rsidP="00B8628B">
      <w:pPr>
        <w:pStyle w:val="PwCNormal"/>
      </w:pPr>
      <w:r w:rsidRPr="00CB32B1">
        <w:t xml:space="preserve">National Institute for Health and Clinical Excellence, 2007, </w:t>
      </w:r>
      <w:r w:rsidRPr="00CB32B1">
        <w:rPr>
          <w:i/>
        </w:rPr>
        <w:t>Intrapartum Care: care of health women and their babies during childbirth</w:t>
      </w:r>
      <w:r w:rsidRPr="00CB32B1">
        <w:t>, RCOG Press, London.</w:t>
      </w:r>
    </w:p>
    <w:p w:rsidR="00806C5F" w:rsidRDefault="00806C5F" w:rsidP="00ED127D">
      <w:pPr>
        <w:pStyle w:val="PwCNormal"/>
      </w:pPr>
      <w:r w:rsidRPr="00CB32B1">
        <w:t>National Institute for Health Research</w:t>
      </w:r>
      <w:r w:rsidR="00ED127D" w:rsidRPr="00CB32B1">
        <w:t>,</w:t>
      </w:r>
      <w:r w:rsidRPr="00CB32B1">
        <w:t xml:space="preserve"> 2011, </w:t>
      </w:r>
      <w:r w:rsidRPr="00CB32B1">
        <w:rPr>
          <w:i/>
        </w:rPr>
        <w:t>The Birthplace national prospective cohort study: perinatal and maternal outcomes by planned place of birth</w:t>
      </w:r>
      <w:r w:rsidRPr="00CB32B1">
        <w:t xml:space="preserve">, </w:t>
      </w:r>
      <w:r w:rsidR="00ED127D" w:rsidRPr="00CB32B1">
        <w:t>NIHR Service Delivery and Organisation programme</w:t>
      </w:r>
      <w:r w:rsidRPr="00CB32B1">
        <w:t>, London.</w:t>
      </w:r>
    </w:p>
    <w:p w:rsidR="003C46A2" w:rsidRPr="00CB32B1" w:rsidRDefault="006444F0" w:rsidP="00ED127D">
      <w:pPr>
        <w:pStyle w:val="PwCNormal"/>
      </w:pPr>
      <w:r>
        <w:t xml:space="preserve">NIVEL: </w:t>
      </w:r>
      <w:r w:rsidR="003C46A2">
        <w:t>Netherlands Institute for health services research</w:t>
      </w:r>
      <w:r w:rsidR="008A6281">
        <w:t xml:space="preserve">, </w:t>
      </w:r>
      <w:r w:rsidR="003C46A2">
        <w:rPr>
          <w:i/>
        </w:rPr>
        <w:t>Number of midwives</w:t>
      </w:r>
      <w:r w:rsidR="003C46A2">
        <w:t xml:space="preserve">, </w:t>
      </w:r>
      <w:r w:rsidR="00B2247C">
        <w:t>viewed February 2013 at</w:t>
      </w:r>
      <w:r w:rsidR="003C46A2">
        <w:t xml:space="preserve">: </w:t>
      </w:r>
      <w:r w:rsidR="003C46A2" w:rsidRPr="008A6281">
        <w:t>www.nivel.nl/databank</w:t>
      </w:r>
      <w:r w:rsidR="008A6281">
        <w:t>.</w:t>
      </w:r>
    </w:p>
    <w:p w:rsidR="00693A3D" w:rsidRPr="00CB32B1" w:rsidRDefault="00693A3D" w:rsidP="00B2247C">
      <w:pPr>
        <w:pStyle w:val="PwCNormal"/>
      </w:pPr>
      <w:r w:rsidRPr="00CB32B1">
        <w:t>New Zealand College of Midwives</w:t>
      </w:r>
      <w:r w:rsidR="009C79FC" w:rsidRPr="00CB32B1">
        <w:t>,</w:t>
      </w:r>
      <w:r w:rsidRPr="00CB32B1">
        <w:t xml:space="preserve"> </w:t>
      </w:r>
      <w:r w:rsidRPr="00B2247C">
        <w:rPr>
          <w:i/>
        </w:rPr>
        <w:t>FAQs</w:t>
      </w:r>
      <w:r w:rsidR="009C79FC" w:rsidRPr="00CB32B1">
        <w:t>, viewed April 2013</w:t>
      </w:r>
      <w:r w:rsidR="00B8628B" w:rsidRPr="00CB32B1">
        <w:t>a</w:t>
      </w:r>
      <w:r w:rsidR="009C79FC" w:rsidRPr="00CB32B1">
        <w:t xml:space="preserve"> at:</w:t>
      </w:r>
      <w:r w:rsidRPr="00CB32B1">
        <w:t xml:space="preserve"> http://www.midwife.org.nz/womens-resources/faqs</w:t>
      </w:r>
      <w:r w:rsidR="009C79FC" w:rsidRPr="00CB32B1">
        <w:t>.</w:t>
      </w:r>
    </w:p>
    <w:p w:rsidR="00693A3D" w:rsidRPr="00CB32B1" w:rsidRDefault="00693A3D" w:rsidP="00693A3D">
      <w:pPr>
        <w:pStyle w:val="PwCNormal"/>
      </w:pPr>
      <w:r w:rsidRPr="00CB32B1">
        <w:t>New Zealand College of Midwives</w:t>
      </w:r>
      <w:r w:rsidR="009C79FC" w:rsidRPr="00CB32B1">
        <w:t>,</w:t>
      </w:r>
      <w:r w:rsidRPr="00CB32B1">
        <w:t xml:space="preserve"> </w:t>
      </w:r>
      <w:r w:rsidRPr="00B2247C">
        <w:rPr>
          <w:i/>
        </w:rPr>
        <w:t>Professional indemnity insurance</w:t>
      </w:r>
      <w:r w:rsidR="009C79FC" w:rsidRPr="00CB32B1">
        <w:t>, viewed April 2013</w:t>
      </w:r>
      <w:r w:rsidR="00B8628B" w:rsidRPr="00CB32B1">
        <w:t>b</w:t>
      </w:r>
      <w:r w:rsidR="009C79FC" w:rsidRPr="00CB32B1">
        <w:t xml:space="preserve"> at:</w:t>
      </w:r>
      <w:r w:rsidRPr="00CB32B1">
        <w:t xml:space="preserve"> </w:t>
      </w:r>
      <w:r w:rsidR="00B8628B" w:rsidRPr="00CB32B1">
        <w:t>http://www.midwife.org.nz/join/professional-indemnity-insurance.</w:t>
      </w:r>
    </w:p>
    <w:p w:rsidR="00B8628B" w:rsidRPr="00CB32B1" w:rsidRDefault="00B8628B" w:rsidP="00693A3D">
      <w:pPr>
        <w:pStyle w:val="PwCNormal"/>
      </w:pPr>
      <w:r w:rsidRPr="00CB32B1">
        <w:t>Ne</w:t>
      </w:r>
      <w:r w:rsidR="00B2247C">
        <w:t xml:space="preserve">w Zealand College of Midwives, </w:t>
      </w:r>
      <w:r w:rsidRPr="00B2247C">
        <w:rPr>
          <w:i/>
        </w:rPr>
        <w:t>Consensus Statements and Guidelines</w:t>
      </w:r>
      <w:r w:rsidRPr="00CB32B1">
        <w:t>, viewed April 2013c at: www.midwife.org.nz/quality-practice/consensus-statements-and-guidelines/.</w:t>
      </w:r>
    </w:p>
    <w:p w:rsidR="00C405B3" w:rsidRPr="00CB32B1" w:rsidRDefault="00C405B3" w:rsidP="00C405B3">
      <w:pPr>
        <w:pStyle w:val="BodyText"/>
      </w:pPr>
      <w:r w:rsidRPr="00CB32B1">
        <w:t xml:space="preserve">NSW Health, 2006, </w:t>
      </w:r>
      <w:r w:rsidRPr="00CB32B1">
        <w:rPr>
          <w:i/>
        </w:rPr>
        <w:t>Maternity – Public Homebirth Services</w:t>
      </w:r>
      <w:r w:rsidRPr="00CB32B1">
        <w:t>, viewed at: www.health.nsw.gov.au/policies/pd/2006/PD2006_045.html.</w:t>
      </w:r>
    </w:p>
    <w:p w:rsidR="00693A3D" w:rsidRPr="00CB32B1" w:rsidRDefault="00693A3D" w:rsidP="00693A3D">
      <w:pPr>
        <w:pStyle w:val="PwCNormal"/>
      </w:pPr>
      <w:r w:rsidRPr="00CB32B1">
        <w:t>NSW Nurses and Midwives' Association</w:t>
      </w:r>
      <w:r w:rsidR="009C79FC" w:rsidRPr="00CB32B1">
        <w:t xml:space="preserve">, </w:t>
      </w:r>
      <w:r w:rsidRPr="00CB32B1">
        <w:t>2009</w:t>
      </w:r>
      <w:r w:rsidR="009C79FC" w:rsidRPr="00CB32B1">
        <w:t>,</w:t>
      </w:r>
      <w:r w:rsidRPr="00CB32B1">
        <w:t xml:space="preserve"> </w:t>
      </w:r>
      <w:r w:rsidRPr="00CB32B1">
        <w:rPr>
          <w:i/>
        </w:rPr>
        <w:t>Guidelines on Professional Indemnity Insurance</w:t>
      </w:r>
      <w:r w:rsidR="009C79FC" w:rsidRPr="00CB32B1">
        <w:t>, viewed January 2013 at: http://www.nswnurses.asn.au/multiattachments/40200/DocumentName/guidelinesonprofessionalindemnityinsurance.pdf</w:t>
      </w:r>
      <w:r w:rsidRPr="00CB32B1">
        <w:t>.</w:t>
      </w:r>
    </w:p>
    <w:p w:rsidR="009C79FC" w:rsidRPr="00CB32B1" w:rsidRDefault="009C79FC" w:rsidP="009C79FC">
      <w:pPr>
        <w:pStyle w:val="PwCNormal"/>
      </w:pPr>
      <w:r w:rsidRPr="00CB32B1">
        <w:t>Nursing and</w:t>
      </w:r>
      <w:r w:rsidR="00B2247C">
        <w:t xml:space="preserve"> Midwifery Board of Australia, </w:t>
      </w:r>
      <w:r w:rsidRPr="00B2247C">
        <w:rPr>
          <w:i/>
        </w:rPr>
        <w:t>Nurse and Midwife Registrant Data: December 2012</w:t>
      </w:r>
      <w:r w:rsidRPr="00CB32B1">
        <w:t>, viewed January 2013</w:t>
      </w:r>
      <w:r w:rsidR="00787608" w:rsidRPr="00CB32B1">
        <w:t>a</w:t>
      </w:r>
      <w:r w:rsidRPr="00CB32B1">
        <w:t xml:space="preserve"> at: http://www.nursingmidwiferyboard.gov.au/About/Statistics.aspx.</w:t>
      </w:r>
    </w:p>
    <w:p w:rsidR="002C169D" w:rsidRPr="00CB32B1" w:rsidRDefault="002C169D" w:rsidP="009C79FC">
      <w:pPr>
        <w:pStyle w:val="PwCNormal"/>
      </w:pPr>
      <w:r w:rsidRPr="00CB32B1">
        <w:t>Nursing and</w:t>
      </w:r>
      <w:r w:rsidR="00B2247C">
        <w:t xml:space="preserve"> Midwifery Board of Australia, </w:t>
      </w:r>
      <w:r w:rsidRPr="00B2247C">
        <w:rPr>
          <w:i/>
        </w:rPr>
        <w:t>Codes and Guidelines</w:t>
      </w:r>
      <w:r w:rsidR="00B2247C">
        <w:t>,</w:t>
      </w:r>
      <w:r w:rsidR="00B2247C">
        <w:rPr>
          <w:i/>
        </w:rPr>
        <w:t xml:space="preserve"> </w:t>
      </w:r>
      <w:r w:rsidRPr="00CB32B1">
        <w:t xml:space="preserve">viewed </w:t>
      </w:r>
      <w:r w:rsidR="00787608" w:rsidRPr="00CB32B1">
        <w:t>January</w:t>
      </w:r>
      <w:r w:rsidRPr="00CB32B1">
        <w:t xml:space="preserve"> 201</w:t>
      </w:r>
      <w:r w:rsidR="00787608" w:rsidRPr="00CB32B1">
        <w:t>3b</w:t>
      </w:r>
      <w:r w:rsidRPr="00CB32B1">
        <w:t xml:space="preserve"> at: </w:t>
      </w:r>
      <w:r w:rsidR="0017330C" w:rsidRPr="00CB32B1">
        <w:t>www.nursingmidwiferyboard.gov.au/Codes-Guidelines-Statements/Codes-Guidelines.aspx</w:t>
      </w:r>
      <w:r w:rsidRPr="00CB32B1">
        <w:t>.</w:t>
      </w:r>
    </w:p>
    <w:p w:rsidR="006E3F82" w:rsidRDefault="006E3F82" w:rsidP="0017330C">
      <w:pPr>
        <w:pStyle w:val="PwCNormal"/>
      </w:pPr>
      <w:r w:rsidRPr="00CB32B1">
        <w:t xml:space="preserve">Nursing and Midwifery Board of Australia, </w:t>
      </w:r>
      <w:r w:rsidRPr="00B2247C">
        <w:rPr>
          <w:i/>
        </w:rPr>
        <w:t>Guidelines</w:t>
      </w:r>
      <w:r w:rsidRPr="00CB32B1">
        <w:t xml:space="preserve">, viewed March 2013c at: </w:t>
      </w:r>
      <w:r w:rsidR="00674BFB" w:rsidRPr="00674BFB">
        <w:t>http://www.nursingmidwiferyboard.gov.au/Codes-Guidelines-Statements/Codes-Guidelines.aspx#competencystandards</w:t>
      </w:r>
      <w:r w:rsidRPr="00CB32B1">
        <w:t>.</w:t>
      </w:r>
    </w:p>
    <w:p w:rsidR="00674BFB" w:rsidRPr="00CB32B1" w:rsidRDefault="00674BFB" w:rsidP="00674BFB">
      <w:pPr>
        <w:pStyle w:val="PwCNormal"/>
      </w:pPr>
      <w:r w:rsidRPr="00CB32B1">
        <w:t>Nursing and</w:t>
      </w:r>
      <w:r>
        <w:t xml:space="preserve"> Midwifery Board of Australia, </w:t>
      </w:r>
      <w:r w:rsidRPr="00B2247C">
        <w:rPr>
          <w:i/>
        </w:rPr>
        <w:t>Fees for Nurses and Midwives, July 2012</w:t>
      </w:r>
      <w:r>
        <w:t>, viewed March 2013d</w:t>
      </w:r>
      <w:r w:rsidRPr="00CB32B1">
        <w:t xml:space="preserve"> at: www.nursingmidwiferyboard.gov.au/Registration-and-Endorsement/Registration-Renewal.aspx.</w:t>
      </w:r>
    </w:p>
    <w:p w:rsidR="009C79FC" w:rsidRPr="00CB32B1" w:rsidRDefault="009C79FC" w:rsidP="009C79FC">
      <w:pPr>
        <w:pStyle w:val="PwCNormal"/>
      </w:pPr>
      <w:r w:rsidRPr="00CB32B1">
        <w:t xml:space="preserve">Nursing and Midwifery Board of Australia, 2012, </w:t>
      </w:r>
      <w:r w:rsidRPr="00CB32B1">
        <w:rPr>
          <w:i/>
        </w:rPr>
        <w:t>Guidelines for professional indemnity insurance arrangements for midwives</w:t>
      </w:r>
      <w:r w:rsidRPr="00CB32B1">
        <w:t xml:space="preserve">, Nursing and Midwifery Board of Australia, Melbourne. </w:t>
      </w:r>
    </w:p>
    <w:p w:rsidR="00693A3D" w:rsidRDefault="00693A3D" w:rsidP="00693A3D">
      <w:pPr>
        <w:pStyle w:val="PwCNormal"/>
      </w:pPr>
      <w:r w:rsidRPr="00CB32B1">
        <w:t>Nursing and Midwifery Board of Australia</w:t>
      </w:r>
      <w:r w:rsidR="009C79FC" w:rsidRPr="00CB32B1">
        <w:t xml:space="preserve">, </w:t>
      </w:r>
      <w:r w:rsidRPr="00CB32B1">
        <w:t>2010</w:t>
      </w:r>
      <w:r w:rsidR="009C79FC" w:rsidRPr="00CB32B1">
        <w:t>,</w:t>
      </w:r>
      <w:r w:rsidRPr="00CB32B1">
        <w:t xml:space="preserve"> </w:t>
      </w:r>
      <w:r w:rsidRPr="00CB32B1">
        <w:rPr>
          <w:i/>
        </w:rPr>
        <w:t>Eligible midwife registration standard</w:t>
      </w:r>
      <w:r w:rsidR="009C79FC" w:rsidRPr="00CB32B1">
        <w:t>, Nursing and Midwifery Board of Australia, Melbourne.</w:t>
      </w:r>
    </w:p>
    <w:p w:rsidR="00CA4490" w:rsidRPr="00CB32B1" w:rsidRDefault="00CA4490" w:rsidP="00CA4490">
      <w:pPr>
        <w:pStyle w:val="PwCNormal"/>
      </w:pPr>
      <w:r w:rsidRPr="00CB32B1">
        <w:t>Nur</w:t>
      </w:r>
      <w:r w:rsidR="007E3350">
        <w:t xml:space="preserve">sing and Midwifery Council UK, </w:t>
      </w:r>
      <w:r w:rsidRPr="007E3350">
        <w:rPr>
          <w:i/>
        </w:rPr>
        <w:t>Changes to the annual fee, February 2013; NMC UK Prep Handbook</w:t>
      </w:r>
      <w:r w:rsidRPr="00CB32B1">
        <w:t xml:space="preserve">, viewed March 2013a at: </w:t>
      </w:r>
      <w:r w:rsidR="004243F2" w:rsidRPr="00CB32B1">
        <w:t>www.nmc-uk.org/Documents/Standards/NMC_Prep-handbook_2011.pdf</w:t>
      </w:r>
      <w:r w:rsidRPr="00CB32B1">
        <w:t>.</w:t>
      </w:r>
    </w:p>
    <w:p w:rsidR="004243F2" w:rsidRPr="00CB32B1" w:rsidRDefault="004243F2" w:rsidP="004243F2">
      <w:pPr>
        <w:pStyle w:val="PwCNormal"/>
      </w:pPr>
      <w:r w:rsidRPr="00CB32B1">
        <w:t>Nur</w:t>
      </w:r>
      <w:r w:rsidR="007E3350">
        <w:t xml:space="preserve">sing and Midwifery Council UK, </w:t>
      </w:r>
      <w:r w:rsidRPr="007E3350">
        <w:rPr>
          <w:i/>
        </w:rPr>
        <w:t>Annual report</w:t>
      </w:r>
      <w:r w:rsidRPr="00CB32B1">
        <w:t xml:space="preserve">, viewed March 2013b at: </w:t>
      </w:r>
      <w:r w:rsidR="00A0363B" w:rsidRPr="00CB32B1">
        <w:t>www.nmc-uk.org/Documents/Annual_reports_and_accounts/FTPannualReports/NMC%20Fitness%20to%20practise%20annual%20report%202008%202009.pdf</w:t>
      </w:r>
      <w:r w:rsidRPr="00CB32B1">
        <w:t>.</w:t>
      </w:r>
    </w:p>
    <w:p w:rsidR="00A0363B" w:rsidRPr="00CB32B1" w:rsidRDefault="00A0363B" w:rsidP="00A0363B">
      <w:pPr>
        <w:pStyle w:val="PwCNormal"/>
      </w:pPr>
      <w:r w:rsidRPr="00CB32B1">
        <w:t>Nur</w:t>
      </w:r>
      <w:r w:rsidR="007E3350">
        <w:t xml:space="preserve">sing and Midwifery Council UK, </w:t>
      </w:r>
      <w:r w:rsidRPr="007E3350">
        <w:rPr>
          <w:i/>
        </w:rPr>
        <w:t>Standards of conduct</w:t>
      </w:r>
      <w:r w:rsidRPr="00CB32B1">
        <w:t xml:space="preserve">, </w:t>
      </w:r>
      <w:r w:rsidR="00E952DC">
        <w:t>viewed</w:t>
      </w:r>
      <w:r w:rsidRPr="00CB32B1">
        <w:t xml:space="preserve"> March 2013c at: www.nmc-uk.org/Publications/Standards/.</w:t>
      </w:r>
    </w:p>
    <w:p w:rsidR="00A0363B" w:rsidRPr="00CB32B1" w:rsidRDefault="00A0363B" w:rsidP="00A0363B">
      <w:pPr>
        <w:pStyle w:val="PwCNormal"/>
      </w:pPr>
      <w:r w:rsidRPr="00CB32B1">
        <w:t>Nur</w:t>
      </w:r>
      <w:r w:rsidR="007E3350">
        <w:t xml:space="preserve">sing and Midwifery Council UK, </w:t>
      </w:r>
      <w:r w:rsidRPr="007E3350">
        <w:rPr>
          <w:i/>
        </w:rPr>
        <w:t>Guidance documents</w:t>
      </w:r>
      <w:r w:rsidRPr="00CB32B1">
        <w:t xml:space="preserve">, </w:t>
      </w:r>
      <w:r w:rsidR="00E952DC">
        <w:t>viewed</w:t>
      </w:r>
      <w:r w:rsidRPr="00CB32B1">
        <w:t xml:space="preserve"> March 2013d at: www.nmc-uk.org/Publications/Guidance/.</w:t>
      </w:r>
    </w:p>
    <w:p w:rsidR="00A0363B" w:rsidRDefault="00A0363B" w:rsidP="00A0363B">
      <w:pPr>
        <w:pStyle w:val="PwCNormal"/>
      </w:pPr>
      <w:r w:rsidRPr="00CB32B1">
        <w:t>Nur</w:t>
      </w:r>
      <w:r w:rsidR="007E3350">
        <w:t xml:space="preserve">sing and Midwifery Council UK, </w:t>
      </w:r>
      <w:r w:rsidRPr="007E3350">
        <w:rPr>
          <w:i/>
        </w:rPr>
        <w:t>Hearings</w:t>
      </w:r>
      <w:r w:rsidRPr="00CB32B1">
        <w:t xml:space="preserve">, </w:t>
      </w:r>
      <w:r w:rsidR="00E952DC">
        <w:t>viewed</w:t>
      </w:r>
      <w:r w:rsidRPr="00CB32B1">
        <w:t xml:space="preserve"> March 2013e at: </w:t>
      </w:r>
      <w:r w:rsidR="00E307AA" w:rsidRPr="008A6281">
        <w:t>www.nmc-uk.org/Hearings/Hearings-and-outcomes/Statistics-about-fitness-to-practise-hearings-/</w:t>
      </w:r>
      <w:r w:rsidRPr="00CB32B1">
        <w:t>.</w:t>
      </w:r>
    </w:p>
    <w:p w:rsidR="00E307AA" w:rsidRPr="00CB32B1" w:rsidRDefault="00E307AA" w:rsidP="00A0363B">
      <w:pPr>
        <w:pStyle w:val="PwCNormal"/>
      </w:pPr>
      <w:r>
        <w:t xml:space="preserve">Nursing and Midwifery Council UK, 2010, </w:t>
      </w:r>
      <w:r w:rsidRPr="00E307AA">
        <w:rPr>
          <w:i/>
        </w:rPr>
        <w:t>Fitness to Practise</w:t>
      </w:r>
      <w:r>
        <w:t xml:space="preserve">, </w:t>
      </w:r>
      <w:r w:rsidR="00E952DC" w:rsidRPr="00831915">
        <w:t>viewed</w:t>
      </w:r>
      <w:r w:rsidR="007E3350" w:rsidRPr="00831915">
        <w:t xml:space="preserve"> April 2013</w:t>
      </w:r>
      <w:r w:rsidR="007E3350">
        <w:t xml:space="preserve"> at</w:t>
      </w:r>
      <w:r>
        <w:t xml:space="preserve">: </w:t>
      </w:r>
      <w:r w:rsidRPr="008A6281">
        <w:t>www.nmc-uk.org/Employers-and-managers/Fitness-to-practise/</w:t>
      </w:r>
      <w:r w:rsidR="008A6281">
        <w:t>.</w:t>
      </w:r>
    </w:p>
    <w:p w:rsidR="004243F2" w:rsidRPr="00CB32B1" w:rsidRDefault="004243F2" w:rsidP="004243F2">
      <w:pPr>
        <w:pStyle w:val="PwCNormal"/>
      </w:pPr>
      <w:r w:rsidRPr="00CB32B1">
        <w:t xml:space="preserve">Nursing and Midwifery Council UK, 2008, </w:t>
      </w:r>
      <w:r w:rsidRPr="00CB32B1">
        <w:rPr>
          <w:i/>
        </w:rPr>
        <w:t>Statistical analysis of the Register – 1 April 2007 to 31 March 2008</w:t>
      </w:r>
      <w:r w:rsidRPr="00CB32B1">
        <w:t>, NMC-UK, London</w:t>
      </w:r>
      <w:r w:rsidRPr="00CB32B1">
        <w:rPr>
          <w:i/>
        </w:rPr>
        <w:t>.</w:t>
      </w:r>
    </w:p>
    <w:p w:rsidR="002B6E59" w:rsidRPr="00CB32B1" w:rsidRDefault="007E3350" w:rsidP="00693A3D">
      <w:pPr>
        <w:pStyle w:val="PwCNormal"/>
      </w:pPr>
      <w:r>
        <w:t xml:space="preserve">Office of National Statistics, 2011, </w:t>
      </w:r>
      <w:r w:rsidR="002B6E59" w:rsidRPr="007E3350">
        <w:rPr>
          <w:i/>
        </w:rPr>
        <w:t>Births in England and Wales by Characteristics of Birth 2011</w:t>
      </w:r>
      <w:r w:rsidR="002B6E59" w:rsidRPr="00CB32B1">
        <w:t>, viewed March 2013 at: www.ons.gov.uk/ons/rel/vsob1/characteristics-of-birth-2--england-and-wales/2011/sb-characteristics-of-birth-2.html#tab-Key-findings.</w:t>
      </w:r>
    </w:p>
    <w:p w:rsidR="002B6E59" w:rsidRPr="00CB32B1" w:rsidRDefault="002B6E59" w:rsidP="00693A3D">
      <w:pPr>
        <w:pStyle w:val="PwCNormal"/>
      </w:pPr>
      <w:r w:rsidRPr="00CB32B1">
        <w:t>Office of National Statistics,</w:t>
      </w:r>
      <w:r w:rsidR="007E3350">
        <w:t xml:space="preserve"> 2010,</w:t>
      </w:r>
      <w:r w:rsidRPr="00CB32B1">
        <w:t xml:space="preserve"> </w:t>
      </w:r>
      <w:r w:rsidRPr="007E3350">
        <w:rPr>
          <w:i/>
        </w:rPr>
        <w:t>Characteristics of Mother 2, England and Wales – 2010</w:t>
      </w:r>
      <w:r w:rsidRPr="00CB32B1">
        <w:t xml:space="preserve">, viewed March 2013 at: http://www.ons.gov.uk/ons/rel/vsob1/characteristics-of-mother-2--england-and-wales/2010/index.html. </w:t>
      </w:r>
    </w:p>
    <w:p w:rsidR="002B6E59" w:rsidRPr="00CB32B1" w:rsidRDefault="007E3350" w:rsidP="00693A3D">
      <w:pPr>
        <w:pStyle w:val="PwCNormal"/>
      </w:pPr>
      <w:r>
        <w:t xml:space="preserve">Office of National Statistics, 2009, </w:t>
      </w:r>
      <w:r w:rsidR="002B6E59" w:rsidRPr="007E3350">
        <w:rPr>
          <w:i/>
        </w:rPr>
        <w:t>Characteristics of Mother 2, England and Wales – 2009</w:t>
      </w:r>
      <w:r w:rsidR="002B6E59" w:rsidRPr="00CB32B1">
        <w:t>, viewed March 2013 at: http://www.ons.gov.uk/ons/rel/vsob1/characteristics-of-mother-2--england-and-wales/2009/index.html.</w:t>
      </w:r>
    </w:p>
    <w:p w:rsidR="008124E8" w:rsidRPr="00CB32B1" w:rsidRDefault="007E3350" w:rsidP="00693A3D">
      <w:pPr>
        <w:pStyle w:val="PwCNormal"/>
      </w:pPr>
      <w:r>
        <w:t xml:space="preserve">One to one, </w:t>
      </w:r>
      <w:r w:rsidR="008124E8" w:rsidRPr="007E3350">
        <w:rPr>
          <w:i/>
        </w:rPr>
        <w:t>Our services</w:t>
      </w:r>
      <w:r w:rsidR="008124E8" w:rsidRPr="00CB32B1">
        <w:t>, viewed April 2013 at: www.onetoonemidwives.org/our-services.</w:t>
      </w:r>
    </w:p>
    <w:p w:rsidR="00B71251" w:rsidRPr="00CB32B1" w:rsidRDefault="00B71251" w:rsidP="00693A3D">
      <w:pPr>
        <w:pStyle w:val="PwCNormal"/>
      </w:pPr>
      <w:r w:rsidRPr="00CB32B1">
        <w:t>Online Medical Dictionary, viewed June 2013 at: www.medical-dictionary.thefreedictionary.com.</w:t>
      </w:r>
    </w:p>
    <w:p w:rsidR="00693A3D" w:rsidRPr="00CB32B1" w:rsidRDefault="00693A3D" w:rsidP="00693A3D">
      <w:pPr>
        <w:pStyle w:val="PwCNormal"/>
      </w:pPr>
      <w:r w:rsidRPr="00CB32B1">
        <w:t>Ontario Hospital Association</w:t>
      </w:r>
      <w:r w:rsidR="009C79FC" w:rsidRPr="00CB32B1">
        <w:t>, 2010,</w:t>
      </w:r>
      <w:r w:rsidRPr="00CB32B1">
        <w:t xml:space="preserve"> </w:t>
      </w:r>
      <w:r w:rsidRPr="00CB32B1">
        <w:rPr>
          <w:i/>
        </w:rPr>
        <w:t>Resource Manual for Sustaining Quality Midwifery Services in Hospitals</w:t>
      </w:r>
      <w:r w:rsidR="009C79FC" w:rsidRPr="00CB32B1">
        <w:t>, viewed</w:t>
      </w:r>
      <w:r w:rsidR="004B0984">
        <w:t xml:space="preserve"> April 2013</w:t>
      </w:r>
      <w:r w:rsidR="009C79FC" w:rsidRPr="00CB32B1">
        <w:t xml:space="preserve"> at: </w:t>
      </w:r>
      <w:r w:rsidRPr="00CB32B1">
        <w:t>http://www.oha.com/KnowledgeCentre/Library/Documents/2206_midwiferyToolkit_inside_sept28.pdf.</w:t>
      </w:r>
    </w:p>
    <w:p w:rsidR="00ED127D" w:rsidRPr="00CB32B1" w:rsidRDefault="004B0984" w:rsidP="00ED127D">
      <w:pPr>
        <w:pStyle w:val="PwCNormal"/>
      </w:pPr>
      <w:r>
        <w:t xml:space="preserve">Ontario Midwives, </w:t>
      </w:r>
      <w:r w:rsidR="00ED127D" w:rsidRPr="004B0984">
        <w:rPr>
          <w:i/>
        </w:rPr>
        <w:t>Midwifery Q&amp;A</w:t>
      </w:r>
      <w:r w:rsidR="00ED127D" w:rsidRPr="00CB32B1">
        <w:t xml:space="preserve">, viewed April 2013c at: </w:t>
      </w:r>
      <w:hyperlink r:id="rId74" w:history="1">
        <w:r w:rsidR="00ED127D" w:rsidRPr="00CB32B1">
          <w:rPr>
            <w:rStyle w:val="Hyperlink"/>
            <w:color w:val="auto"/>
            <w:u w:val="none"/>
          </w:rPr>
          <w:t>www.ontariomidwives.ca/midwife/q-a</w:t>
        </w:r>
      </w:hyperlink>
      <w:r w:rsidR="00865724">
        <w:rPr>
          <w:rStyle w:val="Hyperlink"/>
          <w:color w:val="auto"/>
          <w:u w:val="none"/>
        </w:rPr>
        <w:t>.</w:t>
      </w:r>
    </w:p>
    <w:p w:rsidR="00806C5F" w:rsidRPr="00CB32B1" w:rsidRDefault="00806C5F" w:rsidP="00693A3D">
      <w:pPr>
        <w:pStyle w:val="PwCNormal"/>
      </w:pPr>
      <w:r w:rsidRPr="00CB32B1">
        <w:t xml:space="preserve">Official </w:t>
      </w:r>
      <w:r w:rsidR="004B0984">
        <w:t xml:space="preserve">Journal of the European Union, </w:t>
      </w:r>
      <w:r w:rsidRPr="004B0984">
        <w:rPr>
          <w:i/>
        </w:rPr>
        <w:t>Directive 2011/24/EU of the European Parliament and of the council of 9 March 2011</w:t>
      </w:r>
      <w:r w:rsidRPr="00CB32B1">
        <w:t>, viewed November 2012 at: eur-lex.europa.eu/LexUriServ/LexUriServ.do?uri=OJ:L:2011:088:0045:0065:EN:PDF, accessed November 2013.</w:t>
      </w:r>
    </w:p>
    <w:p w:rsidR="00693A3D" w:rsidRPr="00CB32B1" w:rsidRDefault="00693A3D" w:rsidP="00693A3D">
      <w:pPr>
        <w:pStyle w:val="PwCNormal"/>
      </w:pPr>
      <w:r w:rsidRPr="00CB32B1">
        <w:t>Pang JW &amp; Heffelfinger JD 2002</w:t>
      </w:r>
      <w:r w:rsidR="009C79FC" w:rsidRPr="00CB32B1">
        <w:t>,</w:t>
      </w:r>
      <w:r w:rsidRPr="00CB32B1">
        <w:t xml:space="preserve"> </w:t>
      </w:r>
      <w:r w:rsidRPr="004B0984">
        <w:rPr>
          <w:i/>
        </w:rPr>
        <w:t>Outcomes of planned home births in Washington state: 1986-1996</w:t>
      </w:r>
      <w:r w:rsidR="009C79FC" w:rsidRPr="00CB32B1">
        <w:t>,</w:t>
      </w:r>
      <w:r w:rsidRPr="00CB32B1">
        <w:t xml:space="preserve"> </w:t>
      </w:r>
      <w:r w:rsidRPr="004B0984">
        <w:t xml:space="preserve">Obstetrics and </w:t>
      </w:r>
      <w:r w:rsidR="006959C5" w:rsidRPr="004B0984">
        <w:t>Gynaecology</w:t>
      </w:r>
      <w:r w:rsidRPr="00CB32B1">
        <w:t>, 100(2)</w:t>
      </w:r>
      <w:r w:rsidR="009C79FC" w:rsidRPr="00CB32B1">
        <w:t>, pp.</w:t>
      </w:r>
      <w:r w:rsidRPr="00CB32B1">
        <w:t>253-259.</w:t>
      </w:r>
    </w:p>
    <w:p w:rsidR="00693A3D" w:rsidRPr="00CB32B1" w:rsidRDefault="00693A3D" w:rsidP="00693A3D">
      <w:pPr>
        <w:pStyle w:val="PwCNormal"/>
      </w:pPr>
      <w:r w:rsidRPr="00CB32B1">
        <w:t>Parratt J &amp; Johnston J 2002</w:t>
      </w:r>
      <w:r w:rsidR="009C79FC" w:rsidRPr="00CB32B1">
        <w:t>,</w:t>
      </w:r>
      <w:r w:rsidRPr="00CB32B1">
        <w:t xml:space="preserve"> </w:t>
      </w:r>
      <w:r w:rsidRPr="00CB32B1">
        <w:rPr>
          <w:i/>
        </w:rPr>
        <w:t>Planned homebirths in Victoria, 1995-1998</w:t>
      </w:r>
      <w:r w:rsidR="009C79FC" w:rsidRPr="00CB32B1">
        <w:t>,</w:t>
      </w:r>
      <w:r w:rsidRPr="00CB32B1">
        <w:t xml:space="preserve"> Australian Journal of</w:t>
      </w:r>
      <w:r w:rsidR="009C79FC" w:rsidRPr="00CB32B1">
        <w:t xml:space="preserve"> Midwifery</w:t>
      </w:r>
      <w:r w:rsidRPr="00CB32B1">
        <w:t xml:space="preserve">, </w:t>
      </w:r>
      <w:r w:rsidR="009C79FC" w:rsidRPr="00CB32B1">
        <w:t>15(2), pp.</w:t>
      </w:r>
      <w:r w:rsidRPr="00CB32B1">
        <w:t>16-25.</w:t>
      </w:r>
    </w:p>
    <w:p w:rsidR="00050CC5" w:rsidRPr="00CB32B1" w:rsidRDefault="004B0984" w:rsidP="00050CC5">
      <w:pPr>
        <w:pStyle w:val="PwCNormal"/>
      </w:pPr>
      <w:r>
        <w:t xml:space="preserve">Pregnancy Birthing and Beyond, </w:t>
      </w:r>
      <w:r w:rsidR="00050CC5" w:rsidRPr="004B0984">
        <w:rPr>
          <w:i/>
        </w:rPr>
        <w:t>Publicly Funded Birthing Programs</w:t>
      </w:r>
      <w:r w:rsidR="00050CC5" w:rsidRPr="00CB32B1">
        <w:t>, viewed September 2012 at: www.pregnancy.com.au/birth-choices/homebirth/publicly-funded-homebirth-programs.shtml.</w:t>
      </w:r>
    </w:p>
    <w:p w:rsidR="00693A3D" w:rsidRPr="00CB32B1" w:rsidRDefault="00693A3D" w:rsidP="00693A3D">
      <w:pPr>
        <w:pStyle w:val="PwCNormal"/>
      </w:pPr>
      <w:r w:rsidRPr="00CB32B1">
        <w:t>PricewaterhouseCoopers LLP</w:t>
      </w:r>
      <w:r w:rsidR="00924B3A" w:rsidRPr="00CB32B1">
        <w:t xml:space="preserve">, </w:t>
      </w:r>
      <w:r w:rsidRPr="00CB32B1">
        <w:t>2010</w:t>
      </w:r>
      <w:r w:rsidR="00924B3A" w:rsidRPr="00CB32B1">
        <w:t>,</w:t>
      </w:r>
      <w:r w:rsidRPr="00CB32B1">
        <w:t xml:space="preserve"> </w:t>
      </w:r>
      <w:r w:rsidRPr="00CB32B1">
        <w:rPr>
          <w:i/>
        </w:rPr>
        <w:t>Professional insurance and indemnity for regulated Healthcare Professionals</w:t>
      </w:r>
      <w:r w:rsidR="00854DEF" w:rsidRPr="00CB32B1">
        <w:rPr>
          <w:i/>
        </w:rPr>
        <w:t xml:space="preserve"> – </w:t>
      </w:r>
      <w:r w:rsidRPr="00CB32B1">
        <w:rPr>
          <w:i/>
        </w:rPr>
        <w:t>policy review research</w:t>
      </w:r>
      <w:r w:rsidR="00924B3A" w:rsidRPr="00CB32B1">
        <w:t>, PricewaterhouseCoopers LLP,</w:t>
      </w:r>
      <w:r w:rsidRPr="00CB32B1">
        <w:t xml:space="preserve"> London.</w:t>
      </w:r>
    </w:p>
    <w:p w:rsidR="00806C5F" w:rsidRPr="00CB32B1" w:rsidRDefault="00806C5F" w:rsidP="00693A3D">
      <w:pPr>
        <w:pStyle w:val="PwCNormal"/>
      </w:pPr>
      <w:r w:rsidRPr="00CB32B1">
        <w:t xml:space="preserve">Scott F 2010, </w:t>
      </w:r>
      <w:r w:rsidRPr="00CB32B1">
        <w:rPr>
          <w:i/>
        </w:rPr>
        <w:t>Independent review of the requirement to have insurance or indemnity as a condition of registration as a healthcare professional</w:t>
      </w:r>
      <w:r w:rsidRPr="00CB32B1">
        <w:t>, Department of Health UK, London.</w:t>
      </w:r>
    </w:p>
    <w:p w:rsidR="002C169D" w:rsidRPr="00CB32B1" w:rsidRDefault="002C169D" w:rsidP="00693A3D">
      <w:pPr>
        <w:pStyle w:val="PwCNormal"/>
      </w:pPr>
      <w:r w:rsidRPr="00CB32B1">
        <w:t xml:space="preserve">South Australia Department of Health, 2007, </w:t>
      </w:r>
      <w:r w:rsidRPr="00CB32B1">
        <w:rPr>
          <w:i/>
        </w:rPr>
        <w:t>Policy for Planned Birth at Home in South Australia</w:t>
      </w:r>
      <w:r w:rsidRPr="00CB32B1">
        <w:t>, Dept. Of Health, Adelaide.</w:t>
      </w:r>
    </w:p>
    <w:p w:rsidR="006E3F82" w:rsidRPr="00CB32B1" w:rsidRDefault="006E3F82" w:rsidP="006E3F82">
      <w:pPr>
        <w:pStyle w:val="PwCNormal"/>
      </w:pPr>
      <w:r w:rsidRPr="00CB32B1">
        <w:t>State Government of Queensland</w:t>
      </w:r>
      <w:r w:rsidR="004B0984">
        <w:t>, 1992</w:t>
      </w:r>
      <w:r w:rsidRPr="00CB32B1">
        <w:t xml:space="preserve">, </w:t>
      </w:r>
      <w:r w:rsidRPr="00CB32B1">
        <w:rPr>
          <w:i/>
        </w:rPr>
        <w:t>Nursing Act 1992</w:t>
      </w:r>
      <w:r w:rsidRPr="00CB32B1">
        <w:t>,</w:t>
      </w:r>
      <w:r w:rsidR="00E952DC">
        <w:t xml:space="preserve"> viewed</w:t>
      </w:r>
      <w:r w:rsidRPr="00CB32B1">
        <w:t xml:space="preserve"> January 2013 at: www.legislation.qld.gov.au/LEGISLTN/ACTS/1992/92AC055.pdf.</w:t>
      </w:r>
    </w:p>
    <w:p w:rsidR="00C55DAF" w:rsidRDefault="00C55DAF" w:rsidP="00693A3D">
      <w:pPr>
        <w:pStyle w:val="PwCNormal"/>
      </w:pPr>
      <w:r>
        <w:t xml:space="preserve">Statistics Canada, </w:t>
      </w:r>
      <w:r>
        <w:rPr>
          <w:i/>
        </w:rPr>
        <w:t>Births, estimates by province and territory</w:t>
      </w:r>
      <w:r>
        <w:t>,</w:t>
      </w:r>
      <w:r w:rsidR="004B0984">
        <w:t xml:space="preserve"> </w:t>
      </w:r>
      <w:r w:rsidR="00E952DC">
        <w:t>viewed</w:t>
      </w:r>
      <w:r w:rsidR="004B0984">
        <w:t xml:space="preserve"> April 2013 at</w:t>
      </w:r>
      <w:r>
        <w:t xml:space="preserve">: </w:t>
      </w:r>
      <w:r w:rsidRPr="008A6281">
        <w:t>www.statcan.gc.ca/tables-tableaux/sum-som/l01/cst01/demo04a-eng.htm</w:t>
      </w:r>
      <w:r w:rsidR="008A6281">
        <w:t>.</w:t>
      </w:r>
    </w:p>
    <w:p w:rsidR="00386E96" w:rsidRDefault="00386E96" w:rsidP="00693A3D">
      <w:pPr>
        <w:pStyle w:val="PwCNormal"/>
      </w:pPr>
      <w:r w:rsidRPr="00CB32B1">
        <w:t xml:space="preserve">Statistics </w:t>
      </w:r>
      <w:r>
        <w:t xml:space="preserve">Canada 2009 </w:t>
      </w:r>
      <w:r w:rsidRPr="00564CA8">
        <w:rPr>
          <w:i/>
        </w:rPr>
        <w:t>Perinatal mortality (number and rates) and components, Canada, provinces and territories</w:t>
      </w:r>
      <w:r w:rsidRPr="00CB32B1">
        <w:t xml:space="preserve">, viewed March 2013 at: </w:t>
      </w:r>
      <w:r w:rsidRPr="00386E96">
        <w:t>http://www5.statcan.gc.ca/cansim/a26?lang=eng&amp;retrLang=eng&amp;id=1020508&amp;paSer=&amp;pattern=&amp;stByVal=1&amp;p1=1&amp;p2=-1&amp;tabMode=dataTable&amp;csid</w:t>
      </w:r>
      <w:r w:rsidRPr="00CB32B1">
        <w:t>=.</w:t>
      </w:r>
    </w:p>
    <w:p w:rsidR="00C55DAF" w:rsidRDefault="00C55DAF" w:rsidP="00693A3D">
      <w:pPr>
        <w:pStyle w:val="PwCNormal"/>
      </w:pPr>
      <w:r>
        <w:t xml:space="preserve">Statistics New Zealand, </w:t>
      </w:r>
      <w:r>
        <w:rPr>
          <w:i/>
        </w:rPr>
        <w:t>Births and Deaths: Year ended December 2012</w:t>
      </w:r>
      <w:r>
        <w:t>, accessed: February 2013</w:t>
      </w:r>
      <w:r w:rsidR="00865724">
        <w:t>.</w:t>
      </w:r>
    </w:p>
    <w:p w:rsidR="00472B36" w:rsidRPr="00CB32B1" w:rsidRDefault="004B0984" w:rsidP="00693A3D">
      <w:pPr>
        <w:pStyle w:val="PwCNormal"/>
      </w:pPr>
      <w:r>
        <w:t xml:space="preserve">Statistics Netherlands, </w:t>
      </w:r>
      <w:r w:rsidR="00472B36" w:rsidRPr="004B0984">
        <w:rPr>
          <w:i/>
        </w:rPr>
        <w:t>Statline</w:t>
      </w:r>
      <w:r>
        <w:rPr>
          <w:i/>
        </w:rPr>
        <w:t>,</w:t>
      </w:r>
      <w:r w:rsidR="00472B36" w:rsidRPr="00CB32B1">
        <w:t xml:space="preserve"> viewed February 2013 at: </w:t>
      </w:r>
      <w:hyperlink r:id="rId75" w:history="1">
        <w:r w:rsidR="00472B36" w:rsidRPr="00CB32B1">
          <w:t>statline.cbs.nl/StatWeb/publication/?DM=SLNL&amp;PA=37302&amp;D1=0-2&amp;D2=a&amp;HDR=T&amp;STB=G1&amp;VW=T</w:t>
        </w:r>
      </w:hyperlink>
      <w:r w:rsidR="00865724">
        <w:t>.</w:t>
      </w:r>
    </w:p>
    <w:p w:rsidR="00693A3D" w:rsidRPr="00CB32B1" w:rsidRDefault="00693A3D" w:rsidP="00693A3D">
      <w:pPr>
        <w:pStyle w:val="PwCNormal"/>
      </w:pPr>
      <w:r w:rsidRPr="00CB32B1">
        <w:t>Stern C, Permezel M, Petterson C, Lawson J, Eggers T &amp; Kloss M 1992</w:t>
      </w:r>
      <w:r w:rsidR="00924B3A" w:rsidRPr="00CB32B1">
        <w:t>,</w:t>
      </w:r>
      <w:r w:rsidRPr="00CB32B1">
        <w:t xml:space="preserve"> </w:t>
      </w:r>
      <w:r w:rsidRPr="004B0984">
        <w:rPr>
          <w:i/>
        </w:rPr>
        <w:t>The Royal Women's Hospital Family Birth Centre the first 10 years reviewed</w:t>
      </w:r>
      <w:r w:rsidR="00924B3A" w:rsidRPr="00CB32B1">
        <w:t>,</w:t>
      </w:r>
      <w:r w:rsidRPr="00CB32B1">
        <w:t xml:space="preserve"> </w:t>
      </w:r>
      <w:r w:rsidRPr="004B0984">
        <w:t xml:space="preserve">Australian New </w:t>
      </w:r>
      <w:r w:rsidR="005A16C9" w:rsidRPr="004B0984">
        <w:t>Zealand</w:t>
      </w:r>
      <w:r w:rsidRPr="004B0984">
        <w:t xml:space="preserve"> Journal of Gynaecology</w:t>
      </w:r>
      <w:r w:rsidRPr="00CB32B1">
        <w:t xml:space="preserve">, </w:t>
      </w:r>
      <w:r w:rsidR="00924B3A" w:rsidRPr="00CB32B1">
        <w:t>32(4), pp.</w:t>
      </w:r>
      <w:r w:rsidRPr="00CB32B1">
        <w:t>291-6.</w:t>
      </w:r>
    </w:p>
    <w:p w:rsidR="00693A3D" w:rsidRPr="00CB32B1" w:rsidRDefault="00693A3D" w:rsidP="00693A3D">
      <w:pPr>
        <w:pStyle w:val="PwCNormal"/>
      </w:pPr>
      <w:r w:rsidRPr="00CB32B1">
        <w:t>Taylor A 2008</w:t>
      </w:r>
      <w:r w:rsidR="00902C98" w:rsidRPr="00CB32B1">
        <w:t>,</w:t>
      </w:r>
      <w:r w:rsidR="004B0984">
        <w:t xml:space="preserve"> </w:t>
      </w:r>
      <w:r w:rsidRPr="004B0984">
        <w:rPr>
          <w:i/>
        </w:rPr>
        <w:t>New midwifery’ in Australia: what kind of professionalization is likely to emerge from current processes of change?</w:t>
      </w:r>
      <w:r w:rsidR="004B0984">
        <w:rPr>
          <w:i/>
        </w:rPr>
        <w:t>,</w:t>
      </w:r>
      <w:r w:rsidRPr="00CB32B1">
        <w:t xml:space="preserve"> University of Newcastle, New South Wales.</w:t>
      </w:r>
    </w:p>
    <w:p w:rsidR="00787608" w:rsidRPr="00CB32B1" w:rsidRDefault="00787608" w:rsidP="00693A3D">
      <w:pPr>
        <w:pStyle w:val="PwCNormal"/>
      </w:pPr>
      <w:r w:rsidRPr="00CB32B1">
        <w:t xml:space="preserve">The Royal Australian and New Zealand College of Obstetricians and Gynaecologists, 2011, </w:t>
      </w:r>
      <w:r w:rsidRPr="00CB32B1">
        <w:rPr>
          <w:i/>
        </w:rPr>
        <w:t>Standards of Maternity Care in Australia and New Zealand, March 2011</w:t>
      </w:r>
      <w:r w:rsidRPr="00CB32B1">
        <w:t>, RANZCOG Publications, East Melbourne.</w:t>
      </w:r>
    </w:p>
    <w:p w:rsidR="00CB151C" w:rsidRPr="00CB32B1" w:rsidRDefault="00CB151C" w:rsidP="00CB151C">
      <w:pPr>
        <w:pStyle w:val="PwCNormal"/>
      </w:pPr>
      <w:r w:rsidRPr="00CB32B1">
        <w:t>The Royal Australian and New Zealand College of Obstetric</w:t>
      </w:r>
      <w:r w:rsidR="004B0984">
        <w:t xml:space="preserve">ians and Gynaecologists 2011b, </w:t>
      </w:r>
      <w:r w:rsidRPr="004B0984">
        <w:rPr>
          <w:i/>
        </w:rPr>
        <w:t>C-Obs 2: Home Births</w:t>
      </w:r>
      <w:r w:rsidRPr="00CB32B1">
        <w:t xml:space="preserve">, </w:t>
      </w:r>
      <w:r w:rsidR="00E952DC">
        <w:t>viewed</w:t>
      </w:r>
      <w:r w:rsidRPr="00CB32B1">
        <w:t xml:space="preserve"> December 2012 at: http://www.ranzcog.edu.au/component/docman/doc_view/936-c-obs-02-home-births.html.</w:t>
      </w:r>
    </w:p>
    <w:p w:rsidR="00C405B3" w:rsidRPr="00CB32B1" w:rsidRDefault="004B0984" w:rsidP="00C405B3">
      <w:pPr>
        <w:pStyle w:val="PwCNormal"/>
      </w:pPr>
      <w:r>
        <w:t xml:space="preserve">The Women’s, Policy, </w:t>
      </w:r>
      <w:r w:rsidR="00C405B3" w:rsidRPr="004B0984">
        <w:rPr>
          <w:i/>
        </w:rPr>
        <w:t>Guideline and Procedure Manual - Perineal Trauma Assessment, ;Repair and Safe Practice</w:t>
      </w:r>
      <w:r w:rsidR="00C405B3" w:rsidRPr="00CB32B1">
        <w:t xml:space="preserve">, </w:t>
      </w:r>
      <w:r w:rsidR="00E952DC">
        <w:t>viewed</w:t>
      </w:r>
      <w:r w:rsidR="00C405B3" w:rsidRPr="00CB32B1">
        <w:t xml:space="preserve"> March 2013 at: www.thewomens.org.au/uploads/downloads/HealthProfessionals/PGP_PDFs/Perineal_Trauma_Assessment_Repair_and_Safe_Practice.pdf.</w:t>
      </w:r>
    </w:p>
    <w:p w:rsidR="00693A3D" w:rsidRPr="00CB32B1" w:rsidRDefault="00693A3D" w:rsidP="00693A3D">
      <w:pPr>
        <w:pStyle w:val="PwCNormal"/>
      </w:pPr>
      <w:r w:rsidRPr="00CB32B1">
        <w:t>Tracy SK</w:t>
      </w:r>
      <w:r w:rsidR="00902C98" w:rsidRPr="00CB32B1">
        <w:t xml:space="preserve"> &amp;</w:t>
      </w:r>
      <w:r w:rsidRPr="00CB32B1">
        <w:t xml:space="preserve"> Tracy MB</w:t>
      </w:r>
      <w:r w:rsidR="00902C98" w:rsidRPr="00CB32B1">
        <w:t xml:space="preserve"> </w:t>
      </w:r>
      <w:r w:rsidRPr="00CB32B1">
        <w:t>2003</w:t>
      </w:r>
      <w:r w:rsidR="00902C98" w:rsidRPr="00CB32B1">
        <w:t>,</w:t>
      </w:r>
      <w:r w:rsidRPr="00CB32B1">
        <w:t xml:space="preserve"> </w:t>
      </w:r>
      <w:r w:rsidRPr="004B0984">
        <w:rPr>
          <w:i/>
        </w:rPr>
        <w:t>Costing the cascade: estimating the cost of increased obstetric intervention in childbirth using population data</w:t>
      </w:r>
      <w:r w:rsidR="00902C98" w:rsidRPr="00CB32B1">
        <w:t>,</w:t>
      </w:r>
      <w:r w:rsidRPr="00CB32B1">
        <w:t xml:space="preserve"> </w:t>
      </w:r>
      <w:r w:rsidRPr="004B0984">
        <w:t>BJOG</w:t>
      </w:r>
      <w:r w:rsidRPr="00CB32B1">
        <w:t>, 110</w:t>
      </w:r>
      <w:r w:rsidR="00902C98" w:rsidRPr="00CB32B1">
        <w:t>(8)</w:t>
      </w:r>
      <w:r w:rsidRPr="00CB32B1">
        <w:t xml:space="preserve">, </w:t>
      </w:r>
      <w:r w:rsidR="00902C98" w:rsidRPr="00CB32B1">
        <w:t>pp.</w:t>
      </w:r>
      <w:r w:rsidRPr="00CB32B1">
        <w:t>717-724.</w:t>
      </w:r>
    </w:p>
    <w:p w:rsidR="00693A3D" w:rsidRPr="00CB32B1" w:rsidRDefault="00693A3D" w:rsidP="00693A3D">
      <w:pPr>
        <w:pStyle w:val="PwCNormal"/>
      </w:pPr>
      <w:r w:rsidRPr="00CB32B1">
        <w:t>UK Health Department</w:t>
      </w:r>
      <w:r w:rsidR="00902C98" w:rsidRPr="00CB32B1">
        <w:t xml:space="preserve"> </w:t>
      </w:r>
      <w:r w:rsidRPr="00CB32B1">
        <w:t>2013</w:t>
      </w:r>
      <w:r w:rsidR="00902C98" w:rsidRPr="00CB32B1">
        <w:t>,</w:t>
      </w:r>
      <w:r w:rsidRPr="00CB32B1">
        <w:t xml:space="preserve"> </w:t>
      </w:r>
      <w:r w:rsidRPr="00CB32B1">
        <w:rPr>
          <w:i/>
        </w:rPr>
        <w:t>Health Care and Associated Professions (Indemnity Arrangements) Order 2013</w:t>
      </w:r>
      <w:r w:rsidR="00854DEF" w:rsidRPr="00CB32B1">
        <w:rPr>
          <w:i/>
        </w:rPr>
        <w:t xml:space="preserve"> – </w:t>
      </w:r>
      <w:r w:rsidRPr="00CB32B1">
        <w:rPr>
          <w:i/>
        </w:rPr>
        <w:t>A paper for consultation</w:t>
      </w:r>
      <w:r w:rsidR="00902C98" w:rsidRPr="00CB32B1">
        <w:t>, UK Health Department,</w:t>
      </w:r>
      <w:r w:rsidRPr="00CB32B1">
        <w:t xml:space="preserve"> London.</w:t>
      </w:r>
    </w:p>
    <w:p w:rsidR="00693A3D" w:rsidRPr="00CB32B1" w:rsidRDefault="00693A3D" w:rsidP="00693A3D">
      <w:pPr>
        <w:pStyle w:val="PwCNormal"/>
      </w:pPr>
      <w:r w:rsidRPr="00CB32B1">
        <w:t>Undutchables</w:t>
      </w:r>
      <w:r w:rsidR="004B0984">
        <w:t xml:space="preserve">, </w:t>
      </w:r>
      <w:r w:rsidRPr="004B0984">
        <w:rPr>
          <w:i/>
        </w:rPr>
        <w:t>Health insurance</w:t>
      </w:r>
      <w:r w:rsidR="00902C98" w:rsidRPr="00CB32B1">
        <w:t>, viewed April 2013 at</w:t>
      </w:r>
      <w:r w:rsidRPr="00CB32B1">
        <w:t>: http://www.undutchables.nl/working-en-living-in-the-netherlands/working-for-undutchables/health-insurance</w:t>
      </w:r>
      <w:r w:rsidR="00902C98" w:rsidRPr="00CB32B1">
        <w:t>.</w:t>
      </w:r>
    </w:p>
    <w:p w:rsidR="00693A3D" w:rsidRPr="00CB32B1" w:rsidRDefault="00693A3D" w:rsidP="00693A3D">
      <w:pPr>
        <w:pStyle w:val="PwCNormal"/>
      </w:pPr>
      <w:r w:rsidRPr="00CB32B1">
        <w:t>United Nations Population Fund</w:t>
      </w:r>
      <w:r w:rsidR="00902C98" w:rsidRPr="00CB32B1">
        <w:t xml:space="preserve">, </w:t>
      </w:r>
      <w:r w:rsidRPr="00CB32B1">
        <w:t>2011</w:t>
      </w:r>
      <w:r w:rsidR="00902C98" w:rsidRPr="00CB32B1">
        <w:t>,</w:t>
      </w:r>
      <w:r w:rsidRPr="00CB32B1">
        <w:t xml:space="preserve"> </w:t>
      </w:r>
      <w:r w:rsidRPr="00CB32B1">
        <w:rPr>
          <w:i/>
        </w:rPr>
        <w:t>The State of the World's Midwifer</w:t>
      </w:r>
      <w:r w:rsidR="008A6281">
        <w:rPr>
          <w:i/>
        </w:rPr>
        <w:t>y</w:t>
      </w:r>
      <w:r w:rsidRPr="00CB32B1">
        <w:rPr>
          <w:i/>
        </w:rPr>
        <w:t xml:space="preserve"> 2011: Delivering health, saving lives</w:t>
      </w:r>
      <w:r w:rsidR="00902C98" w:rsidRPr="00CB32B1">
        <w:rPr>
          <w:i/>
        </w:rPr>
        <w:t>,</w:t>
      </w:r>
      <w:r w:rsidRPr="00CB32B1">
        <w:t xml:space="preserve"> </w:t>
      </w:r>
      <w:r w:rsidR="00902C98" w:rsidRPr="00CB32B1">
        <w:t xml:space="preserve">UNFPA, </w:t>
      </w:r>
      <w:r w:rsidRPr="00CB32B1">
        <w:t>Geneva.</w:t>
      </w:r>
    </w:p>
    <w:p w:rsidR="003163B8" w:rsidRPr="00CB32B1" w:rsidRDefault="003163B8" w:rsidP="003163B8">
      <w:pPr>
        <w:pStyle w:val="PwCNormal"/>
      </w:pPr>
      <w:r w:rsidRPr="00CB32B1">
        <w:t xml:space="preserve">University of Melbourne Law Library, </w:t>
      </w:r>
      <w:r w:rsidR="00175841" w:rsidRPr="004B0984">
        <w:rPr>
          <w:i/>
        </w:rPr>
        <w:t>Australian case law</w:t>
      </w:r>
      <w:r w:rsidR="00175841" w:rsidRPr="00CB32B1">
        <w:t xml:space="preserve">, </w:t>
      </w:r>
      <w:r w:rsidR="00E952DC">
        <w:t>viewed</w:t>
      </w:r>
      <w:r w:rsidR="00175841" w:rsidRPr="00CB32B1">
        <w:t xml:space="preserve"> March 2013 at</w:t>
      </w:r>
      <w:r w:rsidRPr="00CB32B1">
        <w:t>: www.unimelb.libguides.com/content.php?pid=185598&amp;sid=1558707.</w:t>
      </w:r>
    </w:p>
    <w:p w:rsidR="003440D2" w:rsidRPr="00CB32B1" w:rsidRDefault="003440D2" w:rsidP="00693A3D">
      <w:pPr>
        <w:pStyle w:val="PwCNormal"/>
      </w:pPr>
      <w:r w:rsidRPr="00CB32B1">
        <w:t>Veldhuis M</w:t>
      </w:r>
      <w:r w:rsidR="004B0984">
        <w:t>,</w:t>
      </w:r>
      <w:r w:rsidRPr="00CB32B1">
        <w:t xml:space="preserve"> 1994</w:t>
      </w:r>
      <w:r w:rsidR="004B0984">
        <w:t>,</w:t>
      </w:r>
      <w:r w:rsidRPr="00CB32B1">
        <w:t xml:space="preserve"> </w:t>
      </w:r>
      <w:r w:rsidRPr="004B0984">
        <w:rPr>
          <w:i/>
        </w:rPr>
        <w:t>Defensive behaviour of Dutch Family Physicians. Widening the Concept</w:t>
      </w:r>
      <w:r w:rsidRPr="00CB32B1">
        <w:t>,</w:t>
      </w:r>
      <w:r w:rsidRPr="004B0984">
        <w:t xml:space="preserve"> Fam Med</w:t>
      </w:r>
      <w:r w:rsidRPr="00CB32B1">
        <w:t>, 26, pp.27-9.</w:t>
      </w:r>
    </w:p>
    <w:p w:rsidR="003163B8" w:rsidRPr="00CB32B1" w:rsidRDefault="004B0984" w:rsidP="003163B8">
      <w:pPr>
        <w:pStyle w:val="PwCNormal"/>
      </w:pPr>
      <w:r>
        <w:t xml:space="preserve">Virtual Medical Centre, </w:t>
      </w:r>
      <w:r w:rsidR="003163B8" w:rsidRPr="004B0984">
        <w:rPr>
          <w:i/>
        </w:rPr>
        <w:t>Augmentation of labour</w:t>
      </w:r>
      <w:r w:rsidR="003163B8" w:rsidRPr="00CB32B1">
        <w:t xml:space="preserve">, </w:t>
      </w:r>
      <w:r w:rsidR="00E952DC">
        <w:t>viewed</w:t>
      </w:r>
      <w:r w:rsidR="003163B8" w:rsidRPr="00CB32B1">
        <w:t xml:space="preserve"> April 2013 at: </w:t>
      </w:r>
      <w:hyperlink r:id="rId76" w:anchor="c10" w:history="1">
        <w:r w:rsidR="003163B8" w:rsidRPr="00CB32B1">
          <w:t>www.virtualmedicalcentre.com/treatment/induction-and-augmentation-of-labour/164#c10</w:t>
        </w:r>
      </w:hyperlink>
      <w:r w:rsidR="003163B8" w:rsidRPr="00CB32B1">
        <w:t>.</w:t>
      </w:r>
    </w:p>
    <w:p w:rsidR="003163B8" w:rsidRPr="00CB32B1" w:rsidRDefault="003163B8" w:rsidP="003163B8">
      <w:pPr>
        <w:pStyle w:val="PwCNormal"/>
      </w:pPr>
      <w:r w:rsidRPr="00CB32B1">
        <w:t xml:space="preserve">UTS Centre for Family Health and Midwifery, </w:t>
      </w:r>
      <w:r w:rsidR="00175841" w:rsidRPr="00CB32B1">
        <w:t xml:space="preserve">2001, </w:t>
      </w:r>
      <w:r w:rsidRPr="00CB32B1">
        <w:rPr>
          <w:i/>
        </w:rPr>
        <w:t>An options paper regarding the development of publicly funded homebirth services on a statewide basis in New South Wales</w:t>
      </w:r>
      <w:r w:rsidRPr="00CB32B1">
        <w:t xml:space="preserve">, </w:t>
      </w:r>
      <w:r w:rsidR="00175841" w:rsidRPr="00CB32B1">
        <w:t>UTS, Sydney.</w:t>
      </w:r>
    </w:p>
    <w:p w:rsidR="00693A3D" w:rsidRPr="00CB32B1" w:rsidRDefault="00693A3D" w:rsidP="00693A3D">
      <w:pPr>
        <w:pStyle w:val="PwCNormal"/>
      </w:pPr>
      <w:r w:rsidRPr="00CB32B1">
        <w:t>Wastney M</w:t>
      </w:r>
      <w:r w:rsidR="004B0984">
        <w:t xml:space="preserve">, </w:t>
      </w:r>
      <w:r w:rsidRPr="004B0984">
        <w:rPr>
          <w:i/>
        </w:rPr>
        <w:t xml:space="preserve">New Zealand homebirth figures being addressed by Ministry. </w:t>
      </w:r>
      <w:r w:rsidR="00902C98" w:rsidRPr="00CB32B1">
        <w:t>viewed November 2012 at:</w:t>
      </w:r>
      <w:r w:rsidRPr="00CB32B1">
        <w:t xml:space="preserve"> http://www.newswire.co.nz/2012/11/new-zealand-homebirth-figures-being-addressed-by-ministry/.</w:t>
      </w:r>
    </w:p>
    <w:p w:rsidR="00693A3D" w:rsidRPr="00CB32B1" w:rsidRDefault="00693A3D" w:rsidP="00693A3D">
      <w:pPr>
        <w:pStyle w:val="PwCNormal"/>
      </w:pPr>
      <w:r w:rsidRPr="00CB32B1">
        <w:t>Wax</w:t>
      </w:r>
      <w:r w:rsidR="00902C98" w:rsidRPr="00CB32B1">
        <w:t xml:space="preserve"> </w:t>
      </w:r>
      <w:r w:rsidRPr="00CB32B1">
        <w:t>JR, Lucas FL</w:t>
      </w:r>
      <w:r w:rsidR="00902C98" w:rsidRPr="00CB32B1">
        <w:t>,</w:t>
      </w:r>
      <w:r w:rsidRPr="00CB32B1">
        <w:t xml:space="preserve"> Lamont M</w:t>
      </w:r>
      <w:r w:rsidR="00902C98" w:rsidRPr="00CB32B1">
        <w:t>, Pinette MG, Cartin A &amp; Blackstone J</w:t>
      </w:r>
      <w:r w:rsidRPr="00CB32B1">
        <w:t xml:space="preserve"> 2010</w:t>
      </w:r>
      <w:r w:rsidR="00902C98" w:rsidRPr="00CB32B1">
        <w:t>,</w:t>
      </w:r>
      <w:r w:rsidRPr="00CB32B1">
        <w:t xml:space="preserve"> </w:t>
      </w:r>
      <w:r w:rsidRPr="004B0984">
        <w:rPr>
          <w:i/>
        </w:rPr>
        <w:t>Maternal and newborn outcomes in planned home birth vs. planned hospital births: a meta</w:t>
      </w:r>
      <w:r w:rsidR="00902C98" w:rsidRPr="004B0984">
        <w:rPr>
          <w:i/>
        </w:rPr>
        <w:t>a</w:t>
      </w:r>
      <w:r w:rsidRPr="004B0984">
        <w:rPr>
          <w:i/>
        </w:rPr>
        <w:t>nalysis</w:t>
      </w:r>
      <w:r w:rsidR="00902C98" w:rsidRPr="00CB32B1">
        <w:t>,</w:t>
      </w:r>
      <w:r w:rsidRPr="00CB32B1">
        <w:t xml:space="preserve"> </w:t>
      </w:r>
      <w:r w:rsidRPr="004B0984">
        <w:t xml:space="preserve">American Journal of Obstetrics and </w:t>
      </w:r>
      <w:r w:rsidR="006959C5" w:rsidRPr="004B0984">
        <w:t>Gynaecology</w:t>
      </w:r>
      <w:r w:rsidRPr="00CB32B1">
        <w:t>, 203</w:t>
      </w:r>
      <w:r w:rsidR="00902C98" w:rsidRPr="00CB32B1">
        <w:t>(3), pp.</w:t>
      </w:r>
      <w:r w:rsidRPr="00CB32B1">
        <w:t>243.</w:t>
      </w:r>
    </w:p>
    <w:p w:rsidR="00693A3D" w:rsidRPr="00CB32B1" w:rsidRDefault="00902C98" w:rsidP="00693A3D">
      <w:pPr>
        <w:pStyle w:val="PwCNormal"/>
      </w:pPr>
      <w:r w:rsidRPr="00CB32B1">
        <w:t>Weigers T</w:t>
      </w:r>
      <w:r w:rsidR="00693A3D" w:rsidRPr="00CB32B1">
        <w:t xml:space="preserve">A, </w:t>
      </w:r>
      <w:r w:rsidRPr="00CB32B1">
        <w:t>v</w:t>
      </w:r>
      <w:r w:rsidR="00693A3D" w:rsidRPr="00CB32B1">
        <w:t xml:space="preserve">an </w:t>
      </w:r>
      <w:r w:rsidRPr="00CB32B1">
        <w:t>d</w:t>
      </w:r>
      <w:r w:rsidR="00693A3D" w:rsidRPr="00CB32B1">
        <w:t>er Zee J, Kerseens JJ, Keirse MJ 1998</w:t>
      </w:r>
      <w:r w:rsidRPr="00CB32B1">
        <w:t>,</w:t>
      </w:r>
      <w:r w:rsidR="00693A3D" w:rsidRPr="00CB32B1">
        <w:t xml:space="preserve"> </w:t>
      </w:r>
      <w:r w:rsidR="00693A3D" w:rsidRPr="004B0984">
        <w:rPr>
          <w:i/>
        </w:rPr>
        <w:t>Home birth or short-stay hospital birth in a low risk population in The Netherlands</w:t>
      </w:r>
      <w:r w:rsidRPr="00CB32B1">
        <w:t>,</w:t>
      </w:r>
      <w:r w:rsidR="00693A3D" w:rsidRPr="00CB32B1">
        <w:t xml:space="preserve"> </w:t>
      </w:r>
      <w:r w:rsidR="00693A3D" w:rsidRPr="004B0984">
        <w:t>Social Science &amp; Medicine</w:t>
      </w:r>
      <w:r w:rsidR="00693A3D" w:rsidRPr="00CB32B1">
        <w:t xml:space="preserve">, 46(11), </w:t>
      </w:r>
      <w:r w:rsidRPr="00CB32B1">
        <w:t>pp.</w:t>
      </w:r>
      <w:r w:rsidR="00693A3D" w:rsidRPr="00CB32B1">
        <w:t>1505-1511.</w:t>
      </w:r>
    </w:p>
    <w:p w:rsidR="00693A3D" w:rsidRPr="00CB32B1" w:rsidRDefault="00693A3D" w:rsidP="00693A3D">
      <w:pPr>
        <w:pStyle w:val="PwCNormal"/>
      </w:pPr>
      <w:r w:rsidRPr="00CB32B1">
        <w:t>Wiegers TA, Keirse MJ &amp; van der Zee J 1998</w:t>
      </w:r>
      <w:r w:rsidR="00902C98" w:rsidRPr="00CB32B1">
        <w:t>,</w:t>
      </w:r>
      <w:r w:rsidRPr="00CB32B1">
        <w:t xml:space="preserve"> </w:t>
      </w:r>
      <w:r w:rsidRPr="004B0984">
        <w:rPr>
          <w:i/>
        </w:rPr>
        <w:t>Transfer from home to hospital: what is its effect on the experience of childbirth?</w:t>
      </w:r>
      <w:r w:rsidR="00902C98" w:rsidRPr="00CB32B1">
        <w:t>,</w:t>
      </w:r>
      <w:r w:rsidRPr="00CB32B1">
        <w:t xml:space="preserve"> </w:t>
      </w:r>
      <w:r w:rsidRPr="004B0984">
        <w:t>Birth</w:t>
      </w:r>
      <w:r w:rsidRPr="00CB32B1">
        <w:t>, 25</w:t>
      </w:r>
      <w:r w:rsidR="00902C98" w:rsidRPr="00CB32B1">
        <w:t>(</w:t>
      </w:r>
      <w:r w:rsidRPr="00CB32B1">
        <w:t>1</w:t>
      </w:r>
      <w:r w:rsidR="00902C98" w:rsidRPr="00CB32B1">
        <w:t>), pp.</w:t>
      </w:r>
      <w:r w:rsidRPr="00CB32B1">
        <w:t>: 19-24.</w:t>
      </w:r>
    </w:p>
    <w:p w:rsidR="00693A3D" w:rsidRPr="00CB32B1" w:rsidRDefault="00693A3D" w:rsidP="00693A3D">
      <w:pPr>
        <w:pStyle w:val="PwCNormal"/>
      </w:pPr>
      <w:r w:rsidRPr="00CB32B1">
        <w:t>Wolleswinkel-van den Bosch JH, Vredevoogd CB, Borkent-Polent M, van Eyck J, Fetter WP</w:t>
      </w:r>
      <w:r w:rsidR="00902C98" w:rsidRPr="00CB32B1">
        <w:t>,</w:t>
      </w:r>
      <w:r w:rsidRPr="00CB32B1">
        <w:t xml:space="preserve"> Lagro-Janssen TL</w:t>
      </w:r>
      <w:r w:rsidR="00902C98" w:rsidRPr="00CB32B1">
        <w:t xml:space="preserve">, Rosink IH, Treffers PE, Wierenga H, Amelink M, Richardus JH, Verloove-Vanjorick P &amp; Mackenbach JP, </w:t>
      </w:r>
      <w:r w:rsidRPr="00CB32B1">
        <w:t>2002</w:t>
      </w:r>
      <w:r w:rsidR="00902C98" w:rsidRPr="00CB32B1">
        <w:t>,</w:t>
      </w:r>
      <w:r w:rsidRPr="00CB32B1">
        <w:t xml:space="preserve"> </w:t>
      </w:r>
      <w:r w:rsidRPr="004B0984">
        <w:rPr>
          <w:i/>
        </w:rPr>
        <w:t>Substandard factors in perinatal care in The Netherlands</w:t>
      </w:r>
      <w:r w:rsidR="00902C98" w:rsidRPr="004B0984">
        <w:rPr>
          <w:i/>
        </w:rPr>
        <w:t>: a regional audit of perinatal deaths</w:t>
      </w:r>
      <w:r w:rsidR="00902C98" w:rsidRPr="00CB32B1">
        <w:t>,</w:t>
      </w:r>
      <w:r w:rsidRPr="00CB32B1">
        <w:t xml:space="preserve"> </w:t>
      </w:r>
      <w:r w:rsidRPr="004B0984">
        <w:t>Acta Obstet Gynecol Scand</w:t>
      </w:r>
      <w:r w:rsidRPr="00CB32B1">
        <w:t xml:space="preserve">, </w:t>
      </w:r>
      <w:r w:rsidR="00902C98" w:rsidRPr="00CB32B1">
        <w:t>81(1), pp.</w:t>
      </w:r>
      <w:r w:rsidRPr="00CB32B1">
        <w:t>17-24.</w:t>
      </w:r>
    </w:p>
    <w:p w:rsidR="00693A3D" w:rsidRPr="00CB32B1" w:rsidRDefault="00693A3D" w:rsidP="00693A3D">
      <w:pPr>
        <w:pStyle w:val="PwCNormal"/>
      </w:pPr>
      <w:r w:rsidRPr="00CB32B1">
        <w:t>Woodcock HC</w:t>
      </w:r>
      <w:r w:rsidR="002B580E" w:rsidRPr="00CB32B1">
        <w:t>,</w:t>
      </w:r>
      <w:r w:rsidRPr="00CB32B1">
        <w:t xml:space="preserve"> Read AW</w:t>
      </w:r>
      <w:r w:rsidR="002B580E" w:rsidRPr="00CB32B1">
        <w:t>,</w:t>
      </w:r>
      <w:r w:rsidRPr="00CB32B1">
        <w:t xml:space="preserve"> Bower C</w:t>
      </w:r>
      <w:r w:rsidR="002B580E" w:rsidRPr="00CB32B1">
        <w:t>,</w:t>
      </w:r>
      <w:r w:rsidRPr="00CB32B1">
        <w:t xml:space="preserve"> Stanley FJ &amp; Moore DJ 1994</w:t>
      </w:r>
      <w:r w:rsidR="002B580E" w:rsidRPr="00CB32B1">
        <w:t>,</w:t>
      </w:r>
      <w:r w:rsidRPr="00CB32B1">
        <w:t xml:space="preserve"> </w:t>
      </w:r>
      <w:r w:rsidRPr="004B0984">
        <w:rPr>
          <w:i/>
        </w:rPr>
        <w:t>A matched cohort study of planned home and hospital births in Western Australia 1981-1987</w:t>
      </w:r>
      <w:r w:rsidR="002B580E" w:rsidRPr="00CB32B1">
        <w:t>,</w:t>
      </w:r>
      <w:r w:rsidRPr="00CB32B1">
        <w:t xml:space="preserve"> </w:t>
      </w:r>
      <w:r w:rsidRPr="004B0984">
        <w:t>Midwifery</w:t>
      </w:r>
      <w:r w:rsidRPr="00CB32B1">
        <w:t xml:space="preserve">, </w:t>
      </w:r>
      <w:r w:rsidR="002B580E" w:rsidRPr="00CB32B1">
        <w:t>10(3), pp.</w:t>
      </w:r>
      <w:r w:rsidR="00902C98" w:rsidRPr="00CB32B1">
        <w:t>125-35</w:t>
      </w:r>
      <w:r w:rsidRPr="00CB32B1">
        <w:t>.</w:t>
      </w:r>
    </w:p>
    <w:p w:rsidR="00693A3D" w:rsidRPr="00CB32B1" w:rsidRDefault="00693A3D" w:rsidP="00693A3D">
      <w:pPr>
        <w:pStyle w:val="PwCNormal"/>
      </w:pPr>
      <w:r w:rsidRPr="00CB32B1">
        <w:t>Woodcock HC, Read AW, Moore DJ, Stanley FJ &amp; Bower C</w:t>
      </w:r>
      <w:r w:rsidR="00902C98" w:rsidRPr="00CB32B1">
        <w:t xml:space="preserve"> </w:t>
      </w:r>
      <w:r w:rsidRPr="00CB32B1">
        <w:t>1990</w:t>
      </w:r>
      <w:r w:rsidR="00902C98" w:rsidRPr="00CB32B1">
        <w:t>,</w:t>
      </w:r>
      <w:r w:rsidRPr="00CB32B1">
        <w:t xml:space="preserve"> </w:t>
      </w:r>
      <w:r w:rsidRPr="004B0984">
        <w:rPr>
          <w:i/>
        </w:rPr>
        <w:t>Planned homebirths in Western Australia 1981-87: a descriptive study</w:t>
      </w:r>
      <w:r w:rsidR="00902C98" w:rsidRPr="00CB32B1">
        <w:t xml:space="preserve">, </w:t>
      </w:r>
      <w:r w:rsidRPr="004B0984">
        <w:t>Medical Journal of Australia</w:t>
      </w:r>
      <w:r w:rsidRPr="00CB32B1">
        <w:t xml:space="preserve">, </w:t>
      </w:r>
      <w:r w:rsidR="00902C98" w:rsidRPr="00CB32B1">
        <w:t>pp.</w:t>
      </w:r>
      <w:r w:rsidRPr="00CB32B1">
        <w:t>672-8.</w:t>
      </w:r>
    </w:p>
    <w:p w:rsidR="00A0363B" w:rsidRPr="00CB32B1" w:rsidRDefault="00A0363B" w:rsidP="00693A3D">
      <w:pPr>
        <w:pStyle w:val="PwCNormal"/>
      </w:pPr>
      <w:r w:rsidRPr="00CB32B1">
        <w:t>World Health Organi</w:t>
      </w:r>
      <w:r w:rsidR="003163B8" w:rsidRPr="00CB32B1">
        <w:t>z</w:t>
      </w:r>
      <w:r w:rsidR="004B0984">
        <w:t xml:space="preserve">ation, </w:t>
      </w:r>
      <w:r w:rsidRPr="004B0984">
        <w:rPr>
          <w:i/>
        </w:rPr>
        <w:t>Health services coverage statistics</w:t>
      </w:r>
      <w:r w:rsidRPr="00CB32B1">
        <w:t xml:space="preserve">, </w:t>
      </w:r>
      <w:r w:rsidR="00E952DC">
        <w:t>viewed</w:t>
      </w:r>
      <w:r w:rsidRPr="00CB32B1">
        <w:t xml:space="preserve"> June 2013 at: </w:t>
      </w:r>
      <w:hyperlink r:id="rId77" w:history="1">
        <w:r w:rsidRPr="00CB32B1">
          <w:t>www.who.int/healthinfo/statistics/indantenatal/en/index.html</w:t>
        </w:r>
      </w:hyperlink>
      <w:r w:rsidRPr="00CB32B1">
        <w:t>, accessed 12 November 2012.</w:t>
      </w:r>
    </w:p>
    <w:p w:rsidR="00693A3D" w:rsidRPr="00CB32B1" w:rsidRDefault="00693A3D" w:rsidP="00693A3D">
      <w:pPr>
        <w:pStyle w:val="PwCNormal"/>
        <w:numPr>
          <w:ilvl w:val="0"/>
          <w:numId w:val="0"/>
        </w:numPr>
        <w:sectPr w:rsidR="00693A3D" w:rsidRPr="00CB32B1" w:rsidSect="00E13745">
          <w:headerReference w:type="even" r:id="rId78"/>
          <w:headerReference w:type="default" r:id="rId79"/>
          <w:footerReference w:type="even" r:id="rId80"/>
          <w:footerReference w:type="default" r:id="rId81"/>
          <w:headerReference w:type="first" r:id="rId82"/>
          <w:pgSz w:w="11907" w:h="16840" w:code="9"/>
          <w:pgMar w:top="1699" w:right="1138" w:bottom="1699" w:left="1138" w:header="677" w:footer="677" w:gutter="562"/>
          <w:cols w:space="708"/>
          <w:titlePg/>
          <w:docGrid w:linePitch="360"/>
        </w:sectPr>
      </w:pPr>
    </w:p>
    <w:p w:rsidR="00FC0CC6" w:rsidRPr="00CB32B1" w:rsidRDefault="00FC0CC6" w:rsidP="00FC0CC6">
      <w:pPr>
        <w:pStyle w:val="AppendixPanelFrameappendix"/>
        <w:framePr w:wrap="notBeside" w:hAnchor="page" w:x="1044"/>
        <w:rPr>
          <w:lang w:val="en-AU"/>
        </w:rPr>
      </w:pPr>
    </w:p>
    <w:p w:rsidR="00693A3D" w:rsidRPr="00CB32B1" w:rsidRDefault="00693A3D" w:rsidP="00693A3D">
      <w:pPr>
        <w:pStyle w:val="Heading4"/>
      </w:pPr>
      <w:bookmarkStart w:id="111" w:name="_Toc361328125"/>
      <w:bookmarkStart w:id="112" w:name="_Toc362975067"/>
      <w:bookmarkStart w:id="113" w:name="_Toc362975078"/>
      <w:r w:rsidRPr="00CB32B1">
        <w:t>Stakeholder consultation</w:t>
      </w:r>
      <w:bookmarkEnd w:id="111"/>
      <w:bookmarkEnd w:id="112"/>
      <w:bookmarkEnd w:id="113"/>
    </w:p>
    <w:p w:rsidR="00693A3D" w:rsidRPr="00CB32B1" w:rsidRDefault="00693A3D" w:rsidP="00693A3D">
      <w:pPr>
        <w:pStyle w:val="PwCNormal"/>
      </w:pPr>
      <w:r w:rsidRPr="00CB32B1">
        <w:t xml:space="preserve">The following stakeholders in </w:t>
      </w:r>
      <w:r w:rsidR="009129A6" w:rsidRPr="00CB32B1">
        <w:fldChar w:fldCharType="begin"/>
      </w:r>
      <w:r w:rsidR="00A33BD9" w:rsidRPr="00CB32B1">
        <w:instrText xml:space="preserve"> REF _Ref361223897 \h </w:instrText>
      </w:r>
      <w:r w:rsidR="009129A6" w:rsidRPr="00CB32B1">
        <w:fldChar w:fldCharType="separate"/>
      </w:r>
      <w:r w:rsidR="008816B4" w:rsidRPr="00CB32B1">
        <w:t xml:space="preserve">Table </w:t>
      </w:r>
      <w:r w:rsidR="008816B4">
        <w:rPr>
          <w:noProof/>
        </w:rPr>
        <w:t>20</w:t>
      </w:r>
      <w:r w:rsidR="009129A6" w:rsidRPr="00CB32B1">
        <w:fldChar w:fldCharType="end"/>
      </w:r>
      <w:r w:rsidR="00A33BD9" w:rsidRPr="00CB32B1">
        <w:t xml:space="preserve"> </w:t>
      </w:r>
      <w:r w:rsidRPr="00CB32B1">
        <w:t xml:space="preserve">were consulted by PwC in the process of completing </w:t>
      </w:r>
      <w:r w:rsidR="00904784">
        <w:t>this</w:t>
      </w:r>
      <w:r w:rsidRPr="00CB32B1">
        <w:t xml:space="preserve"> </w:t>
      </w:r>
      <w:r w:rsidR="00D76345">
        <w:t>project</w:t>
      </w:r>
      <w:r w:rsidRPr="00CB32B1">
        <w:t xml:space="preserve">. Stakeholders were identified by NMBA to participate. While we sought to present insights from the consultations, it should not be inferred that those consulted as a part of this </w:t>
      </w:r>
      <w:r w:rsidR="00D76345">
        <w:t>project</w:t>
      </w:r>
      <w:r w:rsidRPr="00CB32B1">
        <w:t xml:space="preserve"> share the views and opinions of this report.</w:t>
      </w:r>
    </w:p>
    <w:p w:rsidR="00693A3D" w:rsidRPr="00CB32B1" w:rsidRDefault="00693A3D" w:rsidP="00693A3D">
      <w:pPr>
        <w:pStyle w:val="PwCNormal"/>
      </w:pPr>
      <w:r w:rsidRPr="00CB32B1">
        <w:t>PwC would like to acknowledge the support of the following organisations, with thanks to the stakeholders for their time and valuable information and insight.</w:t>
      </w:r>
    </w:p>
    <w:p w:rsidR="00693A3D" w:rsidRPr="00CB32B1" w:rsidRDefault="00693A3D" w:rsidP="00693A3D">
      <w:pPr>
        <w:pStyle w:val="Caption"/>
      </w:pPr>
      <w:bookmarkStart w:id="114" w:name="_Ref361223897"/>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20</w:t>
      </w:r>
      <w:r w:rsidR="009129A6" w:rsidRPr="00CB32B1">
        <w:fldChar w:fldCharType="end"/>
      </w:r>
      <w:bookmarkEnd w:id="114"/>
      <w:r w:rsidRPr="00CB32B1">
        <w:t>:</w:t>
      </w:r>
      <w:r w:rsidRPr="00CB32B1">
        <w:tab/>
        <w:t>Stakeholder consultation listing</w:t>
      </w:r>
    </w:p>
    <w:tbl>
      <w:tblPr>
        <w:tblStyle w:val="PwCTableStyle1"/>
        <w:tblW w:w="0" w:type="auto"/>
        <w:tblLayout w:type="fixed"/>
        <w:tblLook w:val="04A0"/>
      </w:tblPr>
      <w:tblGrid>
        <w:gridCol w:w="4968"/>
        <w:gridCol w:w="4320"/>
      </w:tblGrid>
      <w:tr w:rsidR="00693A3D" w:rsidRPr="00CB32B1" w:rsidTr="009D37C7">
        <w:trPr>
          <w:cnfStyle w:val="100000000000"/>
        </w:trPr>
        <w:tc>
          <w:tcPr>
            <w:cnfStyle w:val="001000000000"/>
            <w:tcW w:w="4968" w:type="dxa"/>
            <w:tcBorders>
              <w:bottom w:val="single" w:sz="6" w:space="0" w:color="DC6900" w:themeColor="text2"/>
              <w:right w:val="single" w:sz="6" w:space="0" w:color="FFFFFF" w:themeColor="background2"/>
            </w:tcBorders>
            <w:shd w:val="clear" w:color="auto" w:fill="DC6900" w:themeFill="text2"/>
            <w:vAlign w:val="center"/>
          </w:tcPr>
          <w:p w:rsidR="00693A3D" w:rsidRPr="00CB32B1" w:rsidRDefault="00693A3D" w:rsidP="009D37C7">
            <w:pPr>
              <w:pStyle w:val="TableColumnHeadingNormal"/>
            </w:pPr>
            <w:r w:rsidRPr="00CB32B1">
              <w:t>Organisation</w:t>
            </w:r>
          </w:p>
        </w:tc>
        <w:tc>
          <w:tcPr>
            <w:tcW w:w="4320" w:type="dxa"/>
            <w:tcBorders>
              <w:left w:val="single" w:sz="6" w:space="0" w:color="FFFFFF" w:themeColor="background2"/>
              <w:bottom w:val="single" w:sz="6" w:space="0" w:color="DC6900" w:themeColor="text2"/>
            </w:tcBorders>
            <w:shd w:val="clear" w:color="auto" w:fill="DC6900" w:themeFill="text2"/>
            <w:vAlign w:val="center"/>
          </w:tcPr>
          <w:p w:rsidR="00693A3D" w:rsidRPr="00CB32B1" w:rsidRDefault="00693A3D" w:rsidP="009D37C7">
            <w:pPr>
              <w:pStyle w:val="TableColumnHeadingNormal"/>
              <w:cnfStyle w:val="100000000000"/>
            </w:pPr>
            <w:r w:rsidRPr="00CB32B1">
              <w:t>Stakeholder</w:t>
            </w:r>
          </w:p>
        </w:tc>
      </w:tr>
      <w:tr w:rsidR="00693A3D" w:rsidRPr="00CB32B1" w:rsidTr="0047587A">
        <w:tc>
          <w:tcPr>
            <w:cnfStyle w:val="001000000000"/>
            <w:tcW w:w="4968" w:type="dxa"/>
            <w:tcBorders>
              <w:top w:val="single" w:sz="6" w:space="0" w:color="DC6900" w:themeColor="text2"/>
            </w:tcBorders>
          </w:tcPr>
          <w:p w:rsidR="00693A3D" w:rsidRPr="00CB32B1" w:rsidRDefault="00693A3D" w:rsidP="0047587A">
            <w:pPr>
              <w:pStyle w:val="TableTextNormal"/>
              <w:rPr>
                <w:b/>
                <w:color w:val="DC6900" w:themeColor="text2"/>
              </w:rPr>
            </w:pPr>
            <w:r w:rsidRPr="00CB32B1">
              <w:rPr>
                <w:b/>
                <w:color w:val="DC6900" w:themeColor="text2"/>
              </w:rPr>
              <w:t>National – Australia</w:t>
            </w:r>
          </w:p>
        </w:tc>
        <w:tc>
          <w:tcPr>
            <w:tcW w:w="4320" w:type="dxa"/>
            <w:tcBorders>
              <w:top w:val="single" w:sz="6" w:space="0" w:color="DC6900" w:themeColor="text2"/>
            </w:tcBorders>
          </w:tcPr>
          <w:p w:rsidR="00693A3D" w:rsidRPr="00CB32B1" w:rsidRDefault="00693A3D" w:rsidP="0047587A">
            <w:pPr>
              <w:pStyle w:val="TableTextNormal"/>
              <w:cnfStyle w:val="000000000000"/>
            </w:pPr>
          </w:p>
        </w:tc>
      </w:tr>
      <w:tr w:rsidR="00693A3D" w:rsidRPr="00CB32B1" w:rsidTr="0047587A">
        <w:tc>
          <w:tcPr>
            <w:cnfStyle w:val="001000000000"/>
            <w:tcW w:w="4968" w:type="dxa"/>
          </w:tcPr>
          <w:p w:rsidR="00693A3D" w:rsidRPr="00CB32B1" w:rsidRDefault="00693A3D" w:rsidP="0047587A">
            <w:pPr>
              <w:pStyle w:val="TableTextNormal"/>
            </w:pPr>
            <w:r w:rsidRPr="00CB32B1">
              <w:t>Australian Competition and Consumer Commission</w:t>
            </w:r>
          </w:p>
        </w:tc>
        <w:tc>
          <w:tcPr>
            <w:tcW w:w="4320" w:type="dxa"/>
          </w:tcPr>
          <w:p w:rsidR="00693A3D" w:rsidRPr="00CB32B1" w:rsidRDefault="00693A3D" w:rsidP="0047587A">
            <w:pPr>
              <w:pStyle w:val="TableTextNormal"/>
              <w:cnfStyle w:val="000000000000"/>
            </w:pPr>
            <w:r w:rsidRPr="00CB32B1">
              <w:t>Representative</w:t>
            </w:r>
          </w:p>
        </w:tc>
      </w:tr>
      <w:tr w:rsidR="00693A3D" w:rsidRPr="00CB32B1" w:rsidTr="0047587A">
        <w:tc>
          <w:tcPr>
            <w:cnfStyle w:val="001000000000"/>
            <w:tcW w:w="4968" w:type="dxa"/>
          </w:tcPr>
          <w:p w:rsidR="00693A3D" w:rsidRPr="00CB32B1" w:rsidRDefault="00693A3D" w:rsidP="0047587A">
            <w:pPr>
              <w:pStyle w:val="TableTextNormal"/>
            </w:pPr>
            <w:r w:rsidRPr="00CB32B1">
              <w:t>Australian and New Zealand Council of Chief Nurses</w:t>
            </w:r>
          </w:p>
        </w:tc>
        <w:tc>
          <w:tcPr>
            <w:tcW w:w="4320" w:type="dxa"/>
          </w:tcPr>
          <w:p w:rsidR="00693A3D" w:rsidRPr="00CB32B1" w:rsidRDefault="00693A3D" w:rsidP="0047587A">
            <w:pPr>
              <w:pStyle w:val="TableTextNormal"/>
              <w:cnfStyle w:val="000000000000"/>
            </w:pPr>
            <w:r w:rsidRPr="00CB32B1">
              <w:t>Fiona Stoker, Chair</w:t>
            </w:r>
          </w:p>
        </w:tc>
      </w:tr>
      <w:tr w:rsidR="00693A3D" w:rsidRPr="00CB32B1" w:rsidTr="0047587A">
        <w:tc>
          <w:tcPr>
            <w:cnfStyle w:val="001000000000"/>
            <w:tcW w:w="4968" w:type="dxa"/>
          </w:tcPr>
          <w:p w:rsidR="00693A3D" w:rsidRPr="00CB32B1" w:rsidRDefault="00693A3D" w:rsidP="0047587A">
            <w:pPr>
              <w:pStyle w:val="TableTextNormal"/>
            </w:pPr>
            <w:r w:rsidRPr="00CB32B1">
              <w:t>Australian College of Midwives</w:t>
            </w:r>
          </w:p>
        </w:tc>
        <w:tc>
          <w:tcPr>
            <w:tcW w:w="4320" w:type="dxa"/>
          </w:tcPr>
          <w:p w:rsidR="00693A3D" w:rsidRPr="00CB32B1" w:rsidRDefault="00693A3D" w:rsidP="0047587A">
            <w:pPr>
              <w:pStyle w:val="TableTextNormal"/>
              <w:cnfStyle w:val="000000000000"/>
            </w:pPr>
            <w:r w:rsidRPr="00CB32B1">
              <w:t>Ann Kinnear, Executive Officer</w:t>
            </w:r>
          </w:p>
          <w:p w:rsidR="00693A3D" w:rsidRPr="00CB32B1" w:rsidRDefault="00693A3D" w:rsidP="0047587A">
            <w:pPr>
              <w:pStyle w:val="TableTextNormal"/>
              <w:cnfStyle w:val="000000000000"/>
            </w:pPr>
            <w:r w:rsidRPr="00CB32B1">
              <w:t>Sarah Stewart, Professional Officer</w:t>
            </w:r>
          </w:p>
        </w:tc>
      </w:tr>
      <w:tr w:rsidR="00693A3D" w:rsidRPr="00CB32B1" w:rsidTr="0047587A">
        <w:tc>
          <w:tcPr>
            <w:cnfStyle w:val="001000000000"/>
            <w:tcW w:w="4968" w:type="dxa"/>
          </w:tcPr>
          <w:p w:rsidR="00693A3D" w:rsidRPr="00CB32B1" w:rsidRDefault="00693A3D" w:rsidP="0047587A">
            <w:pPr>
              <w:pStyle w:val="TableTextNormal"/>
            </w:pPr>
            <w:r w:rsidRPr="00CB32B1">
              <w:t>Australian Health Practitioner Regulation Agency</w:t>
            </w:r>
          </w:p>
        </w:tc>
        <w:tc>
          <w:tcPr>
            <w:tcW w:w="4320" w:type="dxa"/>
          </w:tcPr>
          <w:p w:rsidR="00693A3D" w:rsidRPr="00CB32B1" w:rsidRDefault="00693A3D" w:rsidP="0047587A">
            <w:pPr>
              <w:pStyle w:val="TableTextNormal"/>
              <w:cnfStyle w:val="000000000000"/>
            </w:pPr>
            <w:r w:rsidRPr="00CB32B1">
              <w:t>State office managers (per state)</w:t>
            </w:r>
          </w:p>
        </w:tc>
      </w:tr>
      <w:tr w:rsidR="00693A3D" w:rsidRPr="00CB32B1" w:rsidTr="0047587A">
        <w:tc>
          <w:tcPr>
            <w:cnfStyle w:val="001000000000"/>
            <w:tcW w:w="4968" w:type="dxa"/>
          </w:tcPr>
          <w:p w:rsidR="00693A3D" w:rsidRPr="00CB32B1" w:rsidRDefault="00693A3D" w:rsidP="0047587A">
            <w:pPr>
              <w:pStyle w:val="TableTextNormal"/>
            </w:pPr>
            <w:r w:rsidRPr="00CB32B1">
              <w:t>Australian Medical Association</w:t>
            </w:r>
          </w:p>
        </w:tc>
        <w:tc>
          <w:tcPr>
            <w:tcW w:w="4320" w:type="dxa"/>
          </w:tcPr>
          <w:p w:rsidR="00693A3D" w:rsidRPr="00CB32B1" w:rsidRDefault="00693A3D" w:rsidP="0047587A">
            <w:pPr>
              <w:pStyle w:val="TableTextNormal"/>
              <w:cnfStyle w:val="000000000000"/>
            </w:pPr>
            <w:r w:rsidRPr="00CB32B1">
              <w:t>Dr Gino Pecoraro, Council member</w:t>
            </w:r>
          </w:p>
          <w:p w:rsidR="00693A3D" w:rsidRPr="00CB32B1" w:rsidRDefault="00693A3D" w:rsidP="0047587A">
            <w:pPr>
              <w:pStyle w:val="TableTextNormal"/>
              <w:cnfStyle w:val="000000000000"/>
            </w:pPr>
            <w:r w:rsidRPr="00CB32B1">
              <w:t>Belinda Highmore, Senior Manager – Medical Practice</w:t>
            </w:r>
          </w:p>
        </w:tc>
      </w:tr>
      <w:tr w:rsidR="00693A3D" w:rsidRPr="00CB32B1" w:rsidTr="0047587A">
        <w:tc>
          <w:tcPr>
            <w:cnfStyle w:val="001000000000"/>
            <w:tcW w:w="4968" w:type="dxa"/>
          </w:tcPr>
          <w:p w:rsidR="00693A3D" w:rsidRPr="00CB32B1" w:rsidRDefault="00693A3D" w:rsidP="0047587A">
            <w:pPr>
              <w:pStyle w:val="TableTextNormal"/>
            </w:pPr>
            <w:r w:rsidRPr="00CB32B1">
              <w:t>Australian Nursing Federation (Victorian Branch)</w:t>
            </w:r>
          </w:p>
        </w:tc>
        <w:tc>
          <w:tcPr>
            <w:tcW w:w="4320" w:type="dxa"/>
          </w:tcPr>
          <w:p w:rsidR="00693A3D" w:rsidRPr="00CB32B1" w:rsidRDefault="00693A3D" w:rsidP="0047587A">
            <w:pPr>
              <w:pStyle w:val="TableTextNormal"/>
              <w:cnfStyle w:val="000000000000"/>
            </w:pPr>
            <w:r w:rsidRPr="00CB32B1">
              <w:t>Representative</w:t>
            </w:r>
          </w:p>
        </w:tc>
      </w:tr>
      <w:tr w:rsidR="00693A3D" w:rsidRPr="00CB32B1" w:rsidTr="0047587A">
        <w:tc>
          <w:tcPr>
            <w:cnfStyle w:val="001000000000"/>
            <w:tcW w:w="4968" w:type="dxa"/>
          </w:tcPr>
          <w:p w:rsidR="00693A3D" w:rsidRPr="00CB32B1" w:rsidRDefault="00693A3D" w:rsidP="0047587A">
            <w:pPr>
              <w:pStyle w:val="TableTextNormal"/>
            </w:pPr>
            <w:r w:rsidRPr="00CB32B1">
              <w:t>Australian Private Midwives Association</w:t>
            </w:r>
          </w:p>
        </w:tc>
        <w:tc>
          <w:tcPr>
            <w:tcW w:w="4320" w:type="dxa"/>
          </w:tcPr>
          <w:p w:rsidR="00693A3D" w:rsidRPr="00CB32B1" w:rsidRDefault="00693A3D" w:rsidP="0047587A">
            <w:pPr>
              <w:pStyle w:val="TableTextNormal"/>
              <w:cnfStyle w:val="000000000000"/>
            </w:pPr>
            <w:r w:rsidRPr="00CB32B1">
              <w:t>Marie Heath, National President</w:t>
            </w:r>
          </w:p>
        </w:tc>
      </w:tr>
      <w:tr w:rsidR="00693A3D" w:rsidRPr="00CB32B1" w:rsidTr="0047587A">
        <w:tc>
          <w:tcPr>
            <w:cnfStyle w:val="001000000000"/>
            <w:tcW w:w="4968" w:type="dxa"/>
          </w:tcPr>
          <w:p w:rsidR="00693A3D" w:rsidRPr="00CB32B1" w:rsidRDefault="00693A3D" w:rsidP="0047587A">
            <w:pPr>
              <w:pStyle w:val="TableTextNormal"/>
            </w:pPr>
            <w:r w:rsidRPr="00CB32B1">
              <w:t>Childbirth Australia</w:t>
            </w:r>
          </w:p>
        </w:tc>
        <w:tc>
          <w:tcPr>
            <w:tcW w:w="4320" w:type="dxa"/>
          </w:tcPr>
          <w:p w:rsidR="00693A3D" w:rsidRPr="00CB32B1" w:rsidRDefault="00693A3D" w:rsidP="0047587A">
            <w:pPr>
              <w:pStyle w:val="TableTextNormal"/>
              <w:cnfStyle w:val="000000000000"/>
            </w:pPr>
            <w:r w:rsidRPr="00CB32B1">
              <w:t>Debbie Slater, Chair</w:t>
            </w:r>
          </w:p>
        </w:tc>
      </w:tr>
      <w:tr w:rsidR="00693A3D" w:rsidRPr="00CB32B1" w:rsidTr="0047587A">
        <w:tc>
          <w:tcPr>
            <w:cnfStyle w:val="001000000000"/>
            <w:tcW w:w="4968" w:type="dxa"/>
          </w:tcPr>
          <w:p w:rsidR="00693A3D" w:rsidRPr="00CB32B1" w:rsidRDefault="00693A3D" w:rsidP="0047587A">
            <w:pPr>
              <w:pStyle w:val="TableTextNormal"/>
            </w:pPr>
            <w:r w:rsidRPr="00CB32B1">
              <w:t>Department of Health and Ageing</w:t>
            </w:r>
          </w:p>
        </w:tc>
        <w:tc>
          <w:tcPr>
            <w:tcW w:w="4320" w:type="dxa"/>
          </w:tcPr>
          <w:p w:rsidR="00693A3D" w:rsidRPr="00CB32B1" w:rsidRDefault="00693A3D" w:rsidP="0047587A">
            <w:pPr>
              <w:pStyle w:val="TableTextNormal"/>
              <w:cnfStyle w:val="000000000000"/>
            </w:pPr>
            <w:r w:rsidRPr="00CB32B1">
              <w:t>Rosemary Bryant, Commonwealth Chief Nurse and Chief Midwifery Officer</w:t>
            </w:r>
          </w:p>
          <w:p w:rsidR="00693A3D" w:rsidRPr="00CB32B1" w:rsidRDefault="00693A3D" w:rsidP="0047587A">
            <w:pPr>
              <w:pStyle w:val="TableTextNormal"/>
              <w:cnfStyle w:val="000000000000"/>
            </w:pPr>
            <w:r w:rsidRPr="00CB32B1">
              <w:t>Colleen Gibbs</w:t>
            </w:r>
          </w:p>
          <w:p w:rsidR="00693A3D" w:rsidRPr="00CB32B1" w:rsidRDefault="00693A3D" w:rsidP="0047587A">
            <w:pPr>
              <w:pStyle w:val="TableTextNormal"/>
              <w:cnfStyle w:val="000000000000"/>
            </w:pPr>
            <w:r w:rsidRPr="00CB32B1">
              <w:t xml:space="preserve">Gay Santiago, Capacity branch, Health Workforce Division </w:t>
            </w:r>
          </w:p>
          <w:p w:rsidR="00693A3D" w:rsidRPr="00CB32B1" w:rsidRDefault="00693A3D" w:rsidP="0047587A">
            <w:pPr>
              <w:pStyle w:val="TableTextNormal"/>
              <w:cnfStyle w:val="000000000000"/>
            </w:pPr>
            <w:r w:rsidRPr="00CB32B1">
              <w:t>Graeme Rossiter</w:t>
            </w:r>
          </w:p>
          <w:p w:rsidR="00693A3D" w:rsidRPr="00CB32B1" w:rsidRDefault="00693A3D" w:rsidP="0047587A">
            <w:pPr>
              <w:pStyle w:val="TableTextNormal"/>
              <w:cnfStyle w:val="000000000000"/>
            </w:pPr>
            <w:r w:rsidRPr="00CB32B1">
              <w:t>Julien Wickes</w:t>
            </w:r>
          </w:p>
          <w:p w:rsidR="00693A3D" w:rsidRPr="00CB32B1" w:rsidRDefault="00693A3D" w:rsidP="0047587A">
            <w:pPr>
              <w:pStyle w:val="TableTextNormal"/>
              <w:cnfStyle w:val="000000000000"/>
            </w:pPr>
            <w:r w:rsidRPr="00CB32B1">
              <w:t>Robyn Bilston</w:t>
            </w:r>
          </w:p>
        </w:tc>
      </w:tr>
      <w:tr w:rsidR="00693A3D" w:rsidRPr="00CB32B1" w:rsidTr="0047587A">
        <w:tc>
          <w:tcPr>
            <w:cnfStyle w:val="001000000000"/>
            <w:tcW w:w="4968" w:type="dxa"/>
          </w:tcPr>
          <w:p w:rsidR="00693A3D" w:rsidRPr="00CB32B1" w:rsidRDefault="00693A3D" w:rsidP="0047587A">
            <w:pPr>
              <w:pStyle w:val="TableTextNormal"/>
            </w:pPr>
            <w:r w:rsidRPr="00CB32B1">
              <w:t>Department of Health (Queensland)</w:t>
            </w:r>
          </w:p>
        </w:tc>
        <w:tc>
          <w:tcPr>
            <w:tcW w:w="4320" w:type="dxa"/>
          </w:tcPr>
          <w:p w:rsidR="00693A3D" w:rsidRPr="00CB32B1" w:rsidRDefault="00693A3D" w:rsidP="0047587A">
            <w:pPr>
              <w:pStyle w:val="TableTextNormal"/>
              <w:cnfStyle w:val="000000000000"/>
            </w:pPr>
            <w:r w:rsidRPr="00CB32B1">
              <w:t>Dr Belinda Maier, Midwife, Nursing and Midwifery Office Queensland</w:t>
            </w:r>
          </w:p>
        </w:tc>
      </w:tr>
      <w:tr w:rsidR="00693A3D" w:rsidRPr="00CB32B1" w:rsidTr="0047587A">
        <w:tc>
          <w:tcPr>
            <w:cnfStyle w:val="001000000000"/>
            <w:tcW w:w="4968" w:type="dxa"/>
          </w:tcPr>
          <w:p w:rsidR="00693A3D" w:rsidRPr="00CB32B1" w:rsidRDefault="00693A3D" w:rsidP="0047587A">
            <w:pPr>
              <w:pStyle w:val="TableTextNormal"/>
            </w:pPr>
            <w:r w:rsidRPr="00CB32B1">
              <w:t>Health Professionals Insurance</w:t>
            </w:r>
          </w:p>
        </w:tc>
        <w:tc>
          <w:tcPr>
            <w:tcW w:w="4320" w:type="dxa"/>
          </w:tcPr>
          <w:p w:rsidR="00693A3D" w:rsidRPr="00CB32B1" w:rsidRDefault="00693A3D" w:rsidP="0047587A">
            <w:pPr>
              <w:pStyle w:val="TableTextNormal"/>
              <w:cnfStyle w:val="000000000000"/>
            </w:pPr>
            <w:r w:rsidRPr="00CB32B1">
              <w:t>Caroline Anderson, CEO</w:t>
            </w:r>
          </w:p>
        </w:tc>
      </w:tr>
      <w:tr w:rsidR="00693A3D" w:rsidRPr="00CB32B1" w:rsidTr="0047587A">
        <w:tc>
          <w:tcPr>
            <w:cnfStyle w:val="001000000000"/>
            <w:tcW w:w="4968" w:type="dxa"/>
          </w:tcPr>
          <w:p w:rsidR="00693A3D" w:rsidRPr="00CB32B1" w:rsidRDefault="00693A3D" w:rsidP="0047587A">
            <w:pPr>
              <w:pStyle w:val="TableTextNormal"/>
            </w:pPr>
            <w:r w:rsidRPr="00CB32B1">
              <w:t>Homebirth Australia</w:t>
            </w:r>
          </w:p>
        </w:tc>
        <w:tc>
          <w:tcPr>
            <w:tcW w:w="4320" w:type="dxa"/>
          </w:tcPr>
          <w:p w:rsidR="00693A3D" w:rsidRPr="00CB32B1" w:rsidRDefault="00693A3D" w:rsidP="0047587A">
            <w:pPr>
              <w:pStyle w:val="TableTextNormal"/>
              <w:cnfStyle w:val="000000000000"/>
            </w:pPr>
            <w:r w:rsidRPr="00CB32B1">
              <w:t>Michelle Meares, Secretary</w:t>
            </w:r>
          </w:p>
          <w:p w:rsidR="00693A3D" w:rsidRPr="00CB32B1" w:rsidRDefault="00693A3D" w:rsidP="0047587A">
            <w:pPr>
              <w:pStyle w:val="TableTextNormal"/>
              <w:cnfStyle w:val="000000000000"/>
            </w:pPr>
            <w:r w:rsidRPr="00CB32B1">
              <w:t>Heather Crawford, Midwife</w:t>
            </w:r>
          </w:p>
        </w:tc>
      </w:tr>
      <w:tr w:rsidR="00693A3D" w:rsidRPr="00CB32B1" w:rsidTr="0047587A">
        <w:tc>
          <w:tcPr>
            <w:cnfStyle w:val="001000000000"/>
            <w:tcW w:w="4968" w:type="dxa"/>
          </w:tcPr>
          <w:p w:rsidR="00693A3D" w:rsidRPr="00CB32B1" w:rsidRDefault="00693A3D" w:rsidP="0047587A">
            <w:pPr>
              <w:pStyle w:val="TableTextNormal"/>
            </w:pPr>
            <w:r w:rsidRPr="00CB32B1">
              <w:t>Homebirth Access Sydney</w:t>
            </w:r>
          </w:p>
        </w:tc>
        <w:tc>
          <w:tcPr>
            <w:tcW w:w="4320" w:type="dxa"/>
          </w:tcPr>
          <w:p w:rsidR="00693A3D" w:rsidRPr="00CB32B1" w:rsidRDefault="00693A3D" w:rsidP="0047587A">
            <w:pPr>
              <w:pStyle w:val="TableTextNormal"/>
              <w:cnfStyle w:val="000000000000"/>
            </w:pPr>
            <w:r w:rsidRPr="00CB32B1">
              <w:t>Virginia Maddock, Chair</w:t>
            </w:r>
          </w:p>
        </w:tc>
      </w:tr>
      <w:tr w:rsidR="00693A3D" w:rsidRPr="00CB32B1" w:rsidTr="0047587A">
        <w:tc>
          <w:tcPr>
            <w:cnfStyle w:val="001000000000"/>
            <w:tcW w:w="4968" w:type="dxa"/>
          </w:tcPr>
          <w:p w:rsidR="00693A3D" w:rsidRPr="00CB32B1" w:rsidRDefault="00693A3D" w:rsidP="0047587A">
            <w:pPr>
              <w:pStyle w:val="TableTextNormal"/>
            </w:pPr>
            <w:r w:rsidRPr="00CB32B1">
              <w:t>Marshall Brokers</w:t>
            </w:r>
          </w:p>
        </w:tc>
        <w:tc>
          <w:tcPr>
            <w:tcW w:w="4320" w:type="dxa"/>
          </w:tcPr>
          <w:p w:rsidR="00693A3D" w:rsidRPr="00CB32B1" w:rsidRDefault="00693A3D" w:rsidP="0047587A">
            <w:pPr>
              <w:pStyle w:val="TableTextNormal"/>
              <w:cnfStyle w:val="000000000000"/>
            </w:pPr>
            <w:r w:rsidRPr="00CB32B1">
              <w:t>David Marshall, Director</w:t>
            </w:r>
          </w:p>
        </w:tc>
      </w:tr>
      <w:tr w:rsidR="00693A3D" w:rsidRPr="00CB32B1" w:rsidTr="0047587A">
        <w:tc>
          <w:tcPr>
            <w:cnfStyle w:val="001000000000"/>
            <w:tcW w:w="4968" w:type="dxa"/>
          </w:tcPr>
          <w:p w:rsidR="00693A3D" w:rsidRPr="00CB32B1" w:rsidRDefault="00693A3D" w:rsidP="0047587A">
            <w:pPr>
              <w:pStyle w:val="TableTextNormal"/>
            </w:pPr>
            <w:r w:rsidRPr="00CB32B1">
              <w:t>Maternity Coalition</w:t>
            </w:r>
          </w:p>
        </w:tc>
        <w:tc>
          <w:tcPr>
            <w:tcW w:w="4320" w:type="dxa"/>
          </w:tcPr>
          <w:p w:rsidR="00693A3D" w:rsidRPr="00CB32B1" w:rsidRDefault="00693A3D" w:rsidP="0047587A">
            <w:pPr>
              <w:pStyle w:val="TableTextNormal"/>
              <w:cnfStyle w:val="000000000000"/>
            </w:pPr>
            <w:r w:rsidRPr="00CB32B1">
              <w:t>Ann Catchlove, National President</w:t>
            </w:r>
          </w:p>
        </w:tc>
      </w:tr>
      <w:tr w:rsidR="00693A3D" w:rsidRPr="00CB32B1" w:rsidTr="0047587A">
        <w:tc>
          <w:tcPr>
            <w:cnfStyle w:val="001000000000"/>
            <w:tcW w:w="4968" w:type="dxa"/>
          </w:tcPr>
          <w:p w:rsidR="00693A3D" w:rsidRPr="00CB32B1" w:rsidRDefault="00693A3D" w:rsidP="0047587A">
            <w:pPr>
              <w:pStyle w:val="TableTextNormal"/>
            </w:pPr>
            <w:r w:rsidRPr="00CB32B1">
              <w:t>Medicare Australia</w:t>
            </w:r>
          </w:p>
        </w:tc>
        <w:tc>
          <w:tcPr>
            <w:tcW w:w="4320" w:type="dxa"/>
          </w:tcPr>
          <w:p w:rsidR="00693A3D" w:rsidRPr="00CB32B1" w:rsidRDefault="00693A3D" w:rsidP="0047587A">
            <w:pPr>
              <w:pStyle w:val="TableTextNormal"/>
              <w:cnfStyle w:val="000000000000"/>
            </w:pPr>
            <w:r w:rsidRPr="00CB32B1">
              <w:t>Kate Medwin, Director Quality &amp; Communications Section</w:t>
            </w:r>
          </w:p>
          <w:p w:rsidR="00693A3D" w:rsidRPr="00CB32B1" w:rsidRDefault="00693A3D" w:rsidP="0047587A">
            <w:pPr>
              <w:pStyle w:val="TableTextNormal"/>
              <w:cnfStyle w:val="000000000000"/>
            </w:pPr>
            <w:r w:rsidRPr="00CB32B1">
              <w:t>Jason Fairbrother, Statistical Information Section</w:t>
            </w:r>
          </w:p>
        </w:tc>
      </w:tr>
      <w:tr w:rsidR="00693A3D" w:rsidRPr="00CB32B1" w:rsidTr="0047587A">
        <w:tc>
          <w:tcPr>
            <w:cnfStyle w:val="001000000000"/>
            <w:tcW w:w="4968" w:type="dxa"/>
          </w:tcPr>
          <w:p w:rsidR="00693A3D" w:rsidRPr="00CB32B1" w:rsidRDefault="00693A3D" w:rsidP="0047587A">
            <w:pPr>
              <w:pStyle w:val="TableTextNormal"/>
            </w:pPr>
            <w:r w:rsidRPr="00CB32B1">
              <w:t>Midwives Australia</w:t>
            </w:r>
          </w:p>
        </w:tc>
        <w:tc>
          <w:tcPr>
            <w:tcW w:w="4320" w:type="dxa"/>
          </w:tcPr>
          <w:p w:rsidR="00693A3D" w:rsidRPr="00CB32B1" w:rsidRDefault="00693A3D" w:rsidP="0047587A">
            <w:pPr>
              <w:pStyle w:val="TableTextNormal"/>
              <w:cnfStyle w:val="000000000000"/>
            </w:pPr>
            <w:r w:rsidRPr="00CB32B1">
              <w:t>Elizabeth Wilkes, President</w:t>
            </w:r>
          </w:p>
        </w:tc>
      </w:tr>
      <w:tr w:rsidR="00693A3D" w:rsidRPr="00CB32B1" w:rsidTr="0047587A">
        <w:tc>
          <w:tcPr>
            <w:cnfStyle w:val="001000000000"/>
            <w:tcW w:w="4968" w:type="dxa"/>
          </w:tcPr>
          <w:p w:rsidR="00693A3D" w:rsidRPr="00CB32B1" w:rsidRDefault="00693A3D" w:rsidP="0047587A">
            <w:pPr>
              <w:pStyle w:val="TableTextNormal"/>
            </w:pPr>
            <w:r w:rsidRPr="00CB32B1">
              <w:t>MIGA, the Medical Insurance Group</w:t>
            </w:r>
          </w:p>
        </w:tc>
        <w:tc>
          <w:tcPr>
            <w:tcW w:w="4320" w:type="dxa"/>
          </w:tcPr>
          <w:p w:rsidR="00693A3D" w:rsidRPr="00CB32B1" w:rsidRDefault="00693A3D" w:rsidP="0047587A">
            <w:pPr>
              <w:pStyle w:val="TableTextNormal"/>
              <w:cnfStyle w:val="000000000000"/>
            </w:pPr>
            <w:r w:rsidRPr="00CB32B1">
              <w:t>Mandy Anderson, CEO and Managing Director</w:t>
            </w:r>
          </w:p>
          <w:p w:rsidR="00693A3D" w:rsidRPr="00CB32B1" w:rsidRDefault="00693A3D" w:rsidP="0047587A">
            <w:pPr>
              <w:pStyle w:val="TableTextNormal"/>
              <w:cnfStyle w:val="000000000000"/>
            </w:pPr>
            <w:r w:rsidRPr="00CB32B1">
              <w:t>Cheryl McDonald, Claims Department Manager</w:t>
            </w:r>
          </w:p>
        </w:tc>
      </w:tr>
      <w:tr w:rsidR="00693A3D" w:rsidRPr="00CB32B1" w:rsidTr="0047587A">
        <w:tc>
          <w:tcPr>
            <w:cnfStyle w:val="001000000000"/>
            <w:tcW w:w="4968" w:type="dxa"/>
          </w:tcPr>
          <w:p w:rsidR="00693A3D" w:rsidRPr="00CB32B1" w:rsidRDefault="00693A3D" w:rsidP="0047587A">
            <w:pPr>
              <w:pStyle w:val="TableTextNormal"/>
            </w:pPr>
            <w:r w:rsidRPr="00CB32B1">
              <w:t>Royal Australian and New Zealand College of Obstetricians and Gynaecologists</w:t>
            </w:r>
          </w:p>
        </w:tc>
        <w:tc>
          <w:tcPr>
            <w:tcW w:w="4320" w:type="dxa"/>
          </w:tcPr>
          <w:p w:rsidR="00693A3D" w:rsidRPr="00CB32B1" w:rsidRDefault="00693A3D" w:rsidP="0047587A">
            <w:pPr>
              <w:pStyle w:val="TableTextNormal"/>
              <w:cnfStyle w:val="000000000000"/>
            </w:pPr>
            <w:r w:rsidRPr="00CB32B1">
              <w:t>Professor Michael Permezel, President</w:t>
            </w:r>
          </w:p>
          <w:p w:rsidR="00693A3D" w:rsidRPr="00CB32B1" w:rsidRDefault="00693A3D" w:rsidP="0047587A">
            <w:pPr>
              <w:pStyle w:val="TableTextNormal"/>
              <w:cnfStyle w:val="000000000000"/>
            </w:pPr>
            <w:r w:rsidRPr="00CB32B1">
              <w:t>Peter White, Chief Executive Officer</w:t>
            </w:r>
          </w:p>
        </w:tc>
      </w:tr>
      <w:tr w:rsidR="00693A3D" w:rsidRPr="00CB32B1" w:rsidTr="0047587A">
        <w:tc>
          <w:tcPr>
            <w:cnfStyle w:val="001000000000"/>
            <w:tcW w:w="4968" w:type="dxa"/>
          </w:tcPr>
          <w:p w:rsidR="00693A3D" w:rsidRPr="00CB32B1" w:rsidRDefault="00693A3D" w:rsidP="0047587A">
            <w:pPr>
              <w:pStyle w:val="TableTextNormal"/>
            </w:pPr>
            <w:r w:rsidRPr="00CB32B1">
              <w:t>Sawtell and Sainsbury</w:t>
            </w:r>
          </w:p>
        </w:tc>
        <w:tc>
          <w:tcPr>
            <w:tcW w:w="4320" w:type="dxa"/>
          </w:tcPr>
          <w:p w:rsidR="00693A3D" w:rsidRPr="00CB32B1" w:rsidRDefault="00693A3D" w:rsidP="0047587A">
            <w:pPr>
              <w:pStyle w:val="TableTextNormal"/>
              <w:cnfStyle w:val="000000000000"/>
            </w:pPr>
            <w:r w:rsidRPr="00CB32B1">
              <w:t>Greg Sawtell, Director</w:t>
            </w:r>
          </w:p>
        </w:tc>
      </w:tr>
      <w:tr w:rsidR="00693A3D" w:rsidRPr="00CB32B1" w:rsidTr="0047587A">
        <w:tc>
          <w:tcPr>
            <w:cnfStyle w:val="001000000000"/>
            <w:tcW w:w="4968" w:type="dxa"/>
          </w:tcPr>
          <w:p w:rsidR="00693A3D" w:rsidRPr="00CB32B1" w:rsidRDefault="00693A3D" w:rsidP="0047587A">
            <w:pPr>
              <w:pStyle w:val="TableTextNormal"/>
            </w:pPr>
            <w:r w:rsidRPr="00CB32B1">
              <w:t>University of Technology, Sydney</w:t>
            </w:r>
          </w:p>
        </w:tc>
        <w:tc>
          <w:tcPr>
            <w:tcW w:w="4320" w:type="dxa"/>
          </w:tcPr>
          <w:p w:rsidR="00693A3D" w:rsidRPr="00CB32B1" w:rsidRDefault="00693A3D" w:rsidP="0047587A">
            <w:pPr>
              <w:pStyle w:val="TableTextNormal"/>
              <w:cnfStyle w:val="000000000000"/>
            </w:pPr>
            <w:r w:rsidRPr="00CB32B1">
              <w:t>Eamon Merrick, Research assistant</w:t>
            </w:r>
          </w:p>
        </w:tc>
      </w:tr>
      <w:tr w:rsidR="00693A3D" w:rsidRPr="00CB32B1" w:rsidTr="0047587A">
        <w:tc>
          <w:tcPr>
            <w:cnfStyle w:val="001000000000"/>
            <w:tcW w:w="4968" w:type="dxa"/>
          </w:tcPr>
          <w:p w:rsidR="00693A3D" w:rsidRPr="00CB32B1" w:rsidRDefault="00693A3D" w:rsidP="0047587A">
            <w:pPr>
              <w:pStyle w:val="TableTextNormal"/>
              <w:rPr>
                <w:b/>
                <w:color w:val="DC6900" w:themeColor="text2"/>
              </w:rPr>
            </w:pPr>
            <w:r w:rsidRPr="00CB32B1">
              <w:rPr>
                <w:b/>
                <w:color w:val="DC6900" w:themeColor="text2"/>
              </w:rPr>
              <w:t>International</w:t>
            </w:r>
          </w:p>
        </w:tc>
        <w:tc>
          <w:tcPr>
            <w:tcW w:w="4320" w:type="dxa"/>
          </w:tcPr>
          <w:p w:rsidR="00693A3D" w:rsidRPr="00CB32B1" w:rsidRDefault="00693A3D" w:rsidP="0047587A">
            <w:pPr>
              <w:pStyle w:val="TableTextNormal"/>
              <w:cnfStyle w:val="000000000000"/>
              <w:rPr>
                <w:b/>
                <w:color w:val="DC6900" w:themeColor="text2"/>
              </w:rPr>
            </w:pPr>
          </w:p>
        </w:tc>
      </w:tr>
      <w:tr w:rsidR="00693A3D" w:rsidRPr="00CB32B1" w:rsidTr="0047587A">
        <w:tc>
          <w:tcPr>
            <w:cnfStyle w:val="001000000000"/>
            <w:tcW w:w="4968" w:type="dxa"/>
            <w:shd w:val="clear" w:color="auto" w:fill="FFA351" w:themeFill="text2" w:themeFillTint="99"/>
          </w:tcPr>
          <w:p w:rsidR="00693A3D" w:rsidRPr="00CB32B1" w:rsidRDefault="00693A3D" w:rsidP="0047587A">
            <w:pPr>
              <w:pStyle w:val="TableColumnHeadingNormal"/>
            </w:pPr>
            <w:r w:rsidRPr="00CB32B1">
              <w:t>Canada:</w:t>
            </w:r>
          </w:p>
        </w:tc>
        <w:tc>
          <w:tcPr>
            <w:tcW w:w="4320" w:type="dxa"/>
            <w:shd w:val="clear" w:color="auto" w:fill="FFA351" w:themeFill="text2" w:themeFillTint="99"/>
          </w:tcPr>
          <w:p w:rsidR="00693A3D" w:rsidRPr="00CB32B1" w:rsidRDefault="00693A3D" w:rsidP="0047587A">
            <w:pPr>
              <w:pStyle w:val="TableColumnHeadingNormal"/>
              <w:cnfStyle w:val="000000000000"/>
            </w:pPr>
          </w:p>
        </w:tc>
      </w:tr>
      <w:tr w:rsidR="00693A3D" w:rsidRPr="00CB32B1" w:rsidTr="0047587A">
        <w:tc>
          <w:tcPr>
            <w:cnfStyle w:val="001000000000"/>
            <w:tcW w:w="4968" w:type="dxa"/>
          </w:tcPr>
          <w:p w:rsidR="00693A3D" w:rsidRPr="00CB32B1" w:rsidRDefault="00693A3D" w:rsidP="0047587A">
            <w:pPr>
              <w:pStyle w:val="TableTextNormal"/>
            </w:pPr>
            <w:r w:rsidRPr="00CB32B1">
              <w:t>Health Insurance Reciprocal of Canada (HIROC)</w:t>
            </w:r>
          </w:p>
        </w:tc>
        <w:tc>
          <w:tcPr>
            <w:tcW w:w="4320" w:type="dxa"/>
          </w:tcPr>
          <w:p w:rsidR="00693A3D" w:rsidRPr="00CB32B1" w:rsidRDefault="00693A3D" w:rsidP="0047587A">
            <w:pPr>
              <w:pStyle w:val="TableTextNormal"/>
              <w:cnfStyle w:val="000000000000"/>
            </w:pPr>
            <w:r w:rsidRPr="00CB32B1">
              <w:t>Peter Flattery, Chief Executive Officer</w:t>
            </w:r>
          </w:p>
          <w:p w:rsidR="00693A3D" w:rsidRPr="00CB32B1" w:rsidRDefault="00693A3D" w:rsidP="0047587A">
            <w:pPr>
              <w:pStyle w:val="TableTextNormal"/>
              <w:cnfStyle w:val="000000000000"/>
            </w:pPr>
            <w:r w:rsidRPr="00CB32B1">
              <w:t>Mike Boyce, Vice President – Claims</w:t>
            </w:r>
          </w:p>
          <w:p w:rsidR="00693A3D" w:rsidRPr="00CB32B1" w:rsidRDefault="00693A3D" w:rsidP="0047587A">
            <w:pPr>
              <w:pStyle w:val="TableTextNormal"/>
              <w:cnfStyle w:val="000000000000"/>
            </w:pPr>
            <w:r w:rsidRPr="00CB32B1">
              <w:t>Susan Flattery, Vice President – Western Region</w:t>
            </w:r>
          </w:p>
        </w:tc>
      </w:tr>
      <w:tr w:rsidR="00693A3D" w:rsidRPr="00CB32B1" w:rsidTr="0047587A">
        <w:tc>
          <w:tcPr>
            <w:cnfStyle w:val="001000000000"/>
            <w:tcW w:w="4968" w:type="dxa"/>
          </w:tcPr>
          <w:p w:rsidR="00693A3D" w:rsidRPr="00CB32B1" w:rsidRDefault="00693A3D" w:rsidP="0047587A">
            <w:pPr>
              <w:pStyle w:val="TableTextNormal"/>
            </w:pPr>
            <w:r w:rsidRPr="00CB32B1">
              <w:t>Association of Ontario Midwives</w:t>
            </w:r>
          </w:p>
        </w:tc>
        <w:tc>
          <w:tcPr>
            <w:tcW w:w="4320" w:type="dxa"/>
          </w:tcPr>
          <w:p w:rsidR="00693A3D" w:rsidRPr="00CB32B1" w:rsidRDefault="00693A3D" w:rsidP="0047587A">
            <w:pPr>
              <w:pStyle w:val="TableTextNormal"/>
              <w:cnfStyle w:val="000000000000"/>
            </w:pPr>
            <w:r w:rsidRPr="00CB32B1">
              <w:t>Bobbi Soderstrom, Director of Insurance and Risk Management</w:t>
            </w:r>
          </w:p>
        </w:tc>
      </w:tr>
      <w:tr w:rsidR="00693A3D" w:rsidRPr="00CB32B1" w:rsidTr="0047587A">
        <w:tc>
          <w:tcPr>
            <w:cnfStyle w:val="001000000000"/>
            <w:tcW w:w="4968" w:type="dxa"/>
            <w:shd w:val="clear" w:color="auto" w:fill="FFA351" w:themeFill="text2" w:themeFillTint="99"/>
          </w:tcPr>
          <w:p w:rsidR="00693A3D" w:rsidRPr="00CB32B1" w:rsidRDefault="00693A3D" w:rsidP="0047587A">
            <w:pPr>
              <w:pStyle w:val="TableColumnHeadingNormal"/>
            </w:pPr>
            <w:r w:rsidRPr="00CB32B1">
              <w:t>England:</w:t>
            </w:r>
          </w:p>
        </w:tc>
        <w:tc>
          <w:tcPr>
            <w:tcW w:w="4320" w:type="dxa"/>
            <w:shd w:val="clear" w:color="auto" w:fill="FFA351" w:themeFill="text2" w:themeFillTint="99"/>
          </w:tcPr>
          <w:p w:rsidR="00693A3D" w:rsidRPr="00CB32B1" w:rsidRDefault="00693A3D" w:rsidP="0047587A">
            <w:pPr>
              <w:pStyle w:val="TableColumnHeadingNormal"/>
              <w:cnfStyle w:val="000000000000"/>
            </w:pPr>
          </w:p>
        </w:tc>
      </w:tr>
      <w:tr w:rsidR="00693A3D" w:rsidRPr="00CB32B1" w:rsidTr="0047587A">
        <w:tc>
          <w:tcPr>
            <w:cnfStyle w:val="001000000000"/>
            <w:tcW w:w="4968" w:type="dxa"/>
          </w:tcPr>
          <w:p w:rsidR="00693A3D" w:rsidRPr="00CB32B1" w:rsidRDefault="00693A3D" w:rsidP="0047587A">
            <w:pPr>
              <w:pStyle w:val="TableTextNormal"/>
            </w:pPr>
            <w:r w:rsidRPr="00CB32B1">
              <w:t>Independent Midwives UK</w:t>
            </w:r>
          </w:p>
        </w:tc>
        <w:tc>
          <w:tcPr>
            <w:tcW w:w="4320" w:type="dxa"/>
          </w:tcPr>
          <w:p w:rsidR="00693A3D" w:rsidRPr="00CB32B1" w:rsidRDefault="00693A3D" w:rsidP="0047587A">
            <w:pPr>
              <w:pStyle w:val="TableTextNormal"/>
              <w:cnfStyle w:val="000000000000"/>
            </w:pPr>
            <w:r w:rsidRPr="00CB32B1">
              <w:t>Brenda van der Kooy, Political Secretary</w:t>
            </w:r>
          </w:p>
        </w:tc>
      </w:tr>
      <w:tr w:rsidR="00693A3D" w:rsidRPr="00CB32B1" w:rsidTr="0047587A">
        <w:tc>
          <w:tcPr>
            <w:cnfStyle w:val="001000000000"/>
            <w:tcW w:w="4968" w:type="dxa"/>
          </w:tcPr>
          <w:p w:rsidR="00693A3D" w:rsidRPr="00CB32B1" w:rsidRDefault="00693A3D" w:rsidP="0047587A">
            <w:pPr>
              <w:pStyle w:val="TableTextNormal"/>
            </w:pPr>
            <w:r w:rsidRPr="00CB32B1">
              <w:t xml:space="preserve">R K Harrison Insurance Services </w:t>
            </w:r>
          </w:p>
        </w:tc>
        <w:tc>
          <w:tcPr>
            <w:tcW w:w="4320" w:type="dxa"/>
          </w:tcPr>
          <w:p w:rsidR="00693A3D" w:rsidRPr="00CB32B1" w:rsidRDefault="00693A3D" w:rsidP="0047587A">
            <w:pPr>
              <w:pStyle w:val="TableTextNormal"/>
              <w:cnfStyle w:val="000000000000"/>
            </w:pPr>
            <w:r w:rsidRPr="00CB32B1">
              <w:t>Mark Riley-Pitt, Trust Manager – Client services</w:t>
            </w:r>
          </w:p>
        </w:tc>
      </w:tr>
      <w:tr w:rsidR="00693A3D" w:rsidRPr="00CB32B1" w:rsidTr="0047587A">
        <w:tc>
          <w:tcPr>
            <w:cnfStyle w:val="001000000000"/>
            <w:tcW w:w="4968" w:type="dxa"/>
          </w:tcPr>
          <w:p w:rsidR="00693A3D" w:rsidRPr="00CB32B1" w:rsidRDefault="00693A3D" w:rsidP="0047587A">
            <w:pPr>
              <w:pStyle w:val="TableTextNormal"/>
            </w:pPr>
            <w:r w:rsidRPr="00CB32B1">
              <w:t>Royal College of Midwives, UK</w:t>
            </w:r>
          </w:p>
        </w:tc>
        <w:tc>
          <w:tcPr>
            <w:tcW w:w="4320" w:type="dxa"/>
          </w:tcPr>
          <w:p w:rsidR="00693A3D" w:rsidRPr="00CB32B1" w:rsidRDefault="00693A3D" w:rsidP="0047587A">
            <w:pPr>
              <w:pStyle w:val="TableTextNormal"/>
              <w:cnfStyle w:val="000000000000"/>
            </w:pPr>
            <w:r w:rsidRPr="00CB32B1">
              <w:t>Louise Silverton, Director for Midwifery</w:t>
            </w:r>
          </w:p>
        </w:tc>
      </w:tr>
      <w:tr w:rsidR="00693A3D" w:rsidRPr="00CB32B1" w:rsidTr="0047587A">
        <w:tc>
          <w:tcPr>
            <w:cnfStyle w:val="001000000000"/>
            <w:tcW w:w="4968" w:type="dxa"/>
          </w:tcPr>
          <w:p w:rsidR="00693A3D" w:rsidRPr="00CB32B1" w:rsidRDefault="00693A3D" w:rsidP="0047587A">
            <w:pPr>
              <w:pStyle w:val="TableTextNormal"/>
            </w:pPr>
            <w:r w:rsidRPr="00CB32B1">
              <w:t>The Nursing and Midwifery Council</w:t>
            </w:r>
          </w:p>
        </w:tc>
        <w:tc>
          <w:tcPr>
            <w:tcW w:w="4320" w:type="dxa"/>
          </w:tcPr>
          <w:p w:rsidR="00693A3D" w:rsidRPr="00CB32B1" w:rsidRDefault="00693A3D" w:rsidP="0047587A">
            <w:pPr>
              <w:pStyle w:val="TableTextNormal"/>
              <w:cnfStyle w:val="000000000000"/>
            </w:pPr>
            <w:r w:rsidRPr="00CB32B1">
              <w:t xml:space="preserve">Carmel Lloyd, Standards Development Manager </w:t>
            </w:r>
          </w:p>
          <w:p w:rsidR="00693A3D" w:rsidRPr="00CB32B1" w:rsidRDefault="00693A3D" w:rsidP="0047587A">
            <w:pPr>
              <w:pStyle w:val="TableTextNormal"/>
              <w:cnfStyle w:val="000000000000"/>
            </w:pPr>
            <w:r w:rsidRPr="00CB32B1">
              <w:t>Darren Shell, Policy Manager – Corporate Governance</w:t>
            </w:r>
          </w:p>
        </w:tc>
      </w:tr>
      <w:tr w:rsidR="00693A3D" w:rsidRPr="00CB32B1" w:rsidTr="0047587A">
        <w:tc>
          <w:tcPr>
            <w:cnfStyle w:val="001000000000"/>
            <w:tcW w:w="4968" w:type="dxa"/>
            <w:shd w:val="clear" w:color="auto" w:fill="FFA351" w:themeFill="text2" w:themeFillTint="99"/>
          </w:tcPr>
          <w:p w:rsidR="00693A3D" w:rsidRPr="00CB32B1" w:rsidRDefault="00693A3D" w:rsidP="0047587A">
            <w:pPr>
              <w:pStyle w:val="TableColumnHeadingNormal"/>
            </w:pPr>
            <w:r w:rsidRPr="00CB32B1">
              <w:t>The Netherlands:</w:t>
            </w:r>
          </w:p>
        </w:tc>
        <w:tc>
          <w:tcPr>
            <w:tcW w:w="4320" w:type="dxa"/>
            <w:shd w:val="clear" w:color="auto" w:fill="FFA351" w:themeFill="text2" w:themeFillTint="99"/>
          </w:tcPr>
          <w:p w:rsidR="00693A3D" w:rsidRPr="00CB32B1" w:rsidRDefault="00693A3D" w:rsidP="0047587A">
            <w:pPr>
              <w:pStyle w:val="TableColumnHeadingNormal"/>
              <w:cnfStyle w:val="000000000000"/>
            </w:pPr>
          </w:p>
        </w:tc>
      </w:tr>
      <w:tr w:rsidR="00693A3D" w:rsidRPr="00CB32B1" w:rsidTr="0047587A">
        <w:tc>
          <w:tcPr>
            <w:cnfStyle w:val="001000000000"/>
            <w:tcW w:w="4968" w:type="dxa"/>
          </w:tcPr>
          <w:p w:rsidR="00693A3D" w:rsidRPr="00CB32B1" w:rsidRDefault="00693A3D" w:rsidP="0047587A">
            <w:pPr>
              <w:pStyle w:val="TableTextNormal"/>
            </w:pPr>
            <w:r w:rsidRPr="00CB32B1">
              <w:t>De Goudse</w:t>
            </w:r>
          </w:p>
        </w:tc>
        <w:tc>
          <w:tcPr>
            <w:tcW w:w="4320" w:type="dxa"/>
          </w:tcPr>
          <w:p w:rsidR="00693A3D" w:rsidRPr="00CB32B1" w:rsidRDefault="00693A3D" w:rsidP="0047587A">
            <w:pPr>
              <w:pStyle w:val="TableTextNormal"/>
              <w:cnfStyle w:val="000000000000"/>
            </w:pPr>
            <w:r w:rsidRPr="00CB32B1">
              <w:t>Insurance representatives</w:t>
            </w:r>
          </w:p>
        </w:tc>
      </w:tr>
      <w:tr w:rsidR="00693A3D" w:rsidRPr="00CB32B1" w:rsidTr="0047587A">
        <w:tc>
          <w:tcPr>
            <w:cnfStyle w:val="001000000000"/>
            <w:tcW w:w="4968" w:type="dxa"/>
          </w:tcPr>
          <w:p w:rsidR="00693A3D" w:rsidRPr="00CB32B1" w:rsidRDefault="00693A3D" w:rsidP="0047587A">
            <w:pPr>
              <w:pStyle w:val="TableTextNormal"/>
            </w:pPr>
            <w:r w:rsidRPr="00CB32B1">
              <w:t>Frisia</w:t>
            </w:r>
          </w:p>
        </w:tc>
        <w:tc>
          <w:tcPr>
            <w:tcW w:w="4320" w:type="dxa"/>
          </w:tcPr>
          <w:p w:rsidR="00693A3D" w:rsidRPr="00CB32B1" w:rsidRDefault="00693A3D" w:rsidP="0047587A">
            <w:pPr>
              <w:pStyle w:val="TableTextNormal"/>
              <w:cnfStyle w:val="000000000000"/>
            </w:pPr>
            <w:r w:rsidRPr="00CB32B1">
              <w:t>Insurance representatives</w:t>
            </w:r>
          </w:p>
        </w:tc>
      </w:tr>
      <w:tr w:rsidR="00693A3D" w:rsidRPr="00CB32B1" w:rsidTr="0047587A">
        <w:tc>
          <w:tcPr>
            <w:cnfStyle w:val="001000000000"/>
            <w:tcW w:w="4968" w:type="dxa"/>
          </w:tcPr>
          <w:p w:rsidR="00693A3D" w:rsidRPr="00CB32B1" w:rsidRDefault="00693A3D" w:rsidP="0047587A">
            <w:pPr>
              <w:pStyle w:val="TableTextNormal"/>
            </w:pPr>
            <w:r w:rsidRPr="00CB32B1">
              <w:t>Royal Dutch Midwives Association (KNOV)</w:t>
            </w:r>
          </w:p>
        </w:tc>
        <w:tc>
          <w:tcPr>
            <w:tcW w:w="4320" w:type="dxa"/>
          </w:tcPr>
          <w:p w:rsidR="00693A3D" w:rsidRPr="00CB32B1" w:rsidRDefault="00693A3D" w:rsidP="0047587A">
            <w:pPr>
              <w:pStyle w:val="TableTextNormal"/>
              <w:cnfStyle w:val="000000000000"/>
            </w:pPr>
            <w:r w:rsidRPr="00CB32B1">
              <w:t>Franka Cadee, Midwife and International Projects Coordinator</w:t>
            </w:r>
          </w:p>
        </w:tc>
      </w:tr>
      <w:tr w:rsidR="00693A3D" w:rsidRPr="00CB32B1" w:rsidTr="0047587A">
        <w:tc>
          <w:tcPr>
            <w:cnfStyle w:val="001000000000"/>
            <w:tcW w:w="4968" w:type="dxa"/>
          </w:tcPr>
          <w:p w:rsidR="00693A3D" w:rsidRPr="00CB32B1" w:rsidRDefault="00693A3D" w:rsidP="0047587A">
            <w:pPr>
              <w:pStyle w:val="TableTextNormal"/>
            </w:pPr>
            <w:r w:rsidRPr="00CB32B1">
              <w:t>VVAA</w:t>
            </w:r>
          </w:p>
        </w:tc>
        <w:tc>
          <w:tcPr>
            <w:tcW w:w="4320" w:type="dxa"/>
          </w:tcPr>
          <w:p w:rsidR="00693A3D" w:rsidRPr="00CB32B1" w:rsidRDefault="00693A3D" w:rsidP="0047587A">
            <w:pPr>
              <w:pStyle w:val="TableTextNormal"/>
              <w:cnfStyle w:val="000000000000"/>
            </w:pPr>
            <w:r w:rsidRPr="00CB32B1">
              <w:t>Insurance representatives</w:t>
            </w:r>
          </w:p>
        </w:tc>
      </w:tr>
      <w:tr w:rsidR="00693A3D" w:rsidRPr="00CB32B1" w:rsidTr="0047587A">
        <w:tc>
          <w:tcPr>
            <w:cnfStyle w:val="001000000000"/>
            <w:tcW w:w="4968" w:type="dxa"/>
            <w:shd w:val="clear" w:color="auto" w:fill="FFA351" w:themeFill="text2" w:themeFillTint="99"/>
          </w:tcPr>
          <w:p w:rsidR="00693A3D" w:rsidRPr="00CB32B1" w:rsidRDefault="00693A3D" w:rsidP="0047587A">
            <w:pPr>
              <w:pStyle w:val="TableColumnHeadingNormal"/>
            </w:pPr>
            <w:bookmarkStart w:id="115" w:name="_Hlk354431585"/>
            <w:r w:rsidRPr="00CB32B1">
              <w:t>New Zealand:</w:t>
            </w:r>
          </w:p>
        </w:tc>
        <w:tc>
          <w:tcPr>
            <w:tcW w:w="4320" w:type="dxa"/>
            <w:shd w:val="clear" w:color="auto" w:fill="FFA351" w:themeFill="text2" w:themeFillTint="99"/>
          </w:tcPr>
          <w:p w:rsidR="00693A3D" w:rsidRPr="00CB32B1" w:rsidRDefault="00693A3D" w:rsidP="0047587A">
            <w:pPr>
              <w:pStyle w:val="TableColumnHeadingNormal"/>
              <w:cnfStyle w:val="000000000000"/>
            </w:pPr>
          </w:p>
        </w:tc>
      </w:tr>
      <w:tr w:rsidR="00693A3D" w:rsidRPr="00CB32B1" w:rsidTr="0047587A">
        <w:tc>
          <w:tcPr>
            <w:cnfStyle w:val="001000000000"/>
            <w:tcW w:w="4968" w:type="dxa"/>
          </w:tcPr>
          <w:p w:rsidR="00693A3D" w:rsidRPr="00CB32B1" w:rsidRDefault="00693A3D" w:rsidP="0047587A">
            <w:pPr>
              <w:pStyle w:val="TableTextNormal"/>
            </w:pPr>
            <w:r w:rsidRPr="00CB32B1">
              <w:t xml:space="preserve">Health Practitioner Disciplinary Tribunal </w:t>
            </w:r>
          </w:p>
        </w:tc>
        <w:tc>
          <w:tcPr>
            <w:tcW w:w="4320" w:type="dxa"/>
          </w:tcPr>
          <w:p w:rsidR="00693A3D" w:rsidRPr="00CB32B1" w:rsidRDefault="00693A3D" w:rsidP="0047587A">
            <w:pPr>
              <w:pStyle w:val="TableTextNormal"/>
              <w:cnfStyle w:val="000000000000"/>
            </w:pPr>
            <w:r w:rsidRPr="00CB32B1">
              <w:t>Gay Fraser, Executive Officer</w:t>
            </w:r>
          </w:p>
        </w:tc>
      </w:tr>
      <w:tr w:rsidR="00693A3D" w:rsidRPr="00CB32B1" w:rsidTr="0047587A">
        <w:tc>
          <w:tcPr>
            <w:cnfStyle w:val="001000000000"/>
            <w:tcW w:w="4968" w:type="dxa"/>
          </w:tcPr>
          <w:p w:rsidR="00693A3D" w:rsidRPr="00CB32B1" w:rsidRDefault="00693A3D" w:rsidP="0047587A">
            <w:pPr>
              <w:pStyle w:val="TableTextNormal"/>
            </w:pPr>
            <w:r w:rsidRPr="00CB32B1">
              <w:t>Forward Planning Limited, NZ</w:t>
            </w:r>
          </w:p>
        </w:tc>
        <w:tc>
          <w:tcPr>
            <w:tcW w:w="4320" w:type="dxa"/>
          </w:tcPr>
          <w:p w:rsidR="00693A3D" w:rsidRPr="00CB32B1" w:rsidRDefault="00693A3D" w:rsidP="0047587A">
            <w:pPr>
              <w:pStyle w:val="TableTextNormal"/>
              <w:cnfStyle w:val="000000000000"/>
            </w:pPr>
            <w:r w:rsidRPr="00CB32B1">
              <w:t>Russell Forward, Insurance broker to New Zealand College of Midwives</w:t>
            </w:r>
          </w:p>
        </w:tc>
      </w:tr>
      <w:tr w:rsidR="00693A3D" w:rsidRPr="00CB32B1" w:rsidTr="0047587A">
        <w:tc>
          <w:tcPr>
            <w:cnfStyle w:val="001000000000"/>
            <w:tcW w:w="4968" w:type="dxa"/>
          </w:tcPr>
          <w:p w:rsidR="00693A3D" w:rsidRPr="00CB32B1" w:rsidRDefault="00693A3D" w:rsidP="0047587A">
            <w:pPr>
              <w:pStyle w:val="TableTextNormal"/>
            </w:pPr>
            <w:r w:rsidRPr="00CB32B1">
              <w:t>New Zealand College of Midwives</w:t>
            </w:r>
          </w:p>
        </w:tc>
        <w:tc>
          <w:tcPr>
            <w:tcW w:w="4320" w:type="dxa"/>
          </w:tcPr>
          <w:p w:rsidR="00693A3D" w:rsidRPr="00CB32B1" w:rsidRDefault="00693A3D" w:rsidP="0047587A">
            <w:pPr>
              <w:pStyle w:val="TableTextNormal"/>
              <w:cnfStyle w:val="000000000000"/>
            </w:pPr>
            <w:r w:rsidRPr="00CB32B1">
              <w:t xml:space="preserve">Karen </w:t>
            </w:r>
            <w:r w:rsidR="006959C5" w:rsidRPr="00BA5387">
              <w:t>Guilliland</w:t>
            </w:r>
            <w:r w:rsidRPr="00CB32B1">
              <w:t>, Chief Executive Officer</w:t>
            </w:r>
          </w:p>
        </w:tc>
      </w:tr>
      <w:tr w:rsidR="00693A3D" w:rsidRPr="00CB32B1" w:rsidTr="0047587A">
        <w:tc>
          <w:tcPr>
            <w:cnfStyle w:val="001000000000"/>
            <w:tcW w:w="4968" w:type="dxa"/>
          </w:tcPr>
          <w:p w:rsidR="00693A3D" w:rsidRPr="00CB32B1" w:rsidRDefault="00693A3D" w:rsidP="0047587A">
            <w:pPr>
              <w:pStyle w:val="TableTextNormal"/>
            </w:pPr>
            <w:r w:rsidRPr="00CB32B1">
              <w:t>NZ Midwifery Council</w:t>
            </w:r>
          </w:p>
        </w:tc>
        <w:tc>
          <w:tcPr>
            <w:tcW w:w="4320" w:type="dxa"/>
          </w:tcPr>
          <w:p w:rsidR="00693A3D" w:rsidRPr="00CB32B1" w:rsidRDefault="00693A3D" w:rsidP="0047587A">
            <w:pPr>
              <w:pStyle w:val="TableTextNormal"/>
              <w:cnfStyle w:val="000000000000"/>
            </w:pPr>
            <w:r w:rsidRPr="00CB32B1">
              <w:t>Sharron Cole, Chief Executive Officer</w:t>
            </w:r>
          </w:p>
        </w:tc>
      </w:tr>
      <w:bookmarkEnd w:id="115"/>
    </w:tbl>
    <w:p w:rsidR="00693A3D" w:rsidRPr="00CB32B1" w:rsidRDefault="00693A3D" w:rsidP="00693A3D">
      <w:pPr>
        <w:pStyle w:val="PwCNormal"/>
        <w:numPr>
          <w:ilvl w:val="0"/>
          <w:numId w:val="0"/>
        </w:numPr>
      </w:pPr>
    </w:p>
    <w:p w:rsidR="00693A3D" w:rsidRPr="00CB32B1" w:rsidRDefault="00693A3D" w:rsidP="00693A3D">
      <w:pPr>
        <w:pStyle w:val="PwCNormal"/>
        <w:numPr>
          <w:ilvl w:val="0"/>
          <w:numId w:val="0"/>
        </w:numPr>
        <w:sectPr w:rsidR="00693A3D" w:rsidRPr="00CB32B1" w:rsidSect="00D6084C">
          <w:headerReference w:type="even" r:id="rId83"/>
          <w:headerReference w:type="default" r:id="rId84"/>
          <w:footerReference w:type="even" r:id="rId85"/>
          <w:headerReference w:type="first" r:id="rId86"/>
          <w:pgSz w:w="11907" w:h="16840" w:code="9"/>
          <w:pgMar w:top="1699" w:right="1138" w:bottom="1699" w:left="1138" w:header="677" w:footer="677" w:gutter="562"/>
          <w:cols w:space="708"/>
          <w:titlePg/>
          <w:docGrid w:linePitch="360"/>
        </w:sectPr>
      </w:pPr>
    </w:p>
    <w:p w:rsidR="00FC0CC6" w:rsidRPr="00CB32B1" w:rsidRDefault="00FC0CC6" w:rsidP="00FC0CC6">
      <w:pPr>
        <w:pStyle w:val="AppendixPanelFrameappendix"/>
        <w:framePr w:wrap="notBeside" w:hAnchor="page" w:x="1044"/>
        <w:rPr>
          <w:lang w:val="en-AU"/>
        </w:rPr>
      </w:pPr>
    </w:p>
    <w:p w:rsidR="00693A3D" w:rsidRPr="00CB32B1" w:rsidRDefault="00693A3D" w:rsidP="00693A3D">
      <w:pPr>
        <w:pStyle w:val="Heading4"/>
      </w:pPr>
      <w:bookmarkStart w:id="116" w:name="_Toc361328126"/>
      <w:bookmarkStart w:id="117" w:name="_Toc362975068"/>
      <w:bookmarkStart w:id="118" w:name="_Toc362975079"/>
      <w:r w:rsidRPr="00CB32B1">
        <w:t>Definitions</w:t>
      </w:r>
      <w:bookmarkEnd w:id="116"/>
      <w:bookmarkEnd w:id="117"/>
      <w:bookmarkEnd w:id="118"/>
    </w:p>
    <w:p w:rsidR="00693A3D" w:rsidRPr="00CB32B1" w:rsidRDefault="00693A3D" w:rsidP="00693A3D">
      <w:pPr>
        <w:pStyle w:val="Majorheading"/>
      </w:pPr>
      <w:r w:rsidRPr="00CB32B1">
        <w:t>D.1. Midwifery definition</w:t>
      </w:r>
    </w:p>
    <w:p w:rsidR="00693A3D" w:rsidRPr="00CB32B1" w:rsidRDefault="00693A3D" w:rsidP="00693A3D">
      <w:pPr>
        <w:pStyle w:val="Minorheading"/>
      </w:pPr>
      <w:r w:rsidRPr="00CB32B1">
        <w:t>International Confederation of Midwives definition</w:t>
      </w:r>
    </w:p>
    <w:p w:rsidR="00693A3D" w:rsidRPr="00CB32B1" w:rsidRDefault="00904784" w:rsidP="00693A3D">
      <w:pPr>
        <w:pStyle w:val="PwCNormal"/>
      </w:pPr>
      <w:r>
        <w:t>A m</w:t>
      </w:r>
      <w:r w:rsidR="00693A3D" w:rsidRPr="00CB32B1">
        <w:t>idwife is defined by the International Confederation of Midwives (ICM) (International Confederation of Midwives) as:</w:t>
      </w:r>
      <w:r w:rsidR="00693A3D" w:rsidRPr="00CB32B1">
        <w:rPr>
          <w:rStyle w:val="FootnoteReference"/>
        </w:rPr>
        <w:footnoteReference w:id="304"/>
      </w:r>
    </w:p>
    <w:p w:rsidR="00E335D3" w:rsidRDefault="00693A3D" w:rsidP="00551164">
      <w:pPr>
        <w:pStyle w:val="Indent1"/>
        <w:rPr>
          <w:i/>
          <w:color w:val="DC6900" w:themeColor="text2"/>
        </w:rPr>
      </w:pPr>
      <w:r w:rsidRPr="00CB32B1">
        <w:rPr>
          <w:i/>
          <w:color w:val="DC6900" w:themeColor="text2"/>
        </w:rPr>
        <w:t>“a person who has successfully completed a midwifery education programme that is duly recognized in the country where it is located and that is based on the ICM Essential Competencies for Basic Midwifery Practice and the framework of the ICM Global Standards for Midwifery Education; who has acquired the requisite qualifications to be registered and/or legally licensed to practice midwifery and use the title ‘midwife’; and who demonstrates competency in the practice of midwifery</w:t>
      </w:r>
    </w:p>
    <w:p w:rsidR="00E335D3" w:rsidRDefault="00E335D3" w:rsidP="00551164">
      <w:pPr>
        <w:pStyle w:val="Indent1"/>
        <w:rPr>
          <w:i/>
          <w:color w:val="DC6900" w:themeColor="text2"/>
        </w:rPr>
      </w:pPr>
      <w:r>
        <w:rPr>
          <w:i/>
          <w:color w:val="DC6900" w:themeColor="text2"/>
        </w:rPr>
        <w:t>Scope of Practice</w:t>
      </w:r>
    </w:p>
    <w:p w:rsidR="00E335D3" w:rsidRDefault="00E335D3" w:rsidP="00551164">
      <w:pPr>
        <w:pStyle w:val="Indent1"/>
        <w:rPr>
          <w:i/>
          <w:color w:val="DC6900" w:themeColor="text2"/>
        </w:rPr>
      </w:pPr>
      <w:r>
        <w:rPr>
          <w:i/>
          <w:color w:val="DC6900" w:themeColor="text2"/>
        </w:rPr>
        <w:t>The midwife is recognised as a responsible and accountable professional who works in partnership with women to give the necessary support, care and advice during pregnancy, labour and the postpartum period, to conduct births on the midwife’s own responsibility and to provide care for the newborn and the infant. This care includes preventative measures, the promotion of normal birth, the detection of complications in mother and child, the accessing of medical care or other appropriate assistance and the carrying out of emergency measures.</w:t>
      </w:r>
    </w:p>
    <w:p w:rsidR="00E335D3" w:rsidRDefault="00E335D3" w:rsidP="00551164">
      <w:pPr>
        <w:pStyle w:val="Indent1"/>
        <w:rPr>
          <w:i/>
          <w:color w:val="DC6900" w:themeColor="text2"/>
        </w:rPr>
      </w:pPr>
      <w:r>
        <w:rPr>
          <w:i/>
          <w:color w:val="DC6900" w:themeColor="text2"/>
        </w:rPr>
        <w:t>The midwife has an important task in health counselling and education, not only for the woman, but also within the family and community. This work should involve antenatal education and preparation for parenthood and may extend to women’s health, sexual or reproductive health and child care.</w:t>
      </w:r>
    </w:p>
    <w:p w:rsidR="00693A3D" w:rsidRPr="00CB32B1" w:rsidRDefault="00E335D3" w:rsidP="00551164">
      <w:pPr>
        <w:pStyle w:val="Indent1"/>
        <w:rPr>
          <w:i/>
          <w:color w:val="DC6900" w:themeColor="text2"/>
        </w:rPr>
      </w:pPr>
      <w:r>
        <w:rPr>
          <w:i/>
          <w:color w:val="DC6900" w:themeColor="text2"/>
        </w:rPr>
        <w:t>A midwife may practise in any setting including the home, community, hospitals, clinics or health units.</w:t>
      </w:r>
      <w:r w:rsidR="00693A3D" w:rsidRPr="00CB32B1">
        <w:rPr>
          <w:i/>
          <w:color w:val="DC6900" w:themeColor="text2"/>
        </w:rPr>
        <w:t>”</w:t>
      </w:r>
    </w:p>
    <w:p w:rsidR="00693A3D" w:rsidRPr="00CB32B1" w:rsidRDefault="00693A3D" w:rsidP="00693A3D">
      <w:pPr>
        <w:pStyle w:val="Majorheading"/>
      </w:pPr>
      <w:r w:rsidRPr="00CB32B1">
        <w:t>D.2. PPM definitions</w:t>
      </w:r>
    </w:p>
    <w:p w:rsidR="00693A3D" w:rsidRPr="00CB32B1" w:rsidRDefault="00693A3D" w:rsidP="00693A3D">
      <w:pPr>
        <w:pStyle w:val="Minorheading"/>
      </w:pPr>
      <w:r w:rsidRPr="00CB32B1">
        <w:t>National Law definition</w:t>
      </w:r>
    </w:p>
    <w:p w:rsidR="00693A3D" w:rsidRPr="00CB32B1" w:rsidRDefault="00693A3D" w:rsidP="00693A3D">
      <w:pPr>
        <w:pStyle w:val="PwCNormal"/>
      </w:pPr>
      <w:r w:rsidRPr="00CB32B1">
        <w:t>Currently, under section 284 of the National Law,</w:t>
      </w:r>
      <w:r w:rsidR="00831915">
        <w:rPr>
          <w:rStyle w:val="FootnoteReference"/>
        </w:rPr>
        <w:footnoteReference w:id="305"/>
      </w:r>
      <w:r w:rsidRPr="00CB32B1">
        <w:t xml:space="preserve"> private midwifery means practising the midwifery profession:</w:t>
      </w:r>
    </w:p>
    <w:p w:rsidR="00693A3D" w:rsidRPr="00CB32B1" w:rsidRDefault="00693A3D" w:rsidP="00693A3D">
      <w:pPr>
        <w:pStyle w:val="ChapterNumberedList1"/>
      </w:pPr>
      <w:r w:rsidRPr="00CB32B1">
        <w:t>In the course of attending a homebirth</w:t>
      </w:r>
    </w:p>
    <w:p w:rsidR="00693A3D" w:rsidRPr="00CB32B1" w:rsidRDefault="00693A3D" w:rsidP="00693A3D">
      <w:pPr>
        <w:pStyle w:val="ChapterNumberedList1"/>
      </w:pPr>
      <w:r w:rsidRPr="00CB32B1">
        <w:t>Without appropriate professional indemnity insurance arrangements being in force in relation to that practice</w:t>
      </w:r>
    </w:p>
    <w:p w:rsidR="00693A3D" w:rsidRPr="00CB32B1" w:rsidRDefault="00693A3D" w:rsidP="00693A3D">
      <w:pPr>
        <w:pStyle w:val="ChapterNumberedList1"/>
      </w:pPr>
      <w:r w:rsidRPr="00CB32B1">
        <w:t>Other than as an employee of an entity.</w:t>
      </w:r>
    </w:p>
    <w:p w:rsidR="00693A3D" w:rsidRPr="00CB32B1" w:rsidRDefault="00693A3D" w:rsidP="00693A3D">
      <w:pPr>
        <w:pStyle w:val="PwCNormal"/>
      </w:pPr>
      <w:r w:rsidRPr="00CB32B1">
        <w:t>Legislation has meant that PPM practice should not be insured if they are not operating as an employee of an entity.</w:t>
      </w:r>
    </w:p>
    <w:p w:rsidR="00693A3D" w:rsidRPr="00CB32B1" w:rsidRDefault="00693A3D" w:rsidP="00693A3D">
      <w:pPr>
        <w:pStyle w:val="Minorheading"/>
      </w:pPr>
      <w:r w:rsidRPr="00CB32B1">
        <w:t>NMBA definition</w:t>
      </w:r>
    </w:p>
    <w:p w:rsidR="00693A3D" w:rsidRPr="00CB32B1" w:rsidRDefault="00693A3D" w:rsidP="00693A3D">
      <w:pPr>
        <w:pStyle w:val="PwCNormal"/>
      </w:pPr>
      <w:r w:rsidRPr="00CB32B1">
        <w:t xml:space="preserve">The NMBA define private midwifery practice within the </w:t>
      </w:r>
      <w:r w:rsidRPr="00904784">
        <w:rPr>
          <w:i/>
        </w:rPr>
        <w:t>Guidelines for professional indemnity insurance arrangements for midwives</w:t>
      </w:r>
      <w:r w:rsidR="00E525A6" w:rsidRPr="00CB32B1">
        <w:rPr>
          <w:rStyle w:val="FootnoteReference"/>
        </w:rPr>
        <w:footnoteReference w:id="306"/>
      </w:r>
      <w:r w:rsidRPr="00CB32B1">
        <w:t xml:space="preserve"> to be broader than the operating entity the PPM should be practicing under. </w:t>
      </w:r>
    </w:p>
    <w:p w:rsidR="00693A3D" w:rsidRPr="00CB32B1" w:rsidRDefault="00693A3D" w:rsidP="00693A3D">
      <w:pPr>
        <w:pStyle w:val="PwCNormal"/>
      </w:pPr>
      <w:r w:rsidRPr="00CB32B1">
        <w:t>The NMBA states private midwifery practice is where a midwife is working:</w:t>
      </w:r>
      <w:r w:rsidR="00831915">
        <w:rPr>
          <w:rStyle w:val="FootnoteReference"/>
        </w:rPr>
        <w:footnoteReference w:id="307"/>
      </w:r>
    </w:p>
    <w:p w:rsidR="00693A3D" w:rsidRPr="00CB32B1" w:rsidRDefault="00693A3D" w:rsidP="001E7832">
      <w:pPr>
        <w:pStyle w:val="ChapterNumberedList1"/>
        <w:numPr>
          <w:ilvl w:val="7"/>
          <w:numId w:val="45"/>
        </w:numPr>
      </w:pPr>
      <w:r w:rsidRPr="00CB32B1">
        <w:t>As a sole practitioner (either on a full-time or part-time basis) in a business owned solely by the midwife</w:t>
      </w:r>
    </w:p>
    <w:p w:rsidR="00693A3D" w:rsidRPr="00CB32B1" w:rsidRDefault="00693A3D" w:rsidP="00693A3D">
      <w:pPr>
        <w:pStyle w:val="ChapterNumberedList1"/>
      </w:pPr>
      <w:r w:rsidRPr="00CB32B1">
        <w:t>In a partnership or collective; or where a midwife is employed (full-time or part-time) by a company that is owned solely by the midwife</w:t>
      </w:r>
    </w:p>
    <w:p w:rsidR="00693A3D" w:rsidRPr="00CB32B1" w:rsidRDefault="00693A3D" w:rsidP="00693A3D">
      <w:pPr>
        <w:pStyle w:val="ChapterNumberedList1"/>
      </w:pPr>
      <w:r w:rsidRPr="00CB32B1">
        <w:t>That is owned solely by practising midwives, where the only directors of that company are practising midwives.</w:t>
      </w:r>
    </w:p>
    <w:p w:rsidR="00693A3D" w:rsidRPr="00CB32B1" w:rsidRDefault="00693A3D" w:rsidP="00693A3D">
      <w:pPr>
        <w:pStyle w:val="Majorheading"/>
      </w:pPr>
      <w:r w:rsidRPr="00CB32B1">
        <w:t>D.3. Eligible midwife definition</w:t>
      </w:r>
    </w:p>
    <w:p w:rsidR="00693A3D" w:rsidRPr="00CB32B1" w:rsidRDefault="00693A3D" w:rsidP="00D6084C">
      <w:pPr>
        <w:pStyle w:val="PwCNormal"/>
        <w:spacing w:after="160"/>
      </w:pPr>
      <w:r w:rsidRPr="00CB32B1">
        <w:t xml:space="preserve">Currently, the only requirement to practice as a PPM is to meet the requirements of the AHPRA midwifery accreditation. From November 2010, midwives, including PPMs, can also be registered under a more regulated sub-class called an ‘eligible midwife’. </w:t>
      </w:r>
    </w:p>
    <w:p w:rsidR="00693A3D" w:rsidRPr="00CB32B1" w:rsidRDefault="00693A3D" w:rsidP="00D6084C">
      <w:pPr>
        <w:pStyle w:val="PwCNormal"/>
        <w:spacing w:after="160"/>
      </w:pPr>
      <w:r w:rsidRPr="00CB32B1">
        <w:t xml:space="preserve">The sub-class of eligible midwives was developed from the recommendations contained in the 2009 DoHA report </w:t>
      </w:r>
      <w:r w:rsidRPr="00CB32B1">
        <w:rPr>
          <w:i/>
        </w:rPr>
        <w:t>Improving Maternity Services in Australia: The Report of the Maternity Services Review</w:t>
      </w:r>
      <w:r w:rsidRPr="00CB32B1">
        <w:t>.</w:t>
      </w:r>
      <w:r w:rsidRPr="00CB32B1">
        <w:rPr>
          <w:rStyle w:val="FootnoteReference"/>
        </w:rPr>
        <w:footnoteReference w:id="308"/>
      </w:r>
      <w:r w:rsidRPr="00CB32B1">
        <w:t xml:space="preserve"> The intent was to assist </w:t>
      </w:r>
      <w:r w:rsidR="00831915">
        <w:t xml:space="preserve">the </w:t>
      </w:r>
      <w:r w:rsidRPr="00CB32B1">
        <w:t xml:space="preserve">government in creating a PII product (currently provided by MIGA) and also to support the eligibility of midwives for the Medicare Benefits and Pharmaceutical Benefits schemes. </w:t>
      </w:r>
    </w:p>
    <w:p w:rsidR="00693A3D" w:rsidRPr="00CB32B1" w:rsidRDefault="00693A3D" w:rsidP="00D6084C">
      <w:pPr>
        <w:pStyle w:val="PwCNormal"/>
        <w:numPr>
          <w:ilvl w:val="0"/>
          <w:numId w:val="0"/>
        </w:numPr>
        <w:spacing w:after="160"/>
      </w:pPr>
      <w:r w:rsidRPr="00CB32B1">
        <w:t>Registered midwives are not automatically able to apply for registration as an eligible midwife. There are additional requirements that must be met</w:t>
      </w:r>
      <w:r w:rsidR="00904784">
        <w:t>.</w:t>
      </w:r>
      <w:r w:rsidRPr="00CB32B1">
        <w:t xml:space="preserve"> </w:t>
      </w:r>
      <w:r w:rsidR="00904784">
        <w:t>These</w:t>
      </w:r>
      <w:r w:rsidRPr="00CB32B1">
        <w:t xml:space="preserve"> are outlined in </w:t>
      </w:r>
      <w:r w:rsidR="009129A6" w:rsidRPr="00CB32B1">
        <w:fldChar w:fldCharType="begin"/>
      </w:r>
      <w:r w:rsidR="00A33BD9" w:rsidRPr="00CB32B1">
        <w:instrText xml:space="preserve"> REF _Ref361223907 \h </w:instrText>
      </w:r>
      <w:r w:rsidR="009129A6" w:rsidRPr="00CB32B1">
        <w:fldChar w:fldCharType="separate"/>
      </w:r>
      <w:r w:rsidR="008816B4" w:rsidRPr="00CB32B1">
        <w:t xml:space="preserve">Table </w:t>
      </w:r>
      <w:r w:rsidR="008816B4">
        <w:rPr>
          <w:noProof/>
        </w:rPr>
        <w:t>21</w:t>
      </w:r>
      <w:r w:rsidR="009129A6" w:rsidRPr="00CB32B1">
        <w:fldChar w:fldCharType="end"/>
      </w:r>
      <w:r w:rsidRPr="00CB32B1">
        <w:t>.</w:t>
      </w:r>
    </w:p>
    <w:p w:rsidR="00693A3D" w:rsidRPr="00CB32B1" w:rsidRDefault="00693A3D" w:rsidP="00693A3D">
      <w:pPr>
        <w:pStyle w:val="Caption"/>
      </w:pPr>
      <w:bookmarkStart w:id="119" w:name="_Ref361223907"/>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21</w:t>
      </w:r>
      <w:r w:rsidR="009129A6" w:rsidRPr="00CB32B1">
        <w:fldChar w:fldCharType="end"/>
      </w:r>
      <w:bookmarkEnd w:id="119"/>
      <w:r w:rsidRPr="00CB32B1">
        <w:t>:</w:t>
      </w:r>
      <w:r w:rsidRPr="00CB32B1">
        <w:tab/>
        <w:t>Registration requirements of an eligible midwife</w:t>
      </w:r>
    </w:p>
    <w:tbl>
      <w:tblPr>
        <w:tblStyle w:val="PwCTableStyle1"/>
        <w:tblW w:w="0" w:type="auto"/>
        <w:tblLayout w:type="fixed"/>
        <w:tblLook w:val="04A0"/>
      </w:tblPr>
      <w:tblGrid>
        <w:gridCol w:w="1638"/>
        <w:gridCol w:w="7650"/>
      </w:tblGrid>
      <w:tr w:rsidR="00693A3D" w:rsidRPr="00CB32B1" w:rsidTr="009D37C7">
        <w:trPr>
          <w:cnfStyle w:val="100000000000"/>
        </w:trPr>
        <w:tc>
          <w:tcPr>
            <w:cnfStyle w:val="001000000000"/>
            <w:tcW w:w="1638" w:type="dxa"/>
            <w:tcBorders>
              <w:bottom w:val="single" w:sz="6" w:space="0" w:color="DC6900" w:themeColor="text2"/>
              <w:right w:val="single" w:sz="6" w:space="0" w:color="FFFFFF" w:themeColor="background2"/>
            </w:tcBorders>
            <w:shd w:val="clear" w:color="auto" w:fill="DC6900" w:themeFill="text2"/>
            <w:vAlign w:val="center"/>
          </w:tcPr>
          <w:p w:rsidR="00693A3D" w:rsidRPr="00CB32B1" w:rsidRDefault="00693A3D" w:rsidP="009D37C7">
            <w:pPr>
              <w:pStyle w:val="TableColumnHeadingNormal"/>
            </w:pPr>
            <w:r w:rsidRPr="00CB32B1">
              <w:t>Classification</w:t>
            </w:r>
          </w:p>
        </w:tc>
        <w:tc>
          <w:tcPr>
            <w:tcW w:w="7650" w:type="dxa"/>
            <w:tcBorders>
              <w:left w:val="single" w:sz="6" w:space="0" w:color="FFFFFF" w:themeColor="background2"/>
              <w:bottom w:val="single" w:sz="6" w:space="0" w:color="DC6900" w:themeColor="text2"/>
            </w:tcBorders>
            <w:shd w:val="clear" w:color="auto" w:fill="DC6900" w:themeFill="text2"/>
            <w:vAlign w:val="center"/>
          </w:tcPr>
          <w:p w:rsidR="00693A3D" w:rsidRPr="00CB32B1" w:rsidRDefault="00693A3D" w:rsidP="009D37C7">
            <w:pPr>
              <w:pStyle w:val="TableColumnHeadingNormal"/>
              <w:cnfStyle w:val="100000000000"/>
            </w:pPr>
            <w:r w:rsidRPr="00CB32B1">
              <w:t xml:space="preserve">Eligible Midwife </w:t>
            </w:r>
          </w:p>
        </w:tc>
      </w:tr>
      <w:tr w:rsidR="00693A3D" w:rsidRPr="00CB32B1" w:rsidTr="00D6084C">
        <w:tc>
          <w:tcPr>
            <w:cnfStyle w:val="001000000000"/>
            <w:tcW w:w="1638" w:type="dxa"/>
            <w:tcBorders>
              <w:top w:val="single" w:sz="6" w:space="0" w:color="DC6900" w:themeColor="text2"/>
            </w:tcBorders>
          </w:tcPr>
          <w:p w:rsidR="00693A3D" w:rsidRPr="00CB32B1" w:rsidRDefault="00693A3D" w:rsidP="0047587A">
            <w:pPr>
              <w:pStyle w:val="TableTextNormal"/>
            </w:pPr>
            <w:r w:rsidRPr="00CB32B1">
              <w:t>Registration</w:t>
            </w:r>
          </w:p>
        </w:tc>
        <w:tc>
          <w:tcPr>
            <w:tcW w:w="7650" w:type="dxa"/>
            <w:tcBorders>
              <w:top w:val="single" w:sz="6" w:space="0" w:color="DC6900" w:themeColor="text2"/>
            </w:tcBorders>
          </w:tcPr>
          <w:p w:rsidR="00693A3D" w:rsidRPr="00CB32B1" w:rsidRDefault="00693A3D" w:rsidP="0047587A">
            <w:pPr>
              <w:pStyle w:val="TableTextNormal"/>
              <w:cnfStyle w:val="000000000000"/>
            </w:pPr>
            <w:r w:rsidRPr="00CB32B1">
              <w:t>Current general registration as a midwife in Australia with no conditions on practice</w:t>
            </w:r>
          </w:p>
        </w:tc>
      </w:tr>
      <w:tr w:rsidR="00693A3D" w:rsidRPr="00CB32B1" w:rsidTr="00D6084C">
        <w:tc>
          <w:tcPr>
            <w:cnfStyle w:val="001000000000"/>
            <w:tcW w:w="1638" w:type="dxa"/>
          </w:tcPr>
          <w:p w:rsidR="00693A3D" w:rsidRPr="00CB32B1" w:rsidRDefault="00693A3D" w:rsidP="0047587A">
            <w:pPr>
              <w:pStyle w:val="TableTextNormal"/>
            </w:pPr>
            <w:r w:rsidRPr="00CB32B1">
              <w:t>Education</w:t>
            </w:r>
          </w:p>
        </w:tc>
        <w:tc>
          <w:tcPr>
            <w:tcW w:w="7650" w:type="dxa"/>
          </w:tcPr>
          <w:p w:rsidR="00693A3D" w:rsidRPr="00CB32B1" w:rsidRDefault="00693A3D" w:rsidP="0047587A">
            <w:pPr>
              <w:pStyle w:val="TableTextNormal"/>
              <w:cnfStyle w:val="000000000000"/>
            </w:pPr>
            <w:r w:rsidRPr="00CB32B1">
              <w:t>Successful completion of, or formal undertaking to complete within 18 months of recognition as an eligible midwife:</w:t>
            </w:r>
          </w:p>
          <w:p w:rsidR="00693A3D" w:rsidRPr="00CB32B1" w:rsidRDefault="00693A3D" w:rsidP="0047587A">
            <w:pPr>
              <w:pStyle w:val="TableBullet1Normal"/>
              <w:cnfStyle w:val="000000000000"/>
            </w:pPr>
            <w:r w:rsidRPr="00CB32B1">
              <w:t>An Australian Nursing and Midwifery Accreditation Council (ANMAC) accredited and Board approved program of study to develop midwives’ knowledge and skills in prescribing medicines, or</w:t>
            </w:r>
          </w:p>
          <w:p w:rsidR="00693A3D" w:rsidRPr="00CB32B1" w:rsidRDefault="00693A3D" w:rsidP="0047587A">
            <w:pPr>
              <w:pStyle w:val="TableBullet1Normal"/>
              <w:cnfStyle w:val="000000000000"/>
            </w:pPr>
            <w:r w:rsidRPr="00CB32B1">
              <w:t>A program that is substantially equivalent to such an approved program of study, as determined by the Board.</w:t>
            </w:r>
          </w:p>
        </w:tc>
      </w:tr>
      <w:tr w:rsidR="00693A3D" w:rsidRPr="00CB32B1" w:rsidTr="00D6084C">
        <w:tc>
          <w:tcPr>
            <w:cnfStyle w:val="001000000000"/>
            <w:tcW w:w="1638" w:type="dxa"/>
          </w:tcPr>
          <w:p w:rsidR="00693A3D" w:rsidRPr="00CB32B1" w:rsidRDefault="00693A3D" w:rsidP="0047587A">
            <w:pPr>
              <w:pStyle w:val="TableTextNormal"/>
            </w:pPr>
            <w:r w:rsidRPr="00CB32B1">
              <w:t>Experience</w:t>
            </w:r>
          </w:p>
        </w:tc>
        <w:tc>
          <w:tcPr>
            <w:tcW w:w="7650" w:type="dxa"/>
          </w:tcPr>
          <w:p w:rsidR="00693A3D" w:rsidRPr="00CB32B1" w:rsidRDefault="00693A3D" w:rsidP="00831915">
            <w:pPr>
              <w:pStyle w:val="TableTextNormal"/>
              <w:spacing w:before="40" w:after="40"/>
              <w:cnfStyle w:val="000000000000"/>
            </w:pPr>
            <w:r w:rsidRPr="00CB32B1">
              <w:t>Midwifery experience that constitutes the equivalent of three years full-time post-registration as a midwife.</w:t>
            </w:r>
          </w:p>
        </w:tc>
      </w:tr>
      <w:tr w:rsidR="00693A3D" w:rsidRPr="00CB32B1" w:rsidTr="00D6084C">
        <w:tc>
          <w:tcPr>
            <w:cnfStyle w:val="001000000000"/>
            <w:tcW w:w="1638" w:type="dxa"/>
          </w:tcPr>
          <w:p w:rsidR="00693A3D" w:rsidRPr="00CB32B1" w:rsidRDefault="00693A3D" w:rsidP="00831915">
            <w:pPr>
              <w:pStyle w:val="TableTextNormal"/>
              <w:keepNext/>
              <w:keepLines/>
            </w:pPr>
            <w:r w:rsidRPr="00CB32B1">
              <w:t>Proven competency</w:t>
            </w:r>
          </w:p>
        </w:tc>
        <w:tc>
          <w:tcPr>
            <w:tcW w:w="7650" w:type="dxa"/>
          </w:tcPr>
          <w:p w:rsidR="00693A3D" w:rsidRPr="00CB32B1" w:rsidRDefault="00693A3D" w:rsidP="00831915">
            <w:pPr>
              <w:pStyle w:val="TableTextNormal"/>
              <w:keepNext/>
              <w:keepLines/>
              <w:spacing w:before="40" w:after="40"/>
              <w:cnfStyle w:val="000000000000"/>
            </w:pPr>
            <w:r w:rsidRPr="00CB32B1">
              <w:t>Successful completion of an approved professional practice review program for midwives working across the continuum of midwifery care which demonstrates continuing competence in the provision of pregnancy, labour, birth and postnatal care to women and their infants.</w:t>
            </w:r>
          </w:p>
        </w:tc>
      </w:tr>
      <w:tr w:rsidR="00693A3D" w:rsidRPr="00CB32B1" w:rsidTr="00D6084C">
        <w:tc>
          <w:tcPr>
            <w:cnfStyle w:val="001000000000"/>
            <w:tcW w:w="1638" w:type="dxa"/>
          </w:tcPr>
          <w:p w:rsidR="00693A3D" w:rsidRPr="00CB32B1" w:rsidRDefault="00693A3D" w:rsidP="0047587A">
            <w:pPr>
              <w:pStyle w:val="TableTextNormal"/>
            </w:pPr>
            <w:r w:rsidRPr="00CB32B1">
              <w:t>Professional development</w:t>
            </w:r>
          </w:p>
        </w:tc>
        <w:tc>
          <w:tcPr>
            <w:tcW w:w="7650" w:type="dxa"/>
          </w:tcPr>
          <w:p w:rsidR="00693A3D" w:rsidRPr="00CB32B1" w:rsidRDefault="00693A3D" w:rsidP="00D6084C">
            <w:pPr>
              <w:pStyle w:val="TableTextNormal"/>
              <w:spacing w:before="40" w:after="40"/>
              <w:cnfStyle w:val="000000000000"/>
            </w:pPr>
            <w:r w:rsidRPr="00CB32B1">
              <w:t>An eligible midwife is required to undertake an additional 20 hours of specified continuing professional development (CPD) per year relating to the continuum of midwifery care, in addition to the 20 hours of CPD for general registration as a midwife. This CPD must be relevant to the continuum of midwifery care.</w:t>
            </w:r>
          </w:p>
        </w:tc>
      </w:tr>
    </w:tbl>
    <w:p w:rsidR="00693A3D" w:rsidRPr="00CB32B1" w:rsidRDefault="00693A3D" w:rsidP="00693A3D">
      <w:pPr>
        <w:pStyle w:val="Sources"/>
      </w:pPr>
      <w:r w:rsidRPr="00CB32B1">
        <w:rPr>
          <w:b/>
        </w:rPr>
        <w:t>Source:</w:t>
      </w:r>
      <w:r w:rsidRPr="00CB32B1">
        <w:t xml:space="preserve"> Nursing and Midwifery Board of Australia</w:t>
      </w:r>
      <w:r w:rsidR="00E525A6" w:rsidRPr="00CB32B1">
        <w:t xml:space="preserve"> </w:t>
      </w:r>
      <w:r w:rsidRPr="00CB32B1">
        <w:t>2010.</w:t>
      </w:r>
    </w:p>
    <w:p w:rsidR="00D6084C" w:rsidRPr="00CB32B1" w:rsidRDefault="00693A3D" w:rsidP="00D6084C">
      <w:pPr>
        <w:pStyle w:val="PwCNormal"/>
        <w:numPr>
          <w:ilvl w:val="0"/>
          <w:numId w:val="0"/>
        </w:numPr>
        <w:spacing w:after="160"/>
      </w:pPr>
      <w:r w:rsidRPr="00CB32B1">
        <w:t>Consultations and the survey completed (see Appendix J.1) highlighted that there were difficulties in meeting some of these registration requirements</w:t>
      </w:r>
      <w:r w:rsidR="00904784">
        <w:t>.</w:t>
      </w:r>
      <w:r w:rsidRPr="00CB32B1">
        <w:t xml:space="preserve"> </w:t>
      </w:r>
      <w:r w:rsidR="00904784">
        <w:t>As a result, this</w:t>
      </w:r>
      <w:r w:rsidRPr="00CB32B1">
        <w:t xml:space="preserve"> appears to have impacted upon PPMs registering as an eligible midwife. At present, of the PPMs that responded to the survey, 74% identified themselves as an eligible midwife.</w:t>
      </w:r>
    </w:p>
    <w:p w:rsidR="00693A3D" w:rsidRPr="00CB32B1" w:rsidRDefault="00693A3D" w:rsidP="00D6084C">
      <w:pPr>
        <w:pStyle w:val="PwCNormal"/>
        <w:numPr>
          <w:ilvl w:val="0"/>
          <w:numId w:val="0"/>
        </w:numPr>
        <w:spacing w:after="160"/>
      </w:pPr>
      <w:r w:rsidRPr="00CB32B1">
        <w:t>Having a collaborative arrangement is not a requirement to become an eligible midwife; the relationship works the other way: only eligible midwives who are legislated as an ‘authorised midwife’ are able to obtain a collaborative arrangement.</w:t>
      </w:r>
      <w:r w:rsidRPr="00CB32B1">
        <w:rPr>
          <w:rStyle w:val="FootnoteReference"/>
        </w:rPr>
        <w:footnoteReference w:id="309"/>
      </w:r>
      <w:r w:rsidRPr="00CB32B1">
        <w:t xml:space="preserve"> </w:t>
      </w:r>
    </w:p>
    <w:p w:rsidR="00693A3D" w:rsidRPr="00CB32B1" w:rsidRDefault="00693A3D" w:rsidP="00693A3D">
      <w:pPr>
        <w:pStyle w:val="PwCNormal"/>
        <w:numPr>
          <w:ilvl w:val="0"/>
          <w:numId w:val="0"/>
        </w:numPr>
        <w:sectPr w:rsidR="00693A3D" w:rsidRPr="00CB32B1" w:rsidSect="003E4E09">
          <w:headerReference w:type="even" r:id="rId87"/>
          <w:headerReference w:type="default" r:id="rId88"/>
          <w:headerReference w:type="first" r:id="rId89"/>
          <w:pgSz w:w="11907" w:h="16840" w:code="9"/>
          <w:pgMar w:top="1699" w:right="1138" w:bottom="1699" w:left="1138" w:header="677" w:footer="677" w:gutter="562"/>
          <w:cols w:space="708"/>
          <w:titlePg/>
          <w:docGrid w:linePitch="360"/>
        </w:sectPr>
      </w:pPr>
    </w:p>
    <w:p w:rsidR="00FC0CC6" w:rsidRPr="00CB32B1" w:rsidRDefault="00FC0CC6" w:rsidP="00FC0CC6">
      <w:pPr>
        <w:pStyle w:val="AppendixPanelFrameappendix"/>
        <w:framePr w:wrap="notBeside" w:hAnchor="page" w:x="1044"/>
        <w:rPr>
          <w:lang w:val="en-AU"/>
        </w:rPr>
      </w:pPr>
    </w:p>
    <w:p w:rsidR="00693A3D" w:rsidRPr="00CB32B1" w:rsidRDefault="00693A3D" w:rsidP="00693A3D">
      <w:pPr>
        <w:pStyle w:val="Heading4"/>
      </w:pPr>
      <w:bookmarkStart w:id="120" w:name="_Toc361328127"/>
      <w:bookmarkStart w:id="121" w:name="_Toc362975069"/>
      <w:bookmarkStart w:id="122" w:name="_Toc362975080"/>
      <w:r w:rsidRPr="00CB32B1">
        <w:t>Access to health services and collaborative partnerships</w:t>
      </w:r>
      <w:bookmarkEnd w:id="120"/>
      <w:bookmarkEnd w:id="121"/>
      <w:bookmarkEnd w:id="122"/>
    </w:p>
    <w:p w:rsidR="00693A3D" w:rsidRPr="00CB32B1" w:rsidRDefault="00693A3D" w:rsidP="00693A3D">
      <w:pPr>
        <w:pStyle w:val="Majorheading"/>
      </w:pPr>
      <w:r w:rsidRPr="00CB32B1">
        <w:t>E.1. Definition and issues with health service arrangements</w:t>
      </w:r>
    </w:p>
    <w:p w:rsidR="00693A3D" w:rsidRPr="00CB32B1" w:rsidRDefault="00693A3D" w:rsidP="00693A3D">
      <w:pPr>
        <w:pStyle w:val="PwCNormal"/>
      </w:pPr>
      <w:r w:rsidRPr="00CB32B1">
        <w:t xml:space="preserve">Health service arrangements were identified through consultations to refer to agreements between health services and independent health professionals to be able to provide care and services within a health facility and have access ‘rights’ to practise within the facility. </w:t>
      </w:r>
    </w:p>
    <w:p w:rsidR="00693A3D" w:rsidRPr="00CB32B1" w:rsidRDefault="00693A3D" w:rsidP="00693A3D">
      <w:pPr>
        <w:pStyle w:val="PwCNormal"/>
      </w:pPr>
      <w:r w:rsidRPr="00CB32B1">
        <w:t>Access to health service arrangements could be important from an insurance perspective because they may have the potential to decrease the PPM risk profile. Consultations identified that women often sought continuity of care, and where it was not possible to have this (</w:t>
      </w:r>
      <w:r w:rsidR="00854DEF" w:rsidRPr="00CB32B1">
        <w:t>eg</w:t>
      </w:r>
      <w:r w:rsidRPr="00CB32B1">
        <w:t xml:space="preserve"> in the case of a transfer to a health service), they may in some cases, be unwilling to be transferred or referred. In these circumstances, the risk of an adverse outcome may increase if risk framework guidelines which require transfer and referral at different stages of the birthing process (see Chapter 3) are not followed.</w:t>
      </w:r>
    </w:p>
    <w:p w:rsidR="00693A3D" w:rsidRPr="00CB32B1" w:rsidRDefault="00693A3D" w:rsidP="00693A3D">
      <w:pPr>
        <w:pStyle w:val="PwCNormal"/>
      </w:pPr>
      <w:r w:rsidRPr="00CB32B1">
        <w:t>From consultations held, it appears that currently:</w:t>
      </w:r>
    </w:p>
    <w:p w:rsidR="00693A3D" w:rsidRPr="00CB32B1" w:rsidRDefault="00693A3D" w:rsidP="00693A3D">
      <w:pPr>
        <w:pStyle w:val="ListBullet"/>
      </w:pPr>
      <w:r w:rsidRPr="00CB32B1">
        <w:t>PPMs have variable access to health service arrangements within and across states and territories as a result of challenges faced around securing collabo</w:t>
      </w:r>
      <w:r w:rsidR="00CD0CA9" w:rsidRPr="00CB32B1">
        <w:t>rative partnership arrangements</w:t>
      </w:r>
    </w:p>
    <w:p w:rsidR="00693A3D" w:rsidRPr="00CB32B1" w:rsidRDefault="00693A3D" w:rsidP="00693A3D">
      <w:pPr>
        <w:pStyle w:val="ListBullet"/>
      </w:pPr>
      <w:r w:rsidRPr="00CB32B1">
        <w:t>Future standardisation within states and territories of access to health service arrangements is planned, but the nature of these future arrangements is still being defined.</w:t>
      </w:r>
      <w:r w:rsidRPr="00CB32B1">
        <w:rPr>
          <w:rStyle w:val="FootnoteReference"/>
        </w:rPr>
        <w:footnoteReference w:id="310"/>
      </w:r>
    </w:p>
    <w:p w:rsidR="00693A3D" w:rsidRPr="00CB32B1" w:rsidRDefault="00693A3D" w:rsidP="00693A3D">
      <w:pPr>
        <w:pStyle w:val="Majorheading"/>
      </w:pPr>
      <w:r w:rsidRPr="00CB32B1">
        <w:t>E.2. Collaborative partnerships</w:t>
      </w:r>
    </w:p>
    <w:p w:rsidR="00693A3D" w:rsidRPr="00CB32B1" w:rsidRDefault="00693A3D" w:rsidP="00693A3D">
      <w:pPr>
        <w:pStyle w:val="PwCNormal"/>
      </w:pPr>
      <w:r w:rsidRPr="00CB32B1">
        <w:t>At present, access to health services appears to be restricted by the PPM’s ability to organise collaborative arrangements with a health practitioner</w:t>
      </w:r>
      <w:r w:rsidR="00831915" w:rsidRPr="00CB32B1">
        <w:rPr>
          <w:rStyle w:val="FootnoteReference"/>
        </w:rPr>
        <w:footnoteReference w:id="311"/>
      </w:r>
      <w:r w:rsidRPr="00CB32B1">
        <w:t xml:space="preserve"> and clinical privileging rights</w:t>
      </w:r>
      <w:r w:rsidR="00904784">
        <w:t>.</w:t>
      </w:r>
      <w:r w:rsidRPr="00CB32B1">
        <w:rPr>
          <w:rStyle w:val="FootnoteReference"/>
        </w:rPr>
        <w:footnoteReference w:id="312"/>
      </w:r>
    </w:p>
    <w:p w:rsidR="00693A3D" w:rsidRPr="00CB32B1" w:rsidRDefault="00693A3D" w:rsidP="00693A3D">
      <w:pPr>
        <w:pStyle w:val="PwCNormal"/>
      </w:pPr>
      <w:r w:rsidRPr="00CB32B1">
        <w:t>Collaborative arrangements or the informal and/or formal recognition of the terms of collaboration</w:t>
      </w:r>
      <w:r w:rsidRPr="00CB32B1">
        <w:rPr>
          <w:rStyle w:val="FootnoteReference"/>
        </w:rPr>
        <w:footnoteReference w:id="313"/>
      </w:r>
      <w:r w:rsidRPr="00CB32B1">
        <w:t xml:space="preserve"> were recognised within the </w:t>
      </w:r>
      <w:r w:rsidRPr="00831915">
        <w:t>National Health and Medical Research Council (NHMRC) 2010 guidance,</w:t>
      </w:r>
      <w:r w:rsidRPr="00904784">
        <w:rPr>
          <w:i/>
        </w:rPr>
        <w:t xml:space="preserve"> National Guidance on Collaborative Maternity Care</w:t>
      </w:r>
      <w:r w:rsidRPr="00CB32B1">
        <w:t>, as important to:</w:t>
      </w:r>
    </w:p>
    <w:p w:rsidR="00693A3D" w:rsidRPr="00CB32B1" w:rsidRDefault="00693A3D" w:rsidP="00E525A6">
      <w:pPr>
        <w:pStyle w:val="Indent1"/>
        <w:rPr>
          <w:i/>
          <w:color w:val="DC6900" w:themeColor="text2"/>
        </w:rPr>
      </w:pPr>
      <w:r w:rsidRPr="00CB32B1">
        <w:rPr>
          <w:i/>
          <w:color w:val="DC6900" w:themeColor="text2"/>
        </w:rPr>
        <w:t xml:space="preserve">“support the delivery of maternity care and ensure that women receive access to appropriate expertise and treatment, as the need arises” (p. 1). </w:t>
      </w:r>
    </w:p>
    <w:p w:rsidR="00693A3D" w:rsidRPr="00CB32B1" w:rsidRDefault="00693A3D" w:rsidP="00693A3D">
      <w:pPr>
        <w:pStyle w:val="PwCNormal"/>
      </w:pPr>
      <w:r w:rsidRPr="00CB32B1">
        <w:t>The NHMRC guidance</w:t>
      </w:r>
      <w:r w:rsidRPr="00CB32B1">
        <w:rPr>
          <w:rStyle w:val="FootnoteReference"/>
        </w:rPr>
        <w:footnoteReference w:id="314"/>
      </w:r>
      <w:r w:rsidRPr="00CB32B1">
        <w:t xml:space="preserve"> listed nine principles for maternity collaboration as outlined in </w:t>
      </w:r>
      <w:r w:rsidR="009129A6" w:rsidRPr="00CB32B1">
        <w:fldChar w:fldCharType="begin"/>
      </w:r>
      <w:r w:rsidR="00A33BD9" w:rsidRPr="00CB32B1">
        <w:instrText xml:space="preserve"> REF _Ref361223916 \h </w:instrText>
      </w:r>
      <w:r w:rsidR="009129A6" w:rsidRPr="00CB32B1">
        <w:fldChar w:fldCharType="separate"/>
      </w:r>
      <w:r w:rsidR="008816B4" w:rsidRPr="00CB32B1">
        <w:t xml:space="preserve">Table </w:t>
      </w:r>
      <w:r w:rsidR="008816B4">
        <w:rPr>
          <w:noProof/>
        </w:rPr>
        <w:t>22</w:t>
      </w:r>
      <w:r w:rsidR="009129A6" w:rsidRPr="00CB32B1">
        <w:fldChar w:fldCharType="end"/>
      </w:r>
      <w:r w:rsidRPr="00CB32B1">
        <w:t>.</w:t>
      </w:r>
    </w:p>
    <w:p w:rsidR="00693A3D" w:rsidRPr="00CB32B1" w:rsidRDefault="00693A3D" w:rsidP="00693A3D">
      <w:pPr>
        <w:pStyle w:val="Caption"/>
      </w:pPr>
      <w:bookmarkStart w:id="123" w:name="_Ref361223916"/>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22</w:t>
      </w:r>
      <w:r w:rsidR="009129A6" w:rsidRPr="00CB32B1">
        <w:fldChar w:fldCharType="end"/>
      </w:r>
      <w:bookmarkEnd w:id="123"/>
      <w:r w:rsidRPr="00CB32B1">
        <w:t>:</w:t>
      </w:r>
      <w:r w:rsidRPr="00CB32B1">
        <w:tab/>
        <w:t>Principles for maternity collaboration</w:t>
      </w:r>
    </w:p>
    <w:tbl>
      <w:tblPr>
        <w:tblStyle w:val="PwCTableStyle1"/>
        <w:tblW w:w="5000" w:type="pct"/>
        <w:tblLook w:val="04A0"/>
      </w:tblPr>
      <w:tblGrid>
        <w:gridCol w:w="1226"/>
        <w:gridCol w:w="8059"/>
      </w:tblGrid>
      <w:tr w:rsidR="00693A3D" w:rsidRPr="00CB32B1" w:rsidTr="009D37C7">
        <w:trPr>
          <w:cnfStyle w:val="100000000000"/>
        </w:trPr>
        <w:tc>
          <w:tcPr>
            <w:cnfStyle w:val="001000000000"/>
            <w:tcW w:w="660" w:type="pct"/>
            <w:tcBorders>
              <w:bottom w:val="single" w:sz="6" w:space="0" w:color="DC6900" w:themeColor="text2"/>
              <w:right w:val="single" w:sz="6" w:space="0" w:color="FFFFFF" w:themeColor="background2"/>
            </w:tcBorders>
            <w:shd w:val="clear" w:color="auto" w:fill="DC6900" w:themeFill="text2"/>
            <w:vAlign w:val="center"/>
          </w:tcPr>
          <w:p w:rsidR="00693A3D" w:rsidRPr="00CB32B1" w:rsidRDefault="00693A3D" w:rsidP="009D37C7">
            <w:pPr>
              <w:pStyle w:val="TableColumnHeadingNormal"/>
            </w:pPr>
            <w:r w:rsidRPr="00CB32B1">
              <w:t>Principle</w:t>
            </w:r>
          </w:p>
        </w:tc>
        <w:tc>
          <w:tcPr>
            <w:tcW w:w="4340" w:type="pct"/>
            <w:tcBorders>
              <w:left w:val="single" w:sz="6" w:space="0" w:color="FFFFFF" w:themeColor="background2"/>
              <w:bottom w:val="single" w:sz="6" w:space="0" w:color="DC6900" w:themeColor="text2"/>
            </w:tcBorders>
            <w:shd w:val="clear" w:color="auto" w:fill="DC6900" w:themeFill="text2"/>
            <w:vAlign w:val="center"/>
          </w:tcPr>
          <w:p w:rsidR="00693A3D" w:rsidRPr="00CB32B1" w:rsidRDefault="00693A3D" w:rsidP="009D37C7">
            <w:pPr>
              <w:pStyle w:val="TableColumnHeadingNormal"/>
              <w:cnfStyle w:val="100000000000"/>
            </w:pPr>
            <w:r w:rsidRPr="00CB32B1">
              <w:t>Description</w:t>
            </w:r>
          </w:p>
        </w:tc>
      </w:tr>
      <w:tr w:rsidR="00693A3D" w:rsidRPr="00CB32B1" w:rsidTr="0047587A">
        <w:tc>
          <w:tcPr>
            <w:cnfStyle w:val="001000000000"/>
            <w:tcW w:w="660" w:type="pct"/>
            <w:tcBorders>
              <w:top w:val="single" w:sz="6" w:space="0" w:color="DC6900" w:themeColor="text2"/>
            </w:tcBorders>
          </w:tcPr>
          <w:p w:rsidR="00693A3D" w:rsidRPr="00CB32B1" w:rsidRDefault="00693A3D" w:rsidP="0047587A">
            <w:pPr>
              <w:pStyle w:val="TableTextNormal"/>
            </w:pPr>
            <w:r w:rsidRPr="00CB32B1">
              <w:t>1</w:t>
            </w:r>
          </w:p>
        </w:tc>
        <w:tc>
          <w:tcPr>
            <w:tcW w:w="4340" w:type="pct"/>
            <w:tcBorders>
              <w:top w:val="single" w:sz="6" w:space="0" w:color="DC6900" w:themeColor="text2"/>
            </w:tcBorders>
          </w:tcPr>
          <w:p w:rsidR="00693A3D" w:rsidRPr="00CB32B1" w:rsidRDefault="00693A3D" w:rsidP="0047587A">
            <w:pPr>
              <w:pStyle w:val="TableTextNormal"/>
              <w:cnfStyle w:val="000000000000"/>
            </w:pPr>
            <w:r w:rsidRPr="00CB32B1">
              <w:t>Maternity care collaboration places the woman at the centre of her own care, while supporting the professionals who are caring for her (her carers). Such care is coordinated according to the woman’s needs, including her cultural, emotional, psychosocial and clinical needs.</w:t>
            </w:r>
          </w:p>
        </w:tc>
      </w:tr>
      <w:tr w:rsidR="00693A3D" w:rsidRPr="00CB32B1" w:rsidTr="0047587A">
        <w:tc>
          <w:tcPr>
            <w:cnfStyle w:val="001000000000"/>
            <w:tcW w:w="660" w:type="pct"/>
          </w:tcPr>
          <w:p w:rsidR="00693A3D" w:rsidRPr="00CB32B1" w:rsidRDefault="00693A3D" w:rsidP="0047587A">
            <w:pPr>
              <w:pStyle w:val="TableTextNormal"/>
            </w:pPr>
            <w:r w:rsidRPr="00CB32B1">
              <w:t>2</w:t>
            </w:r>
          </w:p>
        </w:tc>
        <w:tc>
          <w:tcPr>
            <w:tcW w:w="4340" w:type="pct"/>
          </w:tcPr>
          <w:p w:rsidR="00693A3D" w:rsidRPr="00CB32B1" w:rsidRDefault="00693A3D" w:rsidP="0047587A">
            <w:pPr>
              <w:pStyle w:val="TableTextNormal"/>
              <w:cnfStyle w:val="000000000000"/>
            </w:pPr>
            <w:r w:rsidRPr="00CB32B1">
              <w:t>Collaboration enables women to choose care that is based on the best evidence and is appropriate for themselves and for their local environment.</w:t>
            </w:r>
          </w:p>
        </w:tc>
      </w:tr>
      <w:tr w:rsidR="00693A3D" w:rsidRPr="00CB32B1" w:rsidTr="0047587A">
        <w:tc>
          <w:tcPr>
            <w:cnfStyle w:val="001000000000"/>
            <w:tcW w:w="660" w:type="pct"/>
          </w:tcPr>
          <w:p w:rsidR="00693A3D" w:rsidRPr="00CB32B1" w:rsidRDefault="00693A3D" w:rsidP="0047587A">
            <w:pPr>
              <w:pStyle w:val="TableTextNormal"/>
            </w:pPr>
            <w:r w:rsidRPr="00CB32B1">
              <w:t>3</w:t>
            </w:r>
          </w:p>
        </w:tc>
        <w:tc>
          <w:tcPr>
            <w:tcW w:w="4340" w:type="pct"/>
          </w:tcPr>
          <w:p w:rsidR="00693A3D" w:rsidRPr="00CB32B1" w:rsidRDefault="00693A3D" w:rsidP="0047587A">
            <w:pPr>
              <w:pStyle w:val="TableTextNormal"/>
              <w:cnfStyle w:val="000000000000"/>
            </w:pPr>
            <w:r w:rsidRPr="00CB32B1">
              <w:t>Collaboration enables women to make informed decisions by ensuring that they are given information about all of their options. This information should be based on the best evidence, and agreed to and endorsed by professional and consumer groups.</w:t>
            </w:r>
          </w:p>
        </w:tc>
      </w:tr>
      <w:tr w:rsidR="00693A3D" w:rsidRPr="00CB32B1" w:rsidTr="0047587A">
        <w:tc>
          <w:tcPr>
            <w:cnfStyle w:val="001000000000"/>
            <w:tcW w:w="660" w:type="pct"/>
          </w:tcPr>
          <w:p w:rsidR="00693A3D" w:rsidRPr="00CB32B1" w:rsidRDefault="00693A3D" w:rsidP="0047587A">
            <w:pPr>
              <w:pStyle w:val="TableTextNormal"/>
            </w:pPr>
            <w:r w:rsidRPr="00CB32B1">
              <w:t>4</w:t>
            </w:r>
          </w:p>
        </w:tc>
        <w:tc>
          <w:tcPr>
            <w:tcW w:w="4340" w:type="pct"/>
          </w:tcPr>
          <w:p w:rsidR="00693A3D" w:rsidRPr="00CB32B1" w:rsidRDefault="00693A3D" w:rsidP="0047587A">
            <w:pPr>
              <w:pStyle w:val="TableTextNormal"/>
              <w:cnfStyle w:val="000000000000"/>
            </w:pPr>
            <w:r w:rsidRPr="00CB32B1">
              <w:t>Collaborating professionals, regardless of the model of care, establish a clearly defined and inclusive reciprocal communication strategy using sensitive language to support professional trust.</w:t>
            </w:r>
          </w:p>
        </w:tc>
      </w:tr>
      <w:tr w:rsidR="00693A3D" w:rsidRPr="00CB32B1" w:rsidTr="0047587A">
        <w:tc>
          <w:tcPr>
            <w:cnfStyle w:val="001000000000"/>
            <w:tcW w:w="660" w:type="pct"/>
          </w:tcPr>
          <w:p w:rsidR="00693A3D" w:rsidRPr="00CB32B1" w:rsidRDefault="00693A3D" w:rsidP="0047587A">
            <w:pPr>
              <w:pStyle w:val="TableTextNormal"/>
            </w:pPr>
            <w:r w:rsidRPr="00CB32B1">
              <w:t>5</w:t>
            </w:r>
          </w:p>
        </w:tc>
        <w:tc>
          <w:tcPr>
            <w:tcW w:w="4340" w:type="pct"/>
          </w:tcPr>
          <w:p w:rsidR="00693A3D" w:rsidRPr="00CB32B1" w:rsidRDefault="00693A3D" w:rsidP="0047587A">
            <w:pPr>
              <w:pStyle w:val="TableTextNormal"/>
              <w:cnfStyle w:val="000000000000"/>
            </w:pPr>
            <w:r w:rsidRPr="00CB32B1">
              <w:t>Collaboration has an underpinning safety and quality framework that includes monitoring health outcomes for mothers and babies, regular multidisciplinary discussions about how the collaboration is working (involving women who have used the service) and public reporting.</w:t>
            </w:r>
          </w:p>
        </w:tc>
      </w:tr>
      <w:tr w:rsidR="00693A3D" w:rsidRPr="00CB32B1" w:rsidTr="0047587A">
        <w:tc>
          <w:tcPr>
            <w:cnfStyle w:val="001000000000"/>
            <w:tcW w:w="660" w:type="pct"/>
          </w:tcPr>
          <w:p w:rsidR="00693A3D" w:rsidRPr="00CB32B1" w:rsidRDefault="00693A3D" w:rsidP="0047587A">
            <w:pPr>
              <w:pStyle w:val="TableTextNormal"/>
            </w:pPr>
            <w:r w:rsidRPr="00CB32B1">
              <w:t>6</w:t>
            </w:r>
          </w:p>
        </w:tc>
        <w:tc>
          <w:tcPr>
            <w:tcW w:w="4340" w:type="pct"/>
          </w:tcPr>
          <w:p w:rsidR="00693A3D" w:rsidRPr="00CB32B1" w:rsidRDefault="00693A3D" w:rsidP="0047587A">
            <w:pPr>
              <w:pStyle w:val="TableTextNormal"/>
              <w:cnfStyle w:val="000000000000"/>
            </w:pPr>
            <w:r w:rsidRPr="00CB32B1">
              <w:t>Collaborating professionals respect and value each other’s roles, provide support to each other in their work and provide education to meet each other’s needs.</w:t>
            </w:r>
          </w:p>
        </w:tc>
      </w:tr>
      <w:tr w:rsidR="00693A3D" w:rsidRPr="00CB32B1" w:rsidTr="0047587A">
        <w:tc>
          <w:tcPr>
            <w:cnfStyle w:val="001000000000"/>
            <w:tcW w:w="660" w:type="pct"/>
          </w:tcPr>
          <w:p w:rsidR="00693A3D" w:rsidRPr="00CB32B1" w:rsidRDefault="00693A3D" w:rsidP="0047587A">
            <w:pPr>
              <w:pStyle w:val="TableTextNormal"/>
            </w:pPr>
            <w:r w:rsidRPr="00CB32B1">
              <w:t>7</w:t>
            </w:r>
          </w:p>
        </w:tc>
        <w:tc>
          <w:tcPr>
            <w:tcW w:w="4340" w:type="pct"/>
          </w:tcPr>
          <w:p w:rsidR="00693A3D" w:rsidRPr="00CB32B1" w:rsidRDefault="00693A3D" w:rsidP="0047587A">
            <w:pPr>
              <w:pStyle w:val="TableTextNormal"/>
              <w:cnfStyle w:val="000000000000"/>
            </w:pPr>
            <w:r w:rsidRPr="00CB32B1">
              <w:t>Collaboration is committed to joint education and training, following a consistent, agreed care plan and research focused on improving outcomes.</w:t>
            </w:r>
          </w:p>
        </w:tc>
      </w:tr>
      <w:tr w:rsidR="00693A3D" w:rsidRPr="00CB32B1" w:rsidTr="0047587A">
        <w:tc>
          <w:tcPr>
            <w:cnfStyle w:val="001000000000"/>
            <w:tcW w:w="660" w:type="pct"/>
          </w:tcPr>
          <w:p w:rsidR="00693A3D" w:rsidRPr="00CB32B1" w:rsidRDefault="00693A3D" w:rsidP="0047587A">
            <w:pPr>
              <w:pStyle w:val="TableTextNormal"/>
            </w:pPr>
            <w:r w:rsidRPr="00CB32B1">
              <w:t>8</w:t>
            </w:r>
          </w:p>
        </w:tc>
        <w:tc>
          <w:tcPr>
            <w:tcW w:w="4340" w:type="pct"/>
          </w:tcPr>
          <w:p w:rsidR="00693A3D" w:rsidRPr="00CB32B1" w:rsidRDefault="00693A3D" w:rsidP="0047587A">
            <w:pPr>
              <w:pStyle w:val="TableTextNormal"/>
              <w:cnfStyle w:val="000000000000"/>
            </w:pPr>
            <w:r w:rsidRPr="00CB32B1">
              <w:t>Collaboration aims to maximise a woman’s continuity of care and carer, throughout pregnancy, birth and the early postnatal period.</w:t>
            </w:r>
          </w:p>
        </w:tc>
      </w:tr>
      <w:tr w:rsidR="00693A3D" w:rsidRPr="00CB32B1" w:rsidTr="0047587A">
        <w:tc>
          <w:tcPr>
            <w:cnfStyle w:val="001000000000"/>
            <w:tcW w:w="660" w:type="pct"/>
          </w:tcPr>
          <w:p w:rsidR="00693A3D" w:rsidRPr="00CB32B1" w:rsidRDefault="00693A3D" w:rsidP="0047587A">
            <w:pPr>
              <w:pStyle w:val="TableTextNormal"/>
            </w:pPr>
            <w:r w:rsidRPr="00CB32B1">
              <w:t>9</w:t>
            </w:r>
          </w:p>
        </w:tc>
        <w:tc>
          <w:tcPr>
            <w:tcW w:w="4340" w:type="pct"/>
          </w:tcPr>
          <w:p w:rsidR="00693A3D" w:rsidRPr="00CB32B1" w:rsidRDefault="00693A3D" w:rsidP="0047587A">
            <w:pPr>
              <w:pStyle w:val="TableTextNormal"/>
              <w:cnfStyle w:val="000000000000"/>
            </w:pPr>
            <w:r w:rsidRPr="00CB32B1">
              <w:t>Collaboration aims to maximise a woman’s continuity of carer by providing a clear description of roles and responsibilities to support the person that a woman nominates to coordinate her care (her ‘maternity care coordinator’).</w:t>
            </w:r>
          </w:p>
        </w:tc>
      </w:tr>
    </w:tbl>
    <w:p w:rsidR="00693A3D" w:rsidRPr="00CB32B1" w:rsidRDefault="00693A3D" w:rsidP="00693A3D">
      <w:pPr>
        <w:pStyle w:val="Majorheading"/>
      </w:pPr>
      <w:r w:rsidRPr="00CB32B1">
        <w:t>E.3. Efforts to improve collaboration, agreements and access rights</w:t>
      </w:r>
    </w:p>
    <w:p w:rsidR="00693A3D" w:rsidRPr="00CB32B1" w:rsidRDefault="00693A3D" w:rsidP="0001118E">
      <w:pPr>
        <w:kinsoku/>
        <w:overflowPunct/>
        <w:autoSpaceDE/>
        <w:autoSpaceDN/>
        <w:adjustRightInd/>
        <w:snapToGrid/>
      </w:pPr>
      <w:r w:rsidRPr="00CB32B1">
        <w:t>In reflection of the principles outlined above, the NHMRC guidance</w:t>
      </w:r>
      <w:r w:rsidR="00831915" w:rsidRPr="00CB32B1">
        <w:rPr>
          <w:rStyle w:val="FootnoteReference"/>
        </w:rPr>
        <w:footnoteReference w:id="315"/>
      </w:r>
      <w:r w:rsidRPr="00CB32B1">
        <w:t xml:space="preserve"> identified key challenges that exist in establishing and maintaining effective collaborative partnerships and in some cases, provides considerations to overcome these. These are outlined in </w:t>
      </w:r>
      <w:r w:rsidR="009129A6" w:rsidRPr="00CB32B1">
        <w:fldChar w:fldCharType="begin"/>
      </w:r>
      <w:r w:rsidR="0001118E" w:rsidRPr="00CB32B1">
        <w:instrText xml:space="preserve"> REF _Ref361223927 \h </w:instrText>
      </w:r>
      <w:r w:rsidR="009129A6" w:rsidRPr="00CB32B1">
        <w:fldChar w:fldCharType="separate"/>
      </w:r>
      <w:r w:rsidR="008816B4" w:rsidRPr="00CB32B1">
        <w:t xml:space="preserve">Table </w:t>
      </w:r>
      <w:r w:rsidR="008816B4">
        <w:rPr>
          <w:noProof/>
        </w:rPr>
        <w:t>23</w:t>
      </w:r>
      <w:r w:rsidR="009129A6" w:rsidRPr="00CB32B1">
        <w:fldChar w:fldCharType="end"/>
      </w:r>
      <w:r w:rsidR="0001118E" w:rsidRPr="00CB32B1">
        <w:t>.</w:t>
      </w:r>
    </w:p>
    <w:p w:rsidR="00693A3D" w:rsidRPr="00CB32B1" w:rsidRDefault="00693A3D" w:rsidP="00693A3D">
      <w:pPr>
        <w:pStyle w:val="Caption"/>
      </w:pPr>
      <w:bookmarkStart w:id="124" w:name="_Ref361223927"/>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23</w:t>
      </w:r>
      <w:r w:rsidR="009129A6" w:rsidRPr="00CB32B1">
        <w:fldChar w:fldCharType="end"/>
      </w:r>
      <w:bookmarkEnd w:id="124"/>
      <w:r w:rsidRPr="00CB32B1">
        <w:t>:</w:t>
      </w:r>
      <w:r w:rsidRPr="00CB32B1">
        <w:tab/>
        <w:t>Identified potential issues based on the principles of maternity care collaboration</w:t>
      </w:r>
    </w:p>
    <w:tbl>
      <w:tblPr>
        <w:tblStyle w:val="PwCTableStyle1"/>
        <w:tblW w:w="0" w:type="auto"/>
        <w:tblLayout w:type="fixed"/>
        <w:tblLook w:val="04A0"/>
      </w:tblPr>
      <w:tblGrid>
        <w:gridCol w:w="1998"/>
        <w:gridCol w:w="7290"/>
      </w:tblGrid>
      <w:tr w:rsidR="00693A3D" w:rsidRPr="00CB32B1" w:rsidTr="0001118E">
        <w:trPr>
          <w:cnfStyle w:val="100000000000"/>
          <w:cantSplit/>
        </w:trPr>
        <w:tc>
          <w:tcPr>
            <w:cnfStyle w:val="001000000000"/>
            <w:tcW w:w="1998" w:type="dxa"/>
            <w:tcBorders>
              <w:bottom w:val="single" w:sz="6" w:space="0" w:color="DC6900" w:themeColor="text2"/>
              <w:right w:val="single" w:sz="6" w:space="0" w:color="FFFFFF" w:themeColor="background2"/>
            </w:tcBorders>
            <w:shd w:val="clear" w:color="auto" w:fill="DC6900" w:themeFill="text2"/>
            <w:vAlign w:val="center"/>
          </w:tcPr>
          <w:p w:rsidR="00693A3D" w:rsidRPr="00CB32B1" w:rsidRDefault="00693A3D" w:rsidP="009D37C7">
            <w:pPr>
              <w:pStyle w:val="TableColumnHeadingNormal"/>
            </w:pPr>
            <w:r w:rsidRPr="00CB32B1">
              <w:t>Potential issue</w:t>
            </w:r>
          </w:p>
        </w:tc>
        <w:tc>
          <w:tcPr>
            <w:tcW w:w="7290" w:type="dxa"/>
            <w:tcBorders>
              <w:left w:val="single" w:sz="6" w:space="0" w:color="FFFFFF" w:themeColor="background2"/>
              <w:bottom w:val="single" w:sz="6" w:space="0" w:color="DC6900" w:themeColor="text2"/>
            </w:tcBorders>
            <w:shd w:val="clear" w:color="auto" w:fill="DC6900" w:themeFill="text2"/>
            <w:vAlign w:val="center"/>
          </w:tcPr>
          <w:p w:rsidR="00693A3D" w:rsidRPr="00CB32B1" w:rsidRDefault="00693A3D" w:rsidP="009D37C7">
            <w:pPr>
              <w:pStyle w:val="TableColumnHeadingNormal"/>
              <w:cnfStyle w:val="100000000000"/>
            </w:pPr>
            <w:r w:rsidRPr="00CB32B1">
              <w:t>Description</w:t>
            </w:r>
          </w:p>
        </w:tc>
      </w:tr>
      <w:tr w:rsidR="00693A3D" w:rsidRPr="00CB32B1" w:rsidTr="0001118E">
        <w:trPr>
          <w:cantSplit/>
        </w:trPr>
        <w:tc>
          <w:tcPr>
            <w:cnfStyle w:val="001000000000"/>
            <w:tcW w:w="1998" w:type="dxa"/>
            <w:tcBorders>
              <w:top w:val="single" w:sz="6" w:space="0" w:color="DC6900" w:themeColor="text2"/>
            </w:tcBorders>
          </w:tcPr>
          <w:p w:rsidR="00693A3D" w:rsidRPr="00CB32B1" w:rsidRDefault="00693A3D" w:rsidP="0047587A">
            <w:pPr>
              <w:pStyle w:val="TableTextNormal"/>
            </w:pPr>
            <w:r w:rsidRPr="00CB32B1">
              <w:t>Roles and responsibilities</w:t>
            </w:r>
          </w:p>
        </w:tc>
        <w:tc>
          <w:tcPr>
            <w:tcW w:w="7290" w:type="dxa"/>
            <w:tcBorders>
              <w:top w:val="single" w:sz="6" w:space="0" w:color="DC6900" w:themeColor="text2"/>
            </w:tcBorders>
          </w:tcPr>
          <w:p w:rsidR="00693A3D" w:rsidRPr="00CB32B1" w:rsidRDefault="00693A3D" w:rsidP="0047587A">
            <w:pPr>
              <w:pStyle w:val="TableTextNormal"/>
              <w:cnfStyle w:val="000000000000"/>
            </w:pPr>
            <w:r w:rsidRPr="00CB32B1">
              <w:t>The roles and responsibilities of each collaborating partner should be clearly defined and the maternity care coordinator should be identified (as nominated by the woman receiving care).</w:t>
            </w:r>
          </w:p>
          <w:p w:rsidR="00693A3D" w:rsidRPr="00CB32B1" w:rsidRDefault="00693A3D" w:rsidP="0047587A">
            <w:pPr>
              <w:pStyle w:val="TableTextNormal"/>
              <w:cnfStyle w:val="000000000000"/>
            </w:pPr>
            <w:r w:rsidRPr="00CB32B1">
              <w:t>Where possible, a woman’s care coordinator should maintain their role in the care.</w:t>
            </w:r>
          </w:p>
          <w:p w:rsidR="00693A3D" w:rsidRPr="00CB32B1" w:rsidRDefault="00693A3D" w:rsidP="0047587A">
            <w:pPr>
              <w:pStyle w:val="TableTextNormal"/>
              <w:cnfStyle w:val="000000000000"/>
            </w:pPr>
            <w:r w:rsidRPr="00CB32B1">
              <w:t>Relevant accountability, legal liabilities and health insurance issues should be clarified with the service, jurisdiction or insurance provider.</w:t>
            </w:r>
          </w:p>
        </w:tc>
      </w:tr>
      <w:tr w:rsidR="00693A3D" w:rsidRPr="00CB32B1" w:rsidTr="0001118E">
        <w:trPr>
          <w:cantSplit/>
        </w:trPr>
        <w:tc>
          <w:tcPr>
            <w:cnfStyle w:val="001000000000"/>
            <w:tcW w:w="1998" w:type="dxa"/>
          </w:tcPr>
          <w:p w:rsidR="00693A3D" w:rsidRPr="00CB32B1" w:rsidRDefault="00693A3D" w:rsidP="0047587A">
            <w:pPr>
              <w:pStyle w:val="TableTextNormal"/>
            </w:pPr>
            <w:r w:rsidRPr="00CB32B1">
              <w:t>Shared documentation</w:t>
            </w:r>
          </w:p>
        </w:tc>
        <w:tc>
          <w:tcPr>
            <w:tcW w:w="7290" w:type="dxa"/>
          </w:tcPr>
          <w:p w:rsidR="00693A3D" w:rsidRPr="00CB32B1" w:rsidRDefault="00693A3D" w:rsidP="0047587A">
            <w:pPr>
              <w:pStyle w:val="TableTextNormal"/>
              <w:cnfStyle w:val="000000000000"/>
            </w:pPr>
            <w:r w:rsidRPr="00CB32B1">
              <w:t>Shared and reciprocal documentation, including some form of woman-held record, will ensure that all members of the collaboration are aware of the essential information throughout the episode of care.</w:t>
            </w:r>
          </w:p>
        </w:tc>
      </w:tr>
      <w:tr w:rsidR="00693A3D" w:rsidRPr="00CB32B1" w:rsidTr="0001118E">
        <w:trPr>
          <w:cantSplit/>
        </w:trPr>
        <w:tc>
          <w:tcPr>
            <w:cnfStyle w:val="001000000000"/>
            <w:tcW w:w="1998" w:type="dxa"/>
          </w:tcPr>
          <w:p w:rsidR="00693A3D" w:rsidRPr="00CB32B1" w:rsidRDefault="00693A3D" w:rsidP="0047587A">
            <w:pPr>
              <w:pStyle w:val="TableTextNormal"/>
            </w:pPr>
            <w:r w:rsidRPr="00CB32B1">
              <w:t>Transfer plans</w:t>
            </w:r>
          </w:p>
        </w:tc>
        <w:tc>
          <w:tcPr>
            <w:tcW w:w="7290" w:type="dxa"/>
          </w:tcPr>
          <w:p w:rsidR="00693A3D" w:rsidRPr="00CB32B1" w:rsidRDefault="00693A3D" w:rsidP="0047587A">
            <w:pPr>
              <w:pStyle w:val="TableTextNormal"/>
              <w:cnfStyle w:val="000000000000"/>
            </w:pPr>
            <w:r w:rsidRPr="00CB32B1">
              <w:t>Transfer plans identify who the collaborating partners are and what the plan is, if or when a woman’s care needs to be relocated or escalated. They include agreement on consultation and referral guidelines, transport plans, and methods of documenting and consultation and transfer.</w:t>
            </w:r>
          </w:p>
        </w:tc>
      </w:tr>
      <w:tr w:rsidR="00693A3D" w:rsidRPr="00CB32B1" w:rsidTr="0001118E">
        <w:trPr>
          <w:cantSplit/>
        </w:trPr>
        <w:tc>
          <w:tcPr>
            <w:cnfStyle w:val="001000000000"/>
            <w:tcW w:w="1998" w:type="dxa"/>
          </w:tcPr>
          <w:p w:rsidR="00693A3D" w:rsidRPr="00CB32B1" w:rsidRDefault="00693A3D" w:rsidP="0047587A">
            <w:pPr>
              <w:pStyle w:val="TableTextNormal"/>
            </w:pPr>
            <w:r w:rsidRPr="00CB32B1">
              <w:t>Care pathways</w:t>
            </w:r>
          </w:p>
        </w:tc>
        <w:tc>
          <w:tcPr>
            <w:tcW w:w="7290" w:type="dxa"/>
          </w:tcPr>
          <w:p w:rsidR="00693A3D" w:rsidRPr="00CB32B1" w:rsidRDefault="00693A3D" w:rsidP="0047587A">
            <w:pPr>
              <w:pStyle w:val="TableTextNormal"/>
              <w:cnfStyle w:val="000000000000"/>
            </w:pPr>
            <w:r w:rsidRPr="00CB32B1">
              <w:t>There should be documented pathways of primary, secondary and tertiary clinical care. Plans should identify and address any potential barriers to continuity of care.</w:t>
            </w:r>
          </w:p>
        </w:tc>
      </w:tr>
      <w:tr w:rsidR="00693A3D" w:rsidRPr="00CB32B1" w:rsidTr="0001118E">
        <w:trPr>
          <w:cantSplit/>
        </w:trPr>
        <w:tc>
          <w:tcPr>
            <w:cnfStyle w:val="001000000000"/>
            <w:tcW w:w="1998" w:type="dxa"/>
          </w:tcPr>
          <w:p w:rsidR="00693A3D" w:rsidRPr="00CB32B1" w:rsidRDefault="00693A3D" w:rsidP="0047587A">
            <w:pPr>
              <w:pStyle w:val="TableTextNormal"/>
            </w:pPr>
            <w:r w:rsidRPr="00CB32B1">
              <w:t>Access to hospitals</w:t>
            </w:r>
          </w:p>
        </w:tc>
        <w:tc>
          <w:tcPr>
            <w:tcW w:w="7290" w:type="dxa"/>
          </w:tcPr>
          <w:p w:rsidR="00693A3D" w:rsidRPr="00CB32B1" w:rsidRDefault="00693A3D" w:rsidP="0047587A">
            <w:pPr>
              <w:pStyle w:val="TableTextNormal"/>
              <w:cnfStyle w:val="000000000000"/>
            </w:pPr>
            <w:r w:rsidRPr="00CB32B1">
              <w:t>Midwives, particularly PPMs, will need access to all hospitals at which they intend to practice for prenatal, intrapartum and postnatal care of women. Services and hospitals will need processes to allow access for midwives in line with the principles of collaborative maternity care.</w:t>
            </w:r>
          </w:p>
          <w:p w:rsidR="00693A3D" w:rsidRPr="00CB32B1" w:rsidRDefault="00693A3D" w:rsidP="0047587A">
            <w:pPr>
              <w:pStyle w:val="TableTextNormal"/>
              <w:cnfStyle w:val="000000000000"/>
            </w:pPr>
            <w:r w:rsidRPr="00CB32B1">
              <w:t>Memorandums of understanding (MOUs) are a possible mechanism for services to negotiate hospital access with midwives. These could operate in a similar way to hospital clinical privileging processes where midwives are able to practise at the hospital within defined parameters.</w:t>
            </w:r>
          </w:p>
        </w:tc>
      </w:tr>
      <w:tr w:rsidR="00693A3D" w:rsidRPr="00CB32B1" w:rsidTr="0001118E">
        <w:trPr>
          <w:cantSplit/>
        </w:trPr>
        <w:tc>
          <w:tcPr>
            <w:cnfStyle w:val="001000000000"/>
            <w:tcW w:w="1998" w:type="dxa"/>
          </w:tcPr>
          <w:p w:rsidR="00693A3D" w:rsidRPr="00CB32B1" w:rsidRDefault="00693A3D" w:rsidP="0047587A">
            <w:pPr>
              <w:pStyle w:val="TableTextNormal"/>
            </w:pPr>
            <w:r w:rsidRPr="00CB32B1">
              <w:t>Credentialing</w:t>
            </w:r>
          </w:p>
        </w:tc>
        <w:tc>
          <w:tcPr>
            <w:tcW w:w="7290" w:type="dxa"/>
          </w:tcPr>
          <w:p w:rsidR="00693A3D" w:rsidRPr="00CB32B1" w:rsidRDefault="00693A3D" w:rsidP="0047587A">
            <w:pPr>
              <w:pStyle w:val="TableTextNormal"/>
              <w:cnfStyle w:val="000000000000"/>
            </w:pPr>
            <w:r w:rsidRPr="00CB32B1">
              <w:t>This could be a way to establish midwives’ access to hospitals.</w:t>
            </w:r>
          </w:p>
        </w:tc>
      </w:tr>
      <w:tr w:rsidR="00693A3D" w:rsidRPr="00CB32B1" w:rsidTr="0001118E">
        <w:trPr>
          <w:cantSplit/>
        </w:trPr>
        <w:tc>
          <w:tcPr>
            <w:cnfStyle w:val="001000000000"/>
            <w:tcW w:w="1998" w:type="dxa"/>
          </w:tcPr>
          <w:p w:rsidR="00693A3D" w:rsidRPr="00CB32B1" w:rsidRDefault="00693A3D" w:rsidP="0047587A">
            <w:pPr>
              <w:pStyle w:val="TableTextNormal"/>
            </w:pPr>
            <w:r w:rsidRPr="00CB32B1">
              <w:t>Hospital bookings</w:t>
            </w:r>
          </w:p>
        </w:tc>
        <w:tc>
          <w:tcPr>
            <w:tcW w:w="7290" w:type="dxa"/>
          </w:tcPr>
          <w:p w:rsidR="00693A3D" w:rsidRPr="00CB32B1" w:rsidRDefault="00693A3D" w:rsidP="0047587A">
            <w:pPr>
              <w:pStyle w:val="TableTextNormal"/>
              <w:cnfStyle w:val="000000000000"/>
            </w:pPr>
            <w:r w:rsidRPr="00CB32B1">
              <w:t>All women should be advised to book into a hospital, regardless of their birthing plan. There should be no implication that this will be a required step; however, booking ensures continuity of care and facilitates transfer and escalation processes, when required.</w:t>
            </w:r>
          </w:p>
        </w:tc>
      </w:tr>
      <w:tr w:rsidR="00693A3D" w:rsidRPr="00CB32B1" w:rsidTr="0001118E">
        <w:trPr>
          <w:cantSplit/>
        </w:trPr>
        <w:tc>
          <w:tcPr>
            <w:cnfStyle w:val="001000000000"/>
            <w:tcW w:w="1998" w:type="dxa"/>
          </w:tcPr>
          <w:p w:rsidR="00693A3D" w:rsidRPr="00CB32B1" w:rsidRDefault="00693A3D" w:rsidP="0047587A">
            <w:pPr>
              <w:pStyle w:val="TableTextNormal"/>
            </w:pPr>
            <w:r w:rsidRPr="00CB32B1">
              <w:t>Admission status</w:t>
            </w:r>
          </w:p>
        </w:tc>
        <w:tc>
          <w:tcPr>
            <w:tcW w:w="7290" w:type="dxa"/>
          </w:tcPr>
          <w:p w:rsidR="00693A3D" w:rsidRPr="00CB32B1" w:rsidRDefault="00693A3D" w:rsidP="0047587A">
            <w:pPr>
              <w:pStyle w:val="TableTextNormal"/>
              <w:cnfStyle w:val="000000000000"/>
            </w:pPr>
            <w:r w:rsidRPr="00CB32B1">
              <w:t>The admission status of the woman (as a private or public patient) should be clarified with the service (and insurer if appropriate) at the time of booking.</w:t>
            </w:r>
          </w:p>
        </w:tc>
      </w:tr>
      <w:tr w:rsidR="00693A3D" w:rsidRPr="00CB32B1" w:rsidTr="0001118E">
        <w:trPr>
          <w:cantSplit/>
        </w:trPr>
        <w:tc>
          <w:tcPr>
            <w:cnfStyle w:val="001000000000"/>
            <w:tcW w:w="1998" w:type="dxa"/>
          </w:tcPr>
          <w:p w:rsidR="00693A3D" w:rsidRPr="00CB32B1" w:rsidRDefault="00693A3D" w:rsidP="0047587A">
            <w:pPr>
              <w:pStyle w:val="TableTextNormal"/>
            </w:pPr>
            <w:r w:rsidRPr="00CB32B1">
              <w:t>Postnatal care</w:t>
            </w:r>
          </w:p>
        </w:tc>
        <w:tc>
          <w:tcPr>
            <w:tcW w:w="7290" w:type="dxa"/>
          </w:tcPr>
          <w:p w:rsidR="00693A3D" w:rsidRPr="00CB32B1" w:rsidRDefault="00693A3D" w:rsidP="0047587A">
            <w:pPr>
              <w:pStyle w:val="TableTextNormal"/>
              <w:cnfStyle w:val="000000000000"/>
            </w:pPr>
            <w:r w:rsidRPr="00CB32B1">
              <w:t>There should be clear opportunities for communication with, and transfer to, the woman or her family’s local health and wellbeing service community, including GPs, maternal, family and child health nurses, and early childhood and community services.</w:t>
            </w:r>
          </w:p>
        </w:tc>
      </w:tr>
      <w:tr w:rsidR="00693A3D" w:rsidRPr="00CB32B1" w:rsidTr="0001118E">
        <w:trPr>
          <w:cantSplit/>
        </w:trPr>
        <w:tc>
          <w:tcPr>
            <w:cnfStyle w:val="001000000000"/>
            <w:tcW w:w="1998" w:type="dxa"/>
          </w:tcPr>
          <w:p w:rsidR="00693A3D" w:rsidRPr="00CB32B1" w:rsidRDefault="00693A3D" w:rsidP="00831915">
            <w:pPr>
              <w:pStyle w:val="TableTextNormal"/>
            </w:pPr>
            <w:r w:rsidRPr="00CB32B1">
              <w:t>Competition</w:t>
            </w:r>
          </w:p>
        </w:tc>
        <w:tc>
          <w:tcPr>
            <w:tcW w:w="7290" w:type="dxa"/>
          </w:tcPr>
          <w:p w:rsidR="00693A3D" w:rsidRPr="00CB32B1" w:rsidRDefault="00693A3D" w:rsidP="00831915">
            <w:pPr>
              <w:pStyle w:val="TableTextNormal"/>
              <w:cnfStyle w:val="000000000000"/>
            </w:pPr>
            <w:r w:rsidRPr="00CB32B1">
              <w:t>There may be real or perceived competition between maternity health professionals. Even a perception of competition has the potential to damage trust or influence professionals who are part of the credentialing process to refuse access to hospitals for others.</w:t>
            </w:r>
          </w:p>
        </w:tc>
      </w:tr>
      <w:tr w:rsidR="00693A3D" w:rsidRPr="00CB32B1" w:rsidTr="0001118E">
        <w:trPr>
          <w:cantSplit/>
        </w:trPr>
        <w:tc>
          <w:tcPr>
            <w:cnfStyle w:val="001000000000"/>
            <w:tcW w:w="1998" w:type="dxa"/>
          </w:tcPr>
          <w:p w:rsidR="00693A3D" w:rsidRPr="00CB32B1" w:rsidRDefault="00693A3D" w:rsidP="0047587A">
            <w:pPr>
              <w:pStyle w:val="TableTextNormal"/>
            </w:pPr>
            <w:r w:rsidRPr="00CB32B1">
              <w:t>Dealing with conflict</w:t>
            </w:r>
          </w:p>
        </w:tc>
        <w:tc>
          <w:tcPr>
            <w:tcW w:w="7290" w:type="dxa"/>
          </w:tcPr>
          <w:p w:rsidR="00693A3D" w:rsidRPr="00CB32B1" w:rsidRDefault="00693A3D" w:rsidP="0047587A">
            <w:pPr>
              <w:pStyle w:val="TableTextNormal"/>
              <w:cnfStyle w:val="000000000000"/>
            </w:pPr>
            <w:r w:rsidRPr="00CB32B1">
              <w:t>Due to many of the issues previously discussed in this Guidance, collaboration can be a challenge. Due to the complex interaction of morals, ethics, laws, policies, cultures, as well as the ways they can be interpreted by each individual, there are many areas where conflicting opinions may lead to disagreements. In turn this could potentially result in a breakdown of collaboration, poorer outcomes for women and their babies, and create tension in the working environment for maternity care professionals.</w:t>
            </w:r>
          </w:p>
        </w:tc>
      </w:tr>
    </w:tbl>
    <w:p w:rsidR="00693A3D" w:rsidRPr="00CB32B1" w:rsidRDefault="00693A3D" w:rsidP="00693A3D">
      <w:pPr>
        <w:pStyle w:val="PwCNormal"/>
        <w:spacing w:before="120"/>
      </w:pPr>
      <w:r w:rsidRPr="00CB32B1">
        <w:t>While the identification of issues and considerations are useful, it appears from consultations that overcoming them is still, at present, challenging. Many of the considerations presented to the NMBA within this report are reflected in the NHMRC review.</w:t>
      </w:r>
    </w:p>
    <w:p w:rsidR="00693A3D" w:rsidRPr="00CB32B1" w:rsidRDefault="00693A3D" w:rsidP="00693A3D">
      <w:pPr>
        <w:pStyle w:val="PwCNormal"/>
      </w:pPr>
      <w:r w:rsidRPr="00CB32B1">
        <w:t xml:space="preserve">To assist in improving collaborative partnerships, DoHA’s </w:t>
      </w:r>
      <w:r w:rsidRPr="00CB32B1">
        <w:rPr>
          <w:i/>
        </w:rPr>
        <w:t>National Maternity Services Plan</w:t>
      </w:r>
      <w:r w:rsidRPr="00CB32B1">
        <w:t xml:space="preserve"> was released in 2010 to provide a five-year vision for maternity services. This plan sets out priorities for maternity services in terms of access, service delivery, workforce and infrastructure. The National Maternity Services Plan aims to ensure that at a jurisdictional level, there has been development of consistent approaches to clinical privileging and access rights for PPMs.</w:t>
      </w:r>
      <w:r w:rsidRPr="00CB32B1">
        <w:rPr>
          <w:rStyle w:val="FootnoteReference"/>
        </w:rPr>
        <w:footnoteReference w:id="316"/>
      </w:r>
    </w:p>
    <w:p w:rsidR="00693A3D" w:rsidRPr="00CB32B1" w:rsidRDefault="00693A3D" w:rsidP="00693A3D">
      <w:pPr>
        <w:pStyle w:val="PwCNormal"/>
      </w:pPr>
      <w:r w:rsidRPr="00CB32B1">
        <w:t xml:space="preserve">The </w:t>
      </w:r>
      <w:r w:rsidRPr="00904784">
        <w:rPr>
          <w:i/>
        </w:rPr>
        <w:t xml:space="preserve">National Maternity Services Plan Annual Report </w:t>
      </w:r>
      <w:r w:rsidRPr="00CB32B1">
        <w:t xml:space="preserve">details the work at a jurisdictional level which has been undertaken to ensure consistent approaches to clinical privileging and access rights for PPMs. The current status of the work is detailed in </w:t>
      </w:r>
      <w:r w:rsidR="009129A6" w:rsidRPr="00CB32B1">
        <w:fldChar w:fldCharType="begin"/>
      </w:r>
      <w:r w:rsidR="00A33BD9" w:rsidRPr="00CB32B1">
        <w:instrText xml:space="preserve"> REF _Ref361223950 \h </w:instrText>
      </w:r>
      <w:r w:rsidR="009129A6" w:rsidRPr="00CB32B1">
        <w:fldChar w:fldCharType="separate"/>
      </w:r>
      <w:r w:rsidR="008816B4" w:rsidRPr="00CB32B1">
        <w:t xml:space="preserve">Table </w:t>
      </w:r>
      <w:r w:rsidR="008816B4">
        <w:rPr>
          <w:noProof/>
        </w:rPr>
        <w:t>24</w:t>
      </w:r>
      <w:r w:rsidR="009129A6" w:rsidRPr="00CB32B1">
        <w:fldChar w:fldCharType="end"/>
      </w:r>
      <w:r w:rsidRPr="00CB32B1">
        <w:t>.</w:t>
      </w:r>
    </w:p>
    <w:p w:rsidR="00693A3D" w:rsidRPr="00CB32B1" w:rsidRDefault="00693A3D" w:rsidP="00693A3D">
      <w:pPr>
        <w:pStyle w:val="Caption"/>
      </w:pPr>
      <w:bookmarkStart w:id="125" w:name="_Ref361223950"/>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24</w:t>
      </w:r>
      <w:r w:rsidR="009129A6" w:rsidRPr="00CB32B1">
        <w:fldChar w:fldCharType="end"/>
      </w:r>
      <w:bookmarkEnd w:id="125"/>
      <w:r w:rsidRPr="00CB32B1">
        <w:t>:</w:t>
      </w:r>
      <w:r w:rsidRPr="00CB32B1">
        <w:tab/>
        <w:t>Documented progress for access arrangements for PPMs by state and territory</w:t>
      </w:r>
    </w:p>
    <w:tbl>
      <w:tblPr>
        <w:tblStyle w:val="PwCTableStyle1"/>
        <w:tblW w:w="5000" w:type="pct"/>
        <w:tblLook w:val="04A0"/>
      </w:tblPr>
      <w:tblGrid>
        <w:gridCol w:w="1786"/>
        <w:gridCol w:w="7499"/>
      </w:tblGrid>
      <w:tr w:rsidR="00693A3D" w:rsidRPr="00CB32B1" w:rsidTr="009D37C7">
        <w:trPr>
          <w:cnfStyle w:val="100000000000"/>
        </w:trPr>
        <w:tc>
          <w:tcPr>
            <w:cnfStyle w:val="001000000000"/>
            <w:tcW w:w="961" w:type="pct"/>
            <w:tcBorders>
              <w:bottom w:val="single" w:sz="6" w:space="0" w:color="DC6900" w:themeColor="text2"/>
              <w:right w:val="single" w:sz="6" w:space="0" w:color="FFFFFF" w:themeColor="background2"/>
            </w:tcBorders>
            <w:shd w:val="clear" w:color="auto" w:fill="DC6900" w:themeFill="text2"/>
            <w:vAlign w:val="center"/>
          </w:tcPr>
          <w:p w:rsidR="00693A3D" w:rsidRPr="00CB32B1" w:rsidRDefault="00693A3D" w:rsidP="009D37C7">
            <w:pPr>
              <w:pStyle w:val="TableColumnHeadingNormal"/>
            </w:pPr>
            <w:r w:rsidRPr="00CB32B1">
              <w:t>State/Territory</w:t>
            </w:r>
          </w:p>
        </w:tc>
        <w:tc>
          <w:tcPr>
            <w:tcW w:w="4039" w:type="pct"/>
            <w:tcBorders>
              <w:left w:val="single" w:sz="6" w:space="0" w:color="FFFFFF" w:themeColor="background2"/>
              <w:bottom w:val="single" w:sz="6" w:space="0" w:color="DC6900" w:themeColor="text2"/>
            </w:tcBorders>
            <w:shd w:val="clear" w:color="auto" w:fill="DC6900" w:themeFill="text2"/>
            <w:vAlign w:val="center"/>
          </w:tcPr>
          <w:p w:rsidR="00693A3D" w:rsidRPr="00CB32B1" w:rsidRDefault="00693A3D" w:rsidP="009D37C7">
            <w:pPr>
              <w:pStyle w:val="TableColumnHeadingNormal"/>
              <w:cnfStyle w:val="100000000000"/>
            </w:pPr>
            <w:r w:rsidRPr="00CB32B1">
              <w:t>Progress made at jurisdictional level to ensure a consistent approach to clinical privileging and access arrangements</w:t>
            </w:r>
          </w:p>
        </w:tc>
      </w:tr>
      <w:tr w:rsidR="00693A3D" w:rsidRPr="00CB32B1" w:rsidTr="0047587A">
        <w:tc>
          <w:tcPr>
            <w:cnfStyle w:val="001000000000"/>
            <w:tcW w:w="961" w:type="pct"/>
            <w:tcBorders>
              <w:top w:val="single" w:sz="6" w:space="0" w:color="DC6900" w:themeColor="text2"/>
            </w:tcBorders>
          </w:tcPr>
          <w:p w:rsidR="00693A3D" w:rsidRPr="00CB32B1" w:rsidRDefault="00693A3D" w:rsidP="0047587A">
            <w:pPr>
              <w:pStyle w:val="TableTextNormal"/>
            </w:pPr>
            <w:r w:rsidRPr="00CB32B1">
              <w:t>NSW</w:t>
            </w:r>
          </w:p>
        </w:tc>
        <w:tc>
          <w:tcPr>
            <w:tcW w:w="4039" w:type="pct"/>
            <w:tcBorders>
              <w:top w:val="single" w:sz="6" w:space="0" w:color="DC6900" w:themeColor="text2"/>
            </w:tcBorders>
          </w:tcPr>
          <w:p w:rsidR="00693A3D" w:rsidRPr="00CB32B1" w:rsidRDefault="00693A3D" w:rsidP="0047587A">
            <w:pPr>
              <w:pStyle w:val="TableTextNormal"/>
              <w:cnfStyle w:val="000000000000"/>
            </w:pPr>
            <w:r w:rsidRPr="00CB32B1">
              <w:t xml:space="preserve">A statewide credentialing project is underway as is the development of a policy to facilitate clinical privileging for </w:t>
            </w:r>
            <w:r w:rsidR="00727D37">
              <w:t>PPMs</w:t>
            </w:r>
            <w:r w:rsidRPr="00CB32B1">
              <w:t xml:space="preserve"> in NSW public maternity services.</w:t>
            </w:r>
            <w:r w:rsidRPr="00CB32B1">
              <w:rPr>
                <w:rStyle w:val="FootnoteReference"/>
              </w:rPr>
              <w:footnoteReference w:id="317"/>
            </w:r>
          </w:p>
        </w:tc>
      </w:tr>
      <w:tr w:rsidR="00693A3D" w:rsidRPr="00CB32B1" w:rsidTr="0047587A">
        <w:tc>
          <w:tcPr>
            <w:cnfStyle w:val="001000000000"/>
            <w:tcW w:w="961" w:type="pct"/>
          </w:tcPr>
          <w:p w:rsidR="00693A3D" w:rsidRPr="00CB32B1" w:rsidRDefault="00693A3D" w:rsidP="0047587A">
            <w:pPr>
              <w:pStyle w:val="TableTextNormal"/>
            </w:pPr>
            <w:r w:rsidRPr="00CB32B1">
              <w:t>Vic.</w:t>
            </w:r>
          </w:p>
        </w:tc>
        <w:tc>
          <w:tcPr>
            <w:tcW w:w="4039" w:type="pct"/>
          </w:tcPr>
          <w:p w:rsidR="00693A3D" w:rsidRPr="00CB32B1" w:rsidRDefault="00693A3D" w:rsidP="0047587A">
            <w:pPr>
              <w:pStyle w:val="TableTextNormal"/>
              <w:cnfStyle w:val="000000000000"/>
            </w:pPr>
            <w:r w:rsidRPr="00CB32B1">
              <w:t>The Victorian Government has engaged a project officer and established a statewide reference group to develop a statewide approach to clinical privileging of eligible midwives in Victorian public maternity services.</w:t>
            </w:r>
            <w:r w:rsidRPr="00CB32B1">
              <w:rPr>
                <w:rStyle w:val="FootnoteReference"/>
              </w:rPr>
              <w:footnoteReference w:id="318"/>
            </w:r>
            <w:r w:rsidRPr="00CB32B1">
              <w:t xml:space="preserve"> A framework for use by Victorian public hospitals considering a private practice midwifery model has been drafted and is being reviewed by the Department of Health (Vic).</w:t>
            </w:r>
            <w:r w:rsidRPr="00CB32B1">
              <w:rPr>
                <w:rStyle w:val="FootnoteReference"/>
              </w:rPr>
              <w:footnoteReference w:id="319"/>
            </w:r>
          </w:p>
        </w:tc>
      </w:tr>
      <w:tr w:rsidR="00693A3D" w:rsidRPr="00CB32B1" w:rsidTr="0047587A">
        <w:tc>
          <w:tcPr>
            <w:cnfStyle w:val="001000000000"/>
            <w:tcW w:w="961" w:type="pct"/>
          </w:tcPr>
          <w:p w:rsidR="00693A3D" w:rsidRPr="00CB32B1" w:rsidRDefault="00693A3D" w:rsidP="0047587A">
            <w:pPr>
              <w:pStyle w:val="TableTextNormal"/>
              <w:keepNext/>
              <w:keepLines/>
            </w:pPr>
            <w:r w:rsidRPr="00CB32B1">
              <w:t>Qld</w:t>
            </w:r>
          </w:p>
        </w:tc>
        <w:tc>
          <w:tcPr>
            <w:tcW w:w="4039" w:type="pct"/>
          </w:tcPr>
          <w:p w:rsidR="00693A3D" w:rsidRPr="00CB32B1" w:rsidRDefault="00693A3D" w:rsidP="0047587A">
            <w:pPr>
              <w:pStyle w:val="TableTextNormal"/>
              <w:keepNext/>
              <w:keepLines/>
              <w:cnfStyle w:val="000000000000"/>
            </w:pPr>
            <w:r w:rsidRPr="00CB32B1">
              <w:t>Queensland Health has not established a publicly funded homebirth schemes but is working to support PPMs to receive access to health services. A pilot site for collaboration was established in Toowoomba. There are currently three collaborative agreements in place in Toowoomba, Gold Coast and Caboolture. The collaborative partnerships differ between these three sites.</w:t>
            </w:r>
            <w:r w:rsidRPr="00CB32B1">
              <w:rPr>
                <w:vertAlign w:val="superscript"/>
              </w:rPr>
              <w:footnoteReference w:id="320"/>
            </w:r>
          </w:p>
        </w:tc>
      </w:tr>
      <w:tr w:rsidR="00693A3D" w:rsidRPr="00CB32B1" w:rsidTr="0047587A">
        <w:tc>
          <w:tcPr>
            <w:cnfStyle w:val="001000000000"/>
            <w:tcW w:w="961" w:type="pct"/>
          </w:tcPr>
          <w:p w:rsidR="00693A3D" w:rsidRPr="00CB32B1" w:rsidRDefault="00693A3D" w:rsidP="0047587A">
            <w:pPr>
              <w:pStyle w:val="TableTextNormal"/>
            </w:pPr>
            <w:r w:rsidRPr="00CB32B1">
              <w:t>WA</w:t>
            </w:r>
          </w:p>
        </w:tc>
        <w:tc>
          <w:tcPr>
            <w:tcW w:w="4039" w:type="pct"/>
          </w:tcPr>
          <w:p w:rsidR="00693A3D" w:rsidRPr="00CB32B1" w:rsidRDefault="00693A3D" w:rsidP="0047587A">
            <w:pPr>
              <w:pStyle w:val="TableTextNormal"/>
              <w:cnfStyle w:val="000000000000"/>
            </w:pPr>
            <w:r w:rsidRPr="00CB32B1">
              <w:t>The WA Government has been working with the Office of Safety and Quality to review the existing medical officer credentialing policy to include eligible midwives. A request has been sent to the credentialing committees to include midwives on the committee to facilitate the process. WA is currently developing strategies to support eligible midwives into health services until the policy is changed.</w:t>
            </w:r>
          </w:p>
        </w:tc>
      </w:tr>
      <w:tr w:rsidR="00693A3D" w:rsidRPr="00CB32B1" w:rsidTr="0047587A">
        <w:tc>
          <w:tcPr>
            <w:cnfStyle w:val="001000000000"/>
            <w:tcW w:w="961" w:type="pct"/>
          </w:tcPr>
          <w:p w:rsidR="00693A3D" w:rsidRPr="00CB32B1" w:rsidRDefault="00693A3D" w:rsidP="0047587A">
            <w:pPr>
              <w:pStyle w:val="TableTextNormal"/>
            </w:pPr>
            <w:r w:rsidRPr="00CB32B1">
              <w:t>ACT</w:t>
            </w:r>
          </w:p>
        </w:tc>
        <w:tc>
          <w:tcPr>
            <w:tcW w:w="4039" w:type="pct"/>
          </w:tcPr>
          <w:p w:rsidR="00693A3D" w:rsidRPr="00CB32B1" w:rsidRDefault="00693A3D" w:rsidP="0047587A">
            <w:pPr>
              <w:pStyle w:val="TableTextNormal"/>
              <w:cnfStyle w:val="000000000000"/>
            </w:pPr>
            <w:r w:rsidRPr="00CB32B1">
              <w:t>The ACT Government has established a working group to progress clinical privileging.</w:t>
            </w:r>
          </w:p>
        </w:tc>
      </w:tr>
      <w:tr w:rsidR="00693A3D" w:rsidRPr="00CB32B1" w:rsidTr="0047587A">
        <w:tc>
          <w:tcPr>
            <w:cnfStyle w:val="001000000000"/>
            <w:tcW w:w="961" w:type="pct"/>
          </w:tcPr>
          <w:p w:rsidR="00693A3D" w:rsidRPr="00CB32B1" w:rsidRDefault="00693A3D" w:rsidP="0047587A">
            <w:pPr>
              <w:pStyle w:val="TableTextNormal"/>
            </w:pPr>
            <w:r w:rsidRPr="00CB32B1">
              <w:t>Tas.</w:t>
            </w:r>
          </w:p>
        </w:tc>
        <w:tc>
          <w:tcPr>
            <w:tcW w:w="4039" w:type="pct"/>
          </w:tcPr>
          <w:p w:rsidR="00693A3D" w:rsidRPr="00CB32B1" w:rsidRDefault="00693A3D" w:rsidP="0047587A">
            <w:pPr>
              <w:pStyle w:val="TableTextNormal"/>
              <w:cnfStyle w:val="000000000000"/>
            </w:pPr>
            <w:r w:rsidRPr="00CB32B1">
              <w:t>The Tasmanian Government is conducting a review of the current credentialing framework for health professionals with a view to extension to include eligible midwives.</w:t>
            </w:r>
          </w:p>
        </w:tc>
      </w:tr>
      <w:tr w:rsidR="00693A3D" w:rsidRPr="00CB32B1" w:rsidTr="0047587A">
        <w:tc>
          <w:tcPr>
            <w:cnfStyle w:val="001000000000"/>
            <w:tcW w:w="961" w:type="pct"/>
          </w:tcPr>
          <w:p w:rsidR="00693A3D" w:rsidRPr="00CB32B1" w:rsidRDefault="00693A3D" w:rsidP="0047587A">
            <w:pPr>
              <w:pStyle w:val="TableTextNormal"/>
            </w:pPr>
            <w:r w:rsidRPr="00CB32B1">
              <w:t>NT</w:t>
            </w:r>
          </w:p>
        </w:tc>
        <w:tc>
          <w:tcPr>
            <w:tcW w:w="4039" w:type="pct"/>
          </w:tcPr>
          <w:p w:rsidR="00693A3D" w:rsidRPr="00CB32B1" w:rsidRDefault="00693A3D" w:rsidP="0047587A">
            <w:pPr>
              <w:pStyle w:val="TableTextNormal"/>
              <w:cnfStyle w:val="000000000000"/>
            </w:pPr>
            <w:r w:rsidRPr="00CB32B1">
              <w:t>In the NT, midwives working in an Aboriginal Community Controlled Organisation (ACCO) have been given clinical privileging to follow women through to birthing at the Alice Springs Hospital,</w:t>
            </w:r>
            <w:r w:rsidR="00904784">
              <w:t xml:space="preserve"> thus facilitating a continuity of </w:t>
            </w:r>
            <w:r w:rsidRPr="00CB32B1">
              <w:t>care model.</w:t>
            </w:r>
          </w:p>
        </w:tc>
      </w:tr>
    </w:tbl>
    <w:p w:rsidR="00693A3D" w:rsidRPr="00CB32B1" w:rsidRDefault="00693A3D" w:rsidP="00693A3D">
      <w:pPr>
        <w:pStyle w:val="Sources"/>
      </w:pPr>
      <w:r w:rsidRPr="00CB32B1">
        <w:rPr>
          <w:b/>
        </w:rPr>
        <w:t>Source</w:t>
      </w:r>
      <w:r w:rsidR="00FA152C" w:rsidRPr="00CB32B1">
        <w:rPr>
          <w:b/>
        </w:rPr>
        <w:t>s</w:t>
      </w:r>
      <w:r w:rsidRPr="00CB32B1">
        <w:rPr>
          <w:b/>
        </w:rPr>
        <w:t>:</w:t>
      </w:r>
      <w:r w:rsidRPr="00CB32B1">
        <w:t xml:space="preserve"> </w:t>
      </w:r>
      <w:r w:rsidR="003B4C6B" w:rsidRPr="00CB32B1">
        <w:t>Department of Health and Ageing 2012.</w:t>
      </w:r>
    </w:p>
    <w:p w:rsidR="0001118E" w:rsidRPr="00CB32B1" w:rsidRDefault="00693A3D" w:rsidP="0001118E">
      <w:pPr>
        <w:pStyle w:val="Caption"/>
        <w:keepNext w:val="0"/>
        <w:keepLines w:val="0"/>
        <w:tabs>
          <w:tab w:val="clear" w:pos="992"/>
        </w:tabs>
        <w:ind w:left="0" w:firstLine="0"/>
        <w:rPr>
          <w:rFonts w:ascii="Georgia" w:hAnsi="Georgia"/>
          <w:b w:val="0"/>
          <w:bCs w:val="0"/>
          <w:color w:val="auto"/>
          <w:szCs w:val="20"/>
        </w:rPr>
      </w:pPr>
      <w:r w:rsidRPr="00CB32B1">
        <w:rPr>
          <w:rFonts w:ascii="Georgia" w:hAnsi="Georgia"/>
          <w:b w:val="0"/>
          <w:bCs w:val="0"/>
          <w:color w:val="auto"/>
          <w:szCs w:val="20"/>
        </w:rPr>
        <w:t>These approaches seem to be varied and are at different levels of establishment and support. Therefore,</w:t>
      </w:r>
      <w:r w:rsidR="00904784">
        <w:rPr>
          <w:rFonts w:ascii="Georgia" w:hAnsi="Georgia"/>
          <w:b w:val="0"/>
          <w:bCs w:val="0"/>
          <w:color w:val="auto"/>
          <w:szCs w:val="20"/>
        </w:rPr>
        <w:t xml:space="preserve"> it is evident that</w:t>
      </w:r>
      <w:r w:rsidRPr="00CB32B1">
        <w:rPr>
          <w:rFonts w:ascii="Georgia" w:hAnsi="Georgia"/>
          <w:b w:val="0"/>
          <w:bCs w:val="0"/>
          <w:color w:val="auto"/>
          <w:szCs w:val="20"/>
        </w:rPr>
        <w:t xml:space="preserve"> there is still variation in how these arrangements and rights are being established across states and territories. This is expected to continue given, for example, the ability of eligible midwives to secure clinical privileges, admitting and practice rights to public health facilities. DoHA’s </w:t>
      </w:r>
      <w:r w:rsidRPr="00904784">
        <w:rPr>
          <w:rFonts w:ascii="Georgia" w:hAnsi="Georgia"/>
          <w:b w:val="0"/>
          <w:bCs w:val="0"/>
          <w:i/>
          <w:color w:val="auto"/>
          <w:szCs w:val="20"/>
        </w:rPr>
        <w:t>National Maternity Service Plan</w:t>
      </w:r>
      <w:r w:rsidRPr="00904784">
        <w:rPr>
          <w:rFonts w:ascii="Georgia" w:hAnsi="Georgia"/>
          <w:b w:val="0"/>
          <w:bCs w:val="0"/>
          <w:color w:val="auto"/>
          <w:szCs w:val="20"/>
          <w:vertAlign w:val="superscript"/>
        </w:rPr>
        <w:footnoteReference w:id="321"/>
      </w:r>
      <w:r w:rsidRPr="00904784">
        <w:rPr>
          <w:rFonts w:ascii="Georgia" w:hAnsi="Georgia"/>
          <w:b w:val="0"/>
          <w:bCs w:val="0"/>
          <w:color w:val="auto"/>
          <w:szCs w:val="20"/>
          <w:vertAlign w:val="superscript"/>
        </w:rPr>
        <w:t xml:space="preserve"> </w:t>
      </w:r>
      <w:r w:rsidRPr="00831915">
        <w:rPr>
          <w:rFonts w:ascii="Georgia" w:hAnsi="Georgia"/>
          <w:b w:val="0"/>
          <w:bCs w:val="0"/>
          <w:color w:val="auto"/>
          <w:szCs w:val="20"/>
        </w:rPr>
        <w:t>i</w:t>
      </w:r>
      <w:r w:rsidRPr="00CB32B1">
        <w:rPr>
          <w:rFonts w:ascii="Georgia" w:hAnsi="Georgia"/>
          <w:b w:val="0"/>
          <w:bCs w:val="0"/>
          <w:color w:val="auto"/>
          <w:szCs w:val="20"/>
        </w:rPr>
        <w:t>dentified inconsistencies in the process for eligible midwives to secure these privileges and rights. The outline of the proposed plan for clinical privileging, admitting and access rights is outlined in</w:t>
      </w:r>
      <w:r w:rsidR="0001118E" w:rsidRPr="00CB32B1">
        <w:rPr>
          <w:rFonts w:ascii="Georgia" w:hAnsi="Georgia"/>
          <w:b w:val="0"/>
          <w:bCs w:val="0"/>
          <w:color w:val="auto"/>
          <w:szCs w:val="20"/>
        </w:rPr>
        <w:t xml:space="preserve"> </w:t>
      </w:r>
      <w:fldSimple w:instr=" REF _Ref361327394 \h  \* MERGEFORMAT ">
        <w:r w:rsidR="008816B4" w:rsidRPr="008816B4">
          <w:rPr>
            <w:rFonts w:ascii="Georgia" w:hAnsi="Georgia"/>
            <w:b w:val="0"/>
            <w:bCs w:val="0"/>
            <w:color w:val="auto"/>
            <w:szCs w:val="20"/>
          </w:rPr>
          <w:t>Table 25</w:t>
        </w:r>
      </w:fldSimple>
      <w:r w:rsidR="0001118E" w:rsidRPr="00CB32B1">
        <w:rPr>
          <w:rFonts w:ascii="Georgia" w:hAnsi="Georgia"/>
          <w:b w:val="0"/>
          <w:bCs w:val="0"/>
          <w:color w:val="auto"/>
          <w:szCs w:val="20"/>
        </w:rPr>
        <w:t>.</w:t>
      </w:r>
      <w:bookmarkStart w:id="126" w:name="_Ref361223962"/>
    </w:p>
    <w:p w:rsidR="00693A3D" w:rsidRPr="00CB32B1" w:rsidRDefault="00693A3D" w:rsidP="0001118E">
      <w:pPr>
        <w:pStyle w:val="Caption"/>
        <w:tabs>
          <w:tab w:val="clear" w:pos="992"/>
        </w:tabs>
        <w:ind w:left="0" w:firstLine="0"/>
      </w:pPr>
      <w:bookmarkStart w:id="127" w:name="_Ref361327394"/>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25</w:t>
      </w:r>
      <w:r w:rsidR="009129A6" w:rsidRPr="00CB32B1">
        <w:fldChar w:fldCharType="end"/>
      </w:r>
      <w:bookmarkEnd w:id="126"/>
      <w:bookmarkEnd w:id="127"/>
      <w:r w:rsidRPr="00CB32B1">
        <w:t>:</w:t>
      </w:r>
      <w:r w:rsidRPr="00CB32B1">
        <w:tab/>
        <w:t>The National Maternity Services Plan Action – 1.2.2 (2010)</w:t>
      </w:r>
    </w:p>
    <w:tbl>
      <w:tblPr>
        <w:tblStyle w:val="PwCTableStyle1"/>
        <w:tblW w:w="0" w:type="auto"/>
        <w:tblLayout w:type="fixed"/>
        <w:tblLook w:val="04A0"/>
      </w:tblPr>
      <w:tblGrid>
        <w:gridCol w:w="2628"/>
        <w:gridCol w:w="2220"/>
        <w:gridCol w:w="2220"/>
        <w:gridCol w:w="2220"/>
      </w:tblGrid>
      <w:tr w:rsidR="00693A3D" w:rsidRPr="00CB32B1" w:rsidTr="009D37C7">
        <w:trPr>
          <w:cnfStyle w:val="100000000000"/>
        </w:trPr>
        <w:tc>
          <w:tcPr>
            <w:cnfStyle w:val="001000000000"/>
            <w:tcW w:w="2628" w:type="dxa"/>
            <w:tcBorders>
              <w:bottom w:val="single" w:sz="6" w:space="0" w:color="DC6900" w:themeColor="text2"/>
              <w:right w:val="single" w:sz="6" w:space="0" w:color="FFFFFF" w:themeColor="background2"/>
            </w:tcBorders>
            <w:shd w:val="clear" w:color="auto" w:fill="DC6900" w:themeFill="text2"/>
            <w:vAlign w:val="center"/>
          </w:tcPr>
          <w:p w:rsidR="00693A3D" w:rsidRPr="00CB32B1" w:rsidRDefault="00693A3D" w:rsidP="0001118E">
            <w:pPr>
              <w:pStyle w:val="TableColumnHeadingNormal"/>
            </w:pPr>
            <w:r w:rsidRPr="00CB32B1">
              <w:t>The initial year (2010)</w:t>
            </w:r>
          </w:p>
        </w:tc>
        <w:tc>
          <w:tcPr>
            <w:tcW w:w="2220"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center"/>
          </w:tcPr>
          <w:p w:rsidR="00693A3D" w:rsidRPr="00CB32B1" w:rsidRDefault="00693A3D" w:rsidP="0001118E">
            <w:pPr>
              <w:pStyle w:val="TableColumnHeadingNormal"/>
              <w:cnfStyle w:val="100000000000"/>
            </w:pPr>
            <w:r w:rsidRPr="00CB32B1">
              <w:t>The middle years</w:t>
            </w:r>
          </w:p>
        </w:tc>
        <w:tc>
          <w:tcPr>
            <w:tcW w:w="2220"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center"/>
          </w:tcPr>
          <w:p w:rsidR="00693A3D" w:rsidRPr="00CB32B1" w:rsidRDefault="00693A3D" w:rsidP="0001118E">
            <w:pPr>
              <w:pStyle w:val="TableColumnHeadingNormal"/>
              <w:cnfStyle w:val="100000000000"/>
            </w:pPr>
            <w:r w:rsidRPr="00CB32B1">
              <w:t>The later years</w:t>
            </w:r>
          </w:p>
        </w:tc>
        <w:tc>
          <w:tcPr>
            <w:tcW w:w="2220" w:type="dxa"/>
            <w:tcBorders>
              <w:left w:val="single" w:sz="6" w:space="0" w:color="FFFFFF" w:themeColor="background2"/>
              <w:bottom w:val="single" w:sz="6" w:space="0" w:color="DC6900" w:themeColor="text2"/>
            </w:tcBorders>
            <w:shd w:val="clear" w:color="auto" w:fill="DC6900" w:themeFill="text2"/>
            <w:vAlign w:val="center"/>
          </w:tcPr>
          <w:p w:rsidR="00693A3D" w:rsidRPr="00CB32B1" w:rsidRDefault="00693A3D" w:rsidP="0001118E">
            <w:pPr>
              <w:pStyle w:val="TableColumnHeadingNormal"/>
              <w:cnfStyle w:val="100000000000"/>
            </w:pPr>
            <w:r w:rsidRPr="00CB32B1">
              <w:t>Signs of success</w:t>
            </w:r>
          </w:p>
        </w:tc>
      </w:tr>
      <w:tr w:rsidR="00693A3D" w:rsidRPr="00CB32B1" w:rsidTr="0047587A">
        <w:tc>
          <w:tcPr>
            <w:cnfStyle w:val="001000000000"/>
            <w:tcW w:w="2628" w:type="dxa"/>
            <w:tcBorders>
              <w:top w:val="single" w:sz="6" w:space="0" w:color="DC6900" w:themeColor="text2"/>
            </w:tcBorders>
          </w:tcPr>
          <w:p w:rsidR="00693A3D" w:rsidRPr="00CB32B1" w:rsidRDefault="00693A3D" w:rsidP="0001118E">
            <w:pPr>
              <w:pStyle w:val="TableTextNormal"/>
              <w:keepNext/>
              <w:keepLines/>
            </w:pPr>
            <w:r w:rsidRPr="00CB32B1">
              <w:t>Jurisdictions develop consistent approaches to the provision of clinical privileges within public maternity services, to enable admitting and practice rights for eligible midwives and medical practitioners.</w:t>
            </w:r>
          </w:p>
          <w:p w:rsidR="00693A3D" w:rsidRPr="00CB32B1" w:rsidRDefault="00693A3D" w:rsidP="0001118E">
            <w:pPr>
              <w:pStyle w:val="TableTextNormal"/>
              <w:keepNext/>
              <w:keepLines/>
            </w:pPr>
          </w:p>
        </w:tc>
        <w:tc>
          <w:tcPr>
            <w:tcW w:w="2220" w:type="dxa"/>
            <w:tcBorders>
              <w:top w:val="single" w:sz="6" w:space="0" w:color="DC6900" w:themeColor="text2"/>
            </w:tcBorders>
          </w:tcPr>
          <w:p w:rsidR="00693A3D" w:rsidRPr="00CB32B1" w:rsidRDefault="00693A3D" w:rsidP="0001118E">
            <w:pPr>
              <w:pStyle w:val="TableTextNormal"/>
              <w:keepNext/>
              <w:keepLines/>
              <w:cnfStyle w:val="000000000000"/>
            </w:pPr>
            <w:r w:rsidRPr="00CB32B1">
              <w:t>Jurisdictions use best endeavours to facilitate the clinical privileges, admitting and practice rights of eligible midwives.</w:t>
            </w:r>
          </w:p>
          <w:p w:rsidR="00693A3D" w:rsidRPr="00CB32B1" w:rsidRDefault="00693A3D" w:rsidP="0001118E">
            <w:pPr>
              <w:pStyle w:val="TableTextNormal"/>
              <w:keepNext/>
              <w:keepLines/>
              <w:cnfStyle w:val="000000000000"/>
            </w:pPr>
            <w:r w:rsidRPr="00CB32B1">
              <w:t>Jurisdictions monitor the provision of consistent clinical privileges, admitting and practice rights for eligible midwives and medical practitioners.</w:t>
            </w:r>
          </w:p>
        </w:tc>
        <w:tc>
          <w:tcPr>
            <w:tcW w:w="2220" w:type="dxa"/>
            <w:tcBorders>
              <w:top w:val="single" w:sz="6" w:space="0" w:color="DC6900" w:themeColor="text2"/>
            </w:tcBorders>
          </w:tcPr>
          <w:p w:rsidR="00693A3D" w:rsidRPr="00CB32B1" w:rsidRDefault="00693A3D" w:rsidP="0001118E">
            <w:pPr>
              <w:pStyle w:val="TableTextNormal"/>
              <w:keepNext/>
              <w:keepLines/>
              <w:cnfStyle w:val="000000000000"/>
            </w:pPr>
            <w:r w:rsidRPr="00CB32B1">
              <w:t>Jurisdictions evaluate access to clinical privileges, admitting and practice rights for eligible midwives and medical practitioners in maternity services.</w:t>
            </w:r>
          </w:p>
        </w:tc>
        <w:tc>
          <w:tcPr>
            <w:tcW w:w="2220" w:type="dxa"/>
            <w:tcBorders>
              <w:top w:val="single" w:sz="6" w:space="0" w:color="DC6900" w:themeColor="text2"/>
            </w:tcBorders>
          </w:tcPr>
          <w:p w:rsidR="00693A3D" w:rsidRPr="00CB32B1" w:rsidRDefault="00693A3D" w:rsidP="0001118E">
            <w:pPr>
              <w:pStyle w:val="TableTextNormal"/>
              <w:keepNext/>
              <w:keepLines/>
              <w:cnfStyle w:val="000000000000"/>
            </w:pPr>
            <w:r w:rsidRPr="00CB32B1">
              <w:t>Eligible midwives have the opportunity to access clinical privileges, admitting and practice rights in public health care settings.</w:t>
            </w:r>
          </w:p>
          <w:p w:rsidR="00693A3D" w:rsidRPr="00CB32B1" w:rsidRDefault="00693A3D" w:rsidP="0001118E">
            <w:pPr>
              <w:pStyle w:val="TableTextNormal"/>
              <w:keepNext/>
              <w:keepLines/>
              <w:cnfStyle w:val="000000000000"/>
            </w:pPr>
            <w:r w:rsidRPr="00CB32B1">
              <w:t>There is a consistent approach to the provision of clinical privileges, admitting and practice rights for eligible midwives and medical practitioners in all jurisdictions.</w:t>
            </w:r>
          </w:p>
        </w:tc>
      </w:tr>
    </w:tbl>
    <w:p w:rsidR="00693A3D" w:rsidRPr="00CB32B1" w:rsidRDefault="00693A3D" w:rsidP="00693A3D">
      <w:pPr>
        <w:pStyle w:val="Sources"/>
      </w:pPr>
      <w:r w:rsidRPr="00CB32B1">
        <w:rPr>
          <w:b/>
        </w:rPr>
        <w:t>Source</w:t>
      </w:r>
      <w:r w:rsidR="00FA152C" w:rsidRPr="00CB32B1">
        <w:rPr>
          <w:b/>
        </w:rPr>
        <w:t>s</w:t>
      </w:r>
      <w:r w:rsidRPr="00CB32B1">
        <w:rPr>
          <w:b/>
        </w:rPr>
        <w:t>:</w:t>
      </w:r>
      <w:r w:rsidRPr="00CB32B1">
        <w:t xml:space="preserve"> </w:t>
      </w:r>
      <w:r w:rsidR="00875B69" w:rsidRPr="00CB32B1">
        <w:t>Commonwealth of Australia</w:t>
      </w:r>
      <w:r w:rsidR="003B4C6B" w:rsidRPr="00CB32B1">
        <w:t xml:space="preserve"> 2011.</w:t>
      </w:r>
    </w:p>
    <w:p w:rsidR="00693A3D" w:rsidRPr="00CB32B1" w:rsidRDefault="00693A3D" w:rsidP="00693A3D">
      <w:pPr>
        <w:pStyle w:val="PwCNormal"/>
      </w:pPr>
      <w:r w:rsidRPr="00CB32B1">
        <w:t xml:space="preserve">DoHA’s </w:t>
      </w:r>
      <w:r w:rsidRPr="00904784">
        <w:rPr>
          <w:i/>
        </w:rPr>
        <w:t>National Maternity Service Plan</w:t>
      </w:r>
      <w:r w:rsidRPr="00CB32B1">
        <w:t xml:space="preserve"> has provided further updates on the implementation of clinical privileging (outlined in </w:t>
      </w:r>
      <w:r w:rsidR="009129A6" w:rsidRPr="00CB32B1">
        <w:fldChar w:fldCharType="begin"/>
      </w:r>
      <w:r w:rsidR="00A33BD9" w:rsidRPr="00CB32B1">
        <w:instrText xml:space="preserve"> REF _Ref361223972 \h </w:instrText>
      </w:r>
      <w:r w:rsidR="009129A6" w:rsidRPr="00CB32B1">
        <w:fldChar w:fldCharType="separate"/>
      </w:r>
      <w:r w:rsidR="008816B4" w:rsidRPr="00CB32B1">
        <w:t xml:space="preserve">Table </w:t>
      </w:r>
      <w:r w:rsidR="008816B4">
        <w:rPr>
          <w:noProof/>
        </w:rPr>
        <w:t>26</w:t>
      </w:r>
      <w:r w:rsidR="009129A6" w:rsidRPr="00CB32B1">
        <w:fldChar w:fldCharType="end"/>
      </w:r>
      <w:r w:rsidRPr="00CB32B1">
        <w:t>). This has implied that states and territories should use their own resources to create a generic process for clinical privileging and that it should fall on jurisdictions to find the most appropriate solution that suits and complements the health system in place. However, there is an emphasis on a generic or consistent approach to be implemented and monitored for securing access.</w:t>
      </w:r>
    </w:p>
    <w:p w:rsidR="00693A3D" w:rsidRPr="00CB32B1" w:rsidRDefault="00693A3D" w:rsidP="00693A3D">
      <w:pPr>
        <w:pStyle w:val="PwCNormal"/>
      </w:pPr>
      <w:r w:rsidRPr="00CB32B1">
        <w:t>Consideration around the best approach to support access arrangements and improved collaboration between health professionals should be considered further. This is because the evidence presented demonstrates its importance from an insurance perspective to assist in reducing the risk profile of PPMs.</w:t>
      </w:r>
    </w:p>
    <w:p w:rsidR="00693A3D" w:rsidRPr="00CB32B1" w:rsidRDefault="00693A3D" w:rsidP="00693A3D">
      <w:pPr>
        <w:pStyle w:val="Caption"/>
      </w:pPr>
      <w:bookmarkStart w:id="128" w:name="_Ref361223972"/>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26</w:t>
      </w:r>
      <w:r w:rsidR="009129A6" w:rsidRPr="00CB32B1">
        <w:fldChar w:fldCharType="end"/>
      </w:r>
      <w:bookmarkEnd w:id="128"/>
      <w:r w:rsidRPr="00CB32B1">
        <w:t>:</w:t>
      </w:r>
      <w:r w:rsidRPr="00CB32B1">
        <w:tab/>
        <w:t>The National Maternity Services Plan Action – 1.2.2 (2012–2013)</w:t>
      </w:r>
    </w:p>
    <w:tbl>
      <w:tblPr>
        <w:tblStyle w:val="PwCTableStyle1"/>
        <w:tblW w:w="0" w:type="auto"/>
        <w:tblLayout w:type="fixed"/>
        <w:tblLook w:val="04A0"/>
      </w:tblPr>
      <w:tblGrid>
        <w:gridCol w:w="1601"/>
        <w:gridCol w:w="2557"/>
        <w:gridCol w:w="1800"/>
        <w:gridCol w:w="1437"/>
        <w:gridCol w:w="1893"/>
      </w:tblGrid>
      <w:tr w:rsidR="00693A3D" w:rsidRPr="00CB32B1" w:rsidTr="009D37C7">
        <w:trPr>
          <w:cnfStyle w:val="100000000000"/>
        </w:trPr>
        <w:tc>
          <w:tcPr>
            <w:cnfStyle w:val="001000000000"/>
            <w:tcW w:w="1601" w:type="dxa"/>
            <w:tcBorders>
              <w:bottom w:val="single" w:sz="6" w:space="0" w:color="DC6900" w:themeColor="text2"/>
              <w:right w:val="single" w:sz="6" w:space="0" w:color="FFFFFF" w:themeColor="background2"/>
            </w:tcBorders>
            <w:shd w:val="clear" w:color="auto" w:fill="DC6900" w:themeFill="text2"/>
            <w:vAlign w:val="center"/>
          </w:tcPr>
          <w:p w:rsidR="00693A3D" w:rsidRPr="00CB32B1" w:rsidRDefault="00693A3D" w:rsidP="009D37C7">
            <w:pPr>
              <w:pStyle w:val="TableColumnHeadingNormal"/>
            </w:pPr>
            <w:r w:rsidRPr="00CB32B1">
              <w:t>The initial year (2010)</w:t>
            </w:r>
          </w:p>
        </w:tc>
        <w:tc>
          <w:tcPr>
            <w:tcW w:w="2557"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center"/>
          </w:tcPr>
          <w:p w:rsidR="00693A3D" w:rsidRPr="00CB32B1" w:rsidRDefault="00693A3D" w:rsidP="009D37C7">
            <w:pPr>
              <w:pStyle w:val="TableColumnHeadingNormal"/>
              <w:cnfStyle w:val="100000000000"/>
            </w:pPr>
            <w:r w:rsidRPr="00CB32B1">
              <w:t>The middle years</w:t>
            </w:r>
          </w:p>
        </w:tc>
        <w:tc>
          <w:tcPr>
            <w:tcW w:w="1800"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center"/>
          </w:tcPr>
          <w:p w:rsidR="00693A3D" w:rsidRPr="00CB32B1" w:rsidRDefault="00693A3D" w:rsidP="009D37C7">
            <w:pPr>
              <w:pStyle w:val="TableColumnHeadingNormal"/>
              <w:cnfStyle w:val="100000000000"/>
            </w:pPr>
            <w:r w:rsidRPr="00CB32B1">
              <w:t>Responsibility</w:t>
            </w:r>
          </w:p>
        </w:tc>
        <w:tc>
          <w:tcPr>
            <w:tcW w:w="1437"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center"/>
          </w:tcPr>
          <w:p w:rsidR="00693A3D" w:rsidRPr="00CB32B1" w:rsidRDefault="00693A3D" w:rsidP="009D37C7">
            <w:pPr>
              <w:pStyle w:val="TableColumnHeadingNormal"/>
              <w:cnfStyle w:val="100000000000"/>
            </w:pPr>
            <w:r w:rsidRPr="00CB32B1">
              <w:t>Funding</w:t>
            </w:r>
          </w:p>
        </w:tc>
        <w:tc>
          <w:tcPr>
            <w:tcW w:w="1893" w:type="dxa"/>
            <w:tcBorders>
              <w:left w:val="single" w:sz="6" w:space="0" w:color="FFFFFF" w:themeColor="background2"/>
              <w:bottom w:val="single" w:sz="6" w:space="0" w:color="DC6900" w:themeColor="text2"/>
            </w:tcBorders>
            <w:shd w:val="clear" w:color="auto" w:fill="DC6900" w:themeFill="text2"/>
            <w:vAlign w:val="center"/>
          </w:tcPr>
          <w:p w:rsidR="00693A3D" w:rsidRPr="00CB32B1" w:rsidRDefault="00693A3D" w:rsidP="009D37C7">
            <w:pPr>
              <w:pStyle w:val="TableColumnHeadingNormal"/>
              <w:cnfStyle w:val="100000000000"/>
            </w:pPr>
            <w:r w:rsidRPr="00CB32B1">
              <w:t>Signs of success</w:t>
            </w:r>
          </w:p>
        </w:tc>
      </w:tr>
      <w:tr w:rsidR="00693A3D" w:rsidRPr="00CB32B1" w:rsidTr="0047587A">
        <w:tc>
          <w:tcPr>
            <w:cnfStyle w:val="001000000000"/>
            <w:tcW w:w="1601" w:type="dxa"/>
            <w:tcBorders>
              <w:top w:val="single" w:sz="6" w:space="0" w:color="DC6900" w:themeColor="text2"/>
            </w:tcBorders>
          </w:tcPr>
          <w:p w:rsidR="00693A3D" w:rsidRPr="00CB32B1" w:rsidRDefault="00693A3D" w:rsidP="0047587A">
            <w:pPr>
              <w:pStyle w:val="TableTextNormal"/>
            </w:pPr>
            <w:r w:rsidRPr="00CB32B1">
              <w:t>Jurisdictions develop consistent approaches to the provision of clinical privileges within public maternity services, to enable admitting and practice rights for eligible midwives and medical practitioners.</w:t>
            </w:r>
          </w:p>
        </w:tc>
        <w:tc>
          <w:tcPr>
            <w:tcW w:w="2557" w:type="dxa"/>
            <w:tcBorders>
              <w:top w:val="single" w:sz="6" w:space="0" w:color="DC6900" w:themeColor="text2"/>
            </w:tcBorders>
          </w:tcPr>
          <w:p w:rsidR="00693A3D" w:rsidRPr="00CB32B1" w:rsidRDefault="00693A3D" w:rsidP="0047587A">
            <w:pPr>
              <w:pStyle w:val="TableTextNormal"/>
              <w:cnfStyle w:val="000000000000"/>
            </w:pPr>
            <w:r w:rsidRPr="00CB32B1">
              <w:t>Jurisdictions implement a consistent process for eligible midwives and medical practitioners to secure clinical privileges, admitting and practice rights to public health facilities.</w:t>
            </w:r>
          </w:p>
          <w:p w:rsidR="00693A3D" w:rsidRPr="00CB32B1" w:rsidRDefault="00693A3D" w:rsidP="0047587A">
            <w:pPr>
              <w:pStyle w:val="TableTextNormal"/>
              <w:cnfStyle w:val="000000000000"/>
            </w:pPr>
            <w:r w:rsidRPr="00CB32B1">
              <w:br/>
              <w:t>Jurisdictions develop and implement a monitoring framework and reporting structure for the clinical privileges, admitting and practice rights of eligible midwives and medical practitioners.</w:t>
            </w:r>
          </w:p>
        </w:tc>
        <w:tc>
          <w:tcPr>
            <w:tcW w:w="1800" w:type="dxa"/>
            <w:tcBorders>
              <w:top w:val="single" w:sz="6" w:space="0" w:color="DC6900" w:themeColor="text2"/>
            </w:tcBorders>
          </w:tcPr>
          <w:p w:rsidR="00693A3D" w:rsidRPr="00CB32B1" w:rsidRDefault="00693A3D" w:rsidP="0047587A">
            <w:pPr>
              <w:pStyle w:val="TableTextNormal"/>
              <w:cnfStyle w:val="000000000000"/>
            </w:pPr>
            <w:r w:rsidRPr="00CB32B1">
              <w:t xml:space="preserve">Jurisdictions </w:t>
            </w:r>
          </w:p>
        </w:tc>
        <w:tc>
          <w:tcPr>
            <w:tcW w:w="1437" w:type="dxa"/>
            <w:tcBorders>
              <w:top w:val="single" w:sz="6" w:space="0" w:color="DC6900" w:themeColor="text2"/>
            </w:tcBorders>
          </w:tcPr>
          <w:p w:rsidR="00693A3D" w:rsidRPr="00CB32B1" w:rsidRDefault="00693A3D" w:rsidP="0047587A">
            <w:pPr>
              <w:pStyle w:val="TableTextNormal"/>
              <w:cnfStyle w:val="000000000000"/>
            </w:pPr>
            <w:r w:rsidRPr="00CB32B1">
              <w:t>Within jurisdictional resources</w:t>
            </w:r>
          </w:p>
        </w:tc>
        <w:tc>
          <w:tcPr>
            <w:tcW w:w="1893" w:type="dxa"/>
            <w:tcBorders>
              <w:top w:val="single" w:sz="6" w:space="0" w:color="DC6900" w:themeColor="text2"/>
            </w:tcBorders>
          </w:tcPr>
          <w:p w:rsidR="00693A3D" w:rsidRPr="00CB32B1" w:rsidRDefault="00693A3D" w:rsidP="0047587A">
            <w:pPr>
              <w:pStyle w:val="TableTextNormal"/>
              <w:cnfStyle w:val="000000000000"/>
            </w:pPr>
            <w:r w:rsidRPr="00CB32B1">
              <w:t>A generic process for eligible midwives and medical practitioners to secure clinical privileges, admitting and practice rights to public health facilities is implemented and monitored.</w:t>
            </w:r>
          </w:p>
        </w:tc>
      </w:tr>
    </w:tbl>
    <w:p w:rsidR="00693A3D" w:rsidRPr="00CB32B1" w:rsidRDefault="00693A3D" w:rsidP="00693A3D">
      <w:pPr>
        <w:pStyle w:val="Sources"/>
      </w:pPr>
      <w:r w:rsidRPr="00CB32B1">
        <w:rPr>
          <w:b/>
        </w:rPr>
        <w:t>Source</w:t>
      </w:r>
      <w:r w:rsidR="00FA152C" w:rsidRPr="00CB32B1">
        <w:rPr>
          <w:b/>
        </w:rPr>
        <w:t>s</w:t>
      </w:r>
      <w:r w:rsidRPr="00CB32B1">
        <w:rPr>
          <w:b/>
        </w:rPr>
        <w:t>:</w:t>
      </w:r>
      <w:r w:rsidRPr="00CB32B1">
        <w:t xml:space="preserve"> </w:t>
      </w:r>
      <w:r w:rsidR="003B4C6B" w:rsidRPr="00CB32B1">
        <w:t xml:space="preserve">Commonwealth of Australia 2011; </w:t>
      </w:r>
      <w:r w:rsidRPr="00CB32B1">
        <w:t>Department of Health and Ageing, Standing Council on Health</w:t>
      </w:r>
      <w:r w:rsidR="000B1C40" w:rsidRPr="00CB32B1">
        <w:t xml:space="preserve"> </w:t>
      </w:r>
      <w:r w:rsidRPr="00CB32B1">
        <w:t>2012.</w:t>
      </w:r>
    </w:p>
    <w:p w:rsidR="00693A3D" w:rsidRPr="00CB32B1" w:rsidRDefault="00693A3D" w:rsidP="00693A3D">
      <w:pPr>
        <w:pStyle w:val="PwCNormal"/>
        <w:numPr>
          <w:ilvl w:val="0"/>
          <w:numId w:val="0"/>
        </w:numPr>
        <w:sectPr w:rsidR="00693A3D" w:rsidRPr="00CB32B1" w:rsidSect="003E4E09">
          <w:headerReference w:type="even" r:id="rId90"/>
          <w:headerReference w:type="default" r:id="rId91"/>
          <w:headerReference w:type="first" r:id="rId92"/>
          <w:pgSz w:w="11907" w:h="16840" w:code="9"/>
          <w:pgMar w:top="1699" w:right="1138" w:bottom="1699" w:left="1138" w:header="677" w:footer="677" w:gutter="562"/>
          <w:cols w:space="708"/>
          <w:titlePg/>
          <w:docGrid w:linePitch="360"/>
        </w:sectPr>
      </w:pPr>
    </w:p>
    <w:p w:rsidR="00FC0CC6" w:rsidRPr="00CB32B1" w:rsidRDefault="00FC0CC6" w:rsidP="00FC0CC6">
      <w:pPr>
        <w:pStyle w:val="AppendixPanelFrameappendix"/>
        <w:framePr w:wrap="notBeside" w:hAnchor="page" w:x="1044"/>
        <w:rPr>
          <w:lang w:val="en-AU"/>
        </w:rPr>
      </w:pPr>
    </w:p>
    <w:p w:rsidR="00693A3D" w:rsidRPr="00CB32B1" w:rsidRDefault="00693A3D" w:rsidP="00693A3D">
      <w:pPr>
        <w:pStyle w:val="Heading4"/>
      </w:pPr>
      <w:bookmarkStart w:id="129" w:name="_Toc361328128"/>
      <w:bookmarkStart w:id="130" w:name="_Toc362975070"/>
      <w:bookmarkStart w:id="131" w:name="_Toc362975081"/>
      <w:r w:rsidRPr="00CB32B1">
        <w:t>Risk and quality frameworks</w:t>
      </w:r>
      <w:bookmarkEnd w:id="129"/>
      <w:bookmarkEnd w:id="130"/>
      <w:bookmarkEnd w:id="131"/>
    </w:p>
    <w:p w:rsidR="00693A3D" w:rsidRPr="00CB32B1" w:rsidRDefault="00693A3D" w:rsidP="00693A3D">
      <w:pPr>
        <w:pStyle w:val="Majorheading"/>
      </w:pPr>
      <w:r w:rsidRPr="00CB32B1">
        <w:t>F.1. Risk and quality frameworks used by organisations</w:t>
      </w:r>
    </w:p>
    <w:p w:rsidR="00693A3D" w:rsidRPr="00CB32B1" w:rsidRDefault="00693A3D" w:rsidP="00693A3D">
      <w:pPr>
        <w:pStyle w:val="PwCNormal"/>
      </w:pPr>
      <w:r w:rsidRPr="00CB32B1">
        <w:t xml:space="preserve">There are a variety of risk and quality frameworks that have been developed by organisations within Australia. Examples of these are listed in </w:t>
      </w:r>
      <w:r w:rsidR="009129A6" w:rsidRPr="00CB32B1">
        <w:fldChar w:fldCharType="begin"/>
      </w:r>
      <w:r w:rsidR="00AA3C29" w:rsidRPr="00CB32B1">
        <w:instrText xml:space="preserve"> REF _Ref361223992 \h </w:instrText>
      </w:r>
      <w:r w:rsidR="009129A6" w:rsidRPr="00CB32B1">
        <w:fldChar w:fldCharType="separate"/>
      </w:r>
      <w:r w:rsidR="008816B4" w:rsidRPr="00CB32B1">
        <w:t xml:space="preserve">Table </w:t>
      </w:r>
      <w:r w:rsidR="008816B4">
        <w:rPr>
          <w:noProof/>
        </w:rPr>
        <w:t>27</w:t>
      </w:r>
      <w:r w:rsidR="009129A6" w:rsidRPr="00CB32B1">
        <w:fldChar w:fldCharType="end"/>
      </w:r>
      <w:r w:rsidRPr="00CB32B1">
        <w:t>.</w:t>
      </w:r>
    </w:p>
    <w:p w:rsidR="00693A3D" w:rsidRPr="00CB32B1" w:rsidRDefault="00693A3D" w:rsidP="00693A3D">
      <w:pPr>
        <w:pStyle w:val="Caption"/>
      </w:pPr>
      <w:bookmarkStart w:id="132" w:name="_Ref361223992"/>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27</w:t>
      </w:r>
      <w:r w:rsidR="009129A6" w:rsidRPr="00CB32B1">
        <w:fldChar w:fldCharType="end"/>
      </w:r>
      <w:bookmarkEnd w:id="132"/>
      <w:r w:rsidRPr="00CB32B1">
        <w:t>:</w:t>
      </w:r>
      <w:r w:rsidRPr="00CB32B1">
        <w:tab/>
        <w:t>Examples of risk and quality frameworks by organisation</w:t>
      </w:r>
    </w:p>
    <w:tbl>
      <w:tblPr>
        <w:tblStyle w:val="PwCTableStyle1"/>
        <w:tblW w:w="0" w:type="auto"/>
        <w:tblLayout w:type="fixed"/>
        <w:tblLook w:val="04A0"/>
      </w:tblPr>
      <w:tblGrid>
        <w:gridCol w:w="1898"/>
        <w:gridCol w:w="7390"/>
      </w:tblGrid>
      <w:tr w:rsidR="00693A3D" w:rsidRPr="00CB32B1" w:rsidTr="009D37C7">
        <w:trPr>
          <w:cnfStyle w:val="100000000000"/>
        </w:trPr>
        <w:tc>
          <w:tcPr>
            <w:cnfStyle w:val="001000000000"/>
            <w:tcW w:w="1898" w:type="dxa"/>
            <w:tcBorders>
              <w:bottom w:val="single" w:sz="6" w:space="0" w:color="DC6900" w:themeColor="text2"/>
              <w:right w:val="single" w:sz="6" w:space="0" w:color="FFFFFF" w:themeColor="background2"/>
            </w:tcBorders>
            <w:shd w:val="clear" w:color="auto" w:fill="DC6900" w:themeFill="text2"/>
            <w:vAlign w:val="center"/>
          </w:tcPr>
          <w:p w:rsidR="00693A3D" w:rsidRPr="00CB32B1" w:rsidRDefault="00693A3D" w:rsidP="009D37C7">
            <w:pPr>
              <w:pStyle w:val="TableColumnHeadingNormal"/>
            </w:pPr>
            <w:r w:rsidRPr="00CB32B1">
              <w:t>Organisation</w:t>
            </w:r>
          </w:p>
        </w:tc>
        <w:tc>
          <w:tcPr>
            <w:tcW w:w="7390" w:type="dxa"/>
            <w:tcBorders>
              <w:left w:val="single" w:sz="6" w:space="0" w:color="FFFFFF" w:themeColor="background2"/>
              <w:bottom w:val="single" w:sz="6" w:space="0" w:color="DC6900" w:themeColor="text2"/>
            </w:tcBorders>
            <w:shd w:val="clear" w:color="auto" w:fill="DC6900" w:themeFill="text2"/>
            <w:vAlign w:val="center"/>
          </w:tcPr>
          <w:p w:rsidR="00693A3D" w:rsidRPr="00CB32B1" w:rsidRDefault="00693A3D" w:rsidP="009D37C7">
            <w:pPr>
              <w:pStyle w:val="TableColumnHeadingNormal"/>
              <w:cnfStyle w:val="100000000000"/>
            </w:pPr>
            <w:r w:rsidRPr="00CB32B1">
              <w:t>Risk and quality frameworks</w:t>
            </w:r>
          </w:p>
        </w:tc>
      </w:tr>
      <w:tr w:rsidR="00693A3D" w:rsidRPr="00CB32B1" w:rsidTr="0047587A">
        <w:tc>
          <w:tcPr>
            <w:cnfStyle w:val="001000000000"/>
            <w:tcW w:w="1898" w:type="dxa"/>
            <w:tcBorders>
              <w:top w:val="single" w:sz="6" w:space="0" w:color="DC6900" w:themeColor="text2"/>
            </w:tcBorders>
          </w:tcPr>
          <w:p w:rsidR="00693A3D" w:rsidRPr="00CB32B1" w:rsidRDefault="00693A3D" w:rsidP="0047587A">
            <w:pPr>
              <w:pStyle w:val="TableTextNormal"/>
            </w:pPr>
            <w:r w:rsidRPr="00CB32B1">
              <w:t>Australian College of Midwives</w:t>
            </w:r>
          </w:p>
        </w:tc>
        <w:tc>
          <w:tcPr>
            <w:tcW w:w="7390" w:type="dxa"/>
            <w:tcBorders>
              <w:top w:val="single" w:sz="6" w:space="0" w:color="DC6900" w:themeColor="text2"/>
            </w:tcBorders>
          </w:tcPr>
          <w:p w:rsidR="00693A3D" w:rsidRPr="00CB32B1" w:rsidRDefault="00693A3D" w:rsidP="0047587A">
            <w:pPr>
              <w:pStyle w:val="TableBullet1Normal"/>
              <w:cnfStyle w:val="000000000000"/>
            </w:pPr>
            <w:r w:rsidRPr="00CB32B1">
              <w:t>National Midwifery Guidelines for Consultation and Referral</w:t>
            </w:r>
          </w:p>
          <w:p w:rsidR="00693A3D" w:rsidRPr="00CB32B1" w:rsidRDefault="00693A3D" w:rsidP="0047587A">
            <w:pPr>
              <w:pStyle w:val="TableBullet1Normal"/>
              <w:cnfStyle w:val="000000000000"/>
            </w:pPr>
            <w:r w:rsidRPr="00CB32B1">
              <w:t>Guidelines and Assessment Framework for Registration Standard for Eligible Midwives and Registration Standard for Scheduled Medicines for Eligible Midwives</w:t>
            </w:r>
          </w:p>
        </w:tc>
      </w:tr>
      <w:tr w:rsidR="00693A3D" w:rsidRPr="00CB32B1" w:rsidTr="0047587A">
        <w:tc>
          <w:tcPr>
            <w:cnfStyle w:val="001000000000"/>
            <w:tcW w:w="1898" w:type="dxa"/>
          </w:tcPr>
          <w:p w:rsidR="00693A3D" w:rsidRPr="00CB32B1" w:rsidRDefault="00693A3D" w:rsidP="0047587A">
            <w:pPr>
              <w:pStyle w:val="TableTextNormal"/>
            </w:pPr>
            <w:r w:rsidRPr="00CB32B1">
              <w:t>Nursing and Midwifery Board of Australia</w:t>
            </w:r>
          </w:p>
        </w:tc>
        <w:tc>
          <w:tcPr>
            <w:tcW w:w="7390" w:type="dxa"/>
          </w:tcPr>
          <w:p w:rsidR="00693A3D" w:rsidRPr="00CB32B1" w:rsidRDefault="00693A3D" w:rsidP="0047587A">
            <w:pPr>
              <w:pStyle w:val="TableBullet1Normal"/>
              <w:cnfStyle w:val="000000000000"/>
            </w:pPr>
            <w:r w:rsidRPr="00CB32B1">
              <w:t>Code of ethics for midwives in Australia</w:t>
            </w:r>
          </w:p>
          <w:p w:rsidR="00693A3D" w:rsidRPr="00CB32B1" w:rsidRDefault="00693A3D" w:rsidP="0047587A">
            <w:pPr>
              <w:pStyle w:val="TableBullet1Normal"/>
              <w:cnfStyle w:val="000000000000"/>
            </w:pPr>
            <w:r w:rsidRPr="00CB32B1">
              <w:t>Code of professional conduct for midwives in Australia</w:t>
            </w:r>
          </w:p>
          <w:p w:rsidR="00693A3D" w:rsidRPr="00CB32B1" w:rsidRDefault="00693A3D" w:rsidP="0047587A">
            <w:pPr>
              <w:pStyle w:val="TableBullet1Normal"/>
              <w:cnfStyle w:val="000000000000"/>
            </w:pPr>
            <w:r w:rsidRPr="00CB32B1">
              <w:t>Midwifery Competency Standards, January 2006</w:t>
            </w:r>
          </w:p>
          <w:p w:rsidR="00693A3D" w:rsidRPr="00CB32B1" w:rsidRDefault="00693A3D" w:rsidP="0047587A">
            <w:pPr>
              <w:pStyle w:val="TableBullet1Normal"/>
              <w:cnfStyle w:val="000000000000"/>
            </w:pPr>
            <w:r w:rsidRPr="00CB32B1">
              <w:t>Guidelines for Professional Indemnity Insurance Arrangements for Midwives</w:t>
            </w:r>
          </w:p>
          <w:p w:rsidR="00693A3D" w:rsidRPr="00CB32B1" w:rsidRDefault="00693A3D" w:rsidP="0047587A">
            <w:pPr>
              <w:pStyle w:val="TableBullet1Normal"/>
              <w:cnfStyle w:val="000000000000"/>
            </w:pPr>
            <w:r w:rsidRPr="00CB32B1">
              <w:t>Nursing and Midwifery Professional Indemnity Insurance Arrangements Registration Standard</w:t>
            </w:r>
          </w:p>
          <w:p w:rsidR="00693A3D" w:rsidRPr="00CB32B1" w:rsidRDefault="00693A3D" w:rsidP="0047587A">
            <w:pPr>
              <w:pStyle w:val="TableBullet1Normal"/>
              <w:cnfStyle w:val="000000000000"/>
            </w:pPr>
            <w:r w:rsidRPr="00CB32B1">
              <w:t>Guidelines and Assessment Framework for the registration Standard for Eligible Midwives and Endorsement for Scheduled Medicines</w:t>
            </w:r>
          </w:p>
          <w:p w:rsidR="00693A3D" w:rsidRPr="00CB32B1" w:rsidRDefault="00693A3D" w:rsidP="0047587A">
            <w:pPr>
              <w:pStyle w:val="TableBullet1Normal"/>
              <w:cnfStyle w:val="000000000000"/>
            </w:pPr>
            <w:r w:rsidRPr="00CB32B1">
              <w:t>Professional Boundaries for Midwives</w:t>
            </w:r>
          </w:p>
        </w:tc>
      </w:tr>
      <w:tr w:rsidR="00693A3D" w:rsidRPr="00CB32B1" w:rsidTr="0047587A">
        <w:tc>
          <w:tcPr>
            <w:cnfStyle w:val="001000000000"/>
            <w:tcW w:w="1898" w:type="dxa"/>
          </w:tcPr>
          <w:p w:rsidR="00693A3D" w:rsidRPr="00CB32B1" w:rsidRDefault="00693A3D" w:rsidP="0047587A">
            <w:pPr>
              <w:pStyle w:val="TableTextNormal"/>
            </w:pPr>
            <w:r w:rsidRPr="00CB32B1">
              <w:t>Royal Australia and New Zealand College of Obstetricians and Gynaecologists</w:t>
            </w:r>
          </w:p>
        </w:tc>
        <w:tc>
          <w:tcPr>
            <w:tcW w:w="7390" w:type="dxa"/>
          </w:tcPr>
          <w:p w:rsidR="00693A3D" w:rsidRPr="00CB32B1" w:rsidRDefault="00693A3D" w:rsidP="0047587A">
            <w:pPr>
              <w:pStyle w:val="TableBullet1Normal"/>
              <w:cnfStyle w:val="000000000000"/>
            </w:pPr>
            <w:r w:rsidRPr="00CB32B1">
              <w:t>Standards of Maternity Care in Australia and New Zealand</w:t>
            </w:r>
          </w:p>
        </w:tc>
      </w:tr>
      <w:tr w:rsidR="00693A3D" w:rsidRPr="00CB32B1" w:rsidTr="0047587A">
        <w:tc>
          <w:tcPr>
            <w:cnfStyle w:val="001000000000"/>
            <w:tcW w:w="1898" w:type="dxa"/>
          </w:tcPr>
          <w:p w:rsidR="00693A3D" w:rsidRPr="00CB32B1" w:rsidRDefault="00693A3D" w:rsidP="0047587A">
            <w:pPr>
              <w:pStyle w:val="TableTextNormal"/>
            </w:pPr>
            <w:r w:rsidRPr="00CB32B1">
              <w:t>State and territories frameworks</w:t>
            </w:r>
          </w:p>
        </w:tc>
        <w:tc>
          <w:tcPr>
            <w:tcW w:w="7390" w:type="dxa"/>
          </w:tcPr>
          <w:p w:rsidR="00693A3D" w:rsidRPr="00CB32B1" w:rsidRDefault="00693A3D" w:rsidP="0047587A">
            <w:pPr>
              <w:pStyle w:val="TableBullet1Normal"/>
              <w:cnfStyle w:val="000000000000"/>
            </w:pPr>
            <w:r w:rsidRPr="00CB32B1">
              <w:t>Government of South Australia, Department of Health, Policy for Planned Birth at Home in South Australia, 2007</w:t>
            </w:r>
          </w:p>
        </w:tc>
      </w:tr>
      <w:tr w:rsidR="00693A3D" w:rsidRPr="00CB32B1" w:rsidTr="0047587A">
        <w:tc>
          <w:tcPr>
            <w:cnfStyle w:val="001000000000"/>
            <w:tcW w:w="1898" w:type="dxa"/>
          </w:tcPr>
          <w:p w:rsidR="00693A3D" w:rsidRPr="00CB32B1" w:rsidRDefault="00693A3D" w:rsidP="0047587A">
            <w:pPr>
              <w:pStyle w:val="TableTextNormal"/>
            </w:pPr>
            <w:r w:rsidRPr="00CB32B1">
              <w:t>Publicly funded midwifery programs</w:t>
            </w:r>
          </w:p>
        </w:tc>
        <w:tc>
          <w:tcPr>
            <w:tcW w:w="7390" w:type="dxa"/>
          </w:tcPr>
          <w:p w:rsidR="00693A3D" w:rsidRPr="00CB32B1" w:rsidRDefault="00693A3D" w:rsidP="0047587A">
            <w:pPr>
              <w:pStyle w:val="TableBullet1Normal"/>
              <w:cnfStyle w:val="000000000000"/>
            </w:pPr>
            <w:r w:rsidRPr="00CB32B1">
              <w:t>WA Women’s and Newborn’s Health Network, Policy for Publicly Funded Homebirths including Guidance for Consumers, Health Professionals and Health Services, 2012</w:t>
            </w:r>
          </w:p>
          <w:p w:rsidR="00693A3D" w:rsidRPr="00CB32B1" w:rsidRDefault="00693A3D" w:rsidP="0047587A">
            <w:pPr>
              <w:pStyle w:val="TableBullet1Normal"/>
              <w:cnfStyle w:val="000000000000"/>
            </w:pPr>
            <w:r w:rsidRPr="00CB32B1">
              <w:t>NSW Department of Health, Maternity – Public Homebirth Services, 2006</w:t>
            </w:r>
          </w:p>
        </w:tc>
      </w:tr>
    </w:tbl>
    <w:p w:rsidR="00693A3D" w:rsidRPr="00CB32B1" w:rsidRDefault="00693A3D" w:rsidP="00693A3D">
      <w:pPr>
        <w:pStyle w:val="Sources"/>
      </w:pPr>
      <w:r w:rsidRPr="00CB32B1">
        <w:rPr>
          <w:b/>
        </w:rPr>
        <w:t>Sources:</w:t>
      </w:r>
      <w:r w:rsidRPr="00CB32B1">
        <w:t xml:space="preserve"> Australian College of Midwives</w:t>
      </w:r>
      <w:r w:rsidR="006E3F82" w:rsidRPr="00CB32B1">
        <w:t xml:space="preserve"> 2008</w:t>
      </w:r>
      <w:r w:rsidRPr="00CB32B1">
        <w:t xml:space="preserve">; Nursing and Midwifery Board of Australia </w:t>
      </w:r>
      <w:r w:rsidR="006E3F82" w:rsidRPr="00CB32B1">
        <w:t>2013c</w:t>
      </w:r>
      <w:r w:rsidRPr="00CB32B1">
        <w:t xml:space="preserve">; NSW </w:t>
      </w:r>
      <w:r w:rsidR="00C405B3" w:rsidRPr="00CB32B1">
        <w:t>Health 2006</w:t>
      </w:r>
      <w:r w:rsidRPr="00CB32B1">
        <w:t xml:space="preserve">; </w:t>
      </w:r>
      <w:r w:rsidR="00C405B3" w:rsidRPr="00CB32B1">
        <w:t xml:space="preserve">South Australia </w:t>
      </w:r>
      <w:r w:rsidRPr="00CB32B1">
        <w:t>Department of Health</w:t>
      </w:r>
      <w:r w:rsidR="00C405B3" w:rsidRPr="00CB32B1">
        <w:t xml:space="preserve"> 2007</w:t>
      </w:r>
      <w:r w:rsidRPr="00CB32B1">
        <w:t xml:space="preserve">; </w:t>
      </w:r>
      <w:r w:rsidR="00C405B3" w:rsidRPr="00CB32B1">
        <w:t>Department of Health WA</w:t>
      </w:r>
      <w:r w:rsidRPr="00CB32B1">
        <w:t>;</w:t>
      </w:r>
      <w:r w:rsidR="00C405B3" w:rsidRPr="00CB32B1">
        <w:t xml:space="preserve"> The Royal Australian and New Zealand College of Obstetricians and Gynaecologists, 2011.</w:t>
      </w:r>
    </w:p>
    <w:p w:rsidR="00693A3D" w:rsidRPr="00CB32B1" w:rsidRDefault="00693A3D" w:rsidP="00693A3D">
      <w:pPr>
        <w:pStyle w:val="PwCNormal"/>
        <w:numPr>
          <w:ilvl w:val="0"/>
          <w:numId w:val="0"/>
        </w:numPr>
        <w:sectPr w:rsidR="00693A3D" w:rsidRPr="00CB32B1" w:rsidSect="003E4E09">
          <w:pgSz w:w="11907" w:h="16840" w:code="9"/>
          <w:pgMar w:top="1699" w:right="1138" w:bottom="1699" w:left="1138" w:header="677" w:footer="677" w:gutter="562"/>
          <w:cols w:space="708"/>
          <w:titlePg/>
          <w:docGrid w:linePitch="360"/>
        </w:sectPr>
      </w:pPr>
    </w:p>
    <w:p w:rsidR="00FC0CC6" w:rsidRPr="00CB32B1" w:rsidRDefault="00FC0CC6" w:rsidP="00FC0CC6">
      <w:pPr>
        <w:pStyle w:val="AppendixPanelFrameappendix"/>
        <w:framePr w:wrap="notBeside" w:hAnchor="page" w:x="1044"/>
        <w:rPr>
          <w:lang w:val="en-AU"/>
        </w:rPr>
      </w:pPr>
    </w:p>
    <w:p w:rsidR="00693A3D" w:rsidRPr="00CB32B1" w:rsidRDefault="00693A3D" w:rsidP="00693A3D">
      <w:pPr>
        <w:pStyle w:val="Heading4"/>
      </w:pPr>
      <w:bookmarkStart w:id="133" w:name="_Toc361328129"/>
      <w:bookmarkStart w:id="134" w:name="_Toc362975071"/>
      <w:bookmarkStart w:id="135" w:name="_Toc362975082"/>
      <w:r w:rsidRPr="00CB32B1">
        <w:t>Publicly funded homebirth schemes</w:t>
      </w:r>
      <w:bookmarkEnd w:id="133"/>
      <w:bookmarkEnd w:id="134"/>
      <w:bookmarkEnd w:id="135"/>
    </w:p>
    <w:p w:rsidR="00693A3D" w:rsidRPr="00CB32B1" w:rsidRDefault="00693A3D" w:rsidP="00693A3D">
      <w:pPr>
        <w:pStyle w:val="Majorheading"/>
      </w:pPr>
      <w:r w:rsidRPr="00CB32B1">
        <w:t>G.1. Publicly funded homebirth schemes</w:t>
      </w:r>
    </w:p>
    <w:p w:rsidR="00693A3D" w:rsidRPr="00CB32B1" w:rsidRDefault="00693A3D" w:rsidP="00693A3D">
      <w:pPr>
        <w:pStyle w:val="PwCNormal"/>
      </w:pPr>
      <w:r w:rsidRPr="00CB32B1">
        <w:t xml:space="preserve">Under DoHA’s </w:t>
      </w:r>
      <w:r w:rsidRPr="00CB32B1">
        <w:rPr>
          <w:i/>
        </w:rPr>
        <w:t>National Maternity Services Plan</w:t>
      </w:r>
      <w:r w:rsidR="00904784">
        <w:rPr>
          <w:i/>
        </w:rPr>
        <w:t>,</w:t>
      </w:r>
      <w:r w:rsidRPr="00CB32B1">
        <w:rPr>
          <w:rStyle w:val="FootnoteReference"/>
        </w:rPr>
        <w:footnoteReference w:id="322"/>
      </w:r>
      <w:r w:rsidRPr="00CB32B1">
        <w:t xml:space="preserve"> consideration was given to the demand of maternity services and the availability of a range of models of care. As a part of this, different states and territories have undertaken different actions to support homebirth, including the continuation or development of publicly funded homebirth schemes.</w:t>
      </w:r>
      <w:r w:rsidRPr="00CB32B1">
        <w:rPr>
          <w:rStyle w:val="FootnoteReference"/>
        </w:rPr>
        <w:footnoteReference w:id="323"/>
      </w:r>
    </w:p>
    <w:p w:rsidR="00693A3D" w:rsidRPr="00CB32B1" w:rsidRDefault="00693A3D" w:rsidP="00693A3D">
      <w:pPr>
        <w:pStyle w:val="PwCNormal"/>
      </w:pPr>
      <w:r w:rsidRPr="00CB32B1">
        <w:t>Publicly funded homebirth schemes are based within the public hospital system</w:t>
      </w:r>
      <w:r w:rsidR="001F7539">
        <w:t>, catering to women who are at low obstetric and medical risk</w:t>
      </w:r>
      <w:r w:rsidRPr="00CB32B1">
        <w:t xml:space="preserve"> with PII cover for the midwives provided through vicarious liability of the hospital as part of their employment.</w:t>
      </w:r>
      <w:r w:rsidR="001F7539">
        <w:rPr>
          <w:rStyle w:val="FootnoteReference"/>
        </w:rPr>
        <w:footnoteReference w:id="324"/>
      </w:r>
      <w:r w:rsidRPr="00CB32B1">
        <w:t xml:space="preserve"> These programs are often linked with, or arise from, existing birth centres or midwifery group practices.</w:t>
      </w:r>
      <w:r w:rsidRPr="00CB32B1">
        <w:rPr>
          <w:rStyle w:val="FootnoteReference"/>
        </w:rPr>
        <w:footnoteReference w:id="325"/>
      </w:r>
      <w:r w:rsidR="00854DEF" w:rsidRPr="00CB32B1">
        <w:t xml:space="preserve"> </w:t>
      </w:r>
      <w:r w:rsidRPr="00CB32B1">
        <w:t>As a potential substitutable product for PPM practice, understanding the practice and operation of these schemes may provide lessons, particularly around:</w:t>
      </w:r>
    </w:p>
    <w:p w:rsidR="00693A3D" w:rsidRPr="00CB32B1" w:rsidRDefault="00693A3D" w:rsidP="00693A3D">
      <w:pPr>
        <w:pStyle w:val="ListBullet"/>
      </w:pPr>
      <w:r w:rsidRPr="00CB32B1">
        <w:rPr>
          <w:b/>
          <w:color w:val="DC6900" w:themeColor="text2"/>
        </w:rPr>
        <w:t>How services are delivered:</w:t>
      </w:r>
      <w:r w:rsidRPr="00CB32B1">
        <w:t xml:space="preserve"> the method of service delivery and what is deemed acceptable or required (</w:t>
      </w:r>
      <w:r w:rsidR="00854DEF" w:rsidRPr="00CB32B1">
        <w:t>eg</w:t>
      </w:r>
      <w:r w:rsidRPr="00CB32B1">
        <w:t xml:space="preserve"> </w:t>
      </w:r>
      <w:r w:rsidR="001D6BC8">
        <w:t xml:space="preserve">the publicly funded homebirth scheme </w:t>
      </w:r>
      <w:r w:rsidRPr="00CB32B1">
        <w:t>require</w:t>
      </w:r>
      <w:r w:rsidR="001D6BC8">
        <w:t>s</w:t>
      </w:r>
      <w:r w:rsidRPr="00CB32B1">
        <w:t xml:space="preserve"> two attendees at birt</w:t>
      </w:r>
      <w:r w:rsidR="00CD0CA9" w:rsidRPr="00CB32B1">
        <w:t>h)</w:t>
      </w:r>
    </w:p>
    <w:p w:rsidR="00693A3D" w:rsidRPr="00CB32B1" w:rsidRDefault="00693A3D" w:rsidP="00693A3D">
      <w:pPr>
        <w:pStyle w:val="ListBullet"/>
      </w:pPr>
      <w:r w:rsidRPr="00CB32B1">
        <w:rPr>
          <w:b/>
          <w:color w:val="DC6900" w:themeColor="text2"/>
        </w:rPr>
        <w:t>What services are delivered:</w:t>
      </w:r>
      <w:r w:rsidRPr="00CB32B1">
        <w:t xml:space="preserve"> the risk and quality frameworks that are applied </w:t>
      </w:r>
      <w:r w:rsidR="00CD0CA9" w:rsidRPr="00CB32B1">
        <w:t>to homebirth midwifery services</w:t>
      </w:r>
    </w:p>
    <w:p w:rsidR="00693A3D" w:rsidRPr="00CB32B1" w:rsidRDefault="00693A3D" w:rsidP="00693A3D">
      <w:pPr>
        <w:pStyle w:val="ListBullet"/>
      </w:pPr>
      <w:r w:rsidRPr="00CB32B1">
        <w:rPr>
          <w:b/>
          <w:color w:val="DC6900" w:themeColor="text2"/>
        </w:rPr>
        <w:t>Who provides services:</w:t>
      </w:r>
      <w:r w:rsidRPr="00CB32B1">
        <w:t xml:space="preserve"> the relationships held with other health professionals a</w:t>
      </w:r>
      <w:r w:rsidR="00CD0CA9" w:rsidRPr="00CB32B1">
        <w:t>nd collaborative models of care</w:t>
      </w:r>
    </w:p>
    <w:p w:rsidR="00693A3D" w:rsidRPr="00CB32B1" w:rsidRDefault="00693A3D" w:rsidP="00693A3D">
      <w:pPr>
        <w:pStyle w:val="ListBullet"/>
      </w:pPr>
      <w:r w:rsidRPr="00CB32B1">
        <w:rPr>
          <w:b/>
          <w:color w:val="DC6900" w:themeColor="text2"/>
        </w:rPr>
        <w:t>Why services are delivered:</w:t>
      </w:r>
      <w:r w:rsidRPr="00CB32B1">
        <w:t xml:space="preserve"> the drivers behind the model and the demand of women (</w:t>
      </w:r>
      <w:r w:rsidR="00854DEF" w:rsidRPr="00CB32B1">
        <w:t>eg</w:t>
      </w:r>
      <w:r w:rsidRPr="00CB32B1">
        <w:t xml:space="preserve"> is the demand for homebirth services or a continuity of care model).</w:t>
      </w:r>
    </w:p>
    <w:p w:rsidR="00693A3D" w:rsidRPr="00CB32B1" w:rsidRDefault="00693A3D" w:rsidP="00693A3D">
      <w:pPr>
        <w:pStyle w:val="PwCNormal"/>
      </w:pPr>
      <w:r w:rsidRPr="00CB32B1">
        <w:t xml:space="preserve">As shown in </w:t>
      </w:r>
      <w:r w:rsidR="009129A6" w:rsidRPr="00CB32B1">
        <w:fldChar w:fldCharType="begin"/>
      </w:r>
      <w:r w:rsidR="00AA3C29" w:rsidRPr="00CB32B1">
        <w:instrText xml:space="preserve"> REF _Ref361224007 \h </w:instrText>
      </w:r>
      <w:r w:rsidR="009129A6" w:rsidRPr="00CB32B1">
        <w:fldChar w:fldCharType="separate"/>
      </w:r>
      <w:r w:rsidR="008816B4" w:rsidRPr="00CB32B1">
        <w:t xml:space="preserve">Table </w:t>
      </w:r>
      <w:r w:rsidR="008816B4">
        <w:rPr>
          <w:noProof/>
        </w:rPr>
        <w:t>28</w:t>
      </w:r>
      <w:r w:rsidR="009129A6" w:rsidRPr="00CB32B1">
        <w:fldChar w:fldCharType="end"/>
      </w:r>
      <w:r w:rsidRPr="00CB32B1">
        <w:t>, not all states and territories have publicly funded homebirth schemes in place. Consultations outlined that this was for a variety of factors including the support of state or territory governments as well as other health practitioners</w:t>
      </w:r>
      <w:r w:rsidR="001D6BC8">
        <w:t xml:space="preserve"> and maternity service providers</w:t>
      </w:r>
      <w:r w:rsidRPr="00CB32B1">
        <w:t>. Variation in the offering of publicly funded homebirth schemes could present different levels of demand and accessibility to homebirth models of care.</w:t>
      </w:r>
    </w:p>
    <w:p w:rsidR="00693A3D" w:rsidRPr="00CB32B1" w:rsidRDefault="00693A3D" w:rsidP="00693A3D">
      <w:pPr>
        <w:pStyle w:val="Caption"/>
      </w:pPr>
      <w:bookmarkStart w:id="136" w:name="_Ref361224007"/>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28</w:t>
      </w:r>
      <w:r w:rsidR="009129A6" w:rsidRPr="00CB32B1">
        <w:fldChar w:fldCharType="end"/>
      </w:r>
      <w:bookmarkEnd w:id="136"/>
      <w:r w:rsidRPr="00CB32B1">
        <w:t>:</w:t>
      </w:r>
      <w:r w:rsidRPr="00CB32B1">
        <w:tab/>
        <w:t>Publicly funded midwifery schemes available by state and territory</w:t>
      </w:r>
    </w:p>
    <w:tbl>
      <w:tblPr>
        <w:tblStyle w:val="PwCTableStyle1"/>
        <w:tblW w:w="5000" w:type="pct"/>
        <w:tblLook w:val="04A0"/>
      </w:tblPr>
      <w:tblGrid>
        <w:gridCol w:w="4142"/>
        <w:gridCol w:w="792"/>
        <w:gridCol w:w="650"/>
        <w:gridCol w:w="618"/>
        <w:gridCol w:w="631"/>
        <w:gridCol w:w="526"/>
        <w:gridCol w:w="683"/>
        <w:gridCol w:w="691"/>
        <w:gridCol w:w="552"/>
      </w:tblGrid>
      <w:tr w:rsidR="00693A3D" w:rsidRPr="00CB32B1" w:rsidTr="009D37C7">
        <w:trPr>
          <w:cnfStyle w:val="100000000000"/>
        </w:trPr>
        <w:tc>
          <w:tcPr>
            <w:cnfStyle w:val="001000000000"/>
            <w:tcW w:w="2230" w:type="pct"/>
            <w:tcBorders>
              <w:bottom w:val="single" w:sz="6" w:space="0" w:color="DC6900" w:themeColor="text2"/>
              <w:right w:val="single" w:sz="6" w:space="0" w:color="FFFFFF" w:themeColor="background2"/>
            </w:tcBorders>
            <w:shd w:val="clear" w:color="auto" w:fill="DC6900" w:themeFill="text2"/>
          </w:tcPr>
          <w:p w:rsidR="00693A3D" w:rsidRPr="00CB32B1" w:rsidRDefault="00693A3D" w:rsidP="0047587A">
            <w:pPr>
              <w:pStyle w:val="TableColumnHeadingNormal"/>
            </w:pPr>
          </w:p>
        </w:tc>
        <w:tc>
          <w:tcPr>
            <w:tcW w:w="426"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center"/>
            <w:hideMark/>
          </w:tcPr>
          <w:p w:rsidR="00693A3D" w:rsidRPr="00CB32B1" w:rsidRDefault="00693A3D" w:rsidP="009D37C7">
            <w:pPr>
              <w:pStyle w:val="TableColumnHeadingNormal"/>
              <w:jc w:val="center"/>
              <w:cnfStyle w:val="100000000000"/>
            </w:pPr>
            <w:r w:rsidRPr="00CB32B1">
              <w:t>NSW</w:t>
            </w:r>
          </w:p>
        </w:tc>
        <w:tc>
          <w:tcPr>
            <w:tcW w:w="350"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center"/>
            <w:hideMark/>
          </w:tcPr>
          <w:p w:rsidR="00693A3D" w:rsidRPr="00CB32B1" w:rsidRDefault="00693A3D" w:rsidP="009D37C7">
            <w:pPr>
              <w:pStyle w:val="TableColumnHeadingNormal"/>
              <w:jc w:val="center"/>
              <w:cnfStyle w:val="100000000000"/>
            </w:pPr>
            <w:r w:rsidRPr="00CB32B1">
              <w:t>Vic.</w:t>
            </w:r>
          </w:p>
        </w:tc>
        <w:tc>
          <w:tcPr>
            <w:tcW w:w="333"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center"/>
            <w:hideMark/>
          </w:tcPr>
          <w:p w:rsidR="00693A3D" w:rsidRPr="00CB32B1" w:rsidRDefault="00693A3D" w:rsidP="009D37C7">
            <w:pPr>
              <w:pStyle w:val="TableColumnHeadingNormal"/>
              <w:jc w:val="center"/>
              <w:cnfStyle w:val="100000000000"/>
            </w:pPr>
            <w:r w:rsidRPr="00CB32B1">
              <w:t>Qld</w:t>
            </w:r>
          </w:p>
        </w:tc>
        <w:tc>
          <w:tcPr>
            <w:tcW w:w="340"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center"/>
            <w:hideMark/>
          </w:tcPr>
          <w:p w:rsidR="00693A3D" w:rsidRPr="00CB32B1" w:rsidRDefault="00693A3D" w:rsidP="009D37C7">
            <w:pPr>
              <w:pStyle w:val="TableColumnHeadingNormal"/>
              <w:jc w:val="center"/>
              <w:cnfStyle w:val="100000000000"/>
            </w:pPr>
            <w:r w:rsidRPr="00CB32B1">
              <w:t>WA</w:t>
            </w:r>
          </w:p>
        </w:tc>
        <w:tc>
          <w:tcPr>
            <w:tcW w:w="283"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center"/>
            <w:hideMark/>
          </w:tcPr>
          <w:p w:rsidR="00693A3D" w:rsidRPr="00CB32B1" w:rsidRDefault="00693A3D" w:rsidP="009D37C7">
            <w:pPr>
              <w:pStyle w:val="TableColumnHeadingNormal"/>
              <w:jc w:val="center"/>
              <w:cnfStyle w:val="100000000000"/>
            </w:pPr>
            <w:r w:rsidRPr="00CB32B1">
              <w:t>SA</w:t>
            </w:r>
          </w:p>
        </w:tc>
        <w:tc>
          <w:tcPr>
            <w:tcW w:w="368"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center"/>
            <w:hideMark/>
          </w:tcPr>
          <w:p w:rsidR="00693A3D" w:rsidRPr="00CB32B1" w:rsidRDefault="00693A3D" w:rsidP="009D37C7">
            <w:pPr>
              <w:pStyle w:val="TableColumnHeadingNormal"/>
              <w:jc w:val="center"/>
              <w:cnfStyle w:val="100000000000"/>
            </w:pPr>
            <w:r w:rsidRPr="00CB32B1">
              <w:t>Tas.</w:t>
            </w:r>
          </w:p>
        </w:tc>
        <w:tc>
          <w:tcPr>
            <w:tcW w:w="372"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center"/>
            <w:hideMark/>
          </w:tcPr>
          <w:p w:rsidR="00693A3D" w:rsidRPr="00CB32B1" w:rsidRDefault="00693A3D" w:rsidP="009D37C7">
            <w:pPr>
              <w:pStyle w:val="TableColumnHeadingNormal"/>
              <w:jc w:val="center"/>
              <w:cnfStyle w:val="100000000000"/>
            </w:pPr>
            <w:r w:rsidRPr="00CB32B1">
              <w:t>ACT</w:t>
            </w:r>
          </w:p>
        </w:tc>
        <w:tc>
          <w:tcPr>
            <w:tcW w:w="297" w:type="pct"/>
            <w:tcBorders>
              <w:left w:val="single" w:sz="6" w:space="0" w:color="FFFFFF" w:themeColor="background2"/>
              <w:bottom w:val="single" w:sz="6" w:space="0" w:color="DC6900" w:themeColor="text2"/>
            </w:tcBorders>
            <w:shd w:val="clear" w:color="auto" w:fill="DC6900" w:themeFill="text2"/>
            <w:vAlign w:val="center"/>
            <w:hideMark/>
          </w:tcPr>
          <w:p w:rsidR="00693A3D" w:rsidRPr="00CB32B1" w:rsidRDefault="00693A3D" w:rsidP="009D37C7">
            <w:pPr>
              <w:pStyle w:val="TableColumnHeadingNormal"/>
              <w:jc w:val="center"/>
              <w:cnfStyle w:val="100000000000"/>
            </w:pPr>
            <w:r w:rsidRPr="00CB32B1">
              <w:t>NT</w:t>
            </w:r>
          </w:p>
        </w:tc>
      </w:tr>
      <w:tr w:rsidR="00693A3D" w:rsidRPr="00CB32B1" w:rsidTr="0047587A">
        <w:tc>
          <w:tcPr>
            <w:cnfStyle w:val="001000000000"/>
            <w:tcW w:w="2230" w:type="pct"/>
            <w:tcBorders>
              <w:top w:val="single" w:sz="6" w:space="0" w:color="DC6900" w:themeColor="text2"/>
            </w:tcBorders>
            <w:hideMark/>
          </w:tcPr>
          <w:p w:rsidR="00693A3D" w:rsidRPr="00CB32B1" w:rsidRDefault="00693A3D" w:rsidP="0047587A">
            <w:pPr>
              <w:pStyle w:val="TableTextNormal"/>
            </w:pPr>
            <w:r w:rsidRPr="00CB32B1">
              <w:t>Publicly funded midwifery scheme available</w:t>
            </w:r>
          </w:p>
        </w:tc>
        <w:tc>
          <w:tcPr>
            <w:tcW w:w="426" w:type="pct"/>
            <w:tcBorders>
              <w:top w:val="single" w:sz="6" w:space="0" w:color="DC6900" w:themeColor="text2"/>
            </w:tcBorders>
            <w:hideMark/>
          </w:tcPr>
          <w:p w:rsidR="00693A3D" w:rsidRPr="00CB32B1" w:rsidRDefault="00693A3D" w:rsidP="00CA2775">
            <w:pPr>
              <w:pStyle w:val="TableTextNormal"/>
              <w:jc w:val="center"/>
              <w:cnfStyle w:val="000000000000"/>
            </w:pPr>
            <w:r w:rsidRPr="00CB32B1">
              <w:sym w:font="Wingdings" w:char="00FC"/>
            </w:r>
          </w:p>
        </w:tc>
        <w:tc>
          <w:tcPr>
            <w:tcW w:w="350" w:type="pct"/>
            <w:tcBorders>
              <w:top w:val="single" w:sz="6" w:space="0" w:color="DC6900" w:themeColor="text2"/>
            </w:tcBorders>
            <w:hideMark/>
          </w:tcPr>
          <w:p w:rsidR="00693A3D" w:rsidRPr="00CB32B1" w:rsidRDefault="00693A3D" w:rsidP="0047587A">
            <w:pPr>
              <w:pStyle w:val="TableTextNormal"/>
              <w:jc w:val="center"/>
              <w:cnfStyle w:val="000000000000"/>
            </w:pPr>
            <w:r w:rsidRPr="00CB32B1">
              <w:sym w:font="Wingdings" w:char="00FC"/>
            </w:r>
          </w:p>
        </w:tc>
        <w:tc>
          <w:tcPr>
            <w:tcW w:w="333" w:type="pct"/>
            <w:tcBorders>
              <w:top w:val="single" w:sz="6" w:space="0" w:color="DC6900" w:themeColor="text2"/>
            </w:tcBorders>
            <w:hideMark/>
          </w:tcPr>
          <w:p w:rsidR="00693A3D" w:rsidRPr="00CB32B1" w:rsidRDefault="00693A3D" w:rsidP="0047587A">
            <w:pPr>
              <w:pStyle w:val="TableTextNormal"/>
              <w:jc w:val="center"/>
              <w:cnfStyle w:val="000000000000"/>
            </w:pPr>
            <w:r w:rsidRPr="00CB32B1">
              <w:t>×</w:t>
            </w:r>
          </w:p>
        </w:tc>
        <w:tc>
          <w:tcPr>
            <w:tcW w:w="340" w:type="pct"/>
            <w:tcBorders>
              <w:top w:val="single" w:sz="6" w:space="0" w:color="DC6900" w:themeColor="text2"/>
            </w:tcBorders>
            <w:hideMark/>
          </w:tcPr>
          <w:p w:rsidR="00693A3D" w:rsidRPr="00CB32B1" w:rsidRDefault="00693A3D" w:rsidP="0047587A">
            <w:pPr>
              <w:pStyle w:val="TableTextNormal"/>
              <w:jc w:val="center"/>
              <w:cnfStyle w:val="000000000000"/>
            </w:pPr>
            <w:r w:rsidRPr="00CB32B1">
              <w:sym w:font="Wingdings" w:char="00FC"/>
            </w:r>
          </w:p>
        </w:tc>
        <w:tc>
          <w:tcPr>
            <w:tcW w:w="283" w:type="pct"/>
            <w:tcBorders>
              <w:top w:val="single" w:sz="6" w:space="0" w:color="DC6900" w:themeColor="text2"/>
            </w:tcBorders>
            <w:hideMark/>
          </w:tcPr>
          <w:p w:rsidR="00693A3D" w:rsidRPr="00CB32B1" w:rsidRDefault="00693A3D" w:rsidP="0047587A">
            <w:pPr>
              <w:pStyle w:val="TableTextNormal"/>
              <w:jc w:val="center"/>
              <w:cnfStyle w:val="000000000000"/>
            </w:pPr>
            <w:r w:rsidRPr="00CB32B1">
              <w:sym w:font="Wingdings" w:char="00FC"/>
            </w:r>
          </w:p>
        </w:tc>
        <w:tc>
          <w:tcPr>
            <w:tcW w:w="368" w:type="pct"/>
            <w:tcBorders>
              <w:top w:val="single" w:sz="6" w:space="0" w:color="DC6900" w:themeColor="text2"/>
            </w:tcBorders>
            <w:hideMark/>
          </w:tcPr>
          <w:p w:rsidR="00693A3D" w:rsidRPr="00CB32B1" w:rsidRDefault="00693A3D" w:rsidP="0047587A">
            <w:pPr>
              <w:pStyle w:val="TableTextNormal"/>
              <w:jc w:val="center"/>
              <w:cnfStyle w:val="000000000000"/>
            </w:pPr>
            <w:r w:rsidRPr="00CB32B1">
              <w:t>×</w:t>
            </w:r>
          </w:p>
        </w:tc>
        <w:tc>
          <w:tcPr>
            <w:tcW w:w="372" w:type="pct"/>
            <w:tcBorders>
              <w:top w:val="single" w:sz="6" w:space="0" w:color="DC6900" w:themeColor="text2"/>
            </w:tcBorders>
            <w:hideMark/>
          </w:tcPr>
          <w:p w:rsidR="00693A3D" w:rsidRPr="00CB32B1" w:rsidRDefault="00693A3D" w:rsidP="0047587A">
            <w:pPr>
              <w:pStyle w:val="TableTextNormal"/>
              <w:jc w:val="center"/>
              <w:cnfStyle w:val="000000000000"/>
            </w:pPr>
            <w:r w:rsidRPr="00CB32B1">
              <w:t>×</w:t>
            </w:r>
          </w:p>
        </w:tc>
        <w:tc>
          <w:tcPr>
            <w:tcW w:w="297" w:type="pct"/>
            <w:tcBorders>
              <w:top w:val="single" w:sz="6" w:space="0" w:color="DC6900" w:themeColor="text2"/>
            </w:tcBorders>
            <w:hideMark/>
          </w:tcPr>
          <w:p w:rsidR="00693A3D" w:rsidRPr="00CB32B1" w:rsidRDefault="00693A3D" w:rsidP="0047587A">
            <w:pPr>
              <w:pStyle w:val="TableTextNormal"/>
              <w:jc w:val="center"/>
              <w:cnfStyle w:val="000000000000"/>
            </w:pPr>
            <w:r w:rsidRPr="00CB32B1">
              <w:sym w:font="Wingdings" w:char="00FC"/>
            </w:r>
          </w:p>
        </w:tc>
      </w:tr>
      <w:tr w:rsidR="00693A3D" w:rsidRPr="00CB32B1" w:rsidTr="0047587A">
        <w:tc>
          <w:tcPr>
            <w:cnfStyle w:val="001000000000"/>
            <w:tcW w:w="2230" w:type="pct"/>
            <w:hideMark/>
          </w:tcPr>
          <w:p w:rsidR="00693A3D" w:rsidRPr="00CB32B1" w:rsidRDefault="00693A3D" w:rsidP="0047587A">
            <w:pPr>
              <w:pStyle w:val="TableTextNormal"/>
            </w:pPr>
            <w:r w:rsidRPr="00CB32B1">
              <w:t>Number of hospitals providing service</w:t>
            </w:r>
          </w:p>
        </w:tc>
        <w:tc>
          <w:tcPr>
            <w:tcW w:w="426" w:type="pct"/>
            <w:hideMark/>
          </w:tcPr>
          <w:p w:rsidR="00693A3D" w:rsidRPr="00CB32B1" w:rsidRDefault="00693A3D" w:rsidP="0047587A">
            <w:pPr>
              <w:pStyle w:val="TableTextNormal"/>
              <w:jc w:val="center"/>
              <w:cnfStyle w:val="000000000000"/>
            </w:pPr>
            <w:r w:rsidRPr="00CB32B1">
              <w:t>6</w:t>
            </w:r>
          </w:p>
        </w:tc>
        <w:tc>
          <w:tcPr>
            <w:tcW w:w="350" w:type="pct"/>
            <w:hideMark/>
          </w:tcPr>
          <w:p w:rsidR="00693A3D" w:rsidRPr="00CB32B1" w:rsidRDefault="00693A3D" w:rsidP="0047587A">
            <w:pPr>
              <w:pStyle w:val="TableTextNormal"/>
              <w:jc w:val="center"/>
              <w:cnfStyle w:val="000000000000"/>
            </w:pPr>
            <w:r w:rsidRPr="00CB32B1">
              <w:t>2</w:t>
            </w:r>
          </w:p>
        </w:tc>
        <w:tc>
          <w:tcPr>
            <w:tcW w:w="333" w:type="pct"/>
            <w:hideMark/>
          </w:tcPr>
          <w:p w:rsidR="00693A3D" w:rsidRPr="00CB32B1" w:rsidRDefault="00693A3D" w:rsidP="0047587A">
            <w:pPr>
              <w:pStyle w:val="TableTextNormal"/>
              <w:jc w:val="center"/>
              <w:cnfStyle w:val="000000000000"/>
            </w:pPr>
            <w:r w:rsidRPr="00CB32B1">
              <w:t>-</w:t>
            </w:r>
          </w:p>
        </w:tc>
        <w:tc>
          <w:tcPr>
            <w:tcW w:w="340" w:type="pct"/>
            <w:hideMark/>
          </w:tcPr>
          <w:p w:rsidR="00693A3D" w:rsidRPr="00CB32B1" w:rsidRDefault="00693A3D" w:rsidP="0047587A">
            <w:pPr>
              <w:pStyle w:val="TableTextNormal"/>
              <w:jc w:val="center"/>
              <w:cnfStyle w:val="000000000000"/>
            </w:pPr>
            <w:r w:rsidRPr="00CB32B1">
              <w:t>1</w:t>
            </w:r>
          </w:p>
        </w:tc>
        <w:tc>
          <w:tcPr>
            <w:tcW w:w="283" w:type="pct"/>
            <w:hideMark/>
          </w:tcPr>
          <w:p w:rsidR="00693A3D" w:rsidRPr="00CB32B1" w:rsidRDefault="00693A3D" w:rsidP="0047587A">
            <w:pPr>
              <w:pStyle w:val="TableTextNormal"/>
              <w:jc w:val="center"/>
              <w:cnfStyle w:val="000000000000"/>
            </w:pPr>
            <w:r w:rsidRPr="00CB32B1">
              <w:t>2</w:t>
            </w:r>
          </w:p>
        </w:tc>
        <w:tc>
          <w:tcPr>
            <w:tcW w:w="368" w:type="pct"/>
            <w:hideMark/>
          </w:tcPr>
          <w:p w:rsidR="00693A3D" w:rsidRPr="00CB32B1" w:rsidRDefault="00693A3D" w:rsidP="0047587A">
            <w:pPr>
              <w:pStyle w:val="TableTextNormal"/>
              <w:jc w:val="center"/>
              <w:cnfStyle w:val="000000000000"/>
            </w:pPr>
            <w:r w:rsidRPr="00CB32B1">
              <w:t>-</w:t>
            </w:r>
          </w:p>
        </w:tc>
        <w:tc>
          <w:tcPr>
            <w:tcW w:w="372" w:type="pct"/>
            <w:hideMark/>
          </w:tcPr>
          <w:p w:rsidR="00693A3D" w:rsidRPr="00CB32B1" w:rsidRDefault="00693A3D" w:rsidP="0047587A">
            <w:pPr>
              <w:pStyle w:val="TableTextNormal"/>
              <w:jc w:val="center"/>
              <w:cnfStyle w:val="000000000000"/>
            </w:pPr>
            <w:r w:rsidRPr="00CB32B1">
              <w:t>-</w:t>
            </w:r>
          </w:p>
        </w:tc>
        <w:tc>
          <w:tcPr>
            <w:tcW w:w="297" w:type="pct"/>
            <w:hideMark/>
          </w:tcPr>
          <w:p w:rsidR="00693A3D" w:rsidRPr="00CB32B1" w:rsidRDefault="00693A3D" w:rsidP="0047587A">
            <w:pPr>
              <w:pStyle w:val="TableTextNormal"/>
              <w:jc w:val="center"/>
              <w:cnfStyle w:val="000000000000"/>
            </w:pPr>
            <w:r w:rsidRPr="00CB32B1">
              <w:t>2</w:t>
            </w:r>
          </w:p>
        </w:tc>
      </w:tr>
    </w:tbl>
    <w:p w:rsidR="00693A3D" w:rsidRPr="00CB32B1" w:rsidRDefault="00693A3D" w:rsidP="00693A3D">
      <w:pPr>
        <w:pStyle w:val="Sources"/>
      </w:pPr>
      <w:r w:rsidRPr="00CB32B1">
        <w:rPr>
          <w:b/>
        </w:rPr>
        <w:t>Source:</w:t>
      </w:r>
      <w:r w:rsidRPr="00CB32B1">
        <w:t xml:space="preserve"> Pregnancy Birthing and Beyond</w:t>
      </w:r>
      <w:r w:rsidR="00050CC5" w:rsidRPr="00CB32B1">
        <w:t xml:space="preserve"> 2012</w:t>
      </w:r>
      <w:r w:rsidR="001F7539">
        <w:t xml:space="preserve">; Catling-Paull, Coddington, </w:t>
      </w:r>
      <w:r w:rsidR="006959C5">
        <w:t>Foureur</w:t>
      </w:r>
      <w:r w:rsidR="001F7539">
        <w:t xml:space="preserve"> &amp; Homer 2013.</w:t>
      </w:r>
    </w:p>
    <w:p w:rsidR="00693A3D" w:rsidRPr="00CB32B1" w:rsidRDefault="00693A3D" w:rsidP="00693A3D">
      <w:pPr>
        <w:pStyle w:val="PwCNormal"/>
      </w:pPr>
      <w:r w:rsidRPr="00CB32B1">
        <w:t>Literature</w:t>
      </w:r>
      <w:r w:rsidR="001D6BC8">
        <w:t xml:space="preserve"> </w:t>
      </w:r>
      <w:r w:rsidRPr="00CB32B1">
        <w:t>has highlighted that the success of setting up pu</w:t>
      </w:r>
      <w:r w:rsidR="001D6BC8">
        <w:t xml:space="preserve">blicly funded homebirth schemes </w:t>
      </w:r>
      <w:r w:rsidRPr="00CB32B1">
        <w:t>included:</w:t>
      </w:r>
      <w:r w:rsidR="00904784" w:rsidRPr="00CB32B1">
        <w:rPr>
          <w:rStyle w:val="FootnoteReference"/>
        </w:rPr>
        <w:footnoteReference w:id="326"/>
      </w:r>
    </w:p>
    <w:p w:rsidR="00693A3D" w:rsidRPr="00CB32B1" w:rsidRDefault="00693A3D" w:rsidP="00693A3D">
      <w:pPr>
        <w:pStyle w:val="ListBullet"/>
      </w:pPr>
      <w:r w:rsidRPr="00CB32B1">
        <w:t>Consumers who feel comfortable with</w:t>
      </w:r>
      <w:r w:rsidR="00CD0CA9" w:rsidRPr="00CB32B1">
        <w:t xml:space="preserve"> their choice of place of birth</w:t>
      </w:r>
    </w:p>
    <w:p w:rsidR="00693A3D" w:rsidRPr="00CB32B1" w:rsidRDefault="00693A3D" w:rsidP="00693A3D">
      <w:pPr>
        <w:pStyle w:val="ListBullet"/>
      </w:pPr>
      <w:r w:rsidRPr="00CB32B1">
        <w:t>Funding to cover risk management tasks, technology (access to computers/printers/email), equipment (such as homebirth kits including resuscitative equipment and medication) and workload (st</w:t>
      </w:r>
      <w:r w:rsidR="00CD0CA9" w:rsidRPr="00CB32B1">
        <w:t>aff to cover leave commitments)</w:t>
      </w:r>
    </w:p>
    <w:p w:rsidR="00693A3D" w:rsidRPr="00CB32B1" w:rsidRDefault="00693A3D" w:rsidP="00693A3D">
      <w:pPr>
        <w:pStyle w:val="ListBullet"/>
      </w:pPr>
      <w:r w:rsidRPr="00CB32B1">
        <w:t xml:space="preserve">Safe and effective consultation and referral pathways, especially </w:t>
      </w:r>
      <w:r w:rsidR="00CD0CA9" w:rsidRPr="00CB32B1">
        <w:t>consultation with obstetricians</w:t>
      </w:r>
    </w:p>
    <w:p w:rsidR="00693A3D" w:rsidRPr="00CB32B1" w:rsidRDefault="00693A3D" w:rsidP="00693A3D">
      <w:pPr>
        <w:pStyle w:val="ListBullet"/>
      </w:pPr>
      <w:r w:rsidRPr="00CB32B1">
        <w:t>Ability for midwives to be able to practice within the scope of a midwife without being constrained by hospital derived policies that are overly restricted.</w:t>
      </w:r>
    </w:p>
    <w:p w:rsidR="00970D36" w:rsidRPr="00CB32B1" w:rsidRDefault="00970D36" w:rsidP="00970D36">
      <w:pPr>
        <w:pStyle w:val="PwCNormal"/>
      </w:pPr>
    </w:p>
    <w:p w:rsidR="00970D36" w:rsidRPr="00CB32B1" w:rsidRDefault="00970D36">
      <w:pPr>
        <w:kinsoku/>
        <w:overflowPunct/>
        <w:autoSpaceDE/>
        <w:autoSpaceDN/>
        <w:adjustRightInd/>
        <w:snapToGrid/>
        <w:sectPr w:rsidR="00970D36" w:rsidRPr="00CB32B1" w:rsidSect="003E4E09">
          <w:headerReference w:type="even" r:id="rId93"/>
          <w:headerReference w:type="default" r:id="rId94"/>
          <w:footerReference w:type="even" r:id="rId95"/>
          <w:headerReference w:type="first" r:id="rId96"/>
          <w:pgSz w:w="11907" w:h="16840" w:code="9"/>
          <w:pgMar w:top="1699" w:right="1138" w:bottom="1699" w:left="1138" w:header="677" w:footer="677" w:gutter="562"/>
          <w:cols w:space="708"/>
          <w:titlePg/>
          <w:docGrid w:linePitch="360"/>
        </w:sectPr>
      </w:pPr>
    </w:p>
    <w:p w:rsidR="00FC0CC6" w:rsidRPr="00CB32B1" w:rsidRDefault="00FC0CC6" w:rsidP="00FC0CC6">
      <w:pPr>
        <w:pStyle w:val="AppendixPanelFrameappendix"/>
        <w:framePr w:wrap="notBeside" w:hAnchor="page" w:x="1044"/>
        <w:rPr>
          <w:lang w:val="en-AU"/>
        </w:rPr>
      </w:pPr>
    </w:p>
    <w:p w:rsidR="000A0D05" w:rsidRPr="00CB32B1" w:rsidRDefault="001D6BC8" w:rsidP="00CA2775">
      <w:pPr>
        <w:pStyle w:val="Heading4"/>
      </w:pPr>
      <w:bookmarkStart w:id="137" w:name="_Toc361328130"/>
      <w:bookmarkStart w:id="138" w:name="_Toc362975072"/>
      <w:bookmarkStart w:id="139" w:name="_Toc362975083"/>
      <w:r>
        <w:t>B</w:t>
      </w:r>
      <w:r w:rsidR="00CA2775" w:rsidRPr="00CB32B1">
        <w:t>enchmarking of risk frameworks</w:t>
      </w:r>
      <w:bookmarkEnd w:id="137"/>
      <w:bookmarkEnd w:id="138"/>
      <w:bookmarkEnd w:id="139"/>
    </w:p>
    <w:p w:rsidR="00CA2775" w:rsidRPr="00CB32B1" w:rsidRDefault="00CA2775" w:rsidP="00CA2775">
      <w:pPr>
        <w:pStyle w:val="Majorheading"/>
      </w:pPr>
      <w:r w:rsidRPr="00CB32B1">
        <w:t>H.1. Benchmarking risk frameworks</w:t>
      </w:r>
    </w:p>
    <w:p w:rsidR="00CA2775" w:rsidRPr="00CB32B1" w:rsidRDefault="00CA2775" w:rsidP="00CA2775">
      <w:pPr>
        <w:pStyle w:val="PwCNormal"/>
      </w:pPr>
      <w:r w:rsidRPr="00CB32B1">
        <w:t xml:space="preserve">As a part of the research completed, it was identified that there were variations between the Australian risk frameworks used to guide the practice of PPMs. </w:t>
      </w:r>
      <w:r w:rsidR="009129A6" w:rsidRPr="00CB32B1">
        <w:fldChar w:fldCharType="begin"/>
      </w:r>
      <w:r w:rsidR="00AA3C29" w:rsidRPr="00CB32B1">
        <w:instrText xml:space="preserve"> REF _Ref361224019 \h </w:instrText>
      </w:r>
      <w:r w:rsidR="009129A6" w:rsidRPr="00CB32B1">
        <w:fldChar w:fldCharType="separate"/>
      </w:r>
      <w:r w:rsidR="008816B4" w:rsidRPr="00CB32B1">
        <w:t xml:space="preserve">Table </w:t>
      </w:r>
      <w:r w:rsidR="008816B4">
        <w:rPr>
          <w:noProof/>
        </w:rPr>
        <w:t>30</w:t>
      </w:r>
      <w:r w:rsidR="009129A6" w:rsidRPr="00CB32B1">
        <w:fldChar w:fldCharType="end"/>
      </w:r>
      <w:r w:rsidRPr="00CB32B1">
        <w:t xml:space="preserve"> provides examples of variation in the recommended actions to particular indications, as provided within three frameworks:</w:t>
      </w:r>
    </w:p>
    <w:p w:rsidR="00CA2775" w:rsidRPr="00CB32B1" w:rsidRDefault="00CA2775" w:rsidP="00CA2775">
      <w:pPr>
        <w:pStyle w:val="ListBullet"/>
      </w:pPr>
      <w:r w:rsidRPr="00CB32B1">
        <w:rPr>
          <w:b/>
          <w:color w:val="DC6900" w:themeColor="text2"/>
        </w:rPr>
        <w:t>ACM:</w:t>
      </w:r>
      <w:r w:rsidRPr="00CB32B1">
        <w:t xml:space="preserve"> National Midwifery Guidelines for Consultation &amp; Referral (</w:t>
      </w:r>
      <w:r w:rsidR="001D6BC8">
        <w:t>2</w:t>
      </w:r>
      <w:r w:rsidR="001D6BC8" w:rsidRPr="001D6BC8">
        <w:rPr>
          <w:vertAlign w:val="superscript"/>
        </w:rPr>
        <w:t>nd</w:t>
      </w:r>
      <w:r w:rsidR="001D6BC8">
        <w:t xml:space="preserve"> </w:t>
      </w:r>
      <w:r w:rsidRPr="00CB32B1">
        <w:t>edition)</w:t>
      </w:r>
      <w:r w:rsidR="001D6BC8">
        <w:rPr>
          <w:rStyle w:val="FootnoteReference"/>
        </w:rPr>
        <w:footnoteReference w:id="327"/>
      </w:r>
    </w:p>
    <w:p w:rsidR="00CA2775" w:rsidRPr="00CB32B1" w:rsidRDefault="00CA2775" w:rsidP="00CA2775">
      <w:pPr>
        <w:pStyle w:val="ListBullet"/>
      </w:pPr>
      <w:r w:rsidRPr="00CB32B1">
        <w:rPr>
          <w:b/>
          <w:color w:val="DC6900" w:themeColor="text2"/>
        </w:rPr>
        <w:t>SA State policy:</w:t>
      </w:r>
      <w:r w:rsidRPr="00CB32B1">
        <w:t xml:space="preserve"> Policy for Planned Birth at Home in South Australia</w:t>
      </w:r>
    </w:p>
    <w:p w:rsidR="00CA2775" w:rsidRPr="00CB32B1" w:rsidRDefault="00CA2775" w:rsidP="00CA2775">
      <w:pPr>
        <w:pStyle w:val="ListBullet"/>
      </w:pPr>
      <w:r w:rsidRPr="00CB32B1">
        <w:rPr>
          <w:b/>
          <w:color w:val="DC6900" w:themeColor="text2"/>
        </w:rPr>
        <w:t>WA State policy:</w:t>
      </w:r>
      <w:r w:rsidRPr="00CB32B1">
        <w:t xml:space="preserve"> Policy for Publicly Funded Homebirths including Guidance for Consumers, Health Professionals and Health Services.</w:t>
      </w:r>
    </w:p>
    <w:p w:rsidR="00CA2775" w:rsidRPr="00CB32B1" w:rsidRDefault="00CA2775" w:rsidP="00CA2775">
      <w:pPr>
        <w:pStyle w:val="PwCNormal"/>
      </w:pPr>
      <w:r w:rsidRPr="00CB32B1">
        <w:t xml:space="preserve">It is recognised, in line with discussion in Chapter 3, that while the ACM guidelines are not designed specifically for homebirth, they are a national set of guidelines that are recommended for use by PPMs, and are used by MIGA in establishing its recommended care plan. Therefore, they have been included in the comparison, along with an example of two state-based homebirth guidelines. </w:t>
      </w:r>
    </w:p>
    <w:p w:rsidR="00405360" w:rsidRPr="00CB32B1" w:rsidRDefault="00405360" w:rsidP="00405360">
      <w:pPr>
        <w:pStyle w:val="Caption"/>
      </w:pPr>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29</w:t>
      </w:r>
      <w:r w:rsidR="009129A6" w:rsidRPr="00CB32B1">
        <w:fldChar w:fldCharType="end"/>
      </w:r>
      <w:r w:rsidRPr="00CB32B1">
        <w:t>: Key for benchmarking</w:t>
      </w:r>
    </w:p>
    <w:tbl>
      <w:tblPr>
        <w:tblStyle w:val="PwCTableStyle1"/>
        <w:tblW w:w="5000" w:type="pct"/>
        <w:tblLook w:val="04A0"/>
      </w:tblPr>
      <w:tblGrid>
        <w:gridCol w:w="987"/>
        <w:gridCol w:w="8298"/>
      </w:tblGrid>
      <w:tr w:rsidR="009059BB" w:rsidRPr="00CB32B1" w:rsidTr="009D37C7">
        <w:trPr>
          <w:cnfStyle w:val="100000000000"/>
        </w:trPr>
        <w:tc>
          <w:tcPr>
            <w:cnfStyle w:val="001000000000"/>
            <w:tcW w:w="531" w:type="pct"/>
            <w:shd w:val="clear" w:color="auto" w:fill="DC6900" w:themeFill="text2"/>
            <w:vAlign w:val="center"/>
          </w:tcPr>
          <w:p w:rsidR="009059BB" w:rsidRPr="00CB32B1" w:rsidRDefault="009059BB" w:rsidP="009D37C7">
            <w:pPr>
              <w:pStyle w:val="TableColumnHeadingNormal"/>
            </w:pPr>
            <w:r w:rsidRPr="00CB32B1">
              <w:t>Symbol</w:t>
            </w:r>
          </w:p>
        </w:tc>
        <w:tc>
          <w:tcPr>
            <w:tcW w:w="4469" w:type="pct"/>
            <w:shd w:val="clear" w:color="auto" w:fill="DC6900" w:themeFill="text2"/>
            <w:vAlign w:val="center"/>
          </w:tcPr>
          <w:p w:rsidR="009059BB" w:rsidRPr="00CB32B1" w:rsidRDefault="009059BB" w:rsidP="009D37C7">
            <w:pPr>
              <w:pStyle w:val="TableColumnHeadingNormal"/>
              <w:cnfStyle w:val="100000000000"/>
            </w:pPr>
            <w:r w:rsidRPr="00CB32B1">
              <w:t>Key</w:t>
            </w:r>
          </w:p>
        </w:tc>
      </w:tr>
      <w:tr w:rsidR="009059BB" w:rsidRPr="00CB32B1" w:rsidTr="00405360">
        <w:tc>
          <w:tcPr>
            <w:cnfStyle w:val="001000000000"/>
            <w:tcW w:w="531" w:type="pct"/>
          </w:tcPr>
          <w:p w:rsidR="009059BB" w:rsidRPr="00CB32B1" w:rsidRDefault="009059BB" w:rsidP="009059BB">
            <w:pPr>
              <w:pStyle w:val="TableTextNormal"/>
              <w:rPr>
                <w:b/>
              </w:rPr>
            </w:pPr>
            <w:r w:rsidRPr="00CB32B1">
              <w:rPr>
                <w:b/>
              </w:rPr>
              <w:t>A</w:t>
            </w:r>
          </w:p>
        </w:tc>
        <w:tc>
          <w:tcPr>
            <w:tcW w:w="4469" w:type="pct"/>
          </w:tcPr>
          <w:p w:rsidR="009059BB" w:rsidRPr="00CB32B1" w:rsidRDefault="009059BB" w:rsidP="009059BB">
            <w:pPr>
              <w:pStyle w:val="TableTextNormal"/>
              <w:cnfStyle w:val="000000000000"/>
            </w:pPr>
            <w:r w:rsidRPr="00CB32B1">
              <w:t xml:space="preserve">Discuss the situation with a colleague </w:t>
            </w:r>
          </w:p>
        </w:tc>
      </w:tr>
      <w:tr w:rsidR="009059BB" w:rsidRPr="00CB32B1" w:rsidTr="00405360">
        <w:tc>
          <w:tcPr>
            <w:cnfStyle w:val="001000000000"/>
            <w:tcW w:w="531" w:type="pct"/>
          </w:tcPr>
          <w:p w:rsidR="009059BB" w:rsidRPr="00CB32B1" w:rsidRDefault="009059BB" w:rsidP="009059BB">
            <w:pPr>
              <w:pStyle w:val="TableTextNormal"/>
              <w:rPr>
                <w:b/>
              </w:rPr>
            </w:pPr>
            <w:r w:rsidRPr="00CB32B1">
              <w:rPr>
                <w:b/>
              </w:rPr>
              <w:t>B</w:t>
            </w:r>
          </w:p>
        </w:tc>
        <w:tc>
          <w:tcPr>
            <w:tcW w:w="4469" w:type="pct"/>
          </w:tcPr>
          <w:p w:rsidR="009059BB" w:rsidRPr="00CB32B1" w:rsidRDefault="009059BB" w:rsidP="009059BB">
            <w:pPr>
              <w:pStyle w:val="TableTextNormal"/>
              <w:cnfStyle w:val="000000000000"/>
            </w:pPr>
            <w:r w:rsidRPr="00CB32B1">
              <w:t>Consult with a medical or other health care provider</w:t>
            </w:r>
          </w:p>
        </w:tc>
      </w:tr>
      <w:tr w:rsidR="009059BB" w:rsidRPr="00CB32B1" w:rsidTr="00405360">
        <w:tc>
          <w:tcPr>
            <w:cnfStyle w:val="001000000000"/>
            <w:tcW w:w="531" w:type="pct"/>
          </w:tcPr>
          <w:p w:rsidR="009059BB" w:rsidRPr="00CB32B1" w:rsidRDefault="009059BB" w:rsidP="009059BB">
            <w:pPr>
              <w:pStyle w:val="TableTextNormal"/>
              <w:rPr>
                <w:b/>
              </w:rPr>
            </w:pPr>
            <w:r w:rsidRPr="00CB32B1">
              <w:rPr>
                <w:b/>
              </w:rPr>
              <w:t>C</w:t>
            </w:r>
          </w:p>
        </w:tc>
        <w:tc>
          <w:tcPr>
            <w:tcW w:w="4469" w:type="pct"/>
          </w:tcPr>
          <w:p w:rsidR="009059BB" w:rsidRPr="00CB32B1" w:rsidRDefault="009059BB" w:rsidP="009059BB">
            <w:pPr>
              <w:pStyle w:val="TableTextNormal"/>
              <w:cnfStyle w:val="000000000000"/>
            </w:pPr>
            <w:r w:rsidRPr="00CB32B1">
              <w:t>Refer a woman or her infant to Secondary or Tertiary Care</w:t>
            </w:r>
          </w:p>
        </w:tc>
      </w:tr>
      <w:tr w:rsidR="009059BB" w:rsidRPr="00CB32B1" w:rsidTr="00405360">
        <w:tc>
          <w:tcPr>
            <w:cnfStyle w:val="001000000000"/>
            <w:tcW w:w="531" w:type="pct"/>
          </w:tcPr>
          <w:p w:rsidR="009059BB" w:rsidRPr="00CB32B1" w:rsidRDefault="009059BB" w:rsidP="009059BB">
            <w:pPr>
              <w:pStyle w:val="TableTextNormal"/>
            </w:pPr>
            <w:r w:rsidRPr="00CB32B1">
              <w:sym w:font="Wingdings" w:char="00FC"/>
            </w:r>
          </w:p>
        </w:tc>
        <w:tc>
          <w:tcPr>
            <w:tcW w:w="4469" w:type="pct"/>
          </w:tcPr>
          <w:p w:rsidR="009059BB" w:rsidRPr="00CB32B1" w:rsidRDefault="009059BB" w:rsidP="009059BB">
            <w:pPr>
              <w:pStyle w:val="TableTextNormal"/>
              <w:cnfStyle w:val="000000000000"/>
            </w:pPr>
            <w:r w:rsidRPr="00CB32B1">
              <w:t>Excluded from PPM practice by State or Network policy</w:t>
            </w:r>
          </w:p>
        </w:tc>
      </w:tr>
      <w:tr w:rsidR="009059BB" w:rsidRPr="00CB32B1" w:rsidTr="00405360">
        <w:tc>
          <w:tcPr>
            <w:cnfStyle w:val="001000000000"/>
            <w:tcW w:w="531" w:type="pct"/>
          </w:tcPr>
          <w:p w:rsidR="009059BB" w:rsidRPr="00CB32B1" w:rsidRDefault="009059BB" w:rsidP="009059BB">
            <w:pPr>
              <w:pStyle w:val="TableTextNormal"/>
            </w:pPr>
            <w:r w:rsidRPr="00CB32B1">
              <w:t>×</w:t>
            </w:r>
          </w:p>
        </w:tc>
        <w:tc>
          <w:tcPr>
            <w:tcW w:w="4469" w:type="pct"/>
          </w:tcPr>
          <w:p w:rsidR="009059BB" w:rsidRPr="00CB32B1" w:rsidRDefault="009059BB" w:rsidP="009059BB">
            <w:pPr>
              <w:pStyle w:val="TableTextNormal"/>
              <w:cnfStyle w:val="000000000000"/>
            </w:pPr>
            <w:r w:rsidRPr="00CB32B1">
              <w:t>Not indicated in policy or guidelines</w:t>
            </w:r>
          </w:p>
        </w:tc>
      </w:tr>
    </w:tbl>
    <w:p w:rsidR="0015014C" w:rsidRPr="00CB32B1" w:rsidRDefault="0015014C" w:rsidP="0015014C">
      <w:pPr>
        <w:pStyle w:val="Caption"/>
      </w:pPr>
      <w:bookmarkStart w:id="140" w:name="_Ref361224019"/>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30</w:t>
      </w:r>
      <w:r w:rsidR="009129A6" w:rsidRPr="00CB32B1">
        <w:fldChar w:fldCharType="end"/>
      </w:r>
      <w:bookmarkEnd w:id="140"/>
      <w:r w:rsidRPr="00CB32B1">
        <w:t>: Benchmarking of frameworks</w:t>
      </w:r>
    </w:p>
    <w:tbl>
      <w:tblPr>
        <w:tblStyle w:val="PwCTableStyle1"/>
        <w:tblW w:w="5000" w:type="pct"/>
        <w:tblLook w:val="04A0"/>
      </w:tblPr>
      <w:tblGrid>
        <w:gridCol w:w="1392"/>
        <w:gridCol w:w="4293"/>
        <w:gridCol w:w="1291"/>
        <w:gridCol w:w="842"/>
        <w:gridCol w:w="1467"/>
      </w:tblGrid>
      <w:tr w:rsidR="00097BAC" w:rsidRPr="00CB32B1" w:rsidTr="009D37C7">
        <w:trPr>
          <w:cnfStyle w:val="100000000000"/>
        </w:trPr>
        <w:tc>
          <w:tcPr>
            <w:cnfStyle w:val="001000000000"/>
            <w:tcW w:w="749" w:type="pct"/>
            <w:shd w:val="clear" w:color="auto" w:fill="DC6900" w:themeFill="text2"/>
            <w:vAlign w:val="center"/>
          </w:tcPr>
          <w:p w:rsidR="00097BAC" w:rsidRPr="00CB32B1" w:rsidRDefault="00097BAC" w:rsidP="009D37C7">
            <w:pPr>
              <w:pStyle w:val="TableColumnHeadingNormal"/>
            </w:pPr>
            <w:r w:rsidRPr="00CB32B1">
              <w:t>Indications</w:t>
            </w:r>
          </w:p>
        </w:tc>
        <w:tc>
          <w:tcPr>
            <w:tcW w:w="2312" w:type="pct"/>
            <w:shd w:val="clear" w:color="auto" w:fill="DC6900" w:themeFill="text2"/>
            <w:vAlign w:val="center"/>
          </w:tcPr>
          <w:p w:rsidR="00097BAC" w:rsidRPr="00CB32B1" w:rsidRDefault="00097BAC" w:rsidP="009D37C7">
            <w:pPr>
              <w:pStyle w:val="TableColumnHeadingNormal"/>
              <w:cnfStyle w:val="100000000000"/>
            </w:pPr>
            <w:r w:rsidRPr="00CB32B1">
              <w:t>Specific indication</w:t>
            </w:r>
          </w:p>
        </w:tc>
        <w:tc>
          <w:tcPr>
            <w:tcW w:w="695" w:type="pct"/>
            <w:shd w:val="clear" w:color="auto" w:fill="DC6900" w:themeFill="text2"/>
            <w:vAlign w:val="center"/>
          </w:tcPr>
          <w:p w:rsidR="00097BAC" w:rsidRPr="00CB32B1" w:rsidRDefault="00097BAC" w:rsidP="009D37C7">
            <w:pPr>
              <w:pStyle w:val="TableColumnHeadingNormal"/>
              <w:cnfStyle w:val="100000000000"/>
            </w:pPr>
            <w:r w:rsidRPr="00CB32B1">
              <w:t>ACM guidelines</w:t>
            </w:r>
          </w:p>
        </w:tc>
        <w:tc>
          <w:tcPr>
            <w:tcW w:w="453" w:type="pct"/>
            <w:shd w:val="clear" w:color="auto" w:fill="DC6900" w:themeFill="text2"/>
            <w:vAlign w:val="center"/>
          </w:tcPr>
          <w:p w:rsidR="00097BAC" w:rsidRPr="00CB32B1" w:rsidRDefault="00097BAC" w:rsidP="009D37C7">
            <w:pPr>
              <w:pStyle w:val="TableColumnHeadingNormal"/>
              <w:cnfStyle w:val="100000000000"/>
            </w:pPr>
            <w:r w:rsidRPr="00CB32B1">
              <w:t>SA State Policy</w:t>
            </w:r>
          </w:p>
        </w:tc>
        <w:tc>
          <w:tcPr>
            <w:tcW w:w="790" w:type="pct"/>
            <w:shd w:val="clear" w:color="auto" w:fill="DC6900" w:themeFill="text2"/>
            <w:vAlign w:val="center"/>
          </w:tcPr>
          <w:p w:rsidR="00097BAC" w:rsidRPr="00CB32B1" w:rsidRDefault="00097BAC" w:rsidP="009D37C7">
            <w:pPr>
              <w:pStyle w:val="TableColumnHeadingNormal"/>
              <w:cnfStyle w:val="100000000000"/>
            </w:pPr>
            <w:r w:rsidRPr="00CB32B1">
              <w:t>WA Publicly Funded Homebirth Policy</w:t>
            </w:r>
          </w:p>
        </w:tc>
      </w:tr>
      <w:tr w:rsidR="00097BAC" w:rsidRPr="00CB32B1" w:rsidTr="0015014C">
        <w:tc>
          <w:tcPr>
            <w:cnfStyle w:val="001000000000"/>
            <w:tcW w:w="749" w:type="pct"/>
            <w:vMerge w:val="restart"/>
          </w:tcPr>
          <w:p w:rsidR="00097BAC" w:rsidRPr="00CB32B1" w:rsidRDefault="00097BAC" w:rsidP="00097BAC">
            <w:pPr>
              <w:pStyle w:val="TableTextNormal"/>
            </w:pPr>
            <w:r w:rsidRPr="00CB32B1">
              <w:t>At booking – Previous obstetric history</w:t>
            </w:r>
          </w:p>
        </w:tc>
        <w:tc>
          <w:tcPr>
            <w:tcW w:w="2312" w:type="pct"/>
          </w:tcPr>
          <w:p w:rsidR="00097BAC" w:rsidRPr="00CB32B1" w:rsidRDefault="00097BAC" w:rsidP="00097BAC">
            <w:pPr>
              <w:pStyle w:val="TableTextNormal"/>
              <w:cnfStyle w:val="000000000000"/>
            </w:pPr>
            <w:r w:rsidRPr="00CB32B1">
              <w:t>Retained placenta requiring manual removal</w:t>
            </w:r>
          </w:p>
        </w:tc>
        <w:tc>
          <w:tcPr>
            <w:tcW w:w="695" w:type="pct"/>
          </w:tcPr>
          <w:p w:rsidR="00097BAC" w:rsidRPr="00CB32B1" w:rsidRDefault="00097BAC" w:rsidP="00097BAC">
            <w:pPr>
              <w:pStyle w:val="TableTextNormal"/>
              <w:jc w:val="center"/>
              <w:cnfStyle w:val="000000000000"/>
              <w:rPr>
                <w:b/>
              </w:rPr>
            </w:pPr>
            <w:r w:rsidRPr="00CB32B1">
              <w:rPr>
                <w:b/>
              </w:rPr>
              <w:t>A</w:t>
            </w:r>
          </w:p>
        </w:tc>
        <w:tc>
          <w:tcPr>
            <w:tcW w:w="453" w:type="pct"/>
          </w:tcPr>
          <w:p w:rsidR="00097BAC" w:rsidRPr="00CB32B1" w:rsidRDefault="00097BAC" w:rsidP="00097BAC">
            <w:pPr>
              <w:pStyle w:val="TableTextNormal"/>
              <w:jc w:val="center"/>
              <w:cnfStyle w:val="000000000000"/>
            </w:pPr>
            <w:r w:rsidRPr="00CB32B1">
              <w:t>×</w:t>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Caesarean section</w:t>
            </w:r>
          </w:p>
        </w:tc>
        <w:tc>
          <w:tcPr>
            <w:tcW w:w="695" w:type="pct"/>
          </w:tcPr>
          <w:p w:rsidR="00097BAC" w:rsidRPr="00CB32B1" w:rsidRDefault="00097BAC" w:rsidP="00097BAC">
            <w:pPr>
              <w:pStyle w:val="TableTextNormal"/>
              <w:jc w:val="center"/>
              <w:cnfStyle w:val="000000000000"/>
              <w:rPr>
                <w:b/>
              </w:rPr>
            </w:pPr>
            <w:r w:rsidRPr="00CB32B1">
              <w:rPr>
                <w:b/>
              </w:rPr>
              <w:t>B</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B97DA3">
            <w:pPr>
              <w:pStyle w:val="TableTextNormal"/>
              <w:cnfStyle w:val="000000000000"/>
            </w:pPr>
            <w:r w:rsidRPr="00CB32B1">
              <w:t>Postpartum haemorrhage in excess of 1</w:t>
            </w:r>
            <w:r w:rsidR="00B97DA3">
              <w:t>L</w:t>
            </w:r>
          </w:p>
        </w:tc>
        <w:tc>
          <w:tcPr>
            <w:tcW w:w="695" w:type="pct"/>
          </w:tcPr>
          <w:p w:rsidR="00097BAC" w:rsidRPr="00CB32B1" w:rsidRDefault="00097BAC" w:rsidP="00097BAC">
            <w:pPr>
              <w:pStyle w:val="TableTextNormal"/>
              <w:jc w:val="center"/>
              <w:cnfStyle w:val="000000000000"/>
              <w:rPr>
                <w:b/>
              </w:rPr>
            </w:pPr>
            <w:r w:rsidRPr="00CB32B1">
              <w:rPr>
                <w:b/>
              </w:rPr>
              <w:t>B</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Shoulder dystocia</w:t>
            </w:r>
          </w:p>
        </w:tc>
        <w:tc>
          <w:tcPr>
            <w:tcW w:w="695" w:type="pct"/>
          </w:tcPr>
          <w:p w:rsidR="00097BAC" w:rsidRPr="00CB32B1" w:rsidRDefault="00097BAC" w:rsidP="00097BAC">
            <w:pPr>
              <w:pStyle w:val="TableTextNormal"/>
              <w:jc w:val="center"/>
              <w:cnfStyle w:val="000000000000"/>
              <w:rPr>
                <w:b/>
              </w:rPr>
            </w:pPr>
            <w:r w:rsidRPr="00CB32B1">
              <w:rPr>
                <w:b/>
              </w:rPr>
              <w:t>B</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Perinatal death at term of a normally formed infant</w:t>
            </w:r>
          </w:p>
        </w:tc>
        <w:tc>
          <w:tcPr>
            <w:tcW w:w="695" w:type="pct"/>
          </w:tcPr>
          <w:p w:rsidR="00097BAC" w:rsidRPr="00CB32B1" w:rsidRDefault="00097BAC" w:rsidP="00097BAC">
            <w:pPr>
              <w:pStyle w:val="TableTextNormal"/>
              <w:jc w:val="center"/>
              <w:cnfStyle w:val="000000000000"/>
              <w:rPr>
                <w:b/>
              </w:rPr>
            </w:pPr>
            <w:r w:rsidRPr="00CB32B1">
              <w:rPr>
                <w:b/>
              </w:rPr>
              <w:t>B</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Baby requiring intensive or prolonged special care</w:t>
            </w:r>
          </w:p>
        </w:tc>
        <w:tc>
          <w:tcPr>
            <w:tcW w:w="695" w:type="pct"/>
          </w:tcPr>
          <w:p w:rsidR="00097BAC" w:rsidRPr="00CB32B1" w:rsidRDefault="00097BAC" w:rsidP="00097BAC">
            <w:pPr>
              <w:pStyle w:val="TableTextNormal"/>
              <w:jc w:val="center"/>
              <w:cnfStyle w:val="000000000000"/>
            </w:pPr>
            <w:r w:rsidRPr="00CB32B1">
              <w:t>×</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t>×</w:t>
            </w:r>
          </w:p>
        </w:tc>
      </w:tr>
      <w:tr w:rsidR="00097BAC" w:rsidRPr="00CB32B1" w:rsidTr="0015014C">
        <w:tc>
          <w:tcPr>
            <w:cnfStyle w:val="001000000000"/>
            <w:tcW w:w="749" w:type="pct"/>
            <w:vMerge w:val="restart"/>
          </w:tcPr>
          <w:p w:rsidR="00097BAC" w:rsidRPr="00CB32B1" w:rsidRDefault="00097BAC" w:rsidP="00097BAC">
            <w:pPr>
              <w:pStyle w:val="TableTextNormal"/>
            </w:pPr>
            <w:r w:rsidRPr="00CB32B1">
              <w:t>At booking – Medical history</w:t>
            </w:r>
          </w:p>
        </w:tc>
        <w:tc>
          <w:tcPr>
            <w:tcW w:w="2312" w:type="pct"/>
          </w:tcPr>
          <w:p w:rsidR="00097BAC" w:rsidRPr="00CB32B1" w:rsidRDefault="00097BAC" w:rsidP="00097BAC">
            <w:pPr>
              <w:pStyle w:val="TableTextNormal"/>
              <w:cnfStyle w:val="000000000000"/>
            </w:pPr>
            <w:r w:rsidRPr="00CB32B1">
              <w:t>Pre-pregnancy BMI &gt; 35</w:t>
            </w:r>
          </w:p>
        </w:tc>
        <w:tc>
          <w:tcPr>
            <w:tcW w:w="695" w:type="pct"/>
          </w:tcPr>
          <w:p w:rsidR="00097BAC" w:rsidRPr="00CB32B1" w:rsidRDefault="00097BAC" w:rsidP="00097BAC">
            <w:pPr>
              <w:pStyle w:val="TableTextNormal"/>
              <w:jc w:val="center"/>
              <w:cnfStyle w:val="000000000000"/>
              <w:rPr>
                <w:b/>
              </w:rPr>
            </w:pPr>
            <w:r w:rsidRPr="00CB32B1">
              <w:rPr>
                <w:b/>
              </w:rPr>
              <w:t>B</w:t>
            </w:r>
          </w:p>
        </w:tc>
        <w:tc>
          <w:tcPr>
            <w:tcW w:w="453" w:type="pct"/>
          </w:tcPr>
          <w:p w:rsidR="00097BAC" w:rsidRPr="00CB32B1" w:rsidRDefault="00097BAC" w:rsidP="00097BAC">
            <w:pPr>
              <w:pStyle w:val="TableTextNormal"/>
              <w:jc w:val="center"/>
              <w:cnfStyle w:val="000000000000"/>
            </w:pPr>
            <w:r w:rsidRPr="00CB32B1">
              <w:t>×</w:t>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Any significant medical condition</w:t>
            </w:r>
          </w:p>
        </w:tc>
        <w:tc>
          <w:tcPr>
            <w:tcW w:w="695" w:type="pct"/>
          </w:tcPr>
          <w:p w:rsidR="00097BAC" w:rsidRPr="00CB32B1" w:rsidRDefault="00097BAC" w:rsidP="00097BAC">
            <w:pPr>
              <w:pStyle w:val="TableTextNormal"/>
              <w:jc w:val="center"/>
              <w:cnfStyle w:val="000000000000"/>
              <w:rPr>
                <w:b/>
              </w:rPr>
            </w:pPr>
            <w:r w:rsidRPr="00CB32B1">
              <w:rPr>
                <w:b/>
              </w:rPr>
              <w:t>B/C</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Uncorrected female genital mutilation</w:t>
            </w:r>
          </w:p>
        </w:tc>
        <w:tc>
          <w:tcPr>
            <w:tcW w:w="695" w:type="pct"/>
          </w:tcPr>
          <w:p w:rsidR="00097BAC" w:rsidRPr="00CB32B1" w:rsidRDefault="00097BAC" w:rsidP="00097BAC">
            <w:pPr>
              <w:pStyle w:val="TableTextNormal"/>
              <w:jc w:val="center"/>
              <w:cnfStyle w:val="000000000000"/>
              <w:rPr>
                <w:b/>
              </w:rPr>
            </w:pPr>
            <w:r w:rsidRPr="00CB32B1">
              <w:rPr>
                <w:b/>
              </w:rPr>
              <w:t>B</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Alcohol or drug dependency</w:t>
            </w:r>
          </w:p>
        </w:tc>
        <w:tc>
          <w:tcPr>
            <w:tcW w:w="695" w:type="pct"/>
          </w:tcPr>
          <w:p w:rsidR="00097BAC" w:rsidRPr="00CB32B1" w:rsidRDefault="00097BAC" w:rsidP="00097BAC">
            <w:pPr>
              <w:pStyle w:val="TableTextNormal"/>
              <w:jc w:val="center"/>
              <w:cnfStyle w:val="000000000000"/>
              <w:rPr>
                <w:b/>
              </w:rPr>
            </w:pPr>
            <w:r w:rsidRPr="00CB32B1">
              <w:rPr>
                <w:b/>
              </w:rPr>
              <w:t>B</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val="restart"/>
          </w:tcPr>
          <w:p w:rsidR="00097BAC" w:rsidRPr="00CB32B1" w:rsidRDefault="00097BAC" w:rsidP="00097BAC">
            <w:pPr>
              <w:pStyle w:val="TableTextNormal"/>
            </w:pPr>
            <w:r w:rsidRPr="00CB32B1">
              <w:t>At booking</w:t>
            </w:r>
            <w:r w:rsidR="00854DEF" w:rsidRPr="00CB32B1">
              <w:t xml:space="preserve"> – </w:t>
            </w:r>
            <w:r w:rsidRPr="00CB32B1">
              <w:t>Other</w:t>
            </w:r>
          </w:p>
        </w:tc>
        <w:tc>
          <w:tcPr>
            <w:tcW w:w="2312" w:type="pct"/>
          </w:tcPr>
          <w:p w:rsidR="00097BAC" w:rsidRPr="00CB32B1" w:rsidRDefault="00097BAC" w:rsidP="00097BAC">
            <w:pPr>
              <w:pStyle w:val="TableTextNormal"/>
              <w:cnfStyle w:val="000000000000"/>
            </w:pPr>
            <w:r w:rsidRPr="00CB32B1">
              <w:t>Domestic violence</w:t>
            </w:r>
          </w:p>
        </w:tc>
        <w:tc>
          <w:tcPr>
            <w:tcW w:w="695" w:type="pct"/>
          </w:tcPr>
          <w:p w:rsidR="00097BAC" w:rsidRPr="00CB32B1" w:rsidRDefault="00097BAC" w:rsidP="00097BAC">
            <w:pPr>
              <w:pStyle w:val="TableTextNormal"/>
              <w:jc w:val="center"/>
              <w:cnfStyle w:val="000000000000"/>
            </w:pPr>
            <w:r w:rsidRPr="00CB32B1">
              <w:t>×</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Will not accept blood and blood products if required</w:t>
            </w:r>
          </w:p>
        </w:tc>
        <w:tc>
          <w:tcPr>
            <w:tcW w:w="695" w:type="pct"/>
          </w:tcPr>
          <w:p w:rsidR="00097BAC" w:rsidRPr="00CB32B1" w:rsidRDefault="00097BAC" w:rsidP="00097BAC">
            <w:pPr>
              <w:pStyle w:val="TableTextNormal"/>
              <w:jc w:val="center"/>
              <w:cnfStyle w:val="000000000000"/>
              <w:rPr>
                <w:b/>
              </w:rPr>
            </w:pPr>
            <w:r w:rsidRPr="00CB32B1">
              <w:rPr>
                <w:b/>
              </w:rPr>
              <w:t>B/C</w:t>
            </w:r>
          </w:p>
        </w:tc>
        <w:tc>
          <w:tcPr>
            <w:tcW w:w="453" w:type="pct"/>
          </w:tcPr>
          <w:p w:rsidR="00097BAC" w:rsidRPr="00CB32B1" w:rsidRDefault="00097BAC" w:rsidP="00097BAC">
            <w:pPr>
              <w:pStyle w:val="TableTextNormal"/>
              <w:jc w:val="center"/>
              <w:cnfStyle w:val="000000000000"/>
            </w:pPr>
            <w:r w:rsidRPr="00CB32B1">
              <w:t>×</w:t>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Previous baby with Group B Streptococcus (GBS) neonatal sepsis</w:t>
            </w:r>
          </w:p>
        </w:tc>
        <w:tc>
          <w:tcPr>
            <w:tcW w:w="695" w:type="pct"/>
          </w:tcPr>
          <w:p w:rsidR="00097BAC" w:rsidRPr="00CB32B1" w:rsidRDefault="00097BAC" w:rsidP="00097BAC">
            <w:pPr>
              <w:pStyle w:val="TableTextNormal"/>
              <w:jc w:val="center"/>
              <w:cnfStyle w:val="000000000000"/>
            </w:pPr>
            <w:r w:rsidRPr="00CB32B1">
              <w:t>×</w:t>
            </w:r>
          </w:p>
        </w:tc>
        <w:tc>
          <w:tcPr>
            <w:tcW w:w="453" w:type="pct"/>
          </w:tcPr>
          <w:p w:rsidR="00097BAC" w:rsidRPr="00CB32B1" w:rsidRDefault="00097BAC" w:rsidP="00097BAC">
            <w:pPr>
              <w:pStyle w:val="TableTextNormal"/>
              <w:jc w:val="center"/>
              <w:cnfStyle w:val="000000000000"/>
            </w:pPr>
            <w:r w:rsidRPr="00CB32B1">
              <w:t>×</w:t>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Baby or child at risk of harm</w:t>
            </w:r>
          </w:p>
        </w:tc>
        <w:tc>
          <w:tcPr>
            <w:tcW w:w="695" w:type="pct"/>
          </w:tcPr>
          <w:p w:rsidR="00097BAC" w:rsidRPr="00CB32B1" w:rsidRDefault="00097BAC" w:rsidP="00097BAC">
            <w:pPr>
              <w:pStyle w:val="TableTextNormal"/>
              <w:jc w:val="center"/>
              <w:cnfStyle w:val="000000000000"/>
            </w:pPr>
            <w:r w:rsidRPr="00CB32B1">
              <w:t>×</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 xml:space="preserve">Lack of easy access </w:t>
            </w:r>
          </w:p>
        </w:tc>
        <w:tc>
          <w:tcPr>
            <w:tcW w:w="695" w:type="pct"/>
          </w:tcPr>
          <w:p w:rsidR="00097BAC" w:rsidRPr="00CB32B1" w:rsidRDefault="00097BAC" w:rsidP="00097BAC">
            <w:pPr>
              <w:pStyle w:val="TableTextNormal"/>
              <w:jc w:val="center"/>
              <w:cnfStyle w:val="000000000000"/>
            </w:pPr>
            <w:r w:rsidRPr="00CB32B1">
              <w:t>×</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t>×</w:t>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Lack of running water and/or electricity</w:t>
            </w:r>
          </w:p>
        </w:tc>
        <w:tc>
          <w:tcPr>
            <w:tcW w:w="695" w:type="pct"/>
          </w:tcPr>
          <w:p w:rsidR="00097BAC" w:rsidRPr="00CB32B1" w:rsidRDefault="00097BAC" w:rsidP="00097BAC">
            <w:pPr>
              <w:pStyle w:val="TableTextNormal"/>
              <w:jc w:val="center"/>
              <w:cnfStyle w:val="000000000000"/>
            </w:pPr>
            <w:r w:rsidRPr="00CB32B1">
              <w:t>×</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t>×</w:t>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Lack of cleanliness and hygiene</w:t>
            </w:r>
          </w:p>
        </w:tc>
        <w:tc>
          <w:tcPr>
            <w:tcW w:w="695" w:type="pct"/>
          </w:tcPr>
          <w:p w:rsidR="00097BAC" w:rsidRPr="00CB32B1" w:rsidRDefault="00097BAC" w:rsidP="00097BAC">
            <w:pPr>
              <w:pStyle w:val="TableTextNormal"/>
              <w:jc w:val="center"/>
              <w:cnfStyle w:val="000000000000"/>
            </w:pPr>
            <w:r w:rsidRPr="00CB32B1">
              <w:t>×</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t>×</w:t>
            </w:r>
          </w:p>
        </w:tc>
      </w:tr>
      <w:tr w:rsidR="00097BAC" w:rsidRPr="00CB32B1" w:rsidTr="0015014C">
        <w:tc>
          <w:tcPr>
            <w:cnfStyle w:val="001000000000"/>
            <w:tcW w:w="749" w:type="pct"/>
            <w:vMerge w:val="restart"/>
          </w:tcPr>
          <w:p w:rsidR="00097BAC" w:rsidRPr="00CB32B1" w:rsidRDefault="00097BAC" w:rsidP="00097BAC">
            <w:pPr>
              <w:pStyle w:val="TableTextNormal"/>
            </w:pPr>
            <w:r w:rsidRPr="00CB32B1">
              <w:t>Discovered or developed during pregnancy</w:t>
            </w:r>
          </w:p>
        </w:tc>
        <w:tc>
          <w:tcPr>
            <w:tcW w:w="2312" w:type="pct"/>
          </w:tcPr>
          <w:p w:rsidR="00097BAC" w:rsidRPr="00CB32B1" w:rsidRDefault="00097BAC" w:rsidP="00097BAC">
            <w:pPr>
              <w:pStyle w:val="TableTextNormal"/>
              <w:cnfStyle w:val="000000000000"/>
            </w:pPr>
            <w:r w:rsidRPr="00CB32B1">
              <w:t>Body mass index&gt; 35 or maternal weight greater than 100 kg</w:t>
            </w:r>
          </w:p>
        </w:tc>
        <w:tc>
          <w:tcPr>
            <w:tcW w:w="695" w:type="pct"/>
          </w:tcPr>
          <w:p w:rsidR="00097BAC" w:rsidRPr="00CB32B1" w:rsidRDefault="00097BAC" w:rsidP="00097BAC">
            <w:pPr>
              <w:pStyle w:val="TableTextNormal"/>
              <w:jc w:val="center"/>
              <w:cnfStyle w:val="000000000000"/>
              <w:rPr>
                <w:b/>
              </w:rPr>
            </w:pPr>
            <w:r w:rsidRPr="00CB32B1">
              <w:rPr>
                <w:b/>
              </w:rPr>
              <w:t>B</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p w:rsidR="00097BAC" w:rsidRPr="00CB32B1" w:rsidRDefault="00097BAC" w:rsidP="00097BAC">
            <w:pPr>
              <w:pStyle w:val="TableTextNormal"/>
              <w:jc w:val="center"/>
              <w:cnfStyle w:val="000000000000"/>
            </w:pPr>
            <w:r w:rsidRPr="00CB32B1">
              <w:t>(Greater than 110 kg)</w:t>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Antepartum haemorrhage</w:t>
            </w:r>
          </w:p>
        </w:tc>
        <w:tc>
          <w:tcPr>
            <w:tcW w:w="695" w:type="pct"/>
          </w:tcPr>
          <w:p w:rsidR="00097BAC" w:rsidRPr="00CB32B1" w:rsidRDefault="00097BAC" w:rsidP="00097BAC">
            <w:pPr>
              <w:pStyle w:val="TableTextNormal"/>
              <w:jc w:val="center"/>
              <w:cnfStyle w:val="000000000000"/>
            </w:pPr>
            <w:r w:rsidRPr="00CB32B1">
              <w:t>×</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Abnormal placentation (including placenta praevia)</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Hypertension and/or pre-eclampsia</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Gestational diabetes</w:t>
            </w:r>
          </w:p>
        </w:tc>
        <w:tc>
          <w:tcPr>
            <w:tcW w:w="695" w:type="pct"/>
          </w:tcPr>
          <w:p w:rsidR="00097BAC" w:rsidRPr="00CB32B1" w:rsidRDefault="00097BAC" w:rsidP="00097BAC">
            <w:pPr>
              <w:pStyle w:val="TableTextNormal"/>
              <w:jc w:val="center"/>
              <w:cnfStyle w:val="000000000000"/>
              <w:rPr>
                <w:b/>
              </w:rPr>
            </w:pPr>
            <w:r w:rsidRPr="00CB32B1">
              <w:rPr>
                <w:b/>
              </w:rPr>
              <w:t>B</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Suspected intrauterine growth restriction or small for gestational age</w:t>
            </w:r>
          </w:p>
        </w:tc>
        <w:tc>
          <w:tcPr>
            <w:tcW w:w="695" w:type="pct"/>
          </w:tcPr>
          <w:p w:rsidR="00097BAC" w:rsidRPr="00CB32B1" w:rsidRDefault="00097BAC" w:rsidP="00097BAC">
            <w:pPr>
              <w:pStyle w:val="TableTextNormal"/>
              <w:jc w:val="center"/>
              <w:cnfStyle w:val="000000000000"/>
              <w:rPr>
                <w:b/>
              </w:rPr>
            </w:pPr>
            <w:r w:rsidRPr="00CB32B1">
              <w:rPr>
                <w:b/>
              </w:rPr>
              <w:t>B</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Suspected fetal abnormalities</w:t>
            </w:r>
          </w:p>
        </w:tc>
        <w:tc>
          <w:tcPr>
            <w:tcW w:w="695" w:type="pct"/>
          </w:tcPr>
          <w:p w:rsidR="00097BAC" w:rsidRPr="00CB32B1" w:rsidRDefault="00097BAC" w:rsidP="00097BAC">
            <w:pPr>
              <w:pStyle w:val="TableTextNormal"/>
              <w:jc w:val="center"/>
              <w:cnfStyle w:val="000000000000"/>
              <w:rPr>
                <w:b/>
              </w:rPr>
            </w:pPr>
            <w:r w:rsidRPr="00CB32B1">
              <w:rPr>
                <w:b/>
              </w:rPr>
              <w:t>A</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Polyhydramnios or oligohydramnios</w:t>
            </w:r>
          </w:p>
        </w:tc>
        <w:tc>
          <w:tcPr>
            <w:tcW w:w="695" w:type="pct"/>
          </w:tcPr>
          <w:p w:rsidR="00097BAC" w:rsidRPr="00CB32B1" w:rsidRDefault="00097BAC" w:rsidP="00097BAC">
            <w:pPr>
              <w:pStyle w:val="TableTextNormal"/>
              <w:jc w:val="center"/>
              <w:cnfStyle w:val="000000000000"/>
            </w:pPr>
            <w:r w:rsidRPr="00CB32B1">
              <w:t>×</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Pre-labour rupture of membranes</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Post-term pregnancy (greater than 42 weeks)</w:t>
            </w:r>
          </w:p>
        </w:tc>
        <w:tc>
          <w:tcPr>
            <w:tcW w:w="695" w:type="pct"/>
          </w:tcPr>
          <w:p w:rsidR="00097BAC" w:rsidRPr="00CB32B1" w:rsidRDefault="00097BAC" w:rsidP="00097BAC">
            <w:pPr>
              <w:pStyle w:val="TableTextNormal"/>
              <w:jc w:val="center"/>
              <w:cnfStyle w:val="000000000000"/>
              <w:rPr>
                <w:b/>
              </w:rPr>
            </w:pPr>
            <w:r w:rsidRPr="00CB32B1">
              <w:rPr>
                <w:b/>
              </w:rPr>
              <w:t>B</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Multiple pregnancy</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t>×</w:t>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Breech presentation after 37 weeks</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t>×</w:t>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val="restart"/>
          </w:tcPr>
          <w:p w:rsidR="00097BAC" w:rsidRPr="00CB32B1" w:rsidRDefault="00097BAC" w:rsidP="00097BAC">
            <w:pPr>
              <w:pStyle w:val="TableTextNormal"/>
            </w:pPr>
            <w:r w:rsidRPr="00CB32B1">
              <w:t>During labour</w:t>
            </w:r>
          </w:p>
        </w:tc>
        <w:tc>
          <w:tcPr>
            <w:tcW w:w="2312" w:type="pct"/>
          </w:tcPr>
          <w:p w:rsidR="00097BAC" w:rsidRPr="00CB32B1" w:rsidRDefault="00097BAC" w:rsidP="00097BAC">
            <w:pPr>
              <w:pStyle w:val="TableTextNormal"/>
              <w:cnfStyle w:val="000000000000"/>
            </w:pPr>
            <w:r w:rsidRPr="00CB32B1">
              <w:t>Abnormal presentation</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t>×</w:t>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Breech presentation</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t>×</w:t>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Active genital herpes in late pregnancy or at onset of labour</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t>×</w:t>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Gestational hypertension</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t>×</w:t>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Pre-eclampsia</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t>×</w:t>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Pre-term labour before 37 weeks</w:t>
            </w:r>
          </w:p>
        </w:tc>
        <w:tc>
          <w:tcPr>
            <w:tcW w:w="695" w:type="pct"/>
          </w:tcPr>
          <w:p w:rsidR="00097BAC" w:rsidRPr="00CB32B1" w:rsidRDefault="00097BAC" w:rsidP="00097BAC">
            <w:pPr>
              <w:pStyle w:val="TableTextNormal"/>
              <w:jc w:val="center"/>
              <w:cnfStyle w:val="000000000000"/>
              <w:rPr>
                <w:b/>
              </w:rPr>
            </w:pPr>
            <w:r w:rsidRPr="00CB32B1">
              <w:rPr>
                <w:b/>
              </w:rPr>
              <w:t>B</w:t>
            </w:r>
          </w:p>
        </w:tc>
        <w:tc>
          <w:tcPr>
            <w:tcW w:w="453" w:type="pct"/>
          </w:tcPr>
          <w:p w:rsidR="00097BAC" w:rsidRPr="00CB32B1" w:rsidRDefault="00097BAC" w:rsidP="00097BAC">
            <w:pPr>
              <w:pStyle w:val="TableTextNormal"/>
              <w:jc w:val="center"/>
              <w:cnfStyle w:val="000000000000"/>
            </w:pPr>
            <w:r w:rsidRPr="00CB32B1">
              <w:t>×</w:t>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Pro-longed rupture of membrane (PROM) &gt; 24 hours</w:t>
            </w:r>
            <w:r w:rsidR="00854DEF" w:rsidRPr="00CB32B1">
              <w:t xml:space="preserve"> – </w:t>
            </w:r>
            <w:r w:rsidRPr="00CB32B1">
              <w:t>appropriate IV antibiotics for GBS prophylaxis should be commenced if GBS positive</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t>×</w:t>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Vasa praevia</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t>×</w:t>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Placenta abruption</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t>×</w:t>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Uterine rupture</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t>×</w:t>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Prolapsed cord or cord presentation</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t>×</w:t>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Fetal death during labour</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t>×</w:t>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Need for continuous fetal monitoring</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Evidence of infection or maternal temperature</w:t>
            </w:r>
          </w:p>
        </w:tc>
        <w:tc>
          <w:tcPr>
            <w:tcW w:w="695" w:type="pct"/>
          </w:tcPr>
          <w:p w:rsidR="00097BAC" w:rsidRPr="00CB32B1" w:rsidRDefault="00097BAC" w:rsidP="00097BAC">
            <w:pPr>
              <w:pStyle w:val="TableTextNormal"/>
              <w:jc w:val="center"/>
              <w:cnfStyle w:val="000000000000"/>
              <w:rPr>
                <w:b/>
              </w:rPr>
            </w:pPr>
            <w:r w:rsidRPr="00CB32B1">
              <w:rPr>
                <w:b/>
              </w:rPr>
              <w:t>B</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Lack of engagement of the fetal head</w:t>
            </w:r>
          </w:p>
        </w:tc>
        <w:tc>
          <w:tcPr>
            <w:tcW w:w="695" w:type="pct"/>
          </w:tcPr>
          <w:p w:rsidR="00097BAC" w:rsidRPr="00CB32B1" w:rsidRDefault="00097BAC" w:rsidP="00097BAC">
            <w:pPr>
              <w:pStyle w:val="TableTextNormal"/>
              <w:jc w:val="center"/>
              <w:cnfStyle w:val="000000000000"/>
              <w:rPr>
                <w:b/>
              </w:rPr>
            </w:pPr>
            <w:r w:rsidRPr="00CB32B1">
              <w:rPr>
                <w:b/>
              </w:rPr>
              <w:t>B</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Meconium-stained liquor</w:t>
            </w:r>
          </w:p>
        </w:tc>
        <w:tc>
          <w:tcPr>
            <w:tcW w:w="695" w:type="pct"/>
          </w:tcPr>
          <w:p w:rsidR="00097BAC" w:rsidRPr="00CB32B1" w:rsidRDefault="00097BAC" w:rsidP="00097BAC">
            <w:pPr>
              <w:pStyle w:val="TableTextNormal"/>
              <w:jc w:val="center"/>
              <w:cnfStyle w:val="000000000000"/>
              <w:rPr>
                <w:b/>
              </w:rPr>
            </w:pPr>
            <w:r w:rsidRPr="00CB32B1">
              <w:rPr>
                <w:b/>
              </w:rPr>
              <w:t>A/C</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Fetal-heart rate abnormalities</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Intrapartum haemorrhage</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Absence of progress in established labour</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Active first stage labour in excess of 18 hours</w:t>
            </w:r>
          </w:p>
        </w:tc>
        <w:tc>
          <w:tcPr>
            <w:tcW w:w="695" w:type="pct"/>
          </w:tcPr>
          <w:p w:rsidR="00097BAC" w:rsidRPr="00CB32B1" w:rsidRDefault="00097BAC" w:rsidP="00097BAC">
            <w:pPr>
              <w:pStyle w:val="TableTextNormal"/>
              <w:jc w:val="center"/>
              <w:cnfStyle w:val="000000000000"/>
              <w:rPr>
                <w:b/>
              </w:rPr>
            </w:pPr>
            <w:r w:rsidRPr="00CB32B1">
              <w:rPr>
                <w:b/>
              </w:rPr>
              <w:t>B</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Active second stage is in excess of one hour within minimal/slow progress and/or without head on view</w:t>
            </w:r>
          </w:p>
        </w:tc>
        <w:tc>
          <w:tcPr>
            <w:tcW w:w="695" w:type="pct"/>
          </w:tcPr>
          <w:p w:rsidR="00097BAC" w:rsidRPr="00CB32B1" w:rsidRDefault="00097BAC" w:rsidP="00097BAC">
            <w:pPr>
              <w:pStyle w:val="TableTextNormal"/>
              <w:jc w:val="center"/>
              <w:cnfStyle w:val="000000000000"/>
            </w:pPr>
            <w:r w:rsidRPr="00CB32B1">
              <w:t>×</w:t>
            </w:r>
          </w:p>
        </w:tc>
        <w:tc>
          <w:tcPr>
            <w:tcW w:w="453" w:type="pct"/>
          </w:tcPr>
          <w:p w:rsidR="00097BAC" w:rsidRPr="00CB32B1" w:rsidRDefault="00097BAC" w:rsidP="00097BAC">
            <w:pPr>
              <w:pStyle w:val="TableTextNormal"/>
              <w:jc w:val="center"/>
              <w:cnfStyle w:val="000000000000"/>
            </w:pPr>
            <w:r w:rsidRPr="00CB32B1">
              <w:t>×</w:t>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Reference to partogram action lines</w:t>
            </w:r>
          </w:p>
        </w:tc>
        <w:tc>
          <w:tcPr>
            <w:tcW w:w="695" w:type="pct"/>
          </w:tcPr>
          <w:p w:rsidR="00097BAC" w:rsidRPr="00CB32B1" w:rsidRDefault="00097BAC" w:rsidP="00097BAC">
            <w:pPr>
              <w:pStyle w:val="TableTextNormal"/>
              <w:jc w:val="center"/>
              <w:cnfStyle w:val="000000000000"/>
            </w:pPr>
            <w:r w:rsidRPr="00CB32B1">
              <w:t>×</w:t>
            </w:r>
          </w:p>
        </w:tc>
        <w:tc>
          <w:tcPr>
            <w:tcW w:w="453" w:type="pct"/>
          </w:tcPr>
          <w:p w:rsidR="00097BAC" w:rsidRPr="00CB32B1" w:rsidRDefault="00097BAC" w:rsidP="00097BAC">
            <w:pPr>
              <w:pStyle w:val="TableTextNormal"/>
              <w:jc w:val="center"/>
              <w:cnfStyle w:val="000000000000"/>
            </w:pPr>
            <w:r w:rsidRPr="00CB32B1">
              <w:t>×</w:t>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val="restart"/>
          </w:tcPr>
          <w:p w:rsidR="00097BAC" w:rsidRPr="00CB32B1" w:rsidRDefault="00097BAC" w:rsidP="00097BAC">
            <w:pPr>
              <w:pStyle w:val="TableTextNormal"/>
            </w:pPr>
            <w:r w:rsidRPr="00CB32B1">
              <w:t>At Postpartum</w:t>
            </w:r>
          </w:p>
        </w:tc>
        <w:tc>
          <w:tcPr>
            <w:tcW w:w="2312" w:type="pct"/>
          </w:tcPr>
          <w:p w:rsidR="00097BAC" w:rsidRPr="00CB32B1" w:rsidRDefault="00097BAC" w:rsidP="00097BAC">
            <w:pPr>
              <w:pStyle w:val="TableTextNormal"/>
              <w:cnfStyle w:val="000000000000"/>
            </w:pPr>
            <w:r w:rsidRPr="00CB32B1">
              <w:t>Retained or incomplete placenta</w:t>
            </w:r>
          </w:p>
        </w:tc>
        <w:tc>
          <w:tcPr>
            <w:tcW w:w="695" w:type="pct"/>
          </w:tcPr>
          <w:p w:rsidR="00097BAC" w:rsidRPr="00CB32B1" w:rsidRDefault="00097BAC" w:rsidP="00097BAC">
            <w:pPr>
              <w:pStyle w:val="TableTextNormal"/>
              <w:jc w:val="center"/>
              <w:cnfStyle w:val="000000000000"/>
              <w:rPr>
                <w:b/>
              </w:rPr>
            </w:pPr>
            <w:r w:rsidRPr="00CB32B1">
              <w:rPr>
                <w:b/>
              </w:rPr>
              <w:t>B</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Postpartum haemorrhage</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Third or fourth-degree tear</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904784">
            <w:pPr>
              <w:pStyle w:val="TableTextNormal"/>
              <w:cnfStyle w:val="000000000000"/>
            </w:pPr>
            <w:r w:rsidRPr="00CB32B1">
              <w:t>A</w:t>
            </w:r>
            <w:r w:rsidR="00904784">
              <w:t>PGAR</w:t>
            </w:r>
            <w:r w:rsidRPr="00CB32B1">
              <w:t xml:space="preserve"> score of less than 7 at 5 mins</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Neonatal respiratory problems</w:t>
            </w:r>
          </w:p>
        </w:tc>
        <w:tc>
          <w:tcPr>
            <w:tcW w:w="695" w:type="pct"/>
          </w:tcPr>
          <w:p w:rsidR="00097BAC" w:rsidRPr="00CB32B1" w:rsidRDefault="00097BAC" w:rsidP="00097BAC">
            <w:pPr>
              <w:pStyle w:val="TableTextNormal"/>
              <w:jc w:val="center"/>
              <w:cnfStyle w:val="000000000000"/>
              <w:rPr>
                <w:b/>
              </w:rPr>
            </w:pPr>
            <w:r w:rsidRPr="00CB32B1">
              <w:rPr>
                <w:b/>
              </w:rPr>
              <w:t>B</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Neonatal convulsions</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Congenital abnormalities</w:t>
            </w:r>
          </w:p>
        </w:tc>
        <w:tc>
          <w:tcPr>
            <w:tcW w:w="695" w:type="pct"/>
          </w:tcPr>
          <w:p w:rsidR="00097BAC" w:rsidRPr="00CB32B1" w:rsidRDefault="00097BAC" w:rsidP="00097BAC">
            <w:pPr>
              <w:pStyle w:val="TableTextNormal"/>
              <w:jc w:val="center"/>
              <w:cnfStyle w:val="000000000000"/>
              <w:rPr>
                <w:b/>
              </w:rPr>
            </w:pPr>
            <w:r w:rsidRPr="00CB32B1">
              <w:rPr>
                <w:b/>
              </w:rPr>
              <w:t>C</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Low birth weight (less than 2500 grams)</w:t>
            </w:r>
          </w:p>
        </w:tc>
        <w:tc>
          <w:tcPr>
            <w:tcW w:w="695" w:type="pct"/>
          </w:tcPr>
          <w:p w:rsidR="00097BAC" w:rsidRPr="00CB32B1" w:rsidRDefault="00097BAC" w:rsidP="00097BAC">
            <w:pPr>
              <w:pStyle w:val="TableTextNormal"/>
              <w:jc w:val="center"/>
              <w:cnfStyle w:val="000000000000"/>
              <w:rPr>
                <w:b/>
              </w:rPr>
            </w:pPr>
            <w:r w:rsidRPr="00CB32B1">
              <w:rPr>
                <w:b/>
              </w:rPr>
              <w:t>B</w:t>
            </w:r>
          </w:p>
        </w:tc>
        <w:tc>
          <w:tcPr>
            <w:tcW w:w="453" w:type="pct"/>
          </w:tcPr>
          <w:p w:rsidR="00097BAC" w:rsidRPr="00CB32B1" w:rsidRDefault="00097BAC" w:rsidP="00097BAC">
            <w:pPr>
              <w:pStyle w:val="TableTextNormal"/>
              <w:jc w:val="center"/>
              <w:cnfStyle w:val="000000000000"/>
            </w:pPr>
            <w:r w:rsidRPr="00CB32B1">
              <w:sym w:font="Wingdings" w:char="00FC"/>
            </w:r>
          </w:p>
        </w:tc>
        <w:tc>
          <w:tcPr>
            <w:tcW w:w="790" w:type="pct"/>
          </w:tcPr>
          <w:p w:rsidR="00097BAC" w:rsidRPr="00CB32B1" w:rsidRDefault="00097BAC" w:rsidP="00097BAC">
            <w:pPr>
              <w:pStyle w:val="TableTextNormal"/>
              <w:jc w:val="center"/>
              <w:cnfStyle w:val="000000000000"/>
            </w:pPr>
            <w:r w:rsidRPr="00CB32B1">
              <w:sym w:font="Wingdings" w:char="00FC"/>
            </w:r>
          </w:p>
        </w:tc>
      </w:tr>
      <w:tr w:rsidR="00097BAC" w:rsidRPr="00CB32B1" w:rsidTr="0015014C">
        <w:tc>
          <w:tcPr>
            <w:cnfStyle w:val="001000000000"/>
            <w:tcW w:w="749" w:type="pct"/>
            <w:vMerge/>
          </w:tcPr>
          <w:p w:rsidR="00097BAC" w:rsidRPr="00CB32B1" w:rsidRDefault="00097BAC" w:rsidP="00097BAC">
            <w:pPr>
              <w:pStyle w:val="TableTextNormal"/>
            </w:pPr>
          </w:p>
        </w:tc>
        <w:tc>
          <w:tcPr>
            <w:tcW w:w="2312" w:type="pct"/>
          </w:tcPr>
          <w:p w:rsidR="00097BAC" w:rsidRPr="00CB32B1" w:rsidRDefault="00097BAC" w:rsidP="00097BAC">
            <w:pPr>
              <w:pStyle w:val="TableTextNormal"/>
              <w:cnfStyle w:val="000000000000"/>
            </w:pPr>
            <w:r w:rsidRPr="00CB32B1">
              <w:t>Neonatal temperature below 36.5ºC or above 37.4ºC on more than one occasion</w:t>
            </w:r>
          </w:p>
        </w:tc>
        <w:tc>
          <w:tcPr>
            <w:tcW w:w="695" w:type="pct"/>
          </w:tcPr>
          <w:p w:rsidR="00097BAC" w:rsidRPr="00CB32B1" w:rsidRDefault="00097BAC" w:rsidP="00097BAC">
            <w:pPr>
              <w:pStyle w:val="TableTextNormal"/>
              <w:jc w:val="center"/>
              <w:cnfStyle w:val="000000000000"/>
            </w:pPr>
            <w:r w:rsidRPr="00CB32B1">
              <w:rPr>
                <w:b/>
              </w:rPr>
              <w:t>B</w:t>
            </w:r>
            <w:r w:rsidRPr="00CB32B1">
              <w:t xml:space="preserve"> (less than 36)</w:t>
            </w:r>
            <w:r w:rsidR="00854DEF" w:rsidRPr="00CB32B1">
              <w:t>/</w:t>
            </w:r>
          </w:p>
          <w:p w:rsidR="00097BAC" w:rsidRPr="00CB32B1" w:rsidRDefault="00097BAC" w:rsidP="00097BAC">
            <w:pPr>
              <w:pStyle w:val="TableTextNormal"/>
              <w:jc w:val="center"/>
              <w:cnfStyle w:val="000000000000"/>
            </w:pPr>
            <w:r w:rsidRPr="00CB32B1">
              <w:rPr>
                <w:b/>
              </w:rPr>
              <w:t xml:space="preserve">C </w:t>
            </w:r>
            <w:r w:rsidRPr="00CB32B1">
              <w:t>(greater than 37.4)</w:t>
            </w:r>
          </w:p>
        </w:tc>
        <w:tc>
          <w:tcPr>
            <w:tcW w:w="453" w:type="pct"/>
          </w:tcPr>
          <w:p w:rsidR="00097BAC" w:rsidRPr="00CB32B1" w:rsidRDefault="00097BAC" w:rsidP="00097BAC">
            <w:pPr>
              <w:pStyle w:val="TableTextNormal"/>
              <w:jc w:val="center"/>
              <w:cnfStyle w:val="000000000000"/>
            </w:pPr>
            <w:r w:rsidRPr="00CB32B1">
              <w:t>×</w:t>
            </w:r>
          </w:p>
        </w:tc>
        <w:tc>
          <w:tcPr>
            <w:tcW w:w="790" w:type="pct"/>
          </w:tcPr>
          <w:p w:rsidR="00097BAC" w:rsidRPr="00CB32B1" w:rsidRDefault="00097BAC" w:rsidP="00097BAC">
            <w:pPr>
              <w:pStyle w:val="TableTextNormal"/>
              <w:jc w:val="center"/>
              <w:cnfStyle w:val="000000000000"/>
            </w:pPr>
            <w:r w:rsidRPr="00CB32B1">
              <w:sym w:font="Wingdings" w:char="00FC"/>
            </w:r>
          </w:p>
        </w:tc>
      </w:tr>
    </w:tbl>
    <w:p w:rsidR="00097BAC" w:rsidRPr="00CB32B1" w:rsidRDefault="00097BAC" w:rsidP="00097BAC">
      <w:pPr>
        <w:pStyle w:val="Sources"/>
      </w:pPr>
      <w:r w:rsidRPr="00CB32B1">
        <w:rPr>
          <w:b/>
        </w:rPr>
        <w:t>Sources:</w:t>
      </w:r>
      <w:r w:rsidRPr="00CB32B1">
        <w:t xml:space="preserve"> Australian College of Midwives 2008; </w:t>
      </w:r>
      <w:r w:rsidR="00894387" w:rsidRPr="00CB32B1">
        <w:t>South Australia Department of Health</w:t>
      </w:r>
      <w:r w:rsidRPr="00CB32B1">
        <w:t xml:space="preserve"> 2007; </w:t>
      </w:r>
      <w:r w:rsidR="00894387" w:rsidRPr="00CB32B1">
        <w:t>Department of Health WA</w:t>
      </w:r>
      <w:r w:rsidRPr="00CB32B1">
        <w:t xml:space="preserve"> 2012.</w:t>
      </w:r>
    </w:p>
    <w:p w:rsidR="00C53D87" w:rsidRPr="00CB32B1" w:rsidRDefault="00C53D87" w:rsidP="00C53D87">
      <w:pPr>
        <w:pStyle w:val="PwCNormal"/>
        <w:numPr>
          <w:ilvl w:val="0"/>
          <w:numId w:val="0"/>
        </w:numPr>
        <w:sectPr w:rsidR="00C53D87" w:rsidRPr="00CB32B1" w:rsidSect="003E4E09">
          <w:pgSz w:w="11907" w:h="16840" w:code="9"/>
          <w:pgMar w:top="1699" w:right="1138" w:bottom="1699" w:left="1138" w:header="677" w:footer="677" w:gutter="562"/>
          <w:cols w:space="708"/>
          <w:titlePg/>
          <w:docGrid w:linePitch="360"/>
        </w:sectPr>
      </w:pPr>
    </w:p>
    <w:p w:rsidR="00FC0CC6" w:rsidRPr="00CB32B1" w:rsidRDefault="00FC0CC6" w:rsidP="00FC0CC6">
      <w:pPr>
        <w:pStyle w:val="AppendixPanelFrameappendix"/>
        <w:framePr w:wrap="notBeside" w:hAnchor="page" w:x="1044"/>
        <w:rPr>
          <w:lang w:val="en-AU"/>
        </w:rPr>
      </w:pPr>
    </w:p>
    <w:p w:rsidR="00C53D87" w:rsidRPr="00CB32B1" w:rsidRDefault="00C53D87" w:rsidP="00C53D87">
      <w:pPr>
        <w:pStyle w:val="Heading4"/>
      </w:pPr>
      <w:bookmarkStart w:id="141" w:name="_Toc361328131"/>
      <w:bookmarkStart w:id="142" w:name="_Toc362975073"/>
      <w:bookmarkStart w:id="143" w:name="_Toc362975084"/>
      <w:r w:rsidRPr="00CB32B1">
        <w:t>Discipline and legislation of Health Practitioners</w:t>
      </w:r>
      <w:bookmarkEnd w:id="141"/>
      <w:bookmarkEnd w:id="142"/>
      <w:bookmarkEnd w:id="143"/>
    </w:p>
    <w:p w:rsidR="00FC737F" w:rsidRPr="00CB32B1" w:rsidRDefault="00FC737F" w:rsidP="00FC737F">
      <w:pPr>
        <w:pStyle w:val="PwCNormal"/>
      </w:pPr>
      <w:r w:rsidRPr="00CB32B1">
        <w:t xml:space="preserve">Insurers appear to look toward disciplinary frameworks to provide certainty that anyone who is not practising within </w:t>
      </w:r>
      <w:r w:rsidR="002F30E1">
        <w:t xml:space="preserve">the defined </w:t>
      </w:r>
      <w:r w:rsidRPr="00CB32B1">
        <w:t>scope</w:t>
      </w:r>
      <w:r w:rsidR="002F30E1">
        <w:t>,</w:t>
      </w:r>
      <w:r w:rsidRPr="00CB32B1">
        <w:t xml:space="preserve"> or not within professional guidelines</w:t>
      </w:r>
      <w:r w:rsidR="002F30E1">
        <w:t>,</w:t>
      </w:r>
      <w:r w:rsidRPr="00CB32B1">
        <w:t xml:space="preserve"> is disciplined. Therefore, through standardised disciplinary frameworks PPM</w:t>
      </w:r>
      <w:r w:rsidR="002F30E1">
        <w:t>s</w:t>
      </w:r>
      <w:r w:rsidRPr="00CB32B1">
        <w:t xml:space="preserve"> provide consistent and predictable level</w:t>
      </w:r>
      <w:r w:rsidR="002F30E1">
        <w:t>s</w:t>
      </w:r>
      <w:r w:rsidRPr="00CB32B1">
        <w:t xml:space="preserve"> of care. </w:t>
      </w:r>
    </w:p>
    <w:p w:rsidR="00FC737F" w:rsidRPr="00CB32B1" w:rsidRDefault="00FC737F" w:rsidP="00FC737F">
      <w:pPr>
        <w:pStyle w:val="PwCNormal"/>
      </w:pPr>
      <w:r w:rsidRPr="00CB32B1">
        <w:t>The disciplinary framework</w:t>
      </w:r>
      <w:r w:rsidR="00904784">
        <w:t xml:space="preserve"> used</w:t>
      </w:r>
      <w:r w:rsidRPr="00CB32B1">
        <w:t xml:space="preserve"> in Australia is a potential source of uncertainty for insurers, given that legislation for tribunal processes varied by state and territory </w:t>
      </w:r>
      <w:r w:rsidR="002F30E1">
        <w:t>prior to</w:t>
      </w:r>
      <w:r w:rsidRPr="00CB32B1">
        <w:t xml:space="preserve"> 2010. Examples of the changes in legislations seen in several states are demonstrated in </w:t>
      </w:r>
      <w:r w:rsidR="009129A6" w:rsidRPr="00CB32B1">
        <w:fldChar w:fldCharType="begin"/>
      </w:r>
      <w:r w:rsidR="00AA3C29" w:rsidRPr="00CB32B1">
        <w:instrText xml:space="preserve"> REF _Ref361224043 \h </w:instrText>
      </w:r>
      <w:r w:rsidR="009129A6" w:rsidRPr="00CB32B1">
        <w:fldChar w:fldCharType="separate"/>
      </w:r>
      <w:r w:rsidR="008816B4" w:rsidRPr="00CB32B1">
        <w:t xml:space="preserve">Table </w:t>
      </w:r>
      <w:r w:rsidR="008816B4">
        <w:rPr>
          <w:noProof/>
        </w:rPr>
        <w:t>31</w:t>
      </w:r>
      <w:r w:rsidR="009129A6" w:rsidRPr="00CB32B1">
        <w:fldChar w:fldCharType="end"/>
      </w:r>
      <w:r w:rsidRPr="00CB32B1">
        <w:t>.</w:t>
      </w:r>
    </w:p>
    <w:p w:rsidR="00FC737F" w:rsidRPr="00CB32B1" w:rsidRDefault="00FC737F" w:rsidP="00FC737F">
      <w:pPr>
        <w:pStyle w:val="PwCNormal"/>
      </w:pPr>
      <w:r w:rsidRPr="00CB32B1">
        <w:t xml:space="preserve">Variations have historically existed in the disciplinary processes across states and territories. In March 2008, the National Health Workforce Council, a Commonwealth taskforce, wanted to create a single national registration and accreditation system for ten health professions including chiropractors, dentists, medical practitioners, nurses and midwives, optometrists, osteopaths, pharmacists, physiotherapists, podiatrists and psychologists. </w:t>
      </w:r>
    </w:p>
    <w:p w:rsidR="00795E1A" w:rsidRPr="00CB32B1" w:rsidRDefault="00FC737F" w:rsidP="00795E1A">
      <w:pPr>
        <w:pStyle w:val="PwCNormal"/>
      </w:pPr>
      <w:r w:rsidRPr="00CB32B1">
        <w:t xml:space="preserve">The National Registration and Accreditation Scheme (the National Scheme) for health practitioners in Australia commenced on 1 July 2010 and involved the implementation of a </w:t>
      </w:r>
      <w:r w:rsidRPr="00904784">
        <w:rPr>
          <w:i/>
        </w:rPr>
        <w:t>Health Practitioner Regulation National Law</w:t>
      </w:r>
      <w:r w:rsidR="00795E1A">
        <w:t>. As mentioned, m</w:t>
      </w:r>
      <w:r w:rsidRPr="00CB32B1">
        <w:t xml:space="preserve">idwives are one of the professional groups regulated through the National Scheme under the authority of the Board. Since July 1 2010, all midwives have been regulated by the same legislation. </w:t>
      </w:r>
      <w:r w:rsidR="00795E1A" w:rsidRPr="00CB32B1">
        <w:t>New conditions for disciplinary frameworks have only been operating for the past three years.</w:t>
      </w:r>
    </w:p>
    <w:p w:rsidR="00FC737F" w:rsidRPr="00CB32B1" w:rsidRDefault="00FC737F" w:rsidP="00FC737F">
      <w:pPr>
        <w:pStyle w:val="PwCNormal"/>
      </w:pPr>
    </w:p>
    <w:p w:rsidR="0007558E" w:rsidRPr="00CB32B1" w:rsidRDefault="0007558E" w:rsidP="0007558E">
      <w:pPr>
        <w:pStyle w:val="Caption"/>
      </w:pPr>
      <w:bookmarkStart w:id="144" w:name="_Ref361224043"/>
      <w:r w:rsidRPr="00CB32B1">
        <w:t xml:space="preserve">Table </w:t>
      </w:r>
      <w:r w:rsidR="009129A6" w:rsidRPr="00CB32B1">
        <w:fldChar w:fldCharType="begin"/>
      </w:r>
      <w:r w:rsidR="00D16456" w:rsidRPr="00CB32B1">
        <w:instrText xml:space="preserve"> SEQ Table \* ARABIC </w:instrText>
      </w:r>
      <w:r w:rsidR="009129A6" w:rsidRPr="00CB32B1">
        <w:fldChar w:fldCharType="separate"/>
      </w:r>
      <w:r w:rsidR="008816B4">
        <w:rPr>
          <w:noProof/>
        </w:rPr>
        <w:t>31</w:t>
      </w:r>
      <w:r w:rsidR="009129A6" w:rsidRPr="00CB32B1">
        <w:fldChar w:fldCharType="end"/>
      </w:r>
      <w:bookmarkEnd w:id="144"/>
      <w:r w:rsidRPr="00CB32B1">
        <w:t>: Legislation changes occurring in July 2010</w:t>
      </w:r>
    </w:p>
    <w:tbl>
      <w:tblPr>
        <w:tblStyle w:val="PwCTableStyle1"/>
        <w:tblW w:w="5000" w:type="pct"/>
        <w:tblLook w:val="04A0"/>
      </w:tblPr>
      <w:tblGrid>
        <w:gridCol w:w="739"/>
        <w:gridCol w:w="4622"/>
        <w:gridCol w:w="3924"/>
      </w:tblGrid>
      <w:tr w:rsidR="0007558E" w:rsidRPr="00CB32B1" w:rsidTr="009D37C7">
        <w:trPr>
          <w:cnfStyle w:val="100000000000"/>
          <w:trHeight w:val="569"/>
        </w:trPr>
        <w:tc>
          <w:tcPr>
            <w:cnfStyle w:val="001000000000"/>
            <w:tcW w:w="398" w:type="pct"/>
            <w:shd w:val="clear" w:color="auto" w:fill="DC6900" w:themeFill="text2"/>
            <w:vAlign w:val="center"/>
            <w:hideMark/>
          </w:tcPr>
          <w:p w:rsidR="0007558E" w:rsidRPr="00CB32B1" w:rsidRDefault="0007558E" w:rsidP="009D37C7">
            <w:pPr>
              <w:pStyle w:val="TableColumnHeadingNormal"/>
            </w:pPr>
            <w:r w:rsidRPr="00CB32B1">
              <w:t xml:space="preserve">State </w:t>
            </w:r>
          </w:p>
        </w:tc>
        <w:tc>
          <w:tcPr>
            <w:tcW w:w="2489" w:type="pct"/>
            <w:shd w:val="clear" w:color="auto" w:fill="DC6900" w:themeFill="text2"/>
            <w:vAlign w:val="center"/>
            <w:hideMark/>
          </w:tcPr>
          <w:p w:rsidR="0007558E" w:rsidRPr="00CB32B1" w:rsidRDefault="0007558E" w:rsidP="009D37C7">
            <w:pPr>
              <w:pStyle w:val="TableColumnHeadingNormal"/>
              <w:cnfStyle w:val="100000000000"/>
            </w:pPr>
            <w:r w:rsidRPr="00CB32B1">
              <w:t>Legislation after 1 July 2010</w:t>
            </w:r>
          </w:p>
        </w:tc>
        <w:tc>
          <w:tcPr>
            <w:tcW w:w="2113" w:type="pct"/>
            <w:shd w:val="clear" w:color="auto" w:fill="DC6900" w:themeFill="text2"/>
            <w:vAlign w:val="center"/>
            <w:hideMark/>
          </w:tcPr>
          <w:p w:rsidR="0007558E" w:rsidRPr="00CB32B1" w:rsidRDefault="0007558E" w:rsidP="009D37C7">
            <w:pPr>
              <w:pStyle w:val="TableColumnHeadingNormal"/>
              <w:cnfStyle w:val="100000000000"/>
            </w:pPr>
            <w:r w:rsidRPr="00CB32B1">
              <w:t>Legislation before 1 July 2010</w:t>
            </w:r>
          </w:p>
        </w:tc>
      </w:tr>
      <w:tr w:rsidR="0007558E" w:rsidRPr="00CB32B1" w:rsidTr="0007558E">
        <w:trPr>
          <w:trHeight w:val="544"/>
        </w:trPr>
        <w:tc>
          <w:tcPr>
            <w:cnfStyle w:val="001000000000"/>
            <w:tcW w:w="398" w:type="pct"/>
            <w:hideMark/>
          </w:tcPr>
          <w:p w:rsidR="0007558E" w:rsidRPr="00CB32B1" w:rsidRDefault="0007558E" w:rsidP="0007558E">
            <w:pPr>
              <w:pStyle w:val="TableTextNormal"/>
            </w:pPr>
            <w:r w:rsidRPr="00CB32B1">
              <w:t xml:space="preserve">NSW </w:t>
            </w:r>
          </w:p>
        </w:tc>
        <w:tc>
          <w:tcPr>
            <w:tcW w:w="2489" w:type="pct"/>
            <w:hideMark/>
          </w:tcPr>
          <w:p w:rsidR="0007558E" w:rsidRPr="00CB32B1" w:rsidRDefault="0007558E" w:rsidP="0007558E">
            <w:pPr>
              <w:pStyle w:val="TableTextNormal"/>
              <w:cnfStyle w:val="000000000000"/>
            </w:pPr>
            <w:r w:rsidRPr="00CB32B1">
              <w:t xml:space="preserve">Health Practitioner Regulation National Law (NSW) No 86a </w:t>
            </w:r>
          </w:p>
        </w:tc>
        <w:tc>
          <w:tcPr>
            <w:tcW w:w="2113" w:type="pct"/>
            <w:hideMark/>
          </w:tcPr>
          <w:p w:rsidR="0007558E" w:rsidRPr="00CB32B1" w:rsidRDefault="0007558E" w:rsidP="0007558E">
            <w:pPr>
              <w:pStyle w:val="TableTextNormal"/>
              <w:cnfStyle w:val="000000000000"/>
            </w:pPr>
            <w:r w:rsidRPr="00CB32B1">
              <w:t>Nurses and Midwives Act 1991 (NSW)</w:t>
            </w:r>
          </w:p>
          <w:p w:rsidR="0007558E" w:rsidRPr="00CB32B1" w:rsidRDefault="0007558E" w:rsidP="0007558E">
            <w:pPr>
              <w:pStyle w:val="TableTextNormal"/>
              <w:cnfStyle w:val="000000000000"/>
            </w:pPr>
            <w:r w:rsidRPr="00CB32B1">
              <w:t xml:space="preserve">Health Care Complaints Act 1993 (NSW) </w:t>
            </w:r>
          </w:p>
        </w:tc>
      </w:tr>
      <w:tr w:rsidR="0007558E" w:rsidRPr="00CB32B1" w:rsidTr="0007558E">
        <w:trPr>
          <w:trHeight w:val="544"/>
        </w:trPr>
        <w:tc>
          <w:tcPr>
            <w:cnfStyle w:val="001000000000"/>
            <w:tcW w:w="398" w:type="pct"/>
            <w:hideMark/>
          </w:tcPr>
          <w:p w:rsidR="0007558E" w:rsidRPr="00CB32B1" w:rsidRDefault="0007558E" w:rsidP="0007558E">
            <w:pPr>
              <w:pStyle w:val="TableTextNormal"/>
            </w:pPr>
            <w:r w:rsidRPr="00CB32B1">
              <w:t xml:space="preserve">Vic. </w:t>
            </w:r>
          </w:p>
        </w:tc>
        <w:tc>
          <w:tcPr>
            <w:tcW w:w="2489" w:type="pct"/>
            <w:hideMark/>
          </w:tcPr>
          <w:p w:rsidR="0007558E" w:rsidRPr="00CB32B1" w:rsidRDefault="0007558E" w:rsidP="0007558E">
            <w:pPr>
              <w:pStyle w:val="TableTextNormal"/>
              <w:cnfStyle w:val="000000000000"/>
            </w:pPr>
            <w:r w:rsidRPr="00CB32B1">
              <w:t xml:space="preserve">Health Practitioner Regulation National Law (Victoria) Act 2009 </w:t>
            </w:r>
          </w:p>
        </w:tc>
        <w:tc>
          <w:tcPr>
            <w:tcW w:w="2113" w:type="pct"/>
            <w:hideMark/>
          </w:tcPr>
          <w:p w:rsidR="0007558E" w:rsidRPr="00CB32B1" w:rsidRDefault="0007558E" w:rsidP="0007558E">
            <w:pPr>
              <w:pStyle w:val="TableTextNormal"/>
              <w:cnfStyle w:val="000000000000"/>
            </w:pPr>
            <w:r w:rsidRPr="00CB32B1">
              <w:t>Health Professions Registration Act (2005) (HPR Act)</w:t>
            </w:r>
          </w:p>
        </w:tc>
      </w:tr>
      <w:tr w:rsidR="0007558E" w:rsidRPr="00CB32B1" w:rsidTr="0007558E">
        <w:trPr>
          <w:trHeight w:val="544"/>
        </w:trPr>
        <w:tc>
          <w:tcPr>
            <w:cnfStyle w:val="001000000000"/>
            <w:tcW w:w="398" w:type="pct"/>
            <w:hideMark/>
          </w:tcPr>
          <w:p w:rsidR="0007558E" w:rsidRPr="00CB32B1" w:rsidRDefault="0007558E" w:rsidP="0007558E">
            <w:pPr>
              <w:pStyle w:val="TableTextNormal"/>
            </w:pPr>
            <w:r w:rsidRPr="00CB32B1">
              <w:t>Qld</w:t>
            </w:r>
          </w:p>
        </w:tc>
        <w:tc>
          <w:tcPr>
            <w:tcW w:w="2489" w:type="pct"/>
            <w:hideMark/>
          </w:tcPr>
          <w:p w:rsidR="0007558E" w:rsidRPr="00CB32B1" w:rsidRDefault="0007558E" w:rsidP="0007558E">
            <w:pPr>
              <w:pStyle w:val="TableTextNormal"/>
              <w:cnfStyle w:val="000000000000"/>
            </w:pPr>
            <w:r w:rsidRPr="00CB32B1">
              <w:t xml:space="preserve">Health Practitioner Regulation National Law Act 2009 </w:t>
            </w:r>
          </w:p>
        </w:tc>
        <w:tc>
          <w:tcPr>
            <w:tcW w:w="2113" w:type="pct"/>
            <w:hideMark/>
          </w:tcPr>
          <w:p w:rsidR="0007558E" w:rsidRPr="00CB32B1" w:rsidRDefault="0007558E" w:rsidP="0007558E">
            <w:pPr>
              <w:pStyle w:val="TableTextNormal"/>
              <w:cnfStyle w:val="000000000000"/>
            </w:pPr>
            <w:r w:rsidRPr="00CB32B1">
              <w:t>Nursing Act 1992 (Queensland)</w:t>
            </w:r>
          </w:p>
        </w:tc>
      </w:tr>
    </w:tbl>
    <w:p w:rsidR="00C53D87" w:rsidRPr="00CB32B1" w:rsidRDefault="0007558E" w:rsidP="0007558E">
      <w:pPr>
        <w:pStyle w:val="Sources"/>
      </w:pPr>
      <w:r w:rsidRPr="00CB32B1">
        <w:rPr>
          <w:b/>
        </w:rPr>
        <w:t>Source</w:t>
      </w:r>
      <w:r w:rsidR="00FA152C" w:rsidRPr="00CB32B1">
        <w:rPr>
          <w:b/>
        </w:rPr>
        <w:t>s</w:t>
      </w:r>
      <w:r w:rsidRPr="00CB32B1">
        <w:rPr>
          <w:b/>
        </w:rPr>
        <w:t>:</w:t>
      </w:r>
      <w:r w:rsidRPr="00CB32B1">
        <w:t xml:space="preserve"> A</w:t>
      </w:r>
      <w:r w:rsidR="006E3F82" w:rsidRPr="00CB32B1">
        <w:t>ustralian Health Practitioner Regulation Agency 2013</w:t>
      </w:r>
      <w:r w:rsidRPr="00CB32B1">
        <w:t>;</w:t>
      </w:r>
      <w:r w:rsidR="006E3F82" w:rsidRPr="00CB32B1">
        <w:t xml:space="preserve"> </w:t>
      </w:r>
      <w:r w:rsidRPr="00CB32B1">
        <w:t>State Government of Queensland</w:t>
      </w:r>
      <w:r w:rsidR="006E3F82" w:rsidRPr="00CB32B1">
        <w:t xml:space="preserve"> 2013</w:t>
      </w:r>
      <w:r w:rsidRPr="00CB32B1">
        <w:t>; Department of Health,</w:t>
      </w:r>
      <w:r w:rsidR="006E3F82" w:rsidRPr="00CB32B1">
        <w:t xml:space="preserve"> Victoria 2013.</w:t>
      </w:r>
    </w:p>
    <w:p w:rsidR="00C53D87" w:rsidRPr="00CB32B1" w:rsidRDefault="00C53D87" w:rsidP="00C53D87">
      <w:pPr>
        <w:pStyle w:val="PwCNormal"/>
        <w:numPr>
          <w:ilvl w:val="0"/>
          <w:numId w:val="0"/>
        </w:numPr>
      </w:pPr>
    </w:p>
    <w:p w:rsidR="00C53D87" w:rsidRPr="00CB32B1" w:rsidRDefault="00C53D87" w:rsidP="00425FC5">
      <w:pPr>
        <w:pStyle w:val="PwCNormal"/>
        <w:numPr>
          <w:ilvl w:val="0"/>
          <w:numId w:val="0"/>
        </w:numPr>
        <w:sectPr w:rsidR="00C53D87" w:rsidRPr="00CB32B1" w:rsidSect="003E4E09">
          <w:pgSz w:w="11907" w:h="16840" w:code="9"/>
          <w:pgMar w:top="1699" w:right="1138" w:bottom="1699" w:left="1138" w:header="677" w:footer="677" w:gutter="562"/>
          <w:cols w:space="708"/>
          <w:titlePg/>
          <w:docGrid w:linePitch="360"/>
        </w:sectPr>
      </w:pPr>
    </w:p>
    <w:p w:rsidR="00FC0CC6" w:rsidRPr="00CB32B1" w:rsidRDefault="00FC0CC6" w:rsidP="00FC0CC6">
      <w:pPr>
        <w:pStyle w:val="AppendixPanelFrameappendix"/>
        <w:framePr w:wrap="notBeside" w:hAnchor="page" w:x="1044"/>
        <w:rPr>
          <w:lang w:val="en-AU"/>
        </w:rPr>
      </w:pPr>
    </w:p>
    <w:p w:rsidR="00D3737C" w:rsidRPr="00CB32B1" w:rsidRDefault="00D3737C" w:rsidP="00D3737C">
      <w:pPr>
        <w:pStyle w:val="Heading4"/>
      </w:pPr>
      <w:bookmarkStart w:id="145" w:name="_Toc361328132"/>
      <w:bookmarkStart w:id="146" w:name="_Toc362975074"/>
      <w:bookmarkStart w:id="147" w:name="_Toc362975085"/>
      <w:r w:rsidRPr="00CB32B1">
        <w:t>Data quality</w:t>
      </w:r>
      <w:bookmarkEnd w:id="145"/>
      <w:bookmarkEnd w:id="146"/>
      <w:bookmarkEnd w:id="147"/>
    </w:p>
    <w:p w:rsidR="00D3737C" w:rsidRPr="00CB32B1" w:rsidRDefault="00D3737C" w:rsidP="00D3737C">
      <w:pPr>
        <w:pStyle w:val="Majorheading"/>
      </w:pPr>
      <w:r w:rsidRPr="00CB32B1">
        <w:t>J.1. Survey for PPMs</w:t>
      </w:r>
    </w:p>
    <w:p w:rsidR="00D3737C" w:rsidRPr="00CB32B1" w:rsidRDefault="00D3737C" w:rsidP="00D3737C">
      <w:pPr>
        <w:pStyle w:val="Majorheading"/>
      </w:pPr>
      <w:r w:rsidRPr="00CB32B1">
        <w:t>Introduction</w:t>
      </w:r>
    </w:p>
    <w:p w:rsidR="00D3737C" w:rsidRPr="00CB32B1" w:rsidRDefault="00D3737C" w:rsidP="00D3737C">
      <w:pPr>
        <w:pStyle w:val="PwCNormal"/>
      </w:pPr>
      <w:r w:rsidRPr="00CB32B1">
        <w:t>As part of its review of national PII arrangements and claims, PwC developed a short survey to gather further information relating to PPMs. The survey focused on areas of significance around PII for PPMs to generate an evidence base to help inform decision-making in determining the minimum amount of insurance cover needed for midwives.</w:t>
      </w:r>
    </w:p>
    <w:p w:rsidR="00D3737C" w:rsidRPr="00CB32B1" w:rsidRDefault="00D3737C" w:rsidP="00D3737C">
      <w:pPr>
        <w:pStyle w:val="PwCNormal"/>
      </w:pPr>
      <w:r w:rsidRPr="00CB32B1">
        <w:t xml:space="preserve">The survey was voluntary and was live for one month on the NMBA website. It was communicated to potential participants through the NMBA website, and notifications were also provided to consumer groups and relevant </w:t>
      </w:r>
      <w:r w:rsidR="008341BC">
        <w:t>C</w:t>
      </w:r>
      <w:r w:rsidRPr="00CB32B1">
        <w:t xml:space="preserve">olleges. </w:t>
      </w:r>
    </w:p>
    <w:p w:rsidR="00D3737C" w:rsidRPr="00CB32B1" w:rsidRDefault="00D3737C" w:rsidP="00D3737C">
      <w:pPr>
        <w:pStyle w:val="Majorheading"/>
      </w:pPr>
      <w:r w:rsidRPr="00CB32B1">
        <w:t>Highlights</w:t>
      </w:r>
    </w:p>
    <w:p w:rsidR="00D3737C" w:rsidRPr="00CB32B1" w:rsidRDefault="00D3737C" w:rsidP="00D3737C">
      <w:pPr>
        <w:pStyle w:val="ListBullet"/>
      </w:pPr>
      <w:r w:rsidRPr="00CB32B1">
        <w:rPr>
          <w:b/>
          <w:color w:val="DC6900" w:themeColor="text2"/>
        </w:rPr>
        <w:t>85</w:t>
      </w:r>
      <w:r w:rsidRPr="00CB32B1">
        <w:t xml:space="preserve"> individ</w:t>
      </w:r>
      <w:r w:rsidR="00CD0CA9" w:rsidRPr="00CB32B1">
        <w:t>uals participated in the survey</w:t>
      </w:r>
    </w:p>
    <w:p w:rsidR="00D3737C" w:rsidRPr="00CB32B1" w:rsidRDefault="00D3737C" w:rsidP="00D3737C">
      <w:pPr>
        <w:pStyle w:val="ListBullet"/>
      </w:pPr>
      <w:r w:rsidRPr="00CB32B1">
        <w:rPr>
          <w:b/>
          <w:color w:val="DC6900" w:themeColor="text2"/>
        </w:rPr>
        <w:t>78</w:t>
      </w:r>
      <w:r w:rsidRPr="00CB32B1">
        <w:t xml:space="preserve"> participants are currently registered with the Australian Health Practitioner Regulation Agency/Nursing a</w:t>
      </w:r>
      <w:r w:rsidR="00CD0CA9" w:rsidRPr="00CB32B1">
        <w:t>nd Midwifery Board of Australia</w:t>
      </w:r>
    </w:p>
    <w:p w:rsidR="00D3737C" w:rsidRPr="00CB32B1" w:rsidRDefault="00D3737C" w:rsidP="00D3737C">
      <w:pPr>
        <w:pStyle w:val="ListBullet"/>
      </w:pPr>
      <w:r w:rsidRPr="00CB32B1">
        <w:rPr>
          <w:b/>
          <w:color w:val="DC6900" w:themeColor="text2"/>
        </w:rPr>
        <w:t>81</w:t>
      </w:r>
      <w:r w:rsidRPr="00CB32B1">
        <w:t xml:space="preserve"> participants have practised as </w:t>
      </w:r>
      <w:r w:rsidR="00CD0CA9" w:rsidRPr="00CB32B1">
        <w:t>a midwife in the last 12 months</w:t>
      </w:r>
    </w:p>
    <w:p w:rsidR="00D3737C" w:rsidRPr="00CB32B1" w:rsidRDefault="00D3737C" w:rsidP="00D3737C">
      <w:pPr>
        <w:pStyle w:val="ListBullet"/>
      </w:pPr>
      <w:r w:rsidRPr="00CB32B1">
        <w:t xml:space="preserve">Of the 81 practising midwives, </w:t>
      </w:r>
      <w:r w:rsidRPr="00CB32B1">
        <w:rPr>
          <w:b/>
          <w:color w:val="DC6900" w:themeColor="text2"/>
        </w:rPr>
        <w:t>71</w:t>
      </w:r>
      <w:r w:rsidRPr="00CB32B1">
        <w:t xml:space="preserve"> have provided maternity services to women in t</w:t>
      </w:r>
      <w:r w:rsidR="00CD0CA9" w:rsidRPr="00CB32B1">
        <w:t>heir home in the last 12 months</w:t>
      </w:r>
    </w:p>
    <w:p w:rsidR="00D3737C" w:rsidRPr="00CB32B1" w:rsidRDefault="00D3737C" w:rsidP="00D3737C">
      <w:pPr>
        <w:pStyle w:val="ListBullet"/>
      </w:pPr>
      <w:r w:rsidRPr="00CB32B1">
        <w:rPr>
          <w:b/>
          <w:color w:val="DC6900" w:themeColor="text2"/>
        </w:rPr>
        <w:t>72</w:t>
      </w:r>
      <w:r w:rsidRPr="00CB32B1">
        <w:t xml:space="preserve"> participants have provided maternity services to women in t</w:t>
      </w:r>
      <w:r w:rsidR="00CD0CA9" w:rsidRPr="00CB32B1">
        <w:t>heir home in the last 12 months</w:t>
      </w:r>
    </w:p>
    <w:p w:rsidR="00D3737C" w:rsidRPr="00CB32B1" w:rsidRDefault="00D3737C" w:rsidP="00D3737C">
      <w:pPr>
        <w:pStyle w:val="ListBullet"/>
      </w:pPr>
      <w:r w:rsidRPr="00CB32B1">
        <w:rPr>
          <w:b/>
          <w:color w:val="DC6900" w:themeColor="text2"/>
        </w:rPr>
        <w:t>79</w:t>
      </w:r>
      <w:r w:rsidRPr="00872729">
        <w:rPr>
          <w:b/>
          <w:color w:val="DC6900" w:themeColor="text2"/>
        </w:rPr>
        <w:t>%</w:t>
      </w:r>
      <w:r w:rsidRPr="00CB32B1">
        <w:t xml:space="preserve"> of participants providing maternity services to women in thei</w:t>
      </w:r>
      <w:r w:rsidR="00CD0CA9" w:rsidRPr="00CB32B1">
        <w:t>r home are privately practising</w:t>
      </w:r>
    </w:p>
    <w:p w:rsidR="00D3737C" w:rsidRPr="00CB32B1" w:rsidRDefault="00D3737C" w:rsidP="00D3737C">
      <w:pPr>
        <w:pStyle w:val="ListBullet"/>
      </w:pPr>
      <w:r w:rsidRPr="00CB32B1">
        <w:t>The majority of participants providing homebirths in private practice provide Antenatal, Intrapartum and Postnatal care (</w:t>
      </w:r>
      <w:r w:rsidRPr="00CB32B1">
        <w:rPr>
          <w:b/>
          <w:color w:val="DC6900" w:themeColor="text2"/>
        </w:rPr>
        <w:t>65%</w:t>
      </w:r>
      <w:r w:rsidR="00CD0CA9" w:rsidRPr="00CB32B1">
        <w:t>)</w:t>
      </w:r>
    </w:p>
    <w:p w:rsidR="00D3737C" w:rsidRPr="00CB32B1" w:rsidRDefault="00D3737C" w:rsidP="00D3737C">
      <w:pPr>
        <w:pStyle w:val="ListBullet"/>
      </w:pPr>
      <w:r w:rsidRPr="00CB32B1">
        <w:rPr>
          <w:b/>
          <w:color w:val="DC6900" w:themeColor="text2"/>
        </w:rPr>
        <w:t>39</w:t>
      </w:r>
      <w:r w:rsidRPr="00CB32B1">
        <w:t xml:space="preserve"> participants have coll</w:t>
      </w:r>
      <w:r w:rsidR="00CD0CA9" w:rsidRPr="00CB32B1">
        <w:t>aborative arrangements in place</w:t>
      </w:r>
    </w:p>
    <w:p w:rsidR="00D3737C" w:rsidRPr="00CB32B1" w:rsidRDefault="00D3737C" w:rsidP="00D3737C">
      <w:pPr>
        <w:pStyle w:val="ListBullet"/>
      </w:pPr>
      <w:r w:rsidRPr="00CB32B1">
        <w:t>Of the 81 participants who have practised as a midwife in the last 12 months, 50 (</w:t>
      </w:r>
      <w:r w:rsidRPr="00CB32B1">
        <w:rPr>
          <w:b/>
          <w:color w:val="DC6900" w:themeColor="text2"/>
        </w:rPr>
        <w:t>62%</w:t>
      </w:r>
      <w:r w:rsidR="00CD0CA9" w:rsidRPr="00CB32B1">
        <w:t>) are ‘eligible midwives’</w:t>
      </w:r>
    </w:p>
    <w:p w:rsidR="00D3737C" w:rsidRPr="00CB32B1" w:rsidRDefault="00D3737C" w:rsidP="00D3737C">
      <w:pPr>
        <w:pStyle w:val="ListBullet"/>
      </w:pPr>
      <w:r w:rsidRPr="00CB32B1">
        <w:t>Of the 57 participants who are privately practising, 42 (</w:t>
      </w:r>
      <w:r w:rsidRPr="00CB32B1">
        <w:rPr>
          <w:b/>
          <w:color w:val="DC6900" w:themeColor="text2"/>
        </w:rPr>
        <w:t>74%</w:t>
      </w:r>
      <w:r w:rsidRPr="00CB32B1">
        <w:t>) a</w:t>
      </w:r>
      <w:r w:rsidR="00CD0CA9" w:rsidRPr="00CB32B1">
        <w:t>re ‘eligible midwives’</w:t>
      </w:r>
    </w:p>
    <w:p w:rsidR="00D3737C" w:rsidRPr="00CB32B1" w:rsidRDefault="00D3737C" w:rsidP="00D3737C">
      <w:pPr>
        <w:pStyle w:val="ListBullet"/>
        <w:rPr>
          <w:b/>
          <w:color w:val="DC6900" w:themeColor="text2"/>
        </w:rPr>
      </w:pPr>
      <w:r w:rsidRPr="00CB32B1">
        <w:t xml:space="preserve">The most frequently cited reason for not being an eligible midwife is the </w:t>
      </w:r>
      <w:r w:rsidRPr="00CB32B1">
        <w:rPr>
          <w:b/>
          <w:color w:val="DC6900" w:themeColor="text2"/>
        </w:rPr>
        <w:t>restriction of the requiremen</w:t>
      </w:r>
      <w:r w:rsidR="00CD0CA9" w:rsidRPr="00CB32B1">
        <w:rPr>
          <w:b/>
          <w:color w:val="DC6900" w:themeColor="text2"/>
        </w:rPr>
        <w:t>ts of being an eligible midwife</w:t>
      </w:r>
    </w:p>
    <w:p w:rsidR="00D3737C" w:rsidRPr="00CB32B1" w:rsidRDefault="00D3737C" w:rsidP="00D3737C">
      <w:pPr>
        <w:pStyle w:val="ListBullet"/>
      </w:pPr>
      <w:r w:rsidRPr="00CB32B1">
        <w:rPr>
          <w:b/>
          <w:color w:val="DC6900" w:themeColor="text2"/>
        </w:rPr>
        <w:t>8%</w:t>
      </w:r>
      <w:r w:rsidRPr="00CB32B1">
        <w:t xml:space="preserve"> of participants have received a complaint or notification against them in the last 10 years in relati</w:t>
      </w:r>
      <w:r w:rsidR="00CD0CA9" w:rsidRPr="00CB32B1">
        <w:t>on to the practice of midwifery</w:t>
      </w:r>
    </w:p>
    <w:p w:rsidR="00D3737C" w:rsidRPr="00CB32B1" w:rsidRDefault="00D3737C" w:rsidP="00D3737C">
      <w:pPr>
        <w:pStyle w:val="ListBullet"/>
      </w:pPr>
      <w:r w:rsidRPr="00CB32B1">
        <w:rPr>
          <w:b/>
          <w:color w:val="DC6900" w:themeColor="text2"/>
        </w:rPr>
        <w:t>No participants</w:t>
      </w:r>
      <w:r w:rsidRPr="00CB32B1">
        <w:t xml:space="preserve"> reported having received an insurance claim against them relating to the practice of midwifery within the last 10 years.</w:t>
      </w:r>
    </w:p>
    <w:p w:rsidR="00D3737C" w:rsidRPr="00CB32B1" w:rsidRDefault="00D3737C" w:rsidP="00D3737C">
      <w:pPr>
        <w:pStyle w:val="Minorheading"/>
      </w:pPr>
      <w:r w:rsidRPr="00CB32B1">
        <w:t>Why have participants not provided maternity services to women in their home in the past 12 months?</w:t>
      </w:r>
    </w:p>
    <w:p w:rsidR="00D3737C" w:rsidRPr="00CB32B1" w:rsidRDefault="00D3737C" w:rsidP="00D3737C">
      <w:pPr>
        <w:pStyle w:val="PwCNormal"/>
        <w:numPr>
          <w:ilvl w:val="0"/>
          <w:numId w:val="0"/>
        </w:numPr>
      </w:pPr>
      <w:r w:rsidRPr="00CB32B1">
        <w:rPr>
          <w:b/>
          <w:color w:val="DC6900" w:themeColor="text2"/>
        </w:rPr>
        <w:t>13</w:t>
      </w:r>
      <w:r w:rsidRPr="00CB32B1">
        <w:t xml:space="preserve"> participants had not provided maternity services to women in their homes in the last 12 months. These participants were asked to select the reasons why they had not provided services or provide their own response. </w:t>
      </w:r>
      <w:r w:rsidR="00872729">
        <w:t>Note – p</w:t>
      </w:r>
      <w:r w:rsidRPr="00CB32B1">
        <w:t>articipants could select or provide more than one reason.</w:t>
      </w:r>
    </w:p>
    <w:tbl>
      <w:tblPr>
        <w:tblStyle w:val="PwCTableStyle1"/>
        <w:tblW w:w="5000" w:type="pct"/>
        <w:tblLook w:val="04A0"/>
      </w:tblPr>
      <w:tblGrid>
        <w:gridCol w:w="2809"/>
        <w:gridCol w:w="2810"/>
        <w:gridCol w:w="1833"/>
        <w:gridCol w:w="1833"/>
      </w:tblGrid>
      <w:tr w:rsidR="00D3737C" w:rsidRPr="00CB32B1" w:rsidTr="00747120">
        <w:trPr>
          <w:cnfStyle w:val="100000000000"/>
        </w:trPr>
        <w:tc>
          <w:tcPr>
            <w:cnfStyle w:val="001000000000"/>
            <w:tcW w:w="3026" w:type="pct"/>
            <w:gridSpan w:val="2"/>
            <w:shd w:val="clear" w:color="auto" w:fill="DC6900" w:themeFill="text2"/>
            <w:vAlign w:val="center"/>
          </w:tcPr>
          <w:p w:rsidR="00D3737C" w:rsidRPr="00CB32B1" w:rsidRDefault="00D3737C" w:rsidP="00747120">
            <w:pPr>
              <w:pStyle w:val="NumericTableColumnHeadingNormal"/>
              <w:rPr>
                <w:rFonts w:asciiTheme="majorHAnsi" w:hAnsiTheme="majorHAnsi"/>
              </w:rPr>
            </w:pPr>
            <w:r w:rsidRPr="00CB32B1">
              <w:rPr>
                <w:rFonts w:asciiTheme="majorHAnsi" w:hAnsiTheme="majorHAnsi"/>
              </w:rPr>
              <w:t>Reason</w:t>
            </w:r>
          </w:p>
        </w:tc>
        <w:tc>
          <w:tcPr>
            <w:tcW w:w="987" w:type="pct"/>
            <w:shd w:val="clear" w:color="auto" w:fill="DC6900" w:themeFill="text2"/>
            <w:vAlign w:val="center"/>
          </w:tcPr>
          <w:p w:rsidR="00D3737C" w:rsidRPr="00CB32B1" w:rsidRDefault="00D3737C" w:rsidP="00747120">
            <w:pPr>
              <w:pStyle w:val="NumericTableColumnHeadingNormal"/>
              <w:jc w:val="center"/>
              <w:cnfStyle w:val="100000000000"/>
              <w:rPr>
                <w:rFonts w:asciiTheme="majorHAnsi" w:hAnsiTheme="majorHAnsi"/>
              </w:rPr>
            </w:pPr>
            <w:r w:rsidRPr="00CB32B1">
              <w:rPr>
                <w:rFonts w:asciiTheme="majorHAnsi" w:hAnsiTheme="majorHAnsi"/>
              </w:rPr>
              <w:t>Count of responses</w:t>
            </w:r>
          </w:p>
        </w:tc>
        <w:tc>
          <w:tcPr>
            <w:tcW w:w="987" w:type="pct"/>
            <w:shd w:val="clear" w:color="auto" w:fill="DC6900" w:themeFill="text2"/>
            <w:vAlign w:val="center"/>
          </w:tcPr>
          <w:p w:rsidR="00D3737C" w:rsidRPr="00CB32B1" w:rsidRDefault="00D3737C" w:rsidP="00747120">
            <w:pPr>
              <w:pStyle w:val="NumericTableColumnHeadingNormal"/>
              <w:jc w:val="center"/>
              <w:cnfStyle w:val="100000000000"/>
              <w:rPr>
                <w:rFonts w:asciiTheme="majorHAnsi" w:hAnsiTheme="majorHAnsi"/>
              </w:rPr>
            </w:pPr>
            <w:r w:rsidRPr="00CB32B1">
              <w:rPr>
                <w:rFonts w:asciiTheme="majorHAnsi" w:hAnsiTheme="majorHAnsi"/>
              </w:rPr>
              <w:t>% of respondents</w:t>
            </w:r>
          </w:p>
        </w:tc>
      </w:tr>
      <w:tr w:rsidR="00D3737C" w:rsidRPr="00CB32B1" w:rsidTr="00D3737C">
        <w:tc>
          <w:tcPr>
            <w:cnfStyle w:val="001000000000"/>
            <w:tcW w:w="3026" w:type="pct"/>
            <w:gridSpan w:val="2"/>
          </w:tcPr>
          <w:p w:rsidR="00D3737C" w:rsidRPr="00CB32B1" w:rsidRDefault="00D3737C" w:rsidP="00CB06E4">
            <w:pPr>
              <w:pStyle w:val="NumericTableTextNormal"/>
              <w:rPr>
                <w:rFonts w:asciiTheme="majorHAnsi" w:hAnsiTheme="majorHAnsi"/>
              </w:rPr>
            </w:pPr>
            <w:r w:rsidRPr="00CB32B1">
              <w:rPr>
                <w:rFonts w:asciiTheme="majorHAnsi" w:hAnsiTheme="majorHAnsi"/>
              </w:rPr>
              <w:t>Employed in a public health maternity service</w:t>
            </w:r>
          </w:p>
        </w:tc>
        <w:tc>
          <w:tcPr>
            <w:tcW w:w="987" w:type="pct"/>
          </w:tcPr>
          <w:p w:rsidR="00D3737C" w:rsidRPr="00CB32B1" w:rsidRDefault="00D3737C" w:rsidP="00CB06E4">
            <w:pPr>
              <w:pStyle w:val="NumericTableTextDecimalNormal"/>
              <w:tabs>
                <w:tab w:val="clear" w:pos="1004"/>
              </w:tabs>
              <w:jc w:val="center"/>
              <w:cnfStyle w:val="000000000000"/>
              <w:rPr>
                <w:rFonts w:asciiTheme="majorHAnsi" w:hAnsiTheme="majorHAnsi"/>
              </w:rPr>
            </w:pPr>
            <w:r w:rsidRPr="00CB32B1">
              <w:rPr>
                <w:rFonts w:asciiTheme="majorHAnsi" w:hAnsiTheme="majorHAnsi"/>
              </w:rPr>
              <w:t>3</w:t>
            </w:r>
          </w:p>
        </w:tc>
        <w:tc>
          <w:tcPr>
            <w:tcW w:w="987" w:type="pct"/>
          </w:tcPr>
          <w:p w:rsidR="00D3737C" w:rsidRPr="00CB32B1" w:rsidRDefault="00D3737C" w:rsidP="00CB06E4">
            <w:pPr>
              <w:pStyle w:val="NumericTableTextDecimalNormal"/>
              <w:tabs>
                <w:tab w:val="clear" w:pos="1004"/>
              </w:tabs>
              <w:jc w:val="center"/>
              <w:cnfStyle w:val="000000000000"/>
              <w:rPr>
                <w:rFonts w:asciiTheme="majorHAnsi" w:hAnsiTheme="majorHAnsi"/>
              </w:rPr>
            </w:pPr>
            <w:r w:rsidRPr="00CB32B1">
              <w:rPr>
                <w:rFonts w:asciiTheme="majorHAnsi" w:hAnsiTheme="majorHAnsi"/>
              </w:rPr>
              <w:t>23%</w:t>
            </w:r>
          </w:p>
        </w:tc>
      </w:tr>
      <w:tr w:rsidR="00D3737C" w:rsidRPr="00CB32B1" w:rsidTr="00D3737C">
        <w:tc>
          <w:tcPr>
            <w:cnfStyle w:val="001000000000"/>
            <w:tcW w:w="3026" w:type="pct"/>
            <w:gridSpan w:val="2"/>
          </w:tcPr>
          <w:p w:rsidR="00D3737C" w:rsidRPr="00CB32B1" w:rsidRDefault="00D3737C" w:rsidP="00CB06E4">
            <w:pPr>
              <w:pStyle w:val="NumericTableTextNormal"/>
              <w:rPr>
                <w:rFonts w:asciiTheme="majorHAnsi" w:hAnsiTheme="majorHAnsi"/>
              </w:rPr>
            </w:pPr>
            <w:r w:rsidRPr="00CB32B1">
              <w:rPr>
                <w:rFonts w:asciiTheme="majorHAnsi" w:hAnsiTheme="majorHAnsi"/>
              </w:rPr>
              <w:t>Employed in a private health maternity service</w:t>
            </w:r>
          </w:p>
        </w:tc>
        <w:tc>
          <w:tcPr>
            <w:tcW w:w="987" w:type="pct"/>
          </w:tcPr>
          <w:p w:rsidR="00D3737C" w:rsidRPr="00CB32B1" w:rsidRDefault="00D3737C" w:rsidP="00CB06E4">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c>
          <w:tcPr>
            <w:tcW w:w="987" w:type="pct"/>
          </w:tcPr>
          <w:p w:rsidR="00D3737C" w:rsidRPr="00CB32B1" w:rsidRDefault="00D3737C" w:rsidP="00CB06E4">
            <w:pPr>
              <w:pStyle w:val="NumericTableTextDecimalNormal"/>
              <w:tabs>
                <w:tab w:val="clear" w:pos="1004"/>
              </w:tabs>
              <w:jc w:val="center"/>
              <w:cnfStyle w:val="000000000000"/>
              <w:rPr>
                <w:rFonts w:asciiTheme="majorHAnsi" w:hAnsiTheme="majorHAnsi"/>
              </w:rPr>
            </w:pPr>
            <w:r w:rsidRPr="00CB32B1">
              <w:rPr>
                <w:rFonts w:asciiTheme="majorHAnsi" w:hAnsiTheme="majorHAnsi"/>
              </w:rPr>
              <w:t>8%</w:t>
            </w:r>
          </w:p>
        </w:tc>
      </w:tr>
      <w:tr w:rsidR="00D3737C" w:rsidRPr="00CB32B1" w:rsidTr="00D3737C">
        <w:tc>
          <w:tcPr>
            <w:cnfStyle w:val="001000000000"/>
            <w:tcW w:w="3026" w:type="pct"/>
            <w:gridSpan w:val="2"/>
          </w:tcPr>
          <w:p w:rsidR="00D3737C" w:rsidRPr="00CB32B1" w:rsidRDefault="00D3737C" w:rsidP="00CB06E4">
            <w:pPr>
              <w:pStyle w:val="NumericTableTextNormal"/>
              <w:rPr>
                <w:rFonts w:asciiTheme="majorHAnsi" w:hAnsiTheme="majorHAnsi"/>
              </w:rPr>
            </w:pPr>
            <w:r w:rsidRPr="00CB32B1">
              <w:rPr>
                <w:rFonts w:asciiTheme="majorHAnsi" w:hAnsiTheme="majorHAnsi"/>
              </w:rPr>
              <w:t>Not currently practising as a midwife</w:t>
            </w:r>
          </w:p>
        </w:tc>
        <w:tc>
          <w:tcPr>
            <w:tcW w:w="987" w:type="pct"/>
          </w:tcPr>
          <w:p w:rsidR="00D3737C" w:rsidRPr="00CB32B1" w:rsidRDefault="00D3737C" w:rsidP="00CB06E4">
            <w:pPr>
              <w:pStyle w:val="NumericTableTextDecimalNormal"/>
              <w:tabs>
                <w:tab w:val="clear" w:pos="1004"/>
              </w:tabs>
              <w:jc w:val="center"/>
              <w:cnfStyle w:val="000000000000"/>
              <w:rPr>
                <w:rFonts w:asciiTheme="majorHAnsi" w:hAnsiTheme="majorHAnsi"/>
              </w:rPr>
            </w:pPr>
            <w:r w:rsidRPr="00CB32B1">
              <w:rPr>
                <w:rFonts w:asciiTheme="majorHAnsi" w:hAnsiTheme="majorHAnsi"/>
              </w:rPr>
              <w:t>3</w:t>
            </w:r>
          </w:p>
        </w:tc>
        <w:tc>
          <w:tcPr>
            <w:tcW w:w="987" w:type="pct"/>
          </w:tcPr>
          <w:p w:rsidR="00D3737C" w:rsidRPr="00CB32B1" w:rsidRDefault="00D3737C" w:rsidP="00CB06E4">
            <w:pPr>
              <w:pStyle w:val="NumericTableTextDecimalNormal"/>
              <w:tabs>
                <w:tab w:val="clear" w:pos="1004"/>
              </w:tabs>
              <w:jc w:val="center"/>
              <w:cnfStyle w:val="000000000000"/>
              <w:rPr>
                <w:rFonts w:asciiTheme="majorHAnsi" w:hAnsiTheme="majorHAnsi"/>
              </w:rPr>
            </w:pPr>
            <w:r w:rsidRPr="00CB32B1">
              <w:rPr>
                <w:rFonts w:asciiTheme="majorHAnsi" w:hAnsiTheme="majorHAnsi"/>
              </w:rPr>
              <w:t>23%</w:t>
            </w:r>
          </w:p>
        </w:tc>
      </w:tr>
      <w:tr w:rsidR="00D3737C" w:rsidRPr="00CB32B1" w:rsidTr="00D3737C">
        <w:tc>
          <w:tcPr>
            <w:cnfStyle w:val="001000000000"/>
            <w:tcW w:w="3026" w:type="pct"/>
            <w:gridSpan w:val="2"/>
          </w:tcPr>
          <w:p w:rsidR="00D3737C" w:rsidRPr="00CB32B1" w:rsidRDefault="00D3737C" w:rsidP="00CB06E4">
            <w:pPr>
              <w:pStyle w:val="NumericTableTextNormal"/>
              <w:rPr>
                <w:rFonts w:asciiTheme="majorHAnsi" w:hAnsiTheme="majorHAnsi"/>
              </w:rPr>
            </w:pPr>
            <w:r w:rsidRPr="00CB32B1">
              <w:rPr>
                <w:rFonts w:asciiTheme="majorHAnsi" w:hAnsiTheme="majorHAnsi"/>
              </w:rPr>
              <w:t>Not intending to provide homebirth services</w:t>
            </w:r>
          </w:p>
        </w:tc>
        <w:tc>
          <w:tcPr>
            <w:tcW w:w="987" w:type="pct"/>
          </w:tcPr>
          <w:p w:rsidR="00D3737C" w:rsidRPr="00CB32B1" w:rsidRDefault="00D3737C" w:rsidP="00CB06E4">
            <w:pPr>
              <w:pStyle w:val="NumericTableTextDecimalNormal"/>
              <w:tabs>
                <w:tab w:val="clear" w:pos="1004"/>
              </w:tabs>
              <w:jc w:val="center"/>
              <w:cnfStyle w:val="000000000000"/>
              <w:rPr>
                <w:rFonts w:asciiTheme="majorHAnsi" w:hAnsiTheme="majorHAnsi"/>
              </w:rPr>
            </w:pPr>
            <w:r w:rsidRPr="00CB32B1">
              <w:rPr>
                <w:rFonts w:asciiTheme="majorHAnsi" w:hAnsiTheme="majorHAnsi"/>
              </w:rPr>
              <w:t>3</w:t>
            </w:r>
          </w:p>
        </w:tc>
        <w:tc>
          <w:tcPr>
            <w:tcW w:w="987" w:type="pct"/>
          </w:tcPr>
          <w:p w:rsidR="00D3737C" w:rsidRPr="00CB32B1" w:rsidRDefault="00D3737C" w:rsidP="00CB06E4">
            <w:pPr>
              <w:pStyle w:val="NumericTableTextDecimalNormal"/>
              <w:tabs>
                <w:tab w:val="clear" w:pos="1004"/>
              </w:tabs>
              <w:jc w:val="center"/>
              <w:cnfStyle w:val="000000000000"/>
              <w:rPr>
                <w:rFonts w:asciiTheme="majorHAnsi" w:hAnsiTheme="majorHAnsi"/>
              </w:rPr>
            </w:pPr>
            <w:r w:rsidRPr="00CB32B1">
              <w:rPr>
                <w:rFonts w:asciiTheme="majorHAnsi" w:hAnsiTheme="majorHAnsi"/>
              </w:rPr>
              <w:t>23%</w:t>
            </w:r>
          </w:p>
        </w:tc>
      </w:tr>
      <w:tr w:rsidR="00D3737C" w:rsidRPr="00CB32B1" w:rsidTr="00D3737C">
        <w:tc>
          <w:tcPr>
            <w:cnfStyle w:val="001000000000"/>
            <w:tcW w:w="1513" w:type="pct"/>
          </w:tcPr>
          <w:p w:rsidR="00D3737C" w:rsidRPr="00CB32B1" w:rsidRDefault="00D3737C" w:rsidP="00CB06E4">
            <w:pPr>
              <w:pStyle w:val="NumericTableTextNormal"/>
              <w:rPr>
                <w:rFonts w:asciiTheme="majorHAnsi" w:hAnsiTheme="majorHAnsi"/>
              </w:rPr>
            </w:pPr>
            <w:r w:rsidRPr="00CB32B1">
              <w:rPr>
                <w:rFonts w:asciiTheme="majorHAnsi" w:hAnsiTheme="majorHAnsi"/>
              </w:rPr>
              <w:t>Other:</w:t>
            </w:r>
          </w:p>
          <w:p w:rsidR="00D3737C" w:rsidRPr="00CB32B1" w:rsidRDefault="00D3737C" w:rsidP="00CB06E4">
            <w:pPr>
              <w:pStyle w:val="NumericTableTextNormal"/>
              <w:rPr>
                <w:rFonts w:asciiTheme="majorHAnsi" w:hAnsiTheme="majorHAnsi"/>
              </w:rPr>
            </w:pPr>
            <w:r w:rsidRPr="00CB32B1">
              <w:rPr>
                <w:rFonts w:asciiTheme="majorHAnsi" w:hAnsiTheme="majorHAnsi"/>
              </w:rPr>
              <w:t>Primary Health Clinic</w:t>
            </w:r>
          </w:p>
          <w:p w:rsidR="00D3737C" w:rsidRPr="00CB32B1" w:rsidRDefault="00D3737C" w:rsidP="00CB06E4">
            <w:pPr>
              <w:pStyle w:val="NumericTableTextNormal"/>
              <w:rPr>
                <w:rFonts w:asciiTheme="majorHAnsi" w:hAnsiTheme="majorHAnsi"/>
              </w:rPr>
            </w:pPr>
            <w:r w:rsidRPr="00CB32B1">
              <w:rPr>
                <w:rFonts w:asciiTheme="majorHAnsi" w:hAnsiTheme="majorHAnsi"/>
              </w:rPr>
              <w:t>Work in a teaching capacity</w:t>
            </w:r>
          </w:p>
          <w:p w:rsidR="00D3737C" w:rsidRPr="00CB32B1" w:rsidRDefault="00D3737C" w:rsidP="00CB06E4">
            <w:pPr>
              <w:pStyle w:val="NumericTableTextNormal"/>
              <w:rPr>
                <w:rFonts w:asciiTheme="majorHAnsi" w:hAnsiTheme="majorHAnsi"/>
              </w:rPr>
            </w:pPr>
            <w:r w:rsidRPr="00CB32B1">
              <w:rPr>
                <w:rFonts w:asciiTheme="majorHAnsi" w:hAnsiTheme="majorHAnsi"/>
              </w:rPr>
              <w:t>Ceased insurance</w:t>
            </w:r>
          </w:p>
          <w:p w:rsidR="00D3737C" w:rsidRPr="00CB32B1" w:rsidRDefault="00D3737C" w:rsidP="00CB06E4">
            <w:pPr>
              <w:pStyle w:val="NumericTableTextNormal"/>
              <w:rPr>
                <w:rFonts w:asciiTheme="majorHAnsi" w:hAnsiTheme="majorHAnsi"/>
              </w:rPr>
            </w:pPr>
            <w:r w:rsidRPr="00CB32B1">
              <w:rPr>
                <w:rFonts w:asciiTheme="majorHAnsi" w:hAnsiTheme="majorHAnsi"/>
              </w:rPr>
              <w:t>University appointment</w:t>
            </w:r>
          </w:p>
        </w:tc>
        <w:tc>
          <w:tcPr>
            <w:tcW w:w="1513" w:type="pct"/>
          </w:tcPr>
          <w:p w:rsidR="00D3737C" w:rsidRPr="00CB32B1" w:rsidRDefault="00D3737C" w:rsidP="00CB06E4">
            <w:pPr>
              <w:pStyle w:val="NumericTableTextNormal"/>
              <w:cnfStyle w:val="000000000000"/>
              <w:rPr>
                <w:rFonts w:asciiTheme="majorHAnsi" w:hAnsiTheme="majorHAnsi"/>
              </w:rPr>
            </w:pPr>
            <w:r w:rsidRPr="00CB32B1">
              <w:rPr>
                <w:rFonts w:asciiTheme="majorHAnsi" w:hAnsiTheme="majorHAnsi"/>
              </w:rPr>
              <w:t>Employed as a GP nurse</w:t>
            </w:r>
          </w:p>
          <w:p w:rsidR="00D3737C" w:rsidRPr="00CB32B1" w:rsidRDefault="00D3737C" w:rsidP="00CB06E4">
            <w:pPr>
              <w:pStyle w:val="NumericTableTextNormal"/>
              <w:cnfStyle w:val="000000000000"/>
              <w:rPr>
                <w:rFonts w:asciiTheme="majorHAnsi" w:hAnsiTheme="majorHAnsi"/>
              </w:rPr>
            </w:pPr>
            <w:r w:rsidRPr="00CB32B1">
              <w:rPr>
                <w:rFonts w:asciiTheme="majorHAnsi" w:hAnsiTheme="majorHAnsi"/>
              </w:rPr>
              <w:t>Practised overseas, awaiting registration in Australia</w:t>
            </w:r>
          </w:p>
        </w:tc>
        <w:tc>
          <w:tcPr>
            <w:tcW w:w="987" w:type="pct"/>
          </w:tcPr>
          <w:p w:rsidR="00D3737C" w:rsidRPr="00CB32B1" w:rsidRDefault="00D3737C" w:rsidP="00CB06E4">
            <w:pPr>
              <w:pStyle w:val="NumericTableTextDecimalNormal"/>
              <w:tabs>
                <w:tab w:val="clear" w:pos="1004"/>
              </w:tabs>
              <w:jc w:val="center"/>
              <w:cnfStyle w:val="000000000000"/>
              <w:rPr>
                <w:rFonts w:asciiTheme="majorHAnsi" w:hAnsiTheme="majorHAnsi"/>
              </w:rPr>
            </w:pPr>
            <w:r w:rsidRPr="00CB32B1">
              <w:rPr>
                <w:rFonts w:asciiTheme="majorHAnsi" w:hAnsiTheme="majorHAnsi"/>
              </w:rPr>
              <w:t>6</w:t>
            </w:r>
          </w:p>
        </w:tc>
        <w:tc>
          <w:tcPr>
            <w:tcW w:w="987" w:type="pct"/>
          </w:tcPr>
          <w:p w:rsidR="00D3737C" w:rsidRPr="00CB32B1" w:rsidRDefault="00D3737C" w:rsidP="00CB06E4">
            <w:pPr>
              <w:pStyle w:val="NumericTableTextDecimalNormal"/>
              <w:tabs>
                <w:tab w:val="clear" w:pos="1004"/>
              </w:tabs>
              <w:jc w:val="center"/>
              <w:cnfStyle w:val="000000000000"/>
              <w:rPr>
                <w:rFonts w:asciiTheme="majorHAnsi" w:hAnsiTheme="majorHAnsi"/>
              </w:rPr>
            </w:pPr>
            <w:r w:rsidRPr="00CB32B1">
              <w:rPr>
                <w:rFonts w:asciiTheme="majorHAnsi" w:hAnsiTheme="majorHAnsi"/>
              </w:rPr>
              <w:t>46%</w:t>
            </w:r>
          </w:p>
        </w:tc>
      </w:tr>
    </w:tbl>
    <w:p w:rsidR="00D3737C" w:rsidRPr="00CB32B1" w:rsidRDefault="00CB06E4" w:rsidP="00CB06E4">
      <w:pPr>
        <w:pStyle w:val="Minorheading"/>
      </w:pPr>
      <w:r w:rsidRPr="00CB32B1">
        <w:t>How are homebirth services being provided?</w:t>
      </w:r>
    </w:p>
    <w:p w:rsidR="00D3737C" w:rsidRPr="00CB32B1" w:rsidRDefault="00CB06E4" w:rsidP="00CB06E4">
      <w:pPr>
        <w:pStyle w:val="PwCNormal"/>
      </w:pPr>
      <w:r w:rsidRPr="00CB32B1">
        <w:t xml:space="preserve">Participants who had provided maternity services in the home in the past 12 months were asked how they provide services. </w:t>
      </w:r>
      <w:r w:rsidRPr="00CB32B1">
        <w:rPr>
          <w:b/>
          <w:color w:val="DC6900" w:themeColor="text2"/>
        </w:rPr>
        <w:t>79%</w:t>
      </w:r>
      <w:r w:rsidRPr="00CB32B1">
        <w:t xml:space="preserve"> are privately practising, as a sole practitioner, within a partnership or collective, or are employed by a company owned solely by either themselves or practising midwives.</w:t>
      </w:r>
    </w:p>
    <w:tbl>
      <w:tblPr>
        <w:tblStyle w:val="PwCTableStyle1"/>
        <w:tblW w:w="5000" w:type="pct"/>
        <w:tblLook w:val="04A0"/>
      </w:tblPr>
      <w:tblGrid>
        <w:gridCol w:w="5619"/>
        <w:gridCol w:w="1833"/>
        <w:gridCol w:w="1833"/>
      </w:tblGrid>
      <w:tr w:rsidR="007C28D8" w:rsidRPr="00CB32B1" w:rsidTr="00747120">
        <w:trPr>
          <w:cnfStyle w:val="100000000000"/>
        </w:trPr>
        <w:tc>
          <w:tcPr>
            <w:cnfStyle w:val="001000000000"/>
            <w:tcW w:w="3026" w:type="pct"/>
            <w:shd w:val="clear" w:color="auto" w:fill="DC6900" w:themeFill="text2"/>
            <w:vAlign w:val="center"/>
          </w:tcPr>
          <w:p w:rsidR="007C28D8" w:rsidRPr="00CB32B1" w:rsidRDefault="007C28D8" w:rsidP="00747120">
            <w:pPr>
              <w:pStyle w:val="NumericTableColumnHeadingNormal"/>
              <w:rPr>
                <w:rFonts w:asciiTheme="majorHAnsi" w:hAnsiTheme="majorHAnsi"/>
              </w:rPr>
            </w:pPr>
            <w:r w:rsidRPr="00CB32B1">
              <w:rPr>
                <w:rFonts w:asciiTheme="majorHAnsi" w:hAnsiTheme="majorHAnsi"/>
              </w:rPr>
              <w:t>Method of provision</w:t>
            </w:r>
          </w:p>
        </w:tc>
        <w:tc>
          <w:tcPr>
            <w:tcW w:w="987" w:type="pct"/>
            <w:shd w:val="clear" w:color="auto" w:fill="DC6900" w:themeFill="text2"/>
            <w:vAlign w:val="center"/>
          </w:tcPr>
          <w:p w:rsidR="007C28D8" w:rsidRPr="00CB32B1" w:rsidRDefault="007C28D8" w:rsidP="00747120">
            <w:pPr>
              <w:pStyle w:val="NumericTableColumnHeadingNormal"/>
              <w:jc w:val="center"/>
              <w:cnfStyle w:val="100000000000"/>
              <w:rPr>
                <w:rFonts w:asciiTheme="majorHAnsi" w:hAnsiTheme="majorHAnsi"/>
              </w:rPr>
            </w:pPr>
            <w:r w:rsidRPr="00CB32B1">
              <w:rPr>
                <w:rFonts w:asciiTheme="majorHAnsi" w:hAnsiTheme="majorHAnsi"/>
              </w:rPr>
              <w:t>Count of responses</w:t>
            </w:r>
          </w:p>
        </w:tc>
        <w:tc>
          <w:tcPr>
            <w:tcW w:w="987" w:type="pct"/>
            <w:shd w:val="clear" w:color="auto" w:fill="DC6900" w:themeFill="text2"/>
            <w:vAlign w:val="center"/>
          </w:tcPr>
          <w:p w:rsidR="007C28D8" w:rsidRPr="00CB32B1" w:rsidRDefault="007C28D8" w:rsidP="00747120">
            <w:pPr>
              <w:pStyle w:val="NumericTableColumnHeadingNormal"/>
              <w:jc w:val="center"/>
              <w:cnfStyle w:val="100000000000"/>
              <w:rPr>
                <w:rFonts w:asciiTheme="majorHAnsi" w:hAnsiTheme="majorHAnsi"/>
              </w:rPr>
            </w:pPr>
            <w:r w:rsidRPr="00CB32B1">
              <w:rPr>
                <w:rFonts w:asciiTheme="majorHAnsi" w:hAnsiTheme="majorHAnsi"/>
              </w:rPr>
              <w:t>% of respondents</w:t>
            </w:r>
          </w:p>
        </w:tc>
      </w:tr>
      <w:tr w:rsidR="007C28D8" w:rsidRPr="00CB32B1" w:rsidTr="007C28D8">
        <w:tc>
          <w:tcPr>
            <w:cnfStyle w:val="001000000000"/>
            <w:tcW w:w="3026" w:type="pct"/>
          </w:tcPr>
          <w:p w:rsidR="007C28D8" w:rsidRPr="00CB32B1" w:rsidRDefault="007C28D8" w:rsidP="007C28D8">
            <w:pPr>
              <w:pStyle w:val="NumericTableTextNormal"/>
              <w:rPr>
                <w:rFonts w:asciiTheme="majorHAnsi" w:hAnsiTheme="majorHAnsi"/>
              </w:rPr>
            </w:pPr>
            <w:r w:rsidRPr="00CB32B1">
              <w:rPr>
                <w:rFonts w:asciiTheme="majorHAnsi" w:hAnsiTheme="majorHAnsi"/>
              </w:rPr>
              <w:t xml:space="preserve">Privately practising </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57</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79%</w:t>
            </w:r>
          </w:p>
        </w:tc>
      </w:tr>
      <w:tr w:rsidR="007C28D8" w:rsidRPr="00CB32B1" w:rsidTr="007C28D8">
        <w:tc>
          <w:tcPr>
            <w:cnfStyle w:val="001000000000"/>
            <w:tcW w:w="3026" w:type="pct"/>
          </w:tcPr>
          <w:p w:rsidR="007C28D8" w:rsidRPr="00CB32B1" w:rsidRDefault="007C28D8" w:rsidP="007C28D8">
            <w:pPr>
              <w:pStyle w:val="NumericTableTextNormal"/>
              <w:rPr>
                <w:rFonts w:asciiTheme="majorHAnsi" w:hAnsiTheme="majorHAnsi"/>
              </w:rPr>
            </w:pPr>
            <w:r w:rsidRPr="00CB32B1">
              <w:rPr>
                <w:rFonts w:asciiTheme="majorHAnsi" w:hAnsiTheme="majorHAnsi"/>
              </w:rPr>
              <w:t>Practise through a public health service</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3</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4%</w:t>
            </w:r>
          </w:p>
        </w:tc>
      </w:tr>
      <w:tr w:rsidR="007C28D8" w:rsidRPr="00CB32B1" w:rsidTr="007C28D8">
        <w:tc>
          <w:tcPr>
            <w:cnfStyle w:val="001000000000"/>
            <w:tcW w:w="3026" w:type="pct"/>
          </w:tcPr>
          <w:p w:rsidR="007C28D8" w:rsidRPr="00CB32B1" w:rsidRDefault="007C28D8" w:rsidP="007C28D8">
            <w:pPr>
              <w:pStyle w:val="NumericTableTextNormal"/>
              <w:rPr>
                <w:rFonts w:asciiTheme="majorHAnsi" w:hAnsiTheme="majorHAnsi"/>
              </w:rPr>
            </w:pPr>
            <w:r w:rsidRPr="00CB32B1">
              <w:rPr>
                <w:rFonts w:asciiTheme="majorHAnsi" w:hAnsiTheme="majorHAnsi"/>
              </w:rPr>
              <w:t>Community midwifery program</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2</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3%</w:t>
            </w:r>
          </w:p>
        </w:tc>
      </w:tr>
      <w:tr w:rsidR="007C28D8" w:rsidRPr="00CB32B1" w:rsidTr="007C28D8">
        <w:tc>
          <w:tcPr>
            <w:cnfStyle w:val="001000000000"/>
            <w:tcW w:w="3026" w:type="pct"/>
          </w:tcPr>
          <w:p w:rsidR="007C28D8" w:rsidRPr="00CB32B1" w:rsidRDefault="007C28D8" w:rsidP="007C28D8">
            <w:pPr>
              <w:pStyle w:val="NumericTableTextNormal"/>
              <w:rPr>
                <w:rFonts w:asciiTheme="majorHAnsi" w:hAnsiTheme="majorHAnsi"/>
              </w:rPr>
            </w:pPr>
            <w:r w:rsidRPr="00CB32B1">
              <w:rPr>
                <w:rFonts w:asciiTheme="majorHAnsi" w:hAnsiTheme="majorHAnsi"/>
              </w:rPr>
              <w:t>Antenatal and postnatal home visits only, no homebirths</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r>
      <w:tr w:rsidR="007C28D8" w:rsidRPr="00CB32B1" w:rsidTr="007C28D8">
        <w:tc>
          <w:tcPr>
            <w:cnfStyle w:val="001000000000"/>
            <w:tcW w:w="3026" w:type="pct"/>
          </w:tcPr>
          <w:p w:rsidR="007C28D8" w:rsidRPr="00CB32B1" w:rsidRDefault="007C28D8" w:rsidP="007C28D8">
            <w:pPr>
              <w:pStyle w:val="NumericTableTextNormal"/>
              <w:rPr>
                <w:rFonts w:asciiTheme="majorHAnsi" w:hAnsiTheme="majorHAnsi"/>
              </w:rPr>
            </w:pPr>
            <w:r w:rsidRPr="00CB32B1">
              <w:rPr>
                <w:rFonts w:asciiTheme="majorHAnsi" w:hAnsiTheme="majorHAnsi"/>
              </w:rPr>
              <w:t>As a private eligible midwife, providing only antenatal care</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r>
      <w:tr w:rsidR="007C28D8" w:rsidRPr="00CB32B1" w:rsidTr="007C28D8">
        <w:tc>
          <w:tcPr>
            <w:cnfStyle w:val="001000000000"/>
            <w:tcW w:w="3026" w:type="pct"/>
          </w:tcPr>
          <w:p w:rsidR="007C28D8" w:rsidRPr="00CB32B1" w:rsidRDefault="007C28D8" w:rsidP="007C28D8">
            <w:pPr>
              <w:pStyle w:val="NumericTableTextNormal"/>
              <w:rPr>
                <w:rFonts w:asciiTheme="majorHAnsi" w:hAnsiTheme="majorHAnsi"/>
              </w:rPr>
            </w:pPr>
            <w:r w:rsidRPr="00CB32B1">
              <w:rPr>
                <w:rFonts w:asciiTheme="majorHAnsi" w:hAnsiTheme="majorHAnsi"/>
              </w:rPr>
              <w:t>Birth Centre</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r>
      <w:tr w:rsidR="007C28D8" w:rsidRPr="00CB32B1" w:rsidTr="007C28D8">
        <w:tc>
          <w:tcPr>
            <w:cnfStyle w:val="001000000000"/>
            <w:tcW w:w="3026" w:type="pct"/>
          </w:tcPr>
          <w:p w:rsidR="007C28D8" w:rsidRPr="00CB32B1" w:rsidRDefault="007C28D8" w:rsidP="007C28D8">
            <w:pPr>
              <w:pStyle w:val="NumericTableTextNormal"/>
              <w:rPr>
                <w:rFonts w:asciiTheme="majorHAnsi" w:hAnsiTheme="majorHAnsi"/>
              </w:rPr>
            </w:pPr>
            <w:r w:rsidRPr="00CB32B1">
              <w:rPr>
                <w:rFonts w:asciiTheme="majorHAnsi" w:hAnsiTheme="majorHAnsi"/>
              </w:rPr>
              <w:t>Group Practice Midwifery model of care</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r>
      <w:tr w:rsidR="007C28D8" w:rsidRPr="00CB32B1" w:rsidTr="007C28D8">
        <w:tc>
          <w:tcPr>
            <w:cnfStyle w:val="001000000000"/>
            <w:tcW w:w="3026" w:type="pct"/>
          </w:tcPr>
          <w:p w:rsidR="007C28D8" w:rsidRPr="00CB32B1" w:rsidRDefault="007C28D8" w:rsidP="007C28D8">
            <w:pPr>
              <w:pStyle w:val="NumericTableTextNormal"/>
              <w:rPr>
                <w:rFonts w:asciiTheme="majorHAnsi" w:hAnsiTheme="majorHAnsi"/>
              </w:rPr>
            </w:pPr>
            <w:r w:rsidRPr="00CB32B1">
              <w:rPr>
                <w:rFonts w:asciiTheme="majorHAnsi" w:hAnsiTheme="majorHAnsi"/>
              </w:rPr>
              <w:t>I am not providing homebirth services because no insurance available for homebirth</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r>
      <w:tr w:rsidR="007C28D8" w:rsidRPr="00CB32B1" w:rsidTr="007C28D8">
        <w:tc>
          <w:tcPr>
            <w:cnfStyle w:val="001000000000"/>
            <w:tcW w:w="3026" w:type="pct"/>
          </w:tcPr>
          <w:p w:rsidR="007C28D8" w:rsidRPr="00CB32B1" w:rsidRDefault="007C28D8" w:rsidP="007C28D8">
            <w:pPr>
              <w:pStyle w:val="NumericTableTextNormal"/>
              <w:rPr>
                <w:rFonts w:asciiTheme="majorHAnsi" w:hAnsiTheme="majorHAnsi"/>
              </w:rPr>
            </w:pPr>
            <w:r w:rsidRPr="00CB32B1">
              <w:rPr>
                <w:rFonts w:asciiTheme="majorHAnsi" w:hAnsiTheme="majorHAnsi"/>
              </w:rPr>
              <w:t>Provide antenatal/postnatal services at home with birth in hospital</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r>
      <w:tr w:rsidR="007C28D8" w:rsidRPr="00CB32B1" w:rsidTr="007C28D8">
        <w:tc>
          <w:tcPr>
            <w:cnfStyle w:val="001000000000"/>
            <w:tcW w:w="3026" w:type="pct"/>
          </w:tcPr>
          <w:p w:rsidR="007C28D8" w:rsidRPr="00CB32B1" w:rsidRDefault="007C28D8" w:rsidP="007C28D8">
            <w:pPr>
              <w:pStyle w:val="NumericTableTextNormal"/>
              <w:rPr>
                <w:rFonts w:asciiTheme="majorHAnsi" w:hAnsiTheme="majorHAnsi"/>
              </w:rPr>
            </w:pPr>
            <w:r w:rsidRPr="00CB32B1">
              <w:rPr>
                <w:rFonts w:asciiTheme="majorHAnsi" w:hAnsiTheme="majorHAnsi"/>
              </w:rPr>
              <w:t>Provide services via a private obstetrician as well</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r>
      <w:tr w:rsidR="007C28D8" w:rsidRPr="00CB32B1" w:rsidTr="007C28D8">
        <w:tc>
          <w:tcPr>
            <w:cnfStyle w:val="001000000000"/>
            <w:tcW w:w="3026" w:type="pct"/>
          </w:tcPr>
          <w:p w:rsidR="007C28D8" w:rsidRPr="00CB32B1" w:rsidRDefault="007C28D8" w:rsidP="007C28D8">
            <w:pPr>
              <w:pStyle w:val="NumericTableTextNormal"/>
              <w:rPr>
                <w:rFonts w:asciiTheme="majorHAnsi" w:hAnsiTheme="majorHAnsi"/>
              </w:rPr>
            </w:pPr>
            <w:r w:rsidRPr="00CB32B1">
              <w:rPr>
                <w:rFonts w:asciiTheme="majorHAnsi" w:hAnsiTheme="majorHAnsi"/>
              </w:rPr>
              <w:t>Other</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r>
      <w:tr w:rsidR="007C28D8" w:rsidRPr="00CB32B1" w:rsidTr="007C28D8">
        <w:tc>
          <w:tcPr>
            <w:cnfStyle w:val="001000000000"/>
            <w:tcW w:w="3026" w:type="pct"/>
          </w:tcPr>
          <w:p w:rsidR="007C28D8" w:rsidRPr="00CB32B1" w:rsidRDefault="007C28D8" w:rsidP="007C28D8">
            <w:pPr>
              <w:pStyle w:val="NumericTableTextNormal"/>
              <w:rPr>
                <w:rFonts w:asciiTheme="majorHAnsi" w:hAnsiTheme="majorHAnsi"/>
              </w:rPr>
            </w:pPr>
            <w:r w:rsidRPr="00CB32B1">
              <w:rPr>
                <w:rFonts w:asciiTheme="majorHAnsi" w:hAnsiTheme="majorHAnsi"/>
              </w:rPr>
              <w:t>Not applicable</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r>
      <w:tr w:rsidR="007C28D8" w:rsidRPr="00CB32B1" w:rsidTr="007C28D8">
        <w:tc>
          <w:tcPr>
            <w:cnfStyle w:val="001000000000"/>
            <w:tcW w:w="3026" w:type="pct"/>
          </w:tcPr>
          <w:p w:rsidR="007C28D8" w:rsidRPr="00CB32B1" w:rsidRDefault="007C28D8" w:rsidP="007C28D8">
            <w:pPr>
              <w:pStyle w:val="NumericTableTextNormal"/>
              <w:rPr>
                <w:rFonts w:asciiTheme="majorHAnsi" w:hAnsiTheme="majorHAnsi"/>
              </w:rPr>
            </w:pPr>
            <w:r w:rsidRPr="00CB32B1">
              <w:rPr>
                <w:rFonts w:asciiTheme="majorHAnsi" w:hAnsiTheme="majorHAnsi"/>
              </w:rPr>
              <w:t>No response</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2</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r w:rsidRPr="00CB32B1">
              <w:rPr>
                <w:rFonts w:asciiTheme="majorHAnsi" w:hAnsiTheme="majorHAnsi"/>
              </w:rPr>
              <w:t>3%</w:t>
            </w:r>
          </w:p>
        </w:tc>
      </w:tr>
      <w:tr w:rsidR="007C28D8" w:rsidRPr="00CB32B1" w:rsidTr="007C28D8">
        <w:tc>
          <w:tcPr>
            <w:cnfStyle w:val="001000000000"/>
            <w:tcW w:w="3026" w:type="pct"/>
          </w:tcPr>
          <w:p w:rsidR="007C28D8" w:rsidRPr="00CB32B1" w:rsidRDefault="007C28D8" w:rsidP="007C28D8">
            <w:pPr>
              <w:pStyle w:val="NumericTableTextNormal"/>
              <w:rPr>
                <w:rFonts w:asciiTheme="majorHAnsi" w:hAnsiTheme="majorHAnsi"/>
                <w:b/>
                <w:color w:val="DC6900" w:themeColor="text2"/>
              </w:rPr>
            </w:pPr>
            <w:r w:rsidRPr="00CB32B1">
              <w:rPr>
                <w:rFonts w:asciiTheme="majorHAnsi" w:hAnsiTheme="majorHAnsi"/>
                <w:b/>
                <w:color w:val="DC6900" w:themeColor="text2"/>
              </w:rPr>
              <w:t>Total count</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b/>
                <w:color w:val="DC6900" w:themeColor="text2"/>
              </w:rPr>
            </w:pPr>
            <w:r w:rsidRPr="00CB32B1">
              <w:rPr>
                <w:rFonts w:asciiTheme="majorHAnsi" w:hAnsiTheme="majorHAnsi"/>
                <w:b/>
                <w:color w:val="DC6900" w:themeColor="text2"/>
              </w:rPr>
              <w:t>73</w:t>
            </w:r>
          </w:p>
        </w:tc>
        <w:tc>
          <w:tcPr>
            <w:tcW w:w="987" w:type="pct"/>
          </w:tcPr>
          <w:p w:rsidR="007C28D8" w:rsidRPr="00CB32B1" w:rsidRDefault="007C28D8" w:rsidP="007C28D8">
            <w:pPr>
              <w:pStyle w:val="NumericTableTextDecimalNormal"/>
              <w:tabs>
                <w:tab w:val="clear" w:pos="1004"/>
              </w:tabs>
              <w:jc w:val="center"/>
              <w:cnfStyle w:val="000000000000"/>
              <w:rPr>
                <w:rFonts w:asciiTheme="majorHAnsi" w:hAnsiTheme="majorHAnsi"/>
              </w:rPr>
            </w:pPr>
          </w:p>
        </w:tc>
      </w:tr>
    </w:tbl>
    <w:p w:rsidR="00D3737C" w:rsidRPr="00CB32B1" w:rsidRDefault="003705B6" w:rsidP="003705B6">
      <w:pPr>
        <w:pStyle w:val="Minorheading"/>
      </w:pPr>
      <w:r w:rsidRPr="00CB32B1">
        <w:t>What services are provided in the home?</w:t>
      </w:r>
    </w:p>
    <w:p w:rsidR="003705B6" w:rsidRPr="00CB32B1" w:rsidRDefault="003705B6" w:rsidP="003705B6">
      <w:pPr>
        <w:pStyle w:val="PwCNormal"/>
      </w:pPr>
      <w:r w:rsidRPr="00CB32B1">
        <w:t>Out of the 78 participants who responded to this question, the majority of those providing homebirths in private practice provide antenatal, intrapartum and postnatal care (</w:t>
      </w:r>
      <w:r w:rsidRPr="00CB32B1">
        <w:rPr>
          <w:b/>
          <w:color w:val="DC6900" w:themeColor="text2"/>
        </w:rPr>
        <w:t>65%</w:t>
      </w:r>
      <w:r w:rsidRPr="00CB32B1">
        <w:t>).</w:t>
      </w:r>
    </w:p>
    <w:tbl>
      <w:tblPr>
        <w:tblStyle w:val="PwCTableStyle1"/>
        <w:tblW w:w="5000" w:type="pct"/>
        <w:tblLook w:val="04A0"/>
      </w:tblPr>
      <w:tblGrid>
        <w:gridCol w:w="5844"/>
        <w:gridCol w:w="1608"/>
        <w:gridCol w:w="1833"/>
      </w:tblGrid>
      <w:tr w:rsidR="003705B6" w:rsidRPr="00CB32B1" w:rsidTr="00747120">
        <w:trPr>
          <w:cnfStyle w:val="100000000000"/>
        </w:trPr>
        <w:tc>
          <w:tcPr>
            <w:cnfStyle w:val="001000000000"/>
            <w:tcW w:w="3147" w:type="pct"/>
            <w:shd w:val="clear" w:color="auto" w:fill="DC6900" w:themeFill="text2"/>
            <w:vAlign w:val="center"/>
          </w:tcPr>
          <w:p w:rsidR="003705B6" w:rsidRPr="00CB32B1" w:rsidRDefault="003705B6" w:rsidP="00747120">
            <w:pPr>
              <w:pStyle w:val="NumericTableColumnHeadingNormal"/>
              <w:rPr>
                <w:rFonts w:asciiTheme="majorHAnsi" w:hAnsiTheme="majorHAnsi"/>
              </w:rPr>
            </w:pPr>
            <w:r w:rsidRPr="00CB32B1">
              <w:rPr>
                <w:rFonts w:asciiTheme="majorHAnsi" w:hAnsiTheme="majorHAnsi"/>
              </w:rPr>
              <w:t>Services provided</w:t>
            </w:r>
          </w:p>
        </w:tc>
        <w:tc>
          <w:tcPr>
            <w:tcW w:w="866" w:type="pct"/>
            <w:shd w:val="clear" w:color="auto" w:fill="DC6900" w:themeFill="text2"/>
            <w:vAlign w:val="center"/>
          </w:tcPr>
          <w:p w:rsidR="003705B6" w:rsidRPr="00CB32B1" w:rsidRDefault="003705B6" w:rsidP="00747120">
            <w:pPr>
              <w:pStyle w:val="NumericTableColumnHeadingNormal"/>
              <w:jc w:val="center"/>
              <w:cnfStyle w:val="100000000000"/>
              <w:rPr>
                <w:rFonts w:asciiTheme="majorHAnsi" w:hAnsiTheme="majorHAnsi"/>
              </w:rPr>
            </w:pPr>
            <w:r w:rsidRPr="00CB32B1">
              <w:rPr>
                <w:rFonts w:asciiTheme="majorHAnsi" w:hAnsiTheme="majorHAnsi"/>
              </w:rPr>
              <w:t>Count of responses</w:t>
            </w:r>
          </w:p>
        </w:tc>
        <w:tc>
          <w:tcPr>
            <w:tcW w:w="987" w:type="pct"/>
            <w:shd w:val="clear" w:color="auto" w:fill="DC6900" w:themeFill="text2"/>
            <w:vAlign w:val="center"/>
          </w:tcPr>
          <w:p w:rsidR="003705B6" w:rsidRPr="00CB32B1" w:rsidRDefault="003705B6" w:rsidP="00747120">
            <w:pPr>
              <w:pStyle w:val="NumericTableColumnHeadingNormal"/>
              <w:jc w:val="center"/>
              <w:cnfStyle w:val="100000000000"/>
              <w:rPr>
                <w:rFonts w:asciiTheme="majorHAnsi" w:hAnsiTheme="majorHAnsi"/>
              </w:rPr>
            </w:pPr>
            <w:r w:rsidRPr="00CB32B1">
              <w:rPr>
                <w:rFonts w:asciiTheme="majorHAnsi" w:hAnsiTheme="majorHAnsi"/>
              </w:rPr>
              <w:t>% of respondents</w:t>
            </w:r>
          </w:p>
        </w:tc>
      </w:tr>
      <w:tr w:rsidR="003705B6" w:rsidRPr="00CB32B1" w:rsidTr="003705B6">
        <w:tc>
          <w:tcPr>
            <w:cnfStyle w:val="001000000000"/>
            <w:tcW w:w="3147" w:type="pct"/>
          </w:tcPr>
          <w:p w:rsidR="003705B6" w:rsidRPr="00CB32B1" w:rsidRDefault="003705B6" w:rsidP="003705B6">
            <w:pPr>
              <w:pStyle w:val="NumericTableTextNormal"/>
              <w:rPr>
                <w:rFonts w:asciiTheme="majorHAnsi" w:hAnsiTheme="majorHAnsi"/>
              </w:rPr>
            </w:pPr>
            <w:r w:rsidRPr="00CB32B1">
              <w:rPr>
                <w:rFonts w:asciiTheme="majorHAnsi" w:hAnsiTheme="majorHAnsi"/>
              </w:rPr>
              <w:t>Only antenatal care</w:t>
            </w:r>
          </w:p>
        </w:tc>
        <w:tc>
          <w:tcPr>
            <w:tcW w:w="866" w:type="pct"/>
          </w:tcPr>
          <w:p w:rsidR="003705B6" w:rsidRPr="00CB32B1" w:rsidRDefault="003705B6" w:rsidP="003705B6">
            <w:pPr>
              <w:pStyle w:val="NumericTableTextDecimalNormal"/>
              <w:tabs>
                <w:tab w:val="clear" w:pos="1004"/>
              </w:tabs>
              <w:jc w:val="center"/>
              <w:cnfStyle w:val="000000000000"/>
              <w:rPr>
                <w:rFonts w:asciiTheme="majorHAnsi" w:hAnsiTheme="majorHAnsi"/>
              </w:rPr>
            </w:pPr>
            <w:r w:rsidRPr="00CB32B1">
              <w:rPr>
                <w:rFonts w:asciiTheme="majorHAnsi" w:hAnsiTheme="majorHAnsi"/>
              </w:rPr>
              <w:t>3</w:t>
            </w:r>
          </w:p>
        </w:tc>
        <w:tc>
          <w:tcPr>
            <w:tcW w:w="987" w:type="pct"/>
          </w:tcPr>
          <w:p w:rsidR="003705B6" w:rsidRPr="00CB32B1" w:rsidRDefault="003705B6" w:rsidP="003705B6">
            <w:pPr>
              <w:pStyle w:val="NumericTableTextDecimalNormal"/>
              <w:tabs>
                <w:tab w:val="clear" w:pos="1004"/>
              </w:tabs>
              <w:jc w:val="center"/>
              <w:cnfStyle w:val="000000000000"/>
              <w:rPr>
                <w:rFonts w:asciiTheme="majorHAnsi" w:hAnsiTheme="majorHAnsi"/>
              </w:rPr>
            </w:pPr>
            <w:r w:rsidRPr="00CB32B1">
              <w:rPr>
                <w:rFonts w:asciiTheme="majorHAnsi" w:hAnsiTheme="majorHAnsi"/>
              </w:rPr>
              <w:t>4%</w:t>
            </w:r>
          </w:p>
        </w:tc>
      </w:tr>
      <w:tr w:rsidR="003705B6" w:rsidRPr="00CB32B1" w:rsidTr="003705B6">
        <w:tc>
          <w:tcPr>
            <w:cnfStyle w:val="001000000000"/>
            <w:tcW w:w="3147" w:type="pct"/>
          </w:tcPr>
          <w:p w:rsidR="003705B6" w:rsidRPr="00CB32B1" w:rsidRDefault="003705B6" w:rsidP="003705B6">
            <w:pPr>
              <w:pStyle w:val="NumericTableTextNormal"/>
              <w:rPr>
                <w:rFonts w:asciiTheme="majorHAnsi" w:hAnsiTheme="majorHAnsi"/>
              </w:rPr>
            </w:pPr>
            <w:r w:rsidRPr="00CB32B1">
              <w:rPr>
                <w:rFonts w:asciiTheme="majorHAnsi" w:hAnsiTheme="majorHAnsi"/>
              </w:rPr>
              <w:t>Only intrapartum care</w:t>
            </w:r>
          </w:p>
        </w:tc>
        <w:tc>
          <w:tcPr>
            <w:tcW w:w="866" w:type="pct"/>
          </w:tcPr>
          <w:p w:rsidR="003705B6" w:rsidRPr="00CB32B1" w:rsidRDefault="003705B6" w:rsidP="003705B6">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c>
          <w:tcPr>
            <w:tcW w:w="987" w:type="pct"/>
          </w:tcPr>
          <w:p w:rsidR="003705B6" w:rsidRPr="00CB32B1" w:rsidRDefault="003705B6" w:rsidP="003705B6">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r>
      <w:tr w:rsidR="003705B6" w:rsidRPr="00CB32B1" w:rsidTr="003705B6">
        <w:tc>
          <w:tcPr>
            <w:cnfStyle w:val="001000000000"/>
            <w:tcW w:w="3147" w:type="pct"/>
          </w:tcPr>
          <w:p w:rsidR="003705B6" w:rsidRPr="00CB32B1" w:rsidRDefault="003705B6" w:rsidP="003705B6">
            <w:pPr>
              <w:pStyle w:val="NumericTableTextNormal"/>
              <w:rPr>
                <w:rFonts w:asciiTheme="majorHAnsi" w:hAnsiTheme="majorHAnsi"/>
              </w:rPr>
            </w:pPr>
            <w:r w:rsidRPr="00CB32B1">
              <w:rPr>
                <w:rFonts w:asciiTheme="majorHAnsi" w:hAnsiTheme="majorHAnsi"/>
              </w:rPr>
              <w:t>Antenatal care &amp; postnatal care</w:t>
            </w:r>
          </w:p>
        </w:tc>
        <w:tc>
          <w:tcPr>
            <w:tcW w:w="866" w:type="pct"/>
          </w:tcPr>
          <w:p w:rsidR="003705B6" w:rsidRPr="00CB32B1" w:rsidRDefault="003705B6" w:rsidP="003705B6">
            <w:pPr>
              <w:pStyle w:val="NumericTableTextDecimalNormal"/>
              <w:tabs>
                <w:tab w:val="clear" w:pos="1004"/>
              </w:tabs>
              <w:jc w:val="center"/>
              <w:cnfStyle w:val="000000000000"/>
              <w:rPr>
                <w:rFonts w:asciiTheme="majorHAnsi" w:hAnsiTheme="majorHAnsi"/>
              </w:rPr>
            </w:pPr>
            <w:r w:rsidRPr="00CB32B1">
              <w:rPr>
                <w:rFonts w:asciiTheme="majorHAnsi" w:hAnsiTheme="majorHAnsi"/>
              </w:rPr>
              <w:t>5</w:t>
            </w:r>
          </w:p>
        </w:tc>
        <w:tc>
          <w:tcPr>
            <w:tcW w:w="987" w:type="pct"/>
          </w:tcPr>
          <w:p w:rsidR="003705B6" w:rsidRPr="00CB32B1" w:rsidRDefault="003705B6" w:rsidP="003705B6">
            <w:pPr>
              <w:pStyle w:val="NumericTableTextDecimalNormal"/>
              <w:tabs>
                <w:tab w:val="clear" w:pos="1004"/>
              </w:tabs>
              <w:jc w:val="center"/>
              <w:cnfStyle w:val="000000000000"/>
              <w:rPr>
                <w:rFonts w:asciiTheme="majorHAnsi" w:hAnsiTheme="majorHAnsi"/>
              </w:rPr>
            </w:pPr>
            <w:r w:rsidRPr="00CB32B1">
              <w:rPr>
                <w:rFonts w:asciiTheme="majorHAnsi" w:hAnsiTheme="majorHAnsi"/>
              </w:rPr>
              <w:t>6%</w:t>
            </w:r>
          </w:p>
        </w:tc>
      </w:tr>
      <w:tr w:rsidR="003705B6" w:rsidRPr="00CB32B1" w:rsidTr="003705B6">
        <w:tc>
          <w:tcPr>
            <w:cnfStyle w:val="001000000000"/>
            <w:tcW w:w="3147" w:type="pct"/>
          </w:tcPr>
          <w:p w:rsidR="003705B6" w:rsidRPr="00CB32B1" w:rsidRDefault="003705B6" w:rsidP="003705B6">
            <w:pPr>
              <w:pStyle w:val="NumericTableTextNormal"/>
              <w:rPr>
                <w:rFonts w:asciiTheme="majorHAnsi" w:hAnsiTheme="majorHAnsi"/>
              </w:rPr>
            </w:pPr>
            <w:r w:rsidRPr="00CB32B1">
              <w:rPr>
                <w:rFonts w:asciiTheme="majorHAnsi" w:hAnsiTheme="majorHAnsi"/>
              </w:rPr>
              <w:t>Antenatal care, intrapartum care &amp; postnatal care</w:t>
            </w:r>
          </w:p>
        </w:tc>
        <w:tc>
          <w:tcPr>
            <w:tcW w:w="866" w:type="pct"/>
          </w:tcPr>
          <w:p w:rsidR="003705B6" w:rsidRPr="00CB32B1" w:rsidRDefault="003705B6" w:rsidP="003705B6">
            <w:pPr>
              <w:pStyle w:val="NumericTableTextDecimalNormal"/>
              <w:tabs>
                <w:tab w:val="clear" w:pos="1004"/>
              </w:tabs>
              <w:jc w:val="center"/>
              <w:cnfStyle w:val="000000000000"/>
              <w:rPr>
                <w:rFonts w:asciiTheme="majorHAnsi" w:hAnsiTheme="majorHAnsi"/>
              </w:rPr>
            </w:pPr>
            <w:r w:rsidRPr="00CB32B1">
              <w:rPr>
                <w:rFonts w:asciiTheme="majorHAnsi" w:hAnsiTheme="majorHAnsi"/>
              </w:rPr>
              <w:t>51</w:t>
            </w:r>
          </w:p>
        </w:tc>
        <w:tc>
          <w:tcPr>
            <w:tcW w:w="987" w:type="pct"/>
          </w:tcPr>
          <w:p w:rsidR="003705B6" w:rsidRPr="00CB32B1" w:rsidRDefault="003705B6" w:rsidP="003705B6">
            <w:pPr>
              <w:pStyle w:val="NumericTableTextDecimalNormal"/>
              <w:tabs>
                <w:tab w:val="clear" w:pos="1004"/>
              </w:tabs>
              <w:jc w:val="center"/>
              <w:cnfStyle w:val="000000000000"/>
              <w:rPr>
                <w:rFonts w:asciiTheme="majorHAnsi" w:hAnsiTheme="majorHAnsi"/>
              </w:rPr>
            </w:pPr>
            <w:r w:rsidRPr="00CB32B1">
              <w:rPr>
                <w:rFonts w:asciiTheme="majorHAnsi" w:hAnsiTheme="majorHAnsi"/>
              </w:rPr>
              <w:t>65%</w:t>
            </w:r>
          </w:p>
        </w:tc>
      </w:tr>
      <w:tr w:rsidR="003705B6" w:rsidRPr="00CB32B1" w:rsidTr="003705B6">
        <w:tc>
          <w:tcPr>
            <w:cnfStyle w:val="001000000000"/>
            <w:tcW w:w="3147" w:type="pct"/>
          </w:tcPr>
          <w:p w:rsidR="003705B6" w:rsidRPr="00CB32B1" w:rsidRDefault="003705B6" w:rsidP="003705B6">
            <w:pPr>
              <w:pStyle w:val="NumericTableTextNormal"/>
              <w:rPr>
                <w:rFonts w:asciiTheme="majorHAnsi" w:hAnsiTheme="majorHAnsi"/>
              </w:rPr>
            </w:pPr>
            <w:r w:rsidRPr="00CB32B1">
              <w:rPr>
                <w:rFonts w:asciiTheme="majorHAnsi" w:hAnsiTheme="majorHAnsi"/>
              </w:rPr>
              <w:t>Not applicable – privately practising homebirth services not provided</w:t>
            </w:r>
          </w:p>
        </w:tc>
        <w:tc>
          <w:tcPr>
            <w:tcW w:w="866" w:type="pct"/>
          </w:tcPr>
          <w:p w:rsidR="003705B6" w:rsidRPr="00CB32B1" w:rsidRDefault="003705B6" w:rsidP="003705B6">
            <w:pPr>
              <w:pStyle w:val="NumericTableTextDecimalNormal"/>
              <w:tabs>
                <w:tab w:val="clear" w:pos="1004"/>
              </w:tabs>
              <w:jc w:val="center"/>
              <w:cnfStyle w:val="000000000000"/>
              <w:rPr>
                <w:rFonts w:asciiTheme="majorHAnsi" w:hAnsiTheme="majorHAnsi"/>
              </w:rPr>
            </w:pPr>
            <w:r w:rsidRPr="00CB32B1">
              <w:rPr>
                <w:rFonts w:asciiTheme="majorHAnsi" w:hAnsiTheme="majorHAnsi"/>
              </w:rPr>
              <w:t>18</w:t>
            </w:r>
          </w:p>
        </w:tc>
        <w:tc>
          <w:tcPr>
            <w:tcW w:w="987" w:type="pct"/>
          </w:tcPr>
          <w:p w:rsidR="003705B6" w:rsidRPr="00CB32B1" w:rsidRDefault="003705B6" w:rsidP="003705B6">
            <w:pPr>
              <w:pStyle w:val="NumericTableTextDecimalNormal"/>
              <w:tabs>
                <w:tab w:val="clear" w:pos="1004"/>
              </w:tabs>
              <w:jc w:val="center"/>
              <w:cnfStyle w:val="000000000000"/>
              <w:rPr>
                <w:rFonts w:asciiTheme="majorHAnsi" w:hAnsiTheme="majorHAnsi"/>
              </w:rPr>
            </w:pPr>
            <w:r w:rsidRPr="00CB32B1">
              <w:rPr>
                <w:rFonts w:asciiTheme="majorHAnsi" w:hAnsiTheme="majorHAnsi"/>
              </w:rPr>
              <w:t>23%</w:t>
            </w:r>
          </w:p>
        </w:tc>
      </w:tr>
      <w:tr w:rsidR="003705B6" w:rsidRPr="00CB32B1" w:rsidTr="003705B6">
        <w:tc>
          <w:tcPr>
            <w:cnfStyle w:val="001000000000"/>
            <w:tcW w:w="3147" w:type="pct"/>
          </w:tcPr>
          <w:p w:rsidR="003705B6" w:rsidRPr="00CB32B1" w:rsidRDefault="003705B6" w:rsidP="003705B6">
            <w:pPr>
              <w:pStyle w:val="NumericTableTextNormal"/>
              <w:rPr>
                <w:rFonts w:asciiTheme="majorHAnsi" w:hAnsiTheme="majorHAnsi"/>
                <w:b/>
                <w:color w:val="DC6900" w:themeColor="text2"/>
              </w:rPr>
            </w:pPr>
            <w:r w:rsidRPr="00CB32B1">
              <w:rPr>
                <w:rFonts w:asciiTheme="majorHAnsi" w:hAnsiTheme="majorHAnsi"/>
                <w:b/>
                <w:color w:val="DC6900" w:themeColor="text2"/>
              </w:rPr>
              <w:t>Total count</w:t>
            </w:r>
          </w:p>
        </w:tc>
        <w:tc>
          <w:tcPr>
            <w:tcW w:w="866" w:type="pct"/>
          </w:tcPr>
          <w:p w:rsidR="003705B6" w:rsidRPr="00CB32B1" w:rsidRDefault="003705B6" w:rsidP="003705B6">
            <w:pPr>
              <w:pStyle w:val="NumericTableTextDecimalNormal"/>
              <w:tabs>
                <w:tab w:val="clear" w:pos="1004"/>
              </w:tabs>
              <w:jc w:val="center"/>
              <w:cnfStyle w:val="000000000000"/>
              <w:rPr>
                <w:rFonts w:asciiTheme="majorHAnsi" w:hAnsiTheme="majorHAnsi"/>
                <w:b/>
                <w:color w:val="DC6900" w:themeColor="text2"/>
              </w:rPr>
            </w:pPr>
            <w:r w:rsidRPr="00CB32B1">
              <w:rPr>
                <w:rFonts w:asciiTheme="majorHAnsi" w:hAnsiTheme="majorHAnsi"/>
                <w:b/>
                <w:color w:val="DC6900" w:themeColor="text2"/>
              </w:rPr>
              <w:t>78</w:t>
            </w:r>
          </w:p>
        </w:tc>
        <w:tc>
          <w:tcPr>
            <w:tcW w:w="987" w:type="pct"/>
          </w:tcPr>
          <w:p w:rsidR="003705B6" w:rsidRPr="00CB32B1" w:rsidRDefault="003705B6" w:rsidP="003705B6">
            <w:pPr>
              <w:pStyle w:val="NumericTableTextDecimalNormal"/>
              <w:tabs>
                <w:tab w:val="clear" w:pos="1004"/>
              </w:tabs>
              <w:jc w:val="center"/>
              <w:cnfStyle w:val="000000000000"/>
              <w:rPr>
                <w:rFonts w:asciiTheme="majorHAnsi" w:hAnsiTheme="majorHAnsi"/>
                <w:b/>
                <w:color w:val="DC6900" w:themeColor="text2"/>
              </w:rPr>
            </w:pPr>
            <w:r w:rsidRPr="00CB32B1">
              <w:rPr>
                <w:rFonts w:asciiTheme="majorHAnsi" w:hAnsiTheme="majorHAnsi"/>
                <w:b/>
                <w:color w:val="DC6900" w:themeColor="text2"/>
              </w:rPr>
              <w:t>100%</w:t>
            </w:r>
          </w:p>
        </w:tc>
      </w:tr>
    </w:tbl>
    <w:p w:rsidR="003705B6" w:rsidRPr="00CB32B1" w:rsidRDefault="006C1E4B" w:rsidP="006C1E4B">
      <w:pPr>
        <w:pStyle w:val="Minorheading"/>
      </w:pPr>
      <w:r w:rsidRPr="00CB32B1">
        <w:t>Key factors impacting on the provision of services</w:t>
      </w:r>
    </w:p>
    <w:p w:rsidR="006C1E4B" w:rsidRPr="00CB32B1" w:rsidRDefault="006C1E4B" w:rsidP="006C1E4B">
      <w:pPr>
        <w:pStyle w:val="PwCNormal"/>
      </w:pPr>
      <w:r w:rsidRPr="00CB32B1">
        <w:t>Participants who provide homebirth services or wish to provide homebirth services were asked to choose in priority order three factors that impact the extent of services offered. 70 participants responded to this question.</w:t>
      </w:r>
    </w:p>
    <w:p w:rsidR="006C1E4B" w:rsidRPr="00CB32B1" w:rsidRDefault="006C1E4B" w:rsidP="006C1E4B">
      <w:pPr>
        <w:pStyle w:val="ListBullet"/>
      </w:pPr>
      <w:r w:rsidRPr="00CB32B1">
        <w:rPr>
          <w:b/>
          <w:color w:val="DC6900" w:themeColor="text2"/>
        </w:rPr>
        <w:t>33%</w:t>
      </w:r>
      <w:r w:rsidRPr="00CB32B1">
        <w:t xml:space="preserve"> cited ‘PII cover arrangements’ as having the greatest impact on the extent of services provided.</w:t>
      </w:r>
    </w:p>
    <w:p w:rsidR="006C1E4B" w:rsidRPr="00CB32B1" w:rsidRDefault="006C1E4B" w:rsidP="006C1E4B">
      <w:pPr>
        <w:pStyle w:val="ListBullet"/>
      </w:pPr>
      <w:r w:rsidRPr="00CB32B1">
        <w:rPr>
          <w:b/>
          <w:color w:val="DC6900" w:themeColor="text2"/>
        </w:rPr>
        <w:t>22%</w:t>
      </w:r>
      <w:r w:rsidRPr="00CB32B1">
        <w:t xml:space="preserve"> cited ‘Access to admitting rights in health services’ as having the greatest impact on the extent of services provided.</w:t>
      </w:r>
    </w:p>
    <w:p w:rsidR="006C1E4B" w:rsidRPr="00CB32B1" w:rsidRDefault="006C1E4B" w:rsidP="006C1E4B">
      <w:pPr>
        <w:pStyle w:val="ListBullet"/>
      </w:pPr>
      <w:r w:rsidRPr="00CB32B1">
        <w:rPr>
          <w:b/>
          <w:color w:val="DC6900" w:themeColor="text2"/>
        </w:rPr>
        <w:t>16%</w:t>
      </w:r>
      <w:r w:rsidRPr="00CB32B1">
        <w:t xml:space="preserve"> cited ‘Access to collaborative arrangements with other health professionals’ as having the greatest impact on the extent of services provided.</w:t>
      </w:r>
    </w:p>
    <w:p w:rsidR="009E135F" w:rsidRPr="00CB32B1" w:rsidRDefault="009E135F" w:rsidP="006C1E4B">
      <w:pPr>
        <w:pStyle w:val="NumericTableColumnHeadingNormal"/>
        <w:rPr>
          <w:rFonts w:asciiTheme="majorHAnsi" w:hAnsiTheme="majorHAnsi"/>
        </w:rPr>
        <w:sectPr w:rsidR="009E135F" w:rsidRPr="00CB32B1" w:rsidSect="003E4E09">
          <w:headerReference w:type="even" r:id="rId97"/>
          <w:headerReference w:type="default" r:id="rId98"/>
          <w:footerReference w:type="even" r:id="rId99"/>
          <w:footerReference w:type="default" r:id="rId100"/>
          <w:headerReference w:type="first" r:id="rId101"/>
          <w:pgSz w:w="11907" w:h="16840" w:code="9"/>
          <w:pgMar w:top="1699" w:right="1138" w:bottom="1699" w:left="1138" w:header="677" w:footer="677" w:gutter="562"/>
          <w:cols w:space="708"/>
          <w:titlePg/>
          <w:docGrid w:linePitch="360"/>
        </w:sectPr>
      </w:pPr>
    </w:p>
    <w:tbl>
      <w:tblPr>
        <w:tblStyle w:val="PwCTableStyle1"/>
        <w:tblW w:w="5000" w:type="pct"/>
        <w:tblLook w:val="04A0"/>
      </w:tblPr>
      <w:tblGrid>
        <w:gridCol w:w="4799"/>
        <w:gridCol w:w="1122"/>
        <w:gridCol w:w="1122"/>
        <w:gridCol w:w="1122"/>
        <w:gridCol w:w="1120"/>
      </w:tblGrid>
      <w:tr w:rsidR="006C1E4B" w:rsidRPr="00CB32B1" w:rsidTr="00747120">
        <w:trPr>
          <w:cnfStyle w:val="100000000000"/>
        </w:trPr>
        <w:tc>
          <w:tcPr>
            <w:cnfStyle w:val="001000000000"/>
            <w:tcW w:w="2585" w:type="pct"/>
            <w:shd w:val="clear" w:color="auto" w:fill="DC6900" w:themeFill="text2"/>
            <w:vAlign w:val="center"/>
          </w:tcPr>
          <w:p w:rsidR="006C1E4B" w:rsidRPr="00CB32B1" w:rsidRDefault="006C1E4B" w:rsidP="00747120">
            <w:pPr>
              <w:pStyle w:val="NumericTableColumnHeadingNormal"/>
              <w:rPr>
                <w:rFonts w:asciiTheme="majorHAnsi" w:hAnsiTheme="majorHAnsi"/>
              </w:rPr>
            </w:pPr>
            <w:r w:rsidRPr="00CB32B1">
              <w:rPr>
                <w:rFonts w:asciiTheme="majorHAnsi" w:hAnsiTheme="majorHAnsi"/>
              </w:rPr>
              <w:t>Factor</w:t>
            </w:r>
          </w:p>
        </w:tc>
        <w:tc>
          <w:tcPr>
            <w:tcW w:w="604" w:type="pct"/>
            <w:shd w:val="clear" w:color="auto" w:fill="DC6900" w:themeFill="text2"/>
            <w:vAlign w:val="center"/>
          </w:tcPr>
          <w:p w:rsidR="006C1E4B" w:rsidRPr="00CB32B1" w:rsidRDefault="006C1E4B" w:rsidP="00747120">
            <w:pPr>
              <w:pStyle w:val="NumericTableColumnHeadingNormal"/>
              <w:jc w:val="center"/>
              <w:cnfStyle w:val="100000000000"/>
              <w:rPr>
                <w:rFonts w:asciiTheme="majorHAnsi" w:hAnsiTheme="majorHAnsi"/>
              </w:rPr>
            </w:pPr>
            <w:r w:rsidRPr="00CB32B1">
              <w:rPr>
                <w:rFonts w:asciiTheme="majorHAnsi" w:hAnsiTheme="majorHAnsi"/>
              </w:rPr>
              <w:t>1st</w:t>
            </w:r>
          </w:p>
          <w:p w:rsidR="006C1E4B" w:rsidRPr="00CB32B1" w:rsidRDefault="006C1E4B" w:rsidP="00747120">
            <w:pPr>
              <w:pStyle w:val="NumericTableColumnHeadingNormal"/>
              <w:jc w:val="center"/>
              <w:cnfStyle w:val="100000000000"/>
              <w:rPr>
                <w:rFonts w:asciiTheme="majorHAnsi" w:hAnsiTheme="majorHAnsi"/>
              </w:rPr>
            </w:pPr>
            <w:r w:rsidRPr="00CB32B1">
              <w:rPr>
                <w:rFonts w:asciiTheme="majorHAnsi" w:hAnsiTheme="majorHAnsi"/>
              </w:rPr>
              <w:t>priority</w:t>
            </w:r>
          </w:p>
        </w:tc>
        <w:tc>
          <w:tcPr>
            <w:tcW w:w="604" w:type="pct"/>
            <w:shd w:val="clear" w:color="auto" w:fill="DC6900" w:themeFill="text2"/>
            <w:vAlign w:val="center"/>
          </w:tcPr>
          <w:p w:rsidR="006C1E4B" w:rsidRPr="00CB32B1" w:rsidRDefault="006C1E4B" w:rsidP="00747120">
            <w:pPr>
              <w:pStyle w:val="NumericTableColumnHeadingNormal"/>
              <w:jc w:val="center"/>
              <w:cnfStyle w:val="100000000000"/>
              <w:rPr>
                <w:rFonts w:asciiTheme="majorHAnsi" w:hAnsiTheme="majorHAnsi"/>
              </w:rPr>
            </w:pPr>
            <w:r w:rsidRPr="00CB32B1">
              <w:rPr>
                <w:rFonts w:asciiTheme="majorHAnsi" w:hAnsiTheme="majorHAnsi"/>
              </w:rPr>
              <w:t>2nd priority</w:t>
            </w:r>
          </w:p>
        </w:tc>
        <w:tc>
          <w:tcPr>
            <w:tcW w:w="604" w:type="pct"/>
            <w:shd w:val="clear" w:color="auto" w:fill="DC6900" w:themeFill="text2"/>
            <w:vAlign w:val="center"/>
          </w:tcPr>
          <w:p w:rsidR="006C1E4B" w:rsidRPr="00CB32B1" w:rsidRDefault="006C1E4B" w:rsidP="00747120">
            <w:pPr>
              <w:pStyle w:val="NumericTableColumnHeadingNormal"/>
              <w:jc w:val="center"/>
              <w:cnfStyle w:val="100000000000"/>
              <w:rPr>
                <w:rFonts w:asciiTheme="majorHAnsi" w:hAnsiTheme="majorHAnsi"/>
              </w:rPr>
            </w:pPr>
            <w:r w:rsidRPr="00CB32B1">
              <w:rPr>
                <w:rFonts w:asciiTheme="majorHAnsi" w:hAnsiTheme="majorHAnsi"/>
              </w:rPr>
              <w:t>3rd priority</w:t>
            </w:r>
          </w:p>
        </w:tc>
        <w:tc>
          <w:tcPr>
            <w:tcW w:w="603" w:type="pct"/>
            <w:shd w:val="clear" w:color="auto" w:fill="DC6900" w:themeFill="text2"/>
            <w:vAlign w:val="center"/>
          </w:tcPr>
          <w:p w:rsidR="006C1E4B" w:rsidRPr="00CB32B1" w:rsidRDefault="006C1E4B" w:rsidP="00747120">
            <w:pPr>
              <w:pStyle w:val="NumericTableColumnHeadingNormal"/>
              <w:jc w:val="center"/>
              <w:cnfStyle w:val="100000000000"/>
              <w:rPr>
                <w:rFonts w:asciiTheme="majorHAnsi" w:hAnsiTheme="majorHAnsi"/>
              </w:rPr>
            </w:pPr>
            <w:r w:rsidRPr="00CB32B1">
              <w:rPr>
                <w:rFonts w:asciiTheme="majorHAnsi" w:hAnsiTheme="majorHAnsi"/>
              </w:rPr>
              <w:t>4th priority</w:t>
            </w:r>
          </w:p>
        </w:tc>
      </w:tr>
      <w:tr w:rsidR="006C1E4B" w:rsidRPr="00CB32B1" w:rsidTr="001F7539">
        <w:tc>
          <w:tcPr>
            <w:cnfStyle w:val="001000000000"/>
            <w:tcW w:w="2585" w:type="pct"/>
          </w:tcPr>
          <w:p w:rsidR="006C1E4B" w:rsidRPr="00CB32B1" w:rsidRDefault="006C1E4B" w:rsidP="006C1E4B">
            <w:pPr>
              <w:pStyle w:val="NumericTableTextNormal"/>
              <w:rPr>
                <w:rFonts w:asciiTheme="majorHAnsi" w:hAnsiTheme="majorHAnsi"/>
              </w:rPr>
            </w:pPr>
            <w:r w:rsidRPr="00CB32B1">
              <w:rPr>
                <w:rFonts w:asciiTheme="majorHAnsi" w:hAnsiTheme="majorHAnsi"/>
              </w:rPr>
              <w:t>Access to admitting rights in health services</w:t>
            </w:r>
          </w:p>
        </w:tc>
        <w:tc>
          <w:tcPr>
            <w:tcW w:w="604" w:type="pct"/>
            <w:shd w:val="clear" w:color="auto" w:fill="auto"/>
          </w:tcPr>
          <w:p w:rsidR="006C1E4B" w:rsidRPr="001F7539" w:rsidRDefault="006C1E4B" w:rsidP="006C1E4B">
            <w:pPr>
              <w:pStyle w:val="NumericTableTextDecimalNormal"/>
              <w:tabs>
                <w:tab w:val="clear" w:pos="1004"/>
              </w:tabs>
              <w:jc w:val="center"/>
              <w:cnfStyle w:val="000000000000"/>
              <w:rPr>
                <w:rFonts w:asciiTheme="majorHAnsi" w:hAnsiTheme="majorHAnsi"/>
              </w:rPr>
            </w:pPr>
            <w:r w:rsidRPr="001F7539">
              <w:rPr>
                <w:rFonts w:asciiTheme="majorHAnsi" w:hAnsiTheme="majorHAnsi"/>
              </w:rPr>
              <w:t>15</w:t>
            </w:r>
          </w:p>
        </w:tc>
        <w:tc>
          <w:tcPr>
            <w:tcW w:w="604" w:type="pct"/>
            <w:shd w:val="clear" w:color="auto" w:fill="auto"/>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c>
          <w:tcPr>
            <w:tcW w:w="603"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p>
        </w:tc>
      </w:tr>
      <w:tr w:rsidR="006C1E4B" w:rsidRPr="00CB32B1" w:rsidTr="001F7539">
        <w:tc>
          <w:tcPr>
            <w:cnfStyle w:val="001000000000"/>
            <w:tcW w:w="2585" w:type="pct"/>
          </w:tcPr>
          <w:p w:rsidR="006C1E4B" w:rsidRPr="00CB32B1" w:rsidRDefault="006C1E4B" w:rsidP="006C1E4B">
            <w:pPr>
              <w:pStyle w:val="NumericTableTextNormal"/>
              <w:rPr>
                <w:rFonts w:asciiTheme="majorHAnsi" w:hAnsiTheme="majorHAnsi"/>
              </w:rPr>
            </w:pPr>
            <w:r w:rsidRPr="00CB32B1">
              <w:rPr>
                <w:rFonts w:asciiTheme="majorHAnsi" w:hAnsiTheme="majorHAnsi"/>
              </w:rPr>
              <w:t>Access to collaborative arrangements with other health professionals</w:t>
            </w:r>
          </w:p>
        </w:tc>
        <w:tc>
          <w:tcPr>
            <w:tcW w:w="604" w:type="pct"/>
            <w:shd w:val="clear" w:color="auto" w:fill="auto"/>
          </w:tcPr>
          <w:p w:rsidR="006C1E4B" w:rsidRPr="001F7539" w:rsidRDefault="006C1E4B" w:rsidP="006C1E4B">
            <w:pPr>
              <w:pStyle w:val="NumericTableTextDecimalNormal"/>
              <w:tabs>
                <w:tab w:val="clear" w:pos="1004"/>
              </w:tabs>
              <w:jc w:val="center"/>
              <w:cnfStyle w:val="000000000000"/>
              <w:rPr>
                <w:rFonts w:asciiTheme="majorHAnsi" w:hAnsiTheme="majorHAnsi"/>
              </w:rPr>
            </w:pPr>
            <w:r w:rsidRPr="001F7539">
              <w:rPr>
                <w:rFonts w:asciiTheme="majorHAnsi" w:hAnsiTheme="majorHAnsi"/>
              </w:rPr>
              <w:t>11</w:t>
            </w:r>
          </w:p>
        </w:tc>
        <w:tc>
          <w:tcPr>
            <w:tcW w:w="604" w:type="pct"/>
            <w:shd w:val="clear" w:color="auto" w:fill="auto"/>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5</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c>
          <w:tcPr>
            <w:tcW w:w="603"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p>
        </w:tc>
      </w:tr>
      <w:tr w:rsidR="006C1E4B" w:rsidRPr="00CB32B1" w:rsidTr="001F7539">
        <w:tc>
          <w:tcPr>
            <w:cnfStyle w:val="001000000000"/>
            <w:tcW w:w="2585" w:type="pct"/>
          </w:tcPr>
          <w:p w:rsidR="006C1E4B" w:rsidRPr="00CB32B1" w:rsidRDefault="006C1E4B" w:rsidP="006C1E4B">
            <w:pPr>
              <w:pStyle w:val="NumericTableTextNormal"/>
              <w:rPr>
                <w:rFonts w:asciiTheme="majorHAnsi" w:hAnsiTheme="majorHAnsi"/>
              </w:rPr>
            </w:pPr>
            <w:r w:rsidRPr="00CB32B1">
              <w:rPr>
                <w:rFonts w:asciiTheme="majorHAnsi" w:hAnsiTheme="majorHAnsi"/>
              </w:rPr>
              <w:t>Emergency support</w:t>
            </w:r>
          </w:p>
        </w:tc>
        <w:tc>
          <w:tcPr>
            <w:tcW w:w="604" w:type="pct"/>
            <w:shd w:val="clear" w:color="auto" w:fill="auto"/>
          </w:tcPr>
          <w:p w:rsidR="006C1E4B" w:rsidRPr="001F7539" w:rsidRDefault="006C1E4B" w:rsidP="006C1E4B">
            <w:pPr>
              <w:pStyle w:val="NumericTableTextDecimalNormal"/>
              <w:tabs>
                <w:tab w:val="clear" w:pos="1004"/>
              </w:tabs>
              <w:jc w:val="center"/>
              <w:cnfStyle w:val="000000000000"/>
              <w:rPr>
                <w:rFonts w:asciiTheme="majorHAnsi" w:hAnsiTheme="majorHAnsi"/>
              </w:rPr>
            </w:pPr>
            <w:r w:rsidRPr="001F7539">
              <w:rPr>
                <w:rFonts w:asciiTheme="majorHAnsi" w:hAnsiTheme="majorHAnsi"/>
              </w:rPr>
              <w:t>3</w:t>
            </w:r>
          </w:p>
        </w:tc>
        <w:tc>
          <w:tcPr>
            <w:tcW w:w="604" w:type="pct"/>
            <w:shd w:val="clear" w:color="auto" w:fill="auto"/>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0</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2</w:t>
            </w:r>
          </w:p>
        </w:tc>
        <w:tc>
          <w:tcPr>
            <w:tcW w:w="603"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r>
      <w:tr w:rsidR="006C1E4B" w:rsidRPr="00CB32B1" w:rsidTr="001F7539">
        <w:tc>
          <w:tcPr>
            <w:cnfStyle w:val="001000000000"/>
            <w:tcW w:w="2585" w:type="pct"/>
          </w:tcPr>
          <w:p w:rsidR="006C1E4B" w:rsidRPr="00CB32B1" w:rsidRDefault="006C1E4B" w:rsidP="006C1E4B">
            <w:pPr>
              <w:pStyle w:val="NumericTableTextNormal"/>
              <w:rPr>
                <w:rFonts w:asciiTheme="majorHAnsi" w:hAnsiTheme="majorHAnsi"/>
              </w:rPr>
            </w:pPr>
            <w:r w:rsidRPr="00CB32B1">
              <w:rPr>
                <w:rFonts w:asciiTheme="majorHAnsi" w:hAnsiTheme="majorHAnsi"/>
              </w:rPr>
              <w:t>Legal liability in the case of adverse events</w:t>
            </w:r>
          </w:p>
        </w:tc>
        <w:tc>
          <w:tcPr>
            <w:tcW w:w="604" w:type="pct"/>
            <w:shd w:val="clear" w:color="auto" w:fill="auto"/>
          </w:tcPr>
          <w:p w:rsidR="006C1E4B" w:rsidRPr="001F7539" w:rsidRDefault="006C1E4B" w:rsidP="006C1E4B">
            <w:pPr>
              <w:pStyle w:val="NumericTableTextDecimalNormal"/>
              <w:tabs>
                <w:tab w:val="clear" w:pos="1004"/>
              </w:tabs>
              <w:jc w:val="center"/>
              <w:cnfStyle w:val="000000000000"/>
              <w:rPr>
                <w:rFonts w:asciiTheme="majorHAnsi" w:hAnsiTheme="majorHAnsi"/>
              </w:rPr>
            </w:pPr>
            <w:r w:rsidRPr="001F7539">
              <w:rPr>
                <w:rFonts w:asciiTheme="majorHAnsi" w:hAnsiTheme="majorHAnsi"/>
              </w:rPr>
              <w:t>3</w:t>
            </w:r>
          </w:p>
        </w:tc>
        <w:tc>
          <w:tcPr>
            <w:tcW w:w="604" w:type="pct"/>
            <w:shd w:val="clear" w:color="auto" w:fill="auto"/>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2</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5</w:t>
            </w:r>
          </w:p>
        </w:tc>
        <w:tc>
          <w:tcPr>
            <w:tcW w:w="603"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p>
        </w:tc>
      </w:tr>
      <w:tr w:rsidR="006C1E4B" w:rsidRPr="00CB32B1" w:rsidTr="001F7539">
        <w:tc>
          <w:tcPr>
            <w:cnfStyle w:val="001000000000"/>
            <w:tcW w:w="2585" w:type="pct"/>
          </w:tcPr>
          <w:p w:rsidR="006C1E4B" w:rsidRPr="00CB32B1" w:rsidRDefault="006C1E4B" w:rsidP="006C1E4B">
            <w:pPr>
              <w:pStyle w:val="NumericTableTextNormal"/>
              <w:rPr>
                <w:rFonts w:asciiTheme="majorHAnsi" w:hAnsiTheme="majorHAnsi"/>
              </w:rPr>
            </w:pPr>
            <w:r w:rsidRPr="00CB32B1">
              <w:rPr>
                <w:rFonts w:asciiTheme="majorHAnsi" w:hAnsiTheme="majorHAnsi"/>
              </w:rPr>
              <w:t>Professional indemnity insurance cover arrangements</w:t>
            </w:r>
          </w:p>
        </w:tc>
        <w:tc>
          <w:tcPr>
            <w:tcW w:w="604" w:type="pct"/>
            <w:shd w:val="clear" w:color="auto" w:fill="auto"/>
          </w:tcPr>
          <w:p w:rsidR="006C1E4B" w:rsidRPr="001F7539" w:rsidRDefault="006C1E4B" w:rsidP="006C1E4B">
            <w:pPr>
              <w:pStyle w:val="NumericTableTextDecimalNormal"/>
              <w:tabs>
                <w:tab w:val="clear" w:pos="1004"/>
              </w:tabs>
              <w:jc w:val="center"/>
              <w:cnfStyle w:val="000000000000"/>
              <w:rPr>
                <w:rFonts w:asciiTheme="majorHAnsi" w:hAnsiTheme="majorHAnsi"/>
              </w:rPr>
            </w:pPr>
            <w:r w:rsidRPr="001F7539">
              <w:rPr>
                <w:rFonts w:asciiTheme="majorHAnsi" w:hAnsiTheme="majorHAnsi"/>
              </w:rPr>
              <w:t>23</w:t>
            </w:r>
          </w:p>
        </w:tc>
        <w:tc>
          <w:tcPr>
            <w:tcW w:w="604" w:type="pct"/>
            <w:shd w:val="clear" w:color="auto" w:fill="auto"/>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4</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c>
          <w:tcPr>
            <w:tcW w:w="603"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p>
        </w:tc>
      </w:tr>
      <w:tr w:rsidR="006C1E4B" w:rsidRPr="00CB32B1" w:rsidTr="006C1E4B">
        <w:tc>
          <w:tcPr>
            <w:cnfStyle w:val="001000000000"/>
            <w:tcW w:w="2585" w:type="pct"/>
          </w:tcPr>
          <w:p w:rsidR="006C1E4B" w:rsidRPr="00CB32B1" w:rsidRDefault="006C1E4B" w:rsidP="006C1E4B">
            <w:pPr>
              <w:pStyle w:val="NumericTableTextNormal"/>
              <w:rPr>
                <w:rFonts w:asciiTheme="majorHAnsi" w:hAnsiTheme="majorHAnsi"/>
              </w:rPr>
            </w:pPr>
            <w:r w:rsidRPr="00CB32B1">
              <w:rPr>
                <w:rFonts w:asciiTheme="majorHAnsi" w:hAnsiTheme="majorHAnsi"/>
              </w:rPr>
              <w:t>Public profile of a potential adverse event</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3</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0</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c>
          <w:tcPr>
            <w:tcW w:w="603"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p>
        </w:tc>
      </w:tr>
      <w:tr w:rsidR="006C1E4B" w:rsidRPr="00CB32B1" w:rsidTr="006C1E4B">
        <w:tc>
          <w:tcPr>
            <w:cnfStyle w:val="001000000000"/>
            <w:tcW w:w="2585" w:type="pct"/>
          </w:tcPr>
          <w:p w:rsidR="006C1E4B" w:rsidRPr="00CB32B1" w:rsidRDefault="006C1E4B" w:rsidP="006C1E4B">
            <w:pPr>
              <w:pStyle w:val="NumericTableTextNormal"/>
              <w:rPr>
                <w:rFonts w:asciiTheme="majorHAnsi" w:hAnsiTheme="majorHAnsi"/>
              </w:rPr>
            </w:pPr>
            <w:r w:rsidRPr="00CB32B1">
              <w:rPr>
                <w:rFonts w:asciiTheme="majorHAnsi" w:hAnsiTheme="majorHAnsi"/>
              </w:rPr>
              <w:t>Risk management and quality frameworks currently in place</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0</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0</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0</w:t>
            </w:r>
          </w:p>
        </w:tc>
        <w:tc>
          <w:tcPr>
            <w:tcW w:w="603"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p>
        </w:tc>
      </w:tr>
      <w:tr w:rsidR="006C1E4B" w:rsidRPr="00CB32B1" w:rsidTr="006C1E4B">
        <w:tc>
          <w:tcPr>
            <w:cnfStyle w:val="001000000000"/>
            <w:tcW w:w="2585" w:type="pct"/>
          </w:tcPr>
          <w:p w:rsidR="006C1E4B" w:rsidRPr="00CB32B1" w:rsidRDefault="006C1E4B" w:rsidP="006C1E4B">
            <w:pPr>
              <w:pStyle w:val="NumericTableTextNormal"/>
              <w:rPr>
                <w:rFonts w:asciiTheme="majorHAnsi" w:hAnsiTheme="majorHAnsi"/>
              </w:rPr>
            </w:pPr>
            <w:r w:rsidRPr="00CB32B1">
              <w:rPr>
                <w:rFonts w:asciiTheme="majorHAnsi" w:hAnsiTheme="majorHAnsi"/>
              </w:rPr>
              <w:t>Support for services from professional associations</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2</w:t>
            </w:r>
          </w:p>
        </w:tc>
        <w:tc>
          <w:tcPr>
            <w:tcW w:w="603"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p>
        </w:tc>
      </w:tr>
      <w:tr w:rsidR="006C1E4B" w:rsidRPr="00CB32B1" w:rsidTr="006C1E4B">
        <w:tc>
          <w:tcPr>
            <w:cnfStyle w:val="001000000000"/>
            <w:tcW w:w="2585" w:type="pct"/>
          </w:tcPr>
          <w:p w:rsidR="006C1E4B" w:rsidRPr="00CB32B1" w:rsidRDefault="006C1E4B" w:rsidP="006C1E4B">
            <w:pPr>
              <w:pStyle w:val="NumericTableTextNormal"/>
              <w:rPr>
                <w:rFonts w:asciiTheme="majorHAnsi" w:hAnsiTheme="majorHAnsi"/>
              </w:rPr>
            </w:pPr>
            <w:r w:rsidRPr="00CB32B1">
              <w:rPr>
                <w:rFonts w:asciiTheme="majorHAnsi" w:hAnsiTheme="majorHAnsi"/>
              </w:rPr>
              <w:t>The level of support available in the provision of care to women</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4</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2</w:t>
            </w:r>
          </w:p>
        </w:tc>
        <w:tc>
          <w:tcPr>
            <w:tcW w:w="603"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p>
        </w:tc>
      </w:tr>
      <w:tr w:rsidR="006C1E4B" w:rsidRPr="00CB32B1" w:rsidTr="006C1E4B">
        <w:tc>
          <w:tcPr>
            <w:cnfStyle w:val="001000000000"/>
            <w:tcW w:w="2585" w:type="pct"/>
          </w:tcPr>
          <w:p w:rsidR="006C1E4B" w:rsidRPr="00CB32B1" w:rsidRDefault="006C1E4B" w:rsidP="006C1E4B">
            <w:pPr>
              <w:pStyle w:val="NumericTableTextNormal"/>
              <w:rPr>
                <w:rFonts w:asciiTheme="majorHAnsi" w:hAnsiTheme="majorHAnsi"/>
              </w:rPr>
            </w:pPr>
            <w:r w:rsidRPr="00CB32B1">
              <w:rPr>
                <w:rFonts w:asciiTheme="majorHAnsi" w:hAnsiTheme="majorHAnsi"/>
              </w:rPr>
              <w:t>Transfer arrangements from home to a health service</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4</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2</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0</w:t>
            </w:r>
          </w:p>
        </w:tc>
        <w:tc>
          <w:tcPr>
            <w:tcW w:w="603"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p>
        </w:tc>
      </w:tr>
      <w:tr w:rsidR="006C1E4B" w:rsidRPr="00CB32B1" w:rsidTr="006C1E4B">
        <w:tc>
          <w:tcPr>
            <w:cnfStyle w:val="001000000000"/>
            <w:tcW w:w="2585" w:type="pct"/>
          </w:tcPr>
          <w:p w:rsidR="006C1E4B" w:rsidRPr="00CB32B1" w:rsidRDefault="006C1E4B" w:rsidP="006C1E4B">
            <w:pPr>
              <w:pStyle w:val="NumericTableTextNormal"/>
              <w:rPr>
                <w:rFonts w:asciiTheme="majorHAnsi" w:hAnsiTheme="majorHAnsi"/>
              </w:rPr>
            </w:pPr>
            <w:r w:rsidRPr="00CB32B1">
              <w:rPr>
                <w:rFonts w:asciiTheme="majorHAnsi" w:hAnsiTheme="majorHAnsi"/>
              </w:rPr>
              <w:t>Other</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3</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p>
        </w:tc>
        <w:tc>
          <w:tcPr>
            <w:tcW w:w="603" w:type="pct"/>
          </w:tcPr>
          <w:p w:rsidR="006C1E4B" w:rsidRPr="00CB32B1" w:rsidRDefault="006C1E4B" w:rsidP="006C1E4B">
            <w:pPr>
              <w:pStyle w:val="NumericTableTextDecimalNormal"/>
              <w:tabs>
                <w:tab w:val="clear" w:pos="1004"/>
              </w:tabs>
              <w:jc w:val="center"/>
              <w:cnfStyle w:val="000000000000"/>
              <w:rPr>
                <w:rFonts w:asciiTheme="majorHAnsi" w:hAnsiTheme="majorHAnsi"/>
              </w:rPr>
            </w:pPr>
            <w:r w:rsidRPr="00CB32B1">
              <w:rPr>
                <w:rFonts w:asciiTheme="majorHAnsi" w:hAnsiTheme="majorHAnsi"/>
              </w:rPr>
              <w:t>1</w:t>
            </w:r>
          </w:p>
        </w:tc>
      </w:tr>
      <w:tr w:rsidR="006C1E4B" w:rsidRPr="00CB32B1" w:rsidTr="006C1E4B">
        <w:tc>
          <w:tcPr>
            <w:cnfStyle w:val="001000000000"/>
            <w:tcW w:w="2585" w:type="pct"/>
          </w:tcPr>
          <w:p w:rsidR="006C1E4B" w:rsidRPr="00CB32B1" w:rsidRDefault="006C1E4B" w:rsidP="006C1E4B">
            <w:pPr>
              <w:pStyle w:val="NumericTableTextNormal"/>
              <w:rPr>
                <w:rFonts w:asciiTheme="majorHAnsi" w:hAnsiTheme="majorHAnsi"/>
                <w:b/>
                <w:color w:val="DC6900" w:themeColor="text2"/>
              </w:rPr>
            </w:pPr>
            <w:r w:rsidRPr="00CB32B1">
              <w:rPr>
                <w:rFonts w:asciiTheme="majorHAnsi" w:hAnsiTheme="majorHAnsi"/>
                <w:b/>
                <w:color w:val="DC6900" w:themeColor="text2"/>
              </w:rPr>
              <w:t>Total count</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b/>
                <w:color w:val="DC6900" w:themeColor="text2"/>
              </w:rPr>
            </w:pPr>
            <w:r w:rsidRPr="00CB32B1">
              <w:rPr>
                <w:rFonts w:asciiTheme="majorHAnsi" w:hAnsiTheme="majorHAnsi"/>
                <w:b/>
                <w:color w:val="DC6900" w:themeColor="text2"/>
              </w:rPr>
              <w:t>70</w:t>
            </w: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b/>
                <w:color w:val="DC6900" w:themeColor="text2"/>
              </w:rPr>
            </w:pPr>
          </w:p>
        </w:tc>
        <w:tc>
          <w:tcPr>
            <w:tcW w:w="604" w:type="pct"/>
          </w:tcPr>
          <w:p w:rsidR="006C1E4B" w:rsidRPr="00CB32B1" w:rsidRDefault="006C1E4B" w:rsidP="006C1E4B">
            <w:pPr>
              <w:pStyle w:val="NumericTableTextDecimalNormal"/>
              <w:tabs>
                <w:tab w:val="clear" w:pos="1004"/>
              </w:tabs>
              <w:jc w:val="center"/>
              <w:cnfStyle w:val="000000000000"/>
              <w:rPr>
                <w:rFonts w:asciiTheme="majorHAnsi" w:hAnsiTheme="majorHAnsi"/>
                <w:b/>
                <w:color w:val="DC6900" w:themeColor="text2"/>
              </w:rPr>
            </w:pPr>
          </w:p>
        </w:tc>
        <w:tc>
          <w:tcPr>
            <w:tcW w:w="603" w:type="pct"/>
          </w:tcPr>
          <w:p w:rsidR="006C1E4B" w:rsidRPr="00CB32B1" w:rsidRDefault="006C1E4B" w:rsidP="006C1E4B">
            <w:pPr>
              <w:pStyle w:val="NumericTableTextDecimalNormal"/>
              <w:tabs>
                <w:tab w:val="clear" w:pos="1004"/>
              </w:tabs>
              <w:jc w:val="center"/>
              <w:cnfStyle w:val="000000000000"/>
              <w:rPr>
                <w:rFonts w:asciiTheme="majorHAnsi" w:hAnsiTheme="majorHAnsi"/>
                <w:b/>
                <w:color w:val="DC6900" w:themeColor="text2"/>
              </w:rPr>
            </w:pPr>
          </w:p>
        </w:tc>
      </w:tr>
    </w:tbl>
    <w:p w:rsidR="006C1E4B" w:rsidRPr="00CB32B1" w:rsidRDefault="00CC2653" w:rsidP="00CC2653">
      <w:pPr>
        <w:pStyle w:val="Minorheading"/>
      </w:pPr>
      <w:r w:rsidRPr="00CB32B1">
        <w:t>Understanding of the professional indemnity insurance products available</w:t>
      </w:r>
    </w:p>
    <w:p w:rsidR="00CC2653" w:rsidRPr="00CB32B1" w:rsidRDefault="00CC2653" w:rsidP="00CC2653">
      <w:pPr>
        <w:pStyle w:val="PwCNormal"/>
      </w:pPr>
      <w:r w:rsidRPr="00CB32B1">
        <w:t xml:space="preserve">Participants who are </w:t>
      </w:r>
      <w:r w:rsidR="00727D37">
        <w:t>PPMs</w:t>
      </w:r>
      <w:r w:rsidRPr="00CB32B1">
        <w:t xml:space="preserve"> were asked to rate their understanding of the professional indemnity insurance products available. 81 participants responded to this question.</w:t>
      </w:r>
    </w:p>
    <w:p w:rsidR="00CC2653" w:rsidRPr="00CB32B1" w:rsidRDefault="00CC2653" w:rsidP="00CC2653">
      <w:pPr>
        <w:pStyle w:val="PwCNormal"/>
      </w:pPr>
      <w:r w:rsidRPr="00CB32B1">
        <w:t>10 = complete understanding of the products available</w:t>
      </w:r>
    </w:p>
    <w:p w:rsidR="00CC2653" w:rsidRPr="00CB32B1" w:rsidRDefault="00CC2653" w:rsidP="00CC2653">
      <w:pPr>
        <w:pStyle w:val="PwCNormal"/>
      </w:pPr>
      <w:r w:rsidRPr="00CB32B1">
        <w:t>1 = minimal or no understanding of the products available</w:t>
      </w:r>
    </w:p>
    <w:p w:rsidR="00CC2653" w:rsidRPr="00CB32B1" w:rsidRDefault="00CC2653" w:rsidP="00D35863">
      <w:pPr>
        <w:pStyle w:val="ListBullet"/>
      </w:pPr>
      <w:r w:rsidRPr="00CB32B1">
        <w:rPr>
          <w:b/>
          <w:color w:val="DC6900" w:themeColor="text2"/>
        </w:rPr>
        <w:t>46%</w:t>
      </w:r>
      <w:r w:rsidRPr="00CB32B1">
        <w:t xml:space="preserve"> rated their understanding of professional indemnity insurance products as 8 or above (high understanding)</w:t>
      </w:r>
    </w:p>
    <w:p w:rsidR="00CC2653" w:rsidRPr="00CB32B1" w:rsidRDefault="00CC2653" w:rsidP="00D35863">
      <w:pPr>
        <w:pStyle w:val="ListBullet"/>
      </w:pPr>
      <w:r w:rsidRPr="00CB32B1">
        <w:rPr>
          <w:b/>
          <w:color w:val="DC6900" w:themeColor="text2"/>
        </w:rPr>
        <w:t>4%</w:t>
      </w:r>
      <w:r w:rsidRPr="00CB32B1">
        <w:t xml:space="preserve"> rated their understanding of professional indemnity insurance products as 3 or below (little or no understanding).</w:t>
      </w:r>
    </w:p>
    <w:p w:rsidR="009E135F" w:rsidRPr="00CB32B1" w:rsidRDefault="009E135F" w:rsidP="00F3090F">
      <w:pPr>
        <w:pStyle w:val="NumericTableColumnHeadingNormal"/>
        <w:rPr>
          <w:rFonts w:asciiTheme="majorHAnsi" w:hAnsiTheme="majorHAnsi"/>
        </w:rPr>
        <w:sectPr w:rsidR="009E135F" w:rsidRPr="00CB32B1" w:rsidSect="003E4E09">
          <w:pgSz w:w="11907" w:h="16840" w:code="9"/>
          <w:pgMar w:top="1699" w:right="1138" w:bottom="1699" w:left="1138" w:header="677" w:footer="677" w:gutter="562"/>
          <w:cols w:space="708"/>
          <w:titlePg/>
          <w:docGrid w:linePitch="360"/>
        </w:sectPr>
      </w:pPr>
    </w:p>
    <w:tbl>
      <w:tblPr>
        <w:tblStyle w:val="PwCTableStyle1"/>
        <w:tblW w:w="5000" w:type="pct"/>
        <w:tblLook w:val="04A0"/>
      </w:tblPr>
      <w:tblGrid>
        <w:gridCol w:w="3095"/>
        <w:gridCol w:w="3096"/>
        <w:gridCol w:w="3094"/>
      </w:tblGrid>
      <w:tr w:rsidR="00D35863" w:rsidRPr="00CB32B1" w:rsidTr="00747120">
        <w:trPr>
          <w:cnfStyle w:val="100000000000"/>
        </w:trPr>
        <w:tc>
          <w:tcPr>
            <w:cnfStyle w:val="001000000000"/>
            <w:tcW w:w="1667" w:type="pct"/>
            <w:shd w:val="clear" w:color="auto" w:fill="DC6900" w:themeFill="text2"/>
            <w:vAlign w:val="center"/>
          </w:tcPr>
          <w:p w:rsidR="00D35863" w:rsidRPr="00CB32B1" w:rsidRDefault="00D35863" w:rsidP="00747120">
            <w:pPr>
              <w:pStyle w:val="NumericTableColumnHeadingNormal"/>
              <w:rPr>
                <w:rFonts w:asciiTheme="majorHAnsi" w:hAnsiTheme="majorHAnsi"/>
              </w:rPr>
            </w:pPr>
            <w:r w:rsidRPr="00CB32B1">
              <w:rPr>
                <w:rFonts w:asciiTheme="majorHAnsi" w:hAnsiTheme="majorHAnsi"/>
              </w:rPr>
              <w:t>Rating of understanding</w:t>
            </w:r>
          </w:p>
        </w:tc>
        <w:tc>
          <w:tcPr>
            <w:tcW w:w="1667" w:type="pct"/>
            <w:shd w:val="clear" w:color="auto" w:fill="DC6900" w:themeFill="text2"/>
            <w:vAlign w:val="center"/>
          </w:tcPr>
          <w:p w:rsidR="00D35863" w:rsidRPr="00CB32B1" w:rsidRDefault="00D35863" w:rsidP="00747120">
            <w:pPr>
              <w:pStyle w:val="NumericTableColumnHeadingNormal"/>
              <w:jc w:val="center"/>
              <w:cnfStyle w:val="100000000000"/>
              <w:rPr>
                <w:rFonts w:asciiTheme="majorHAnsi" w:hAnsiTheme="majorHAnsi"/>
              </w:rPr>
            </w:pPr>
            <w:r w:rsidRPr="00CB32B1">
              <w:rPr>
                <w:rFonts w:asciiTheme="majorHAnsi" w:hAnsiTheme="majorHAnsi"/>
              </w:rPr>
              <w:t>Count of responses</w:t>
            </w:r>
          </w:p>
        </w:tc>
        <w:tc>
          <w:tcPr>
            <w:tcW w:w="1666" w:type="pct"/>
            <w:shd w:val="clear" w:color="auto" w:fill="DC6900" w:themeFill="text2"/>
            <w:vAlign w:val="center"/>
          </w:tcPr>
          <w:p w:rsidR="00D35863" w:rsidRPr="00CB32B1" w:rsidRDefault="00D35863" w:rsidP="00747120">
            <w:pPr>
              <w:pStyle w:val="NumericTableColumnHeadingNormal"/>
              <w:jc w:val="center"/>
              <w:cnfStyle w:val="100000000000"/>
              <w:rPr>
                <w:rFonts w:asciiTheme="majorHAnsi" w:hAnsiTheme="majorHAnsi"/>
              </w:rPr>
            </w:pPr>
            <w:r w:rsidRPr="00CB32B1">
              <w:rPr>
                <w:rFonts w:asciiTheme="majorHAnsi" w:hAnsiTheme="majorHAnsi"/>
              </w:rPr>
              <w:t>% of respondents</w:t>
            </w:r>
          </w:p>
        </w:tc>
      </w:tr>
      <w:tr w:rsidR="00D35863" w:rsidRPr="00CB32B1" w:rsidTr="00D35863">
        <w:tc>
          <w:tcPr>
            <w:cnfStyle w:val="001000000000"/>
            <w:tcW w:w="1667" w:type="pct"/>
          </w:tcPr>
          <w:p w:rsidR="00D35863" w:rsidRPr="00CB32B1" w:rsidRDefault="00D35863" w:rsidP="00D35863">
            <w:pPr>
              <w:pStyle w:val="NumericTableTextNormal"/>
              <w:rPr>
                <w:rFonts w:asciiTheme="majorHAnsi" w:hAnsiTheme="majorHAnsi"/>
              </w:rPr>
            </w:pPr>
            <w:r w:rsidRPr="00CB32B1">
              <w:rPr>
                <w:rFonts w:asciiTheme="majorHAnsi" w:hAnsiTheme="majorHAnsi"/>
              </w:rPr>
              <w:t xml:space="preserve">1 </w:t>
            </w:r>
          </w:p>
        </w:tc>
        <w:tc>
          <w:tcPr>
            <w:tcW w:w="1667" w:type="pct"/>
          </w:tcPr>
          <w:p w:rsidR="00D35863" w:rsidRPr="00CB32B1" w:rsidRDefault="00D35863" w:rsidP="00D35863">
            <w:pPr>
              <w:pStyle w:val="NumericTableTextDecimalNormal"/>
              <w:tabs>
                <w:tab w:val="clear" w:pos="1004"/>
                <w:tab w:val="decimal" w:pos="1575"/>
              </w:tabs>
              <w:cnfStyle w:val="000000000000"/>
              <w:rPr>
                <w:rFonts w:asciiTheme="majorHAnsi" w:hAnsiTheme="majorHAnsi"/>
              </w:rPr>
            </w:pPr>
            <w:r w:rsidRPr="00CB32B1">
              <w:rPr>
                <w:rFonts w:asciiTheme="majorHAnsi" w:hAnsiTheme="majorHAnsi"/>
              </w:rPr>
              <w:t>1</w:t>
            </w:r>
          </w:p>
        </w:tc>
        <w:tc>
          <w:tcPr>
            <w:tcW w:w="1666" w:type="pct"/>
          </w:tcPr>
          <w:p w:rsidR="00D35863" w:rsidRPr="00CB32B1" w:rsidRDefault="00D35863" w:rsidP="00D35863">
            <w:pPr>
              <w:pStyle w:val="NumericTableTextDecimalNormal"/>
              <w:tabs>
                <w:tab w:val="clear" w:pos="1004"/>
                <w:tab w:val="decimal" w:pos="1457"/>
              </w:tabs>
              <w:cnfStyle w:val="000000000000"/>
              <w:rPr>
                <w:rFonts w:asciiTheme="majorHAnsi" w:hAnsiTheme="majorHAnsi"/>
              </w:rPr>
            </w:pPr>
            <w:r w:rsidRPr="00CB32B1">
              <w:rPr>
                <w:rFonts w:asciiTheme="majorHAnsi" w:hAnsiTheme="majorHAnsi"/>
              </w:rPr>
              <w:t>1%</w:t>
            </w:r>
          </w:p>
        </w:tc>
      </w:tr>
      <w:tr w:rsidR="00D35863" w:rsidRPr="00CB32B1" w:rsidTr="00D35863">
        <w:tc>
          <w:tcPr>
            <w:cnfStyle w:val="001000000000"/>
            <w:tcW w:w="1667" w:type="pct"/>
          </w:tcPr>
          <w:p w:rsidR="00D35863" w:rsidRPr="00CB32B1" w:rsidRDefault="00D35863" w:rsidP="00D35863">
            <w:pPr>
              <w:pStyle w:val="NumericTableTextNormal"/>
              <w:rPr>
                <w:rFonts w:asciiTheme="majorHAnsi" w:hAnsiTheme="majorHAnsi"/>
              </w:rPr>
            </w:pPr>
            <w:r w:rsidRPr="00CB32B1">
              <w:rPr>
                <w:rFonts w:asciiTheme="majorHAnsi" w:hAnsiTheme="majorHAnsi"/>
              </w:rPr>
              <w:t>2</w:t>
            </w:r>
          </w:p>
        </w:tc>
        <w:tc>
          <w:tcPr>
            <w:tcW w:w="1667" w:type="pct"/>
          </w:tcPr>
          <w:p w:rsidR="00D35863" w:rsidRPr="00CB32B1" w:rsidRDefault="00D35863" w:rsidP="00D35863">
            <w:pPr>
              <w:pStyle w:val="NumericTableTextDecimalNormal"/>
              <w:tabs>
                <w:tab w:val="clear" w:pos="1004"/>
                <w:tab w:val="decimal" w:pos="1575"/>
              </w:tabs>
              <w:cnfStyle w:val="000000000000"/>
              <w:rPr>
                <w:rFonts w:asciiTheme="majorHAnsi" w:hAnsiTheme="majorHAnsi"/>
              </w:rPr>
            </w:pPr>
            <w:r w:rsidRPr="00CB32B1">
              <w:rPr>
                <w:rFonts w:asciiTheme="majorHAnsi" w:hAnsiTheme="majorHAnsi"/>
              </w:rPr>
              <w:t>0</w:t>
            </w:r>
          </w:p>
        </w:tc>
        <w:tc>
          <w:tcPr>
            <w:tcW w:w="1666" w:type="pct"/>
          </w:tcPr>
          <w:p w:rsidR="00D35863" w:rsidRPr="00CB32B1" w:rsidRDefault="00D35863" w:rsidP="00D35863">
            <w:pPr>
              <w:pStyle w:val="NumericTableTextDecimalNormal"/>
              <w:tabs>
                <w:tab w:val="clear" w:pos="1004"/>
                <w:tab w:val="decimal" w:pos="1457"/>
              </w:tabs>
              <w:cnfStyle w:val="000000000000"/>
              <w:rPr>
                <w:rFonts w:asciiTheme="majorHAnsi" w:hAnsiTheme="majorHAnsi"/>
              </w:rPr>
            </w:pPr>
            <w:r w:rsidRPr="00CB32B1">
              <w:rPr>
                <w:rFonts w:asciiTheme="majorHAnsi" w:hAnsiTheme="majorHAnsi"/>
              </w:rPr>
              <w:t>0%</w:t>
            </w:r>
          </w:p>
        </w:tc>
      </w:tr>
      <w:tr w:rsidR="00D35863" w:rsidRPr="00CB32B1" w:rsidTr="00D35863">
        <w:tc>
          <w:tcPr>
            <w:cnfStyle w:val="001000000000"/>
            <w:tcW w:w="1667" w:type="pct"/>
          </w:tcPr>
          <w:p w:rsidR="00D35863" w:rsidRPr="00CB32B1" w:rsidRDefault="00D35863" w:rsidP="00D35863">
            <w:pPr>
              <w:pStyle w:val="NumericTableTextNormal"/>
              <w:rPr>
                <w:rFonts w:asciiTheme="majorHAnsi" w:hAnsiTheme="majorHAnsi"/>
              </w:rPr>
            </w:pPr>
            <w:r w:rsidRPr="00CB32B1">
              <w:rPr>
                <w:rFonts w:asciiTheme="majorHAnsi" w:hAnsiTheme="majorHAnsi"/>
              </w:rPr>
              <w:t>3</w:t>
            </w:r>
          </w:p>
        </w:tc>
        <w:tc>
          <w:tcPr>
            <w:tcW w:w="1667" w:type="pct"/>
          </w:tcPr>
          <w:p w:rsidR="00D35863" w:rsidRPr="00CB32B1" w:rsidRDefault="00D35863" w:rsidP="00D35863">
            <w:pPr>
              <w:pStyle w:val="NumericTableTextDecimalNormal"/>
              <w:tabs>
                <w:tab w:val="clear" w:pos="1004"/>
                <w:tab w:val="decimal" w:pos="1575"/>
              </w:tabs>
              <w:cnfStyle w:val="000000000000"/>
              <w:rPr>
                <w:rFonts w:asciiTheme="majorHAnsi" w:hAnsiTheme="majorHAnsi"/>
              </w:rPr>
            </w:pPr>
            <w:r w:rsidRPr="00CB32B1">
              <w:rPr>
                <w:rFonts w:asciiTheme="majorHAnsi" w:hAnsiTheme="majorHAnsi"/>
              </w:rPr>
              <w:t>2</w:t>
            </w:r>
          </w:p>
        </w:tc>
        <w:tc>
          <w:tcPr>
            <w:tcW w:w="1666" w:type="pct"/>
          </w:tcPr>
          <w:p w:rsidR="00D35863" w:rsidRPr="00CB32B1" w:rsidRDefault="00D35863" w:rsidP="00D35863">
            <w:pPr>
              <w:pStyle w:val="NumericTableTextDecimalNormal"/>
              <w:tabs>
                <w:tab w:val="clear" w:pos="1004"/>
                <w:tab w:val="decimal" w:pos="1457"/>
              </w:tabs>
              <w:cnfStyle w:val="000000000000"/>
              <w:rPr>
                <w:rFonts w:asciiTheme="majorHAnsi" w:hAnsiTheme="majorHAnsi"/>
              </w:rPr>
            </w:pPr>
            <w:r w:rsidRPr="00CB32B1">
              <w:rPr>
                <w:rFonts w:asciiTheme="majorHAnsi" w:hAnsiTheme="majorHAnsi"/>
              </w:rPr>
              <w:t>2%</w:t>
            </w:r>
          </w:p>
        </w:tc>
      </w:tr>
      <w:tr w:rsidR="00D35863" w:rsidRPr="00CB32B1" w:rsidTr="00D35863">
        <w:tc>
          <w:tcPr>
            <w:cnfStyle w:val="001000000000"/>
            <w:tcW w:w="1667" w:type="pct"/>
          </w:tcPr>
          <w:p w:rsidR="00D35863" w:rsidRPr="00CB32B1" w:rsidRDefault="00D35863" w:rsidP="00D35863">
            <w:pPr>
              <w:pStyle w:val="NumericTableTextNormal"/>
              <w:rPr>
                <w:rFonts w:asciiTheme="majorHAnsi" w:hAnsiTheme="majorHAnsi"/>
              </w:rPr>
            </w:pPr>
            <w:r w:rsidRPr="00CB32B1">
              <w:rPr>
                <w:rFonts w:asciiTheme="majorHAnsi" w:hAnsiTheme="majorHAnsi"/>
              </w:rPr>
              <w:t>4</w:t>
            </w:r>
          </w:p>
        </w:tc>
        <w:tc>
          <w:tcPr>
            <w:tcW w:w="1667" w:type="pct"/>
          </w:tcPr>
          <w:p w:rsidR="00D35863" w:rsidRPr="00CB32B1" w:rsidRDefault="00D35863" w:rsidP="00D35863">
            <w:pPr>
              <w:pStyle w:val="NumericTableTextDecimalNormal"/>
              <w:tabs>
                <w:tab w:val="clear" w:pos="1004"/>
                <w:tab w:val="decimal" w:pos="1575"/>
              </w:tabs>
              <w:cnfStyle w:val="000000000000"/>
              <w:rPr>
                <w:rFonts w:asciiTheme="majorHAnsi" w:hAnsiTheme="majorHAnsi"/>
              </w:rPr>
            </w:pPr>
            <w:r w:rsidRPr="00CB32B1">
              <w:rPr>
                <w:rFonts w:asciiTheme="majorHAnsi" w:hAnsiTheme="majorHAnsi"/>
              </w:rPr>
              <w:t>7</w:t>
            </w:r>
          </w:p>
        </w:tc>
        <w:tc>
          <w:tcPr>
            <w:tcW w:w="1666" w:type="pct"/>
          </w:tcPr>
          <w:p w:rsidR="00D35863" w:rsidRPr="00CB32B1" w:rsidRDefault="00D35863" w:rsidP="00D35863">
            <w:pPr>
              <w:pStyle w:val="NumericTableTextDecimalNormal"/>
              <w:tabs>
                <w:tab w:val="clear" w:pos="1004"/>
                <w:tab w:val="decimal" w:pos="1457"/>
              </w:tabs>
              <w:cnfStyle w:val="000000000000"/>
              <w:rPr>
                <w:rFonts w:asciiTheme="majorHAnsi" w:hAnsiTheme="majorHAnsi"/>
              </w:rPr>
            </w:pPr>
            <w:r w:rsidRPr="00CB32B1">
              <w:rPr>
                <w:rFonts w:asciiTheme="majorHAnsi" w:hAnsiTheme="majorHAnsi"/>
              </w:rPr>
              <w:t>9%</w:t>
            </w:r>
          </w:p>
        </w:tc>
      </w:tr>
      <w:tr w:rsidR="00D35863" w:rsidRPr="00CB32B1" w:rsidTr="00D35863">
        <w:tc>
          <w:tcPr>
            <w:cnfStyle w:val="001000000000"/>
            <w:tcW w:w="1667" w:type="pct"/>
          </w:tcPr>
          <w:p w:rsidR="00D35863" w:rsidRPr="00CB32B1" w:rsidRDefault="00D35863" w:rsidP="00D35863">
            <w:pPr>
              <w:pStyle w:val="NumericTableTextNormal"/>
              <w:rPr>
                <w:rFonts w:asciiTheme="majorHAnsi" w:hAnsiTheme="majorHAnsi"/>
              </w:rPr>
            </w:pPr>
            <w:r w:rsidRPr="00CB32B1">
              <w:rPr>
                <w:rFonts w:asciiTheme="majorHAnsi" w:hAnsiTheme="majorHAnsi"/>
              </w:rPr>
              <w:t>5</w:t>
            </w:r>
          </w:p>
        </w:tc>
        <w:tc>
          <w:tcPr>
            <w:tcW w:w="1667" w:type="pct"/>
          </w:tcPr>
          <w:p w:rsidR="00D35863" w:rsidRPr="00CB32B1" w:rsidRDefault="00D35863" w:rsidP="00D35863">
            <w:pPr>
              <w:pStyle w:val="NumericTableTextDecimalNormal"/>
              <w:tabs>
                <w:tab w:val="clear" w:pos="1004"/>
                <w:tab w:val="decimal" w:pos="1575"/>
              </w:tabs>
              <w:cnfStyle w:val="000000000000"/>
              <w:rPr>
                <w:rFonts w:asciiTheme="majorHAnsi" w:hAnsiTheme="majorHAnsi"/>
              </w:rPr>
            </w:pPr>
            <w:r w:rsidRPr="00CB32B1">
              <w:rPr>
                <w:rFonts w:asciiTheme="majorHAnsi" w:hAnsiTheme="majorHAnsi"/>
              </w:rPr>
              <w:t>11</w:t>
            </w:r>
          </w:p>
        </w:tc>
        <w:tc>
          <w:tcPr>
            <w:tcW w:w="1666" w:type="pct"/>
          </w:tcPr>
          <w:p w:rsidR="00D35863" w:rsidRPr="00CB32B1" w:rsidRDefault="00D35863" w:rsidP="00D35863">
            <w:pPr>
              <w:pStyle w:val="NumericTableTextDecimalNormal"/>
              <w:tabs>
                <w:tab w:val="clear" w:pos="1004"/>
                <w:tab w:val="decimal" w:pos="1457"/>
              </w:tabs>
              <w:cnfStyle w:val="000000000000"/>
              <w:rPr>
                <w:rFonts w:asciiTheme="majorHAnsi" w:hAnsiTheme="majorHAnsi"/>
              </w:rPr>
            </w:pPr>
            <w:r w:rsidRPr="00CB32B1">
              <w:rPr>
                <w:rFonts w:asciiTheme="majorHAnsi" w:hAnsiTheme="majorHAnsi"/>
              </w:rPr>
              <w:t>14%</w:t>
            </w:r>
          </w:p>
        </w:tc>
      </w:tr>
      <w:tr w:rsidR="00D35863" w:rsidRPr="00CB32B1" w:rsidTr="00D35863">
        <w:tc>
          <w:tcPr>
            <w:cnfStyle w:val="001000000000"/>
            <w:tcW w:w="1667" w:type="pct"/>
          </w:tcPr>
          <w:p w:rsidR="00D35863" w:rsidRPr="00CB32B1" w:rsidRDefault="00D35863" w:rsidP="00D35863">
            <w:pPr>
              <w:pStyle w:val="NumericTableTextNormal"/>
              <w:rPr>
                <w:rFonts w:asciiTheme="majorHAnsi" w:hAnsiTheme="majorHAnsi"/>
              </w:rPr>
            </w:pPr>
            <w:r w:rsidRPr="00CB32B1">
              <w:rPr>
                <w:rFonts w:asciiTheme="majorHAnsi" w:hAnsiTheme="majorHAnsi"/>
              </w:rPr>
              <w:t>6</w:t>
            </w:r>
          </w:p>
        </w:tc>
        <w:tc>
          <w:tcPr>
            <w:tcW w:w="1667" w:type="pct"/>
          </w:tcPr>
          <w:p w:rsidR="00D35863" w:rsidRPr="00CB32B1" w:rsidRDefault="00D35863" w:rsidP="00D35863">
            <w:pPr>
              <w:pStyle w:val="NumericTableTextDecimalNormal"/>
              <w:tabs>
                <w:tab w:val="clear" w:pos="1004"/>
                <w:tab w:val="decimal" w:pos="1575"/>
              </w:tabs>
              <w:cnfStyle w:val="000000000000"/>
              <w:rPr>
                <w:rFonts w:asciiTheme="majorHAnsi" w:hAnsiTheme="majorHAnsi"/>
              </w:rPr>
            </w:pPr>
            <w:r w:rsidRPr="00CB32B1">
              <w:rPr>
                <w:rFonts w:asciiTheme="majorHAnsi" w:hAnsiTheme="majorHAnsi"/>
              </w:rPr>
              <w:t>4</w:t>
            </w:r>
          </w:p>
        </w:tc>
        <w:tc>
          <w:tcPr>
            <w:tcW w:w="1666" w:type="pct"/>
          </w:tcPr>
          <w:p w:rsidR="00D35863" w:rsidRPr="00CB32B1" w:rsidRDefault="00D35863" w:rsidP="00D35863">
            <w:pPr>
              <w:pStyle w:val="NumericTableTextDecimalNormal"/>
              <w:tabs>
                <w:tab w:val="clear" w:pos="1004"/>
                <w:tab w:val="decimal" w:pos="1457"/>
              </w:tabs>
              <w:cnfStyle w:val="000000000000"/>
              <w:rPr>
                <w:rFonts w:asciiTheme="majorHAnsi" w:hAnsiTheme="majorHAnsi"/>
              </w:rPr>
            </w:pPr>
            <w:r w:rsidRPr="00CB32B1">
              <w:rPr>
                <w:rFonts w:asciiTheme="majorHAnsi" w:hAnsiTheme="majorHAnsi"/>
              </w:rPr>
              <w:t>5%</w:t>
            </w:r>
          </w:p>
        </w:tc>
      </w:tr>
      <w:tr w:rsidR="00D35863" w:rsidRPr="00CB32B1" w:rsidTr="00D35863">
        <w:tc>
          <w:tcPr>
            <w:cnfStyle w:val="001000000000"/>
            <w:tcW w:w="1667" w:type="pct"/>
          </w:tcPr>
          <w:p w:rsidR="00D35863" w:rsidRPr="00CB32B1" w:rsidRDefault="00D35863" w:rsidP="00D35863">
            <w:pPr>
              <w:pStyle w:val="NumericTableTextNormal"/>
              <w:rPr>
                <w:rFonts w:asciiTheme="majorHAnsi" w:hAnsiTheme="majorHAnsi"/>
              </w:rPr>
            </w:pPr>
            <w:r w:rsidRPr="00CB32B1">
              <w:rPr>
                <w:rFonts w:asciiTheme="majorHAnsi" w:hAnsiTheme="majorHAnsi"/>
              </w:rPr>
              <w:t>7</w:t>
            </w:r>
          </w:p>
        </w:tc>
        <w:tc>
          <w:tcPr>
            <w:tcW w:w="1667" w:type="pct"/>
          </w:tcPr>
          <w:p w:rsidR="00D35863" w:rsidRPr="00CB32B1" w:rsidRDefault="00D35863" w:rsidP="00D35863">
            <w:pPr>
              <w:pStyle w:val="NumericTableTextDecimalNormal"/>
              <w:tabs>
                <w:tab w:val="clear" w:pos="1004"/>
                <w:tab w:val="decimal" w:pos="1575"/>
              </w:tabs>
              <w:cnfStyle w:val="000000000000"/>
              <w:rPr>
                <w:rFonts w:asciiTheme="majorHAnsi" w:hAnsiTheme="majorHAnsi"/>
              </w:rPr>
            </w:pPr>
            <w:r w:rsidRPr="00CB32B1">
              <w:rPr>
                <w:rFonts w:asciiTheme="majorHAnsi" w:hAnsiTheme="majorHAnsi"/>
              </w:rPr>
              <w:t>9</w:t>
            </w:r>
          </w:p>
        </w:tc>
        <w:tc>
          <w:tcPr>
            <w:tcW w:w="1666" w:type="pct"/>
          </w:tcPr>
          <w:p w:rsidR="00D35863" w:rsidRPr="00CB32B1" w:rsidRDefault="00D35863" w:rsidP="00D35863">
            <w:pPr>
              <w:pStyle w:val="NumericTableTextDecimalNormal"/>
              <w:tabs>
                <w:tab w:val="clear" w:pos="1004"/>
                <w:tab w:val="decimal" w:pos="1457"/>
              </w:tabs>
              <w:cnfStyle w:val="000000000000"/>
              <w:rPr>
                <w:rFonts w:asciiTheme="majorHAnsi" w:hAnsiTheme="majorHAnsi"/>
              </w:rPr>
            </w:pPr>
            <w:r w:rsidRPr="00CB32B1">
              <w:rPr>
                <w:rFonts w:asciiTheme="majorHAnsi" w:hAnsiTheme="majorHAnsi"/>
              </w:rPr>
              <w:t>11%</w:t>
            </w:r>
          </w:p>
        </w:tc>
      </w:tr>
      <w:tr w:rsidR="00D35863" w:rsidRPr="00CB32B1" w:rsidTr="00D35863">
        <w:tc>
          <w:tcPr>
            <w:cnfStyle w:val="001000000000"/>
            <w:tcW w:w="1667" w:type="pct"/>
          </w:tcPr>
          <w:p w:rsidR="00D35863" w:rsidRPr="00CB32B1" w:rsidRDefault="00D35863" w:rsidP="00D35863">
            <w:pPr>
              <w:pStyle w:val="NumericTableTextNormal"/>
              <w:rPr>
                <w:rFonts w:asciiTheme="majorHAnsi" w:hAnsiTheme="majorHAnsi"/>
              </w:rPr>
            </w:pPr>
            <w:r w:rsidRPr="00CB32B1">
              <w:rPr>
                <w:rFonts w:asciiTheme="majorHAnsi" w:hAnsiTheme="majorHAnsi"/>
              </w:rPr>
              <w:t>8</w:t>
            </w:r>
          </w:p>
        </w:tc>
        <w:tc>
          <w:tcPr>
            <w:tcW w:w="1667" w:type="pct"/>
          </w:tcPr>
          <w:p w:rsidR="00D35863" w:rsidRPr="00CB32B1" w:rsidRDefault="00D35863" w:rsidP="00D35863">
            <w:pPr>
              <w:pStyle w:val="NumericTableTextDecimalNormal"/>
              <w:tabs>
                <w:tab w:val="clear" w:pos="1004"/>
                <w:tab w:val="decimal" w:pos="1575"/>
              </w:tabs>
              <w:cnfStyle w:val="000000000000"/>
              <w:rPr>
                <w:rFonts w:asciiTheme="majorHAnsi" w:hAnsiTheme="majorHAnsi"/>
              </w:rPr>
            </w:pPr>
            <w:r w:rsidRPr="00CB32B1">
              <w:rPr>
                <w:rFonts w:asciiTheme="majorHAnsi" w:hAnsiTheme="majorHAnsi"/>
              </w:rPr>
              <w:t>17</w:t>
            </w:r>
          </w:p>
        </w:tc>
        <w:tc>
          <w:tcPr>
            <w:tcW w:w="1666" w:type="pct"/>
          </w:tcPr>
          <w:p w:rsidR="00D35863" w:rsidRPr="00CB32B1" w:rsidRDefault="00D35863" w:rsidP="00D35863">
            <w:pPr>
              <w:pStyle w:val="NumericTableTextDecimalNormal"/>
              <w:tabs>
                <w:tab w:val="clear" w:pos="1004"/>
                <w:tab w:val="decimal" w:pos="1457"/>
              </w:tabs>
              <w:cnfStyle w:val="000000000000"/>
              <w:rPr>
                <w:rFonts w:asciiTheme="majorHAnsi" w:hAnsiTheme="majorHAnsi"/>
              </w:rPr>
            </w:pPr>
            <w:r w:rsidRPr="00CB32B1">
              <w:rPr>
                <w:rFonts w:asciiTheme="majorHAnsi" w:hAnsiTheme="majorHAnsi"/>
              </w:rPr>
              <w:t>21%</w:t>
            </w:r>
          </w:p>
        </w:tc>
      </w:tr>
      <w:tr w:rsidR="00D35863" w:rsidRPr="00CB32B1" w:rsidTr="00D35863">
        <w:tc>
          <w:tcPr>
            <w:cnfStyle w:val="001000000000"/>
            <w:tcW w:w="1667" w:type="pct"/>
          </w:tcPr>
          <w:p w:rsidR="00D35863" w:rsidRPr="00CB32B1" w:rsidRDefault="00D35863" w:rsidP="00D35863">
            <w:pPr>
              <w:pStyle w:val="NumericTableTextNormal"/>
              <w:rPr>
                <w:rFonts w:asciiTheme="majorHAnsi" w:hAnsiTheme="majorHAnsi"/>
              </w:rPr>
            </w:pPr>
            <w:r w:rsidRPr="00CB32B1">
              <w:rPr>
                <w:rFonts w:asciiTheme="majorHAnsi" w:hAnsiTheme="majorHAnsi"/>
              </w:rPr>
              <w:t>9</w:t>
            </w:r>
          </w:p>
        </w:tc>
        <w:tc>
          <w:tcPr>
            <w:tcW w:w="1667" w:type="pct"/>
          </w:tcPr>
          <w:p w:rsidR="00D35863" w:rsidRPr="00CB32B1" w:rsidRDefault="00D35863" w:rsidP="00D35863">
            <w:pPr>
              <w:pStyle w:val="NumericTableTextDecimalNormal"/>
              <w:tabs>
                <w:tab w:val="clear" w:pos="1004"/>
                <w:tab w:val="decimal" w:pos="1575"/>
              </w:tabs>
              <w:cnfStyle w:val="000000000000"/>
              <w:rPr>
                <w:rFonts w:asciiTheme="majorHAnsi" w:hAnsiTheme="majorHAnsi"/>
              </w:rPr>
            </w:pPr>
            <w:r w:rsidRPr="00CB32B1">
              <w:rPr>
                <w:rFonts w:asciiTheme="majorHAnsi" w:hAnsiTheme="majorHAnsi"/>
              </w:rPr>
              <w:t>8</w:t>
            </w:r>
          </w:p>
        </w:tc>
        <w:tc>
          <w:tcPr>
            <w:tcW w:w="1666" w:type="pct"/>
          </w:tcPr>
          <w:p w:rsidR="00D35863" w:rsidRPr="00CB32B1" w:rsidRDefault="00D35863" w:rsidP="00D35863">
            <w:pPr>
              <w:pStyle w:val="NumericTableTextDecimalNormal"/>
              <w:tabs>
                <w:tab w:val="clear" w:pos="1004"/>
                <w:tab w:val="decimal" w:pos="1457"/>
              </w:tabs>
              <w:cnfStyle w:val="000000000000"/>
              <w:rPr>
                <w:rFonts w:asciiTheme="majorHAnsi" w:hAnsiTheme="majorHAnsi"/>
              </w:rPr>
            </w:pPr>
            <w:r w:rsidRPr="00CB32B1">
              <w:rPr>
                <w:rFonts w:asciiTheme="majorHAnsi" w:hAnsiTheme="majorHAnsi"/>
              </w:rPr>
              <w:t>10%</w:t>
            </w:r>
          </w:p>
        </w:tc>
      </w:tr>
      <w:tr w:rsidR="00D35863" w:rsidRPr="00CB32B1" w:rsidTr="00D35863">
        <w:tc>
          <w:tcPr>
            <w:cnfStyle w:val="001000000000"/>
            <w:tcW w:w="1667" w:type="pct"/>
          </w:tcPr>
          <w:p w:rsidR="00D35863" w:rsidRPr="00CB32B1" w:rsidRDefault="00D35863" w:rsidP="00D35863">
            <w:pPr>
              <w:pStyle w:val="NumericTableTextNormal"/>
              <w:rPr>
                <w:rFonts w:asciiTheme="majorHAnsi" w:hAnsiTheme="majorHAnsi"/>
              </w:rPr>
            </w:pPr>
            <w:r w:rsidRPr="00CB32B1">
              <w:rPr>
                <w:rFonts w:asciiTheme="majorHAnsi" w:hAnsiTheme="majorHAnsi"/>
              </w:rPr>
              <w:t>10</w:t>
            </w:r>
          </w:p>
        </w:tc>
        <w:tc>
          <w:tcPr>
            <w:tcW w:w="1667" w:type="pct"/>
          </w:tcPr>
          <w:p w:rsidR="00D35863" w:rsidRPr="00CB32B1" w:rsidRDefault="00D35863" w:rsidP="00D35863">
            <w:pPr>
              <w:pStyle w:val="NumericTableTextDecimalNormal"/>
              <w:tabs>
                <w:tab w:val="clear" w:pos="1004"/>
                <w:tab w:val="decimal" w:pos="1575"/>
              </w:tabs>
              <w:cnfStyle w:val="000000000000"/>
              <w:rPr>
                <w:rFonts w:asciiTheme="majorHAnsi" w:hAnsiTheme="majorHAnsi"/>
              </w:rPr>
            </w:pPr>
            <w:r w:rsidRPr="00CB32B1">
              <w:rPr>
                <w:rFonts w:asciiTheme="majorHAnsi" w:hAnsiTheme="majorHAnsi"/>
              </w:rPr>
              <w:t>9</w:t>
            </w:r>
          </w:p>
        </w:tc>
        <w:tc>
          <w:tcPr>
            <w:tcW w:w="1666" w:type="pct"/>
          </w:tcPr>
          <w:p w:rsidR="00D35863" w:rsidRPr="00CB32B1" w:rsidRDefault="00D35863" w:rsidP="00D35863">
            <w:pPr>
              <w:pStyle w:val="NumericTableTextDecimalNormal"/>
              <w:tabs>
                <w:tab w:val="clear" w:pos="1004"/>
                <w:tab w:val="decimal" w:pos="1457"/>
              </w:tabs>
              <w:cnfStyle w:val="000000000000"/>
              <w:rPr>
                <w:rFonts w:asciiTheme="majorHAnsi" w:hAnsiTheme="majorHAnsi"/>
              </w:rPr>
            </w:pPr>
            <w:r w:rsidRPr="00CB32B1">
              <w:rPr>
                <w:rFonts w:asciiTheme="majorHAnsi" w:hAnsiTheme="majorHAnsi"/>
              </w:rPr>
              <w:t>11%</w:t>
            </w:r>
          </w:p>
        </w:tc>
      </w:tr>
      <w:tr w:rsidR="00D35863" w:rsidRPr="00CB32B1" w:rsidTr="00D35863">
        <w:tc>
          <w:tcPr>
            <w:cnfStyle w:val="001000000000"/>
            <w:tcW w:w="1667" w:type="pct"/>
          </w:tcPr>
          <w:p w:rsidR="00D35863" w:rsidRPr="00CB32B1" w:rsidRDefault="00D35863" w:rsidP="00D35863">
            <w:pPr>
              <w:pStyle w:val="NumericTableTextNormal"/>
              <w:rPr>
                <w:rFonts w:asciiTheme="majorHAnsi" w:hAnsiTheme="majorHAnsi"/>
              </w:rPr>
            </w:pPr>
            <w:r w:rsidRPr="00CB32B1">
              <w:rPr>
                <w:rFonts w:asciiTheme="majorHAnsi" w:hAnsiTheme="majorHAnsi"/>
              </w:rPr>
              <w:t>Not applicable</w:t>
            </w:r>
          </w:p>
        </w:tc>
        <w:tc>
          <w:tcPr>
            <w:tcW w:w="1667" w:type="pct"/>
          </w:tcPr>
          <w:p w:rsidR="00D35863" w:rsidRPr="00CB32B1" w:rsidRDefault="00D35863" w:rsidP="00D35863">
            <w:pPr>
              <w:pStyle w:val="NumericTableTextDecimalNormal"/>
              <w:tabs>
                <w:tab w:val="clear" w:pos="1004"/>
                <w:tab w:val="decimal" w:pos="1575"/>
              </w:tabs>
              <w:cnfStyle w:val="000000000000"/>
              <w:rPr>
                <w:rFonts w:asciiTheme="majorHAnsi" w:hAnsiTheme="majorHAnsi"/>
              </w:rPr>
            </w:pPr>
            <w:r w:rsidRPr="00CB32B1">
              <w:rPr>
                <w:rFonts w:asciiTheme="majorHAnsi" w:hAnsiTheme="majorHAnsi"/>
              </w:rPr>
              <w:t>13</w:t>
            </w:r>
          </w:p>
        </w:tc>
        <w:tc>
          <w:tcPr>
            <w:tcW w:w="1666" w:type="pct"/>
          </w:tcPr>
          <w:p w:rsidR="00D35863" w:rsidRPr="00CB32B1" w:rsidRDefault="00D35863" w:rsidP="00D35863">
            <w:pPr>
              <w:pStyle w:val="NumericTableTextDecimalNormal"/>
              <w:tabs>
                <w:tab w:val="clear" w:pos="1004"/>
                <w:tab w:val="decimal" w:pos="1457"/>
              </w:tabs>
              <w:cnfStyle w:val="000000000000"/>
              <w:rPr>
                <w:rFonts w:asciiTheme="majorHAnsi" w:hAnsiTheme="majorHAnsi"/>
              </w:rPr>
            </w:pPr>
            <w:r w:rsidRPr="00CB32B1">
              <w:rPr>
                <w:rFonts w:asciiTheme="majorHAnsi" w:hAnsiTheme="majorHAnsi"/>
              </w:rPr>
              <w:t>16%</w:t>
            </w:r>
          </w:p>
        </w:tc>
      </w:tr>
      <w:tr w:rsidR="00D35863" w:rsidRPr="00CB32B1" w:rsidTr="00D35863">
        <w:tc>
          <w:tcPr>
            <w:cnfStyle w:val="001000000000"/>
            <w:tcW w:w="1667" w:type="pct"/>
          </w:tcPr>
          <w:p w:rsidR="00D35863" w:rsidRPr="00CB32B1" w:rsidRDefault="00D35863" w:rsidP="00D35863">
            <w:pPr>
              <w:pStyle w:val="NumericTableTextNormal"/>
              <w:rPr>
                <w:rFonts w:asciiTheme="majorHAnsi" w:hAnsiTheme="majorHAnsi"/>
                <w:b/>
                <w:color w:val="DC6900" w:themeColor="text2"/>
              </w:rPr>
            </w:pPr>
            <w:r w:rsidRPr="00CB32B1">
              <w:rPr>
                <w:rFonts w:asciiTheme="majorHAnsi" w:hAnsiTheme="majorHAnsi"/>
                <w:b/>
                <w:color w:val="DC6900" w:themeColor="text2"/>
              </w:rPr>
              <w:t>Total count</w:t>
            </w:r>
          </w:p>
        </w:tc>
        <w:tc>
          <w:tcPr>
            <w:tcW w:w="1667" w:type="pct"/>
          </w:tcPr>
          <w:p w:rsidR="00D35863" w:rsidRPr="00CB32B1" w:rsidRDefault="00D35863" w:rsidP="00D35863">
            <w:pPr>
              <w:pStyle w:val="NumericTableTextDecimalNormal"/>
              <w:tabs>
                <w:tab w:val="clear" w:pos="1004"/>
                <w:tab w:val="decimal" w:pos="1575"/>
              </w:tabs>
              <w:cnfStyle w:val="000000000000"/>
              <w:rPr>
                <w:rFonts w:asciiTheme="majorHAnsi" w:hAnsiTheme="majorHAnsi"/>
                <w:b/>
                <w:color w:val="DC6900" w:themeColor="text2"/>
              </w:rPr>
            </w:pPr>
            <w:r w:rsidRPr="00CB32B1">
              <w:rPr>
                <w:rFonts w:asciiTheme="majorHAnsi" w:hAnsiTheme="majorHAnsi"/>
                <w:b/>
                <w:color w:val="DC6900" w:themeColor="text2"/>
              </w:rPr>
              <w:t>81</w:t>
            </w:r>
          </w:p>
        </w:tc>
        <w:tc>
          <w:tcPr>
            <w:tcW w:w="1666" w:type="pct"/>
          </w:tcPr>
          <w:p w:rsidR="00D35863" w:rsidRPr="00CB32B1" w:rsidRDefault="00D35863" w:rsidP="00D35863">
            <w:pPr>
              <w:pStyle w:val="NumericTableTextDecimalNormal"/>
              <w:tabs>
                <w:tab w:val="clear" w:pos="1004"/>
                <w:tab w:val="decimal" w:pos="1457"/>
              </w:tabs>
              <w:cnfStyle w:val="000000000000"/>
              <w:rPr>
                <w:rFonts w:asciiTheme="majorHAnsi" w:hAnsiTheme="majorHAnsi"/>
                <w:b/>
                <w:color w:val="DC6900" w:themeColor="text2"/>
              </w:rPr>
            </w:pPr>
            <w:r w:rsidRPr="00CB32B1">
              <w:rPr>
                <w:rFonts w:asciiTheme="majorHAnsi" w:hAnsiTheme="majorHAnsi"/>
                <w:b/>
                <w:color w:val="DC6900" w:themeColor="text2"/>
              </w:rPr>
              <w:t>100%</w:t>
            </w:r>
          </w:p>
        </w:tc>
      </w:tr>
    </w:tbl>
    <w:p w:rsidR="00D35863" w:rsidRPr="00CB32B1" w:rsidRDefault="00D35863" w:rsidP="00D35863">
      <w:pPr>
        <w:pStyle w:val="Minorheading"/>
      </w:pPr>
      <w:r w:rsidRPr="00CB32B1">
        <w:t>How do privately practising midwives meet continuing professional development registration requirements?</w:t>
      </w:r>
    </w:p>
    <w:p w:rsidR="00D35863" w:rsidRPr="00CB32B1" w:rsidRDefault="00D35863" w:rsidP="00D35863">
      <w:pPr>
        <w:pStyle w:val="PwCNormal"/>
      </w:pPr>
      <w:r w:rsidRPr="00795E1A">
        <w:rPr>
          <w:b/>
          <w:color w:val="DC6900" w:themeColor="text2"/>
        </w:rPr>
        <w:t>83</w:t>
      </w:r>
      <w:r w:rsidRPr="00CB32B1">
        <w:t xml:space="preserve"> participants responded to this question. The most widely used methods of professional development are:</w:t>
      </w:r>
    </w:p>
    <w:p w:rsidR="00D35863" w:rsidRPr="00CB32B1" w:rsidRDefault="00D35863" w:rsidP="00D35863">
      <w:pPr>
        <w:pStyle w:val="ListBullet"/>
      </w:pPr>
      <w:r w:rsidRPr="00CB32B1">
        <w:t>Attending publicly available paid courses (</w:t>
      </w:r>
      <w:r w:rsidR="00854DEF" w:rsidRPr="00CB32B1">
        <w:t>eg</w:t>
      </w:r>
      <w:r w:rsidRPr="00CB32B1">
        <w:t xml:space="preserve"> university, TAFE institutions) – 70% respondents</w:t>
      </w:r>
    </w:p>
    <w:p w:rsidR="00D35863" w:rsidRPr="00CB32B1" w:rsidRDefault="00D35863" w:rsidP="00D35863">
      <w:pPr>
        <w:pStyle w:val="ListBullet"/>
      </w:pPr>
      <w:r w:rsidRPr="00CB32B1">
        <w:t>Completing training offered through professional institutions – 69% respondents</w:t>
      </w:r>
    </w:p>
    <w:p w:rsidR="00D35863" w:rsidRPr="00CB32B1" w:rsidRDefault="00D35863" w:rsidP="00D35863">
      <w:pPr>
        <w:pStyle w:val="ListBullet"/>
      </w:pPr>
      <w:r w:rsidRPr="00CB32B1">
        <w:t>Completing online training – 68% respondents.</w:t>
      </w:r>
    </w:p>
    <w:tbl>
      <w:tblPr>
        <w:tblStyle w:val="PwCTableStyle1"/>
        <w:tblW w:w="5000" w:type="pct"/>
        <w:tblLook w:val="04A0"/>
      </w:tblPr>
      <w:tblGrid>
        <w:gridCol w:w="5619"/>
        <w:gridCol w:w="1833"/>
        <w:gridCol w:w="1833"/>
      </w:tblGrid>
      <w:tr w:rsidR="004A53A1" w:rsidRPr="00CB32B1" w:rsidTr="00747120">
        <w:trPr>
          <w:cnfStyle w:val="100000000000"/>
        </w:trPr>
        <w:tc>
          <w:tcPr>
            <w:cnfStyle w:val="001000000000"/>
            <w:tcW w:w="3026" w:type="pct"/>
            <w:shd w:val="clear" w:color="auto" w:fill="DC6900" w:themeFill="text2"/>
            <w:vAlign w:val="center"/>
          </w:tcPr>
          <w:p w:rsidR="004A53A1" w:rsidRPr="00CB32B1" w:rsidRDefault="004A53A1" w:rsidP="00747120">
            <w:pPr>
              <w:pStyle w:val="NumericTableColumnHeadingNormal"/>
              <w:rPr>
                <w:rFonts w:asciiTheme="majorHAnsi" w:hAnsiTheme="majorHAnsi"/>
              </w:rPr>
            </w:pPr>
            <w:r w:rsidRPr="00CB32B1">
              <w:rPr>
                <w:rFonts w:asciiTheme="majorHAnsi" w:hAnsiTheme="majorHAnsi"/>
              </w:rPr>
              <w:t>Method of professional development</w:t>
            </w:r>
          </w:p>
        </w:tc>
        <w:tc>
          <w:tcPr>
            <w:tcW w:w="987" w:type="pct"/>
            <w:shd w:val="clear" w:color="auto" w:fill="DC6900" w:themeFill="text2"/>
            <w:vAlign w:val="center"/>
          </w:tcPr>
          <w:p w:rsidR="004A53A1" w:rsidRPr="00CB32B1" w:rsidRDefault="004A53A1" w:rsidP="00747120">
            <w:pPr>
              <w:pStyle w:val="NumericTableColumnHeadingNormal"/>
              <w:jc w:val="center"/>
              <w:cnfStyle w:val="100000000000"/>
              <w:rPr>
                <w:rFonts w:asciiTheme="majorHAnsi" w:hAnsiTheme="majorHAnsi"/>
              </w:rPr>
            </w:pPr>
            <w:r w:rsidRPr="00CB32B1">
              <w:rPr>
                <w:rFonts w:asciiTheme="majorHAnsi" w:hAnsiTheme="majorHAnsi"/>
              </w:rPr>
              <w:t>Count of responses</w:t>
            </w:r>
          </w:p>
        </w:tc>
        <w:tc>
          <w:tcPr>
            <w:tcW w:w="987" w:type="pct"/>
            <w:shd w:val="clear" w:color="auto" w:fill="DC6900" w:themeFill="text2"/>
            <w:vAlign w:val="center"/>
          </w:tcPr>
          <w:p w:rsidR="004A53A1" w:rsidRPr="00CB32B1" w:rsidRDefault="004A53A1" w:rsidP="00747120">
            <w:pPr>
              <w:pStyle w:val="NumericTableColumnHeadingNormal"/>
              <w:jc w:val="center"/>
              <w:cnfStyle w:val="100000000000"/>
              <w:rPr>
                <w:rFonts w:asciiTheme="majorHAnsi" w:hAnsiTheme="majorHAnsi"/>
              </w:rPr>
            </w:pPr>
            <w:r w:rsidRPr="00CB32B1">
              <w:rPr>
                <w:rFonts w:asciiTheme="majorHAnsi" w:hAnsiTheme="majorHAnsi"/>
              </w:rPr>
              <w:t>% of respondents</w:t>
            </w:r>
          </w:p>
        </w:tc>
      </w:tr>
      <w:tr w:rsidR="004A53A1" w:rsidRPr="00CB32B1" w:rsidTr="004A53A1">
        <w:tc>
          <w:tcPr>
            <w:cnfStyle w:val="001000000000"/>
            <w:tcW w:w="3026" w:type="pct"/>
          </w:tcPr>
          <w:p w:rsidR="004A53A1" w:rsidRPr="00CB32B1" w:rsidRDefault="004A53A1" w:rsidP="004A53A1">
            <w:pPr>
              <w:pStyle w:val="NumericTableTextNormal"/>
              <w:rPr>
                <w:rFonts w:asciiTheme="majorHAnsi" w:hAnsiTheme="majorHAnsi"/>
              </w:rPr>
            </w:pPr>
            <w:r w:rsidRPr="00CB32B1">
              <w:rPr>
                <w:rFonts w:asciiTheme="majorHAnsi" w:hAnsiTheme="majorHAnsi"/>
              </w:rPr>
              <w:t>Attend publicly available free seminars/conferences</w:t>
            </w:r>
          </w:p>
        </w:tc>
        <w:tc>
          <w:tcPr>
            <w:tcW w:w="987" w:type="pct"/>
          </w:tcPr>
          <w:p w:rsidR="004A53A1" w:rsidRPr="00CB32B1" w:rsidRDefault="004A53A1" w:rsidP="004A53A1">
            <w:pPr>
              <w:pStyle w:val="NumericTableTextDecimalNormal"/>
              <w:cnfStyle w:val="000000000000"/>
              <w:rPr>
                <w:rFonts w:asciiTheme="majorHAnsi" w:hAnsiTheme="majorHAnsi"/>
              </w:rPr>
            </w:pPr>
            <w:r w:rsidRPr="00CB32B1">
              <w:rPr>
                <w:rFonts w:asciiTheme="majorHAnsi" w:hAnsiTheme="majorHAnsi"/>
              </w:rPr>
              <w:t>44</w:t>
            </w:r>
          </w:p>
        </w:tc>
        <w:tc>
          <w:tcPr>
            <w:tcW w:w="987" w:type="pct"/>
          </w:tcPr>
          <w:p w:rsidR="004A53A1" w:rsidRPr="00CB32B1" w:rsidRDefault="004A53A1" w:rsidP="004A53A1">
            <w:pPr>
              <w:pStyle w:val="NumericTableTextDecimalNormal"/>
              <w:cnfStyle w:val="000000000000"/>
              <w:rPr>
                <w:rFonts w:asciiTheme="majorHAnsi" w:hAnsiTheme="majorHAnsi"/>
              </w:rPr>
            </w:pPr>
            <w:r w:rsidRPr="00CB32B1">
              <w:rPr>
                <w:rFonts w:asciiTheme="majorHAnsi" w:hAnsiTheme="majorHAnsi"/>
              </w:rPr>
              <w:t>52%</w:t>
            </w:r>
          </w:p>
        </w:tc>
      </w:tr>
      <w:tr w:rsidR="004A53A1" w:rsidRPr="00CB32B1" w:rsidTr="004A53A1">
        <w:tc>
          <w:tcPr>
            <w:cnfStyle w:val="001000000000"/>
            <w:tcW w:w="3026" w:type="pct"/>
          </w:tcPr>
          <w:p w:rsidR="004A53A1" w:rsidRPr="00CB32B1" w:rsidRDefault="004A53A1" w:rsidP="004A53A1">
            <w:pPr>
              <w:pStyle w:val="NumericTableTextNormal"/>
              <w:rPr>
                <w:rFonts w:asciiTheme="majorHAnsi" w:hAnsiTheme="majorHAnsi"/>
              </w:rPr>
            </w:pPr>
            <w:r w:rsidRPr="00CB32B1">
              <w:rPr>
                <w:rFonts w:asciiTheme="majorHAnsi" w:hAnsiTheme="majorHAnsi"/>
              </w:rPr>
              <w:t>Attend publicly available paid courses (</w:t>
            </w:r>
            <w:r w:rsidR="00854DEF" w:rsidRPr="00CB32B1">
              <w:rPr>
                <w:rFonts w:asciiTheme="majorHAnsi" w:hAnsiTheme="majorHAnsi"/>
              </w:rPr>
              <w:t>eg</w:t>
            </w:r>
            <w:r w:rsidRPr="00CB32B1">
              <w:rPr>
                <w:rFonts w:asciiTheme="majorHAnsi" w:hAnsiTheme="majorHAnsi"/>
              </w:rPr>
              <w:t xml:space="preserve"> university, TAFE institutions)</w:t>
            </w:r>
          </w:p>
        </w:tc>
        <w:tc>
          <w:tcPr>
            <w:tcW w:w="987" w:type="pct"/>
          </w:tcPr>
          <w:p w:rsidR="004A53A1" w:rsidRPr="00CB32B1" w:rsidRDefault="004A53A1" w:rsidP="004A53A1">
            <w:pPr>
              <w:pStyle w:val="NumericTableTextDecimalNormal"/>
              <w:cnfStyle w:val="000000000000"/>
              <w:rPr>
                <w:rFonts w:asciiTheme="majorHAnsi" w:hAnsiTheme="majorHAnsi"/>
              </w:rPr>
            </w:pPr>
            <w:r w:rsidRPr="00CB32B1">
              <w:rPr>
                <w:rFonts w:asciiTheme="majorHAnsi" w:hAnsiTheme="majorHAnsi"/>
              </w:rPr>
              <w:t>46</w:t>
            </w:r>
          </w:p>
        </w:tc>
        <w:tc>
          <w:tcPr>
            <w:tcW w:w="987" w:type="pct"/>
          </w:tcPr>
          <w:p w:rsidR="004A53A1" w:rsidRPr="00CB32B1" w:rsidRDefault="004A53A1" w:rsidP="004A53A1">
            <w:pPr>
              <w:pStyle w:val="NumericTableTextDecimalNormal"/>
              <w:cnfStyle w:val="000000000000"/>
              <w:rPr>
                <w:rFonts w:asciiTheme="majorHAnsi" w:hAnsiTheme="majorHAnsi"/>
              </w:rPr>
            </w:pPr>
            <w:r w:rsidRPr="00CB32B1">
              <w:rPr>
                <w:rFonts w:asciiTheme="majorHAnsi" w:hAnsiTheme="majorHAnsi"/>
              </w:rPr>
              <w:t>55%</w:t>
            </w:r>
          </w:p>
        </w:tc>
      </w:tr>
      <w:tr w:rsidR="004A53A1" w:rsidRPr="00CB32B1" w:rsidTr="004A53A1">
        <w:tc>
          <w:tcPr>
            <w:cnfStyle w:val="001000000000"/>
            <w:tcW w:w="3026" w:type="pct"/>
          </w:tcPr>
          <w:p w:rsidR="004A53A1" w:rsidRPr="00CB32B1" w:rsidRDefault="004A53A1" w:rsidP="004A53A1">
            <w:pPr>
              <w:pStyle w:val="NumericTableTextNormal"/>
              <w:rPr>
                <w:rFonts w:asciiTheme="majorHAnsi" w:hAnsiTheme="majorHAnsi"/>
              </w:rPr>
            </w:pPr>
            <w:r w:rsidRPr="00CB32B1">
              <w:rPr>
                <w:rFonts w:asciiTheme="majorHAnsi" w:hAnsiTheme="majorHAnsi"/>
              </w:rPr>
              <w:t>Attend publicly available paid seminars/conferences</w:t>
            </w:r>
          </w:p>
        </w:tc>
        <w:tc>
          <w:tcPr>
            <w:tcW w:w="987" w:type="pct"/>
          </w:tcPr>
          <w:p w:rsidR="004A53A1" w:rsidRPr="00CB32B1" w:rsidRDefault="004A53A1" w:rsidP="004A53A1">
            <w:pPr>
              <w:pStyle w:val="NumericTableTextDecimalNormal"/>
              <w:cnfStyle w:val="000000000000"/>
              <w:rPr>
                <w:rFonts w:asciiTheme="majorHAnsi" w:hAnsiTheme="majorHAnsi"/>
              </w:rPr>
            </w:pPr>
            <w:r w:rsidRPr="00CB32B1">
              <w:rPr>
                <w:rFonts w:asciiTheme="majorHAnsi" w:hAnsiTheme="majorHAnsi"/>
              </w:rPr>
              <w:t>59</w:t>
            </w:r>
          </w:p>
        </w:tc>
        <w:tc>
          <w:tcPr>
            <w:tcW w:w="987" w:type="pct"/>
          </w:tcPr>
          <w:p w:rsidR="004A53A1" w:rsidRPr="00CB32B1" w:rsidRDefault="004A53A1" w:rsidP="004A53A1">
            <w:pPr>
              <w:pStyle w:val="NumericTableTextDecimalNormal"/>
              <w:cnfStyle w:val="000000000000"/>
              <w:rPr>
                <w:rFonts w:asciiTheme="majorHAnsi" w:hAnsiTheme="majorHAnsi"/>
              </w:rPr>
            </w:pPr>
            <w:r w:rsidRPr="00CB32B1">
              <w:rPr>
                <w:rFonts w:asciiTheme="majorHAnsi" w:hAnsiTheme="majorHAnsi"/>
              </w:rPr>
              <w:t>70%</w:t>
            </w:r>
          </w:p>
        </w:tc>
      </w:tr>
      <w:tr w:rsidR="004A53A1" w:rsidRPr="00CB32B1" w:rsidTr="004A53A1">
        <w:tc>
          <w:tcPr>
            <w:cnfStyle w:val="001000000000"/>
            <w:tcW w:w="3026" w:type="pct"/>
          </w:tcPr>
          <w:p w:rsidR="004A53A1" w:rsidRPr="00CB32B1" w:rsidRDefault="004A53A1" w:rsidP="004A53A1">
            <w:pPr>
              <w:pStyle w:val="NumericTableTextNormal"/>
              <w:rPr>
                <w:rFonts w:asciiTheme="majorHAnsi" w:hAnsiTheme="majorHAnsi"/>
              </w:rPr>
            </w:pPr>
            <w:r w:rsidRPr="00CB32B1">
              <w:rPr>
                <w:rFonts w:asciiTheme="majorHAnsi" w:hAnsiTheme="majorHAnsi"/>
              </w:rPr>
              <w:t>Complete midwifery courses within public health services</w:t>
            </w:r>
          </w:p>
        </w:tc>
        <w:tc>
          <w:tcPr>
            <w:tcW w:w="987" w:type="pct"/>
          </w:tcPr>
          <w:p w:rsidR="004A53A1" w:rsidRPr="00CB32B1" w:rsidRDefault="004A53A1" w:rsidP="004A53A1">
            <w:pPr>
              <w:pStyle w:val="NumericTableTextDecimalNormal"/>
              <w:cnfStyle w:val="000000000000"/>
              <w:rPr>
                <w:rFonts w:asciiTheme="majorHAnsi" w:hAnsiTheme="majorHAnsi"/>
              </w:rPr>
            </w:pPr>
            <w:r w:rsidRPr="00CB32B1">
              <w:rPr>
                <w:rFonts w:asciiTheme="majorHAnsi" w:hAnsiTheme="majorHAnsi"/>
              </w:rPr>
              <w:t>54</w:t>
            </w:r>
          </w:p>
        </w:tc>
        <w:tc>
          <w:tcPr>
            <w:tcW w:w="987" w:type="pct"/>
          </w:tcPr>
          <w:p w:rsidR="004A53A1" w:rsidRPr="00CB32B1" w:rsidRDefault="004A53A1" w:rsidP="004A53A1">
            <w:pPr>
              <w:pStyle w:val="NumericTableTextDecimalNormal"/>
              <w:cnfStyle w:val="000000000000"/>
              <w:rPr>
                <w:rFonts w:asciiTheme="majorHAnsi" w:hAnsiTheme="majorHAnsi"/>
              </w:rPr>
            </w:pPr>
            <w:r w:rsidRPr="00CB32B1">
              <w:rPr>
                <w:rFonts w:asciiTheme="majorHAnsi" w:hAnsiTheme="majorHAnsi"/>
              </w:rPr>
              <w:t>64%</w:t>
            </w:r>
          </w:p>
        </w:tc>
      </w:tr>
      <w:tr w:rsidR="004A53A1" w:rsidRPr="00CB32B1" w:rsidTr="004A53A1">
        <w:tc>
          <w:tcPr>
            <w:cnfStyle w:val="001000000000"/>
            <w:tcW w:w="3026" w:type="pct"/>
          </w:tcPr>
          <w:p w:rsidR="004A53A1" w:rsidRPr="00CB32B1" w:rsidRDefault="004A53A1" w:rsidP="004A53A1">
            <w:pPr>
              <w:pStyle w:val="NumericTableTextNormal"/>
              <w:rPr>
                <w:rFonts w:asciiTheme="majorHAnsi" w:hAnsiTheme="majorHAnsi"/>
              </w:rPr>
            </w:pPr>
            <w:r w:rsidRPr="00CB32B1">
              <w:rPr>
                <w:rFonts w:asciiTheme="majorHAnsi" w:hAnsiTheme="majorHAnsi"/>
              </w:rPr>
              <w:t>Completed no ongoing training</w:t>
            </w:r>
          </w:p>
        </w:tc>
        <w:tc>
          <w:tcPr>
            <w:tcW w:w="987" w:type="pct"/>
          </w:tcPr>
          <w:p w:rsidR="004A53A1" w:rsidRPr="00CB32B1" w:rsidRDefault="004A53A1" w:rsidP="004A53A1">
            <w:pPr>
              <w:pStyle w:val="NumericTableTextDecimalNormal"/>
              <w:cnfStyle w:val="000000000000"/>
              <w:rPr>
                <w:rFonts w:asciiTheme="majorHAnsi" w:hAnsiTheme="majorHAnsi"/>
              </w:rPr>
            </w:pPr>
            <w:r w:rsidRPr="00CB32B1">
              <w:rPr>
                <w:rFonts w:asciiTheme="majorHAnsi" w:hAnsiTheme="majorHAnsi"/>
              </w:rPr>
              <w:t>1</w:t>
            </w:r>
          </w:p>
        </w:tc>
        <w:tc>
          <w:tcPr>
            <w:tcW w:w="987" w:type="pct"/>
          </w:tcPr>
          <w:p w:rsidR="004A53A1" w:rsidRPr="00CB32B1" w:rsidRDefault="004A53A1" w:rsidP="004A53A1">
            <w:pPr>
              <w:pStyle w:val="NumericTableTextDecimalNormal"/>
              <w:cnfStyle w:val="000000000000"/>
              <w:rPr>
                <w:rFonts w:asciiTheme="majorHAnsi" w:hAnsiTheme="majorHAnsi"/>
              </w:rPr>
            </w:pPr>
            <w:r w:rsidRPr="00CB32B1">
              <w:rPr>
                <w:rFonts w:asciiTheme="majorHAnsi" w:hAnsiTheme="majorHAnsi"/>
              </w:rPr>
              <w:t>1%</w:t>
            </w:r>
          </w:p>
        </w:tc>
      </w:tr>
      <w:tr w:rsidR="004A53A1" w:rsidRPr="00CB32B1" w:rsidTr="004A53A1">
        <w:tc>
          <w:tcPr>
            <w:cnfStyle w:val="001000000000"/>
            <w:tcW w:w="3026" w:type="pct"/>
          </w:tcPr>
          <w:p w:rsidR="004A53A1" w:rsidRPr="00CB32B1" w:rsidRDefault="004A53A1" w:rsidP="004A53A1">
            <w:pPr>
              <w:pStyle w:val="NumericTableTextNormal"/>
              <w:rPr>
                <w:rFonts w:asciiTheme="majorHAnsi" w:hAnsiTheme="majorHAnsi"/>
              </w:rPr>
            </w:pPr>
            <w:r w:rsidRPr="00CB32B1">
              <w:rPr>
                <w:rFonts w:asciiTheme="majorHAnsi" w:hAnsiTheme="majorHAnsi"/>
              </w:rPr>
              <w:t>Complete online training</w:t>
            </w:r>
          </w:p>
        </w:tc>
        <w:tc>
          <w:tcPr>
            <w:tcW w:w="987" w:type="pct"/>
          </w:tcPr>
          <w:p w:rsidR="004A53A1" w:rsidRPr="00CB32B1" w:rsidRDefault="004A53A1" w:rsidP="004A53A1">
            <w:pPr>
              <w:pStyle w:val="NumericTableTextDecimalNormal"/>
              <w:cnfStyle w:val="000000000000"/>
              <w:rPr>
                <w:rFonts w:asciiTheme="majorHAnsi" w:hAnsiTheme="majorHAnsi"/>
              </w:rPr>
            </w:pPr>
            <w:r w:rsidRPr="00CB32B1">
              <w:rPr>
                <w:rFonts w:asciiTheme="majorHAnsi" w:hAnsiTheme="majorHAnsi"/>
              </w:rPr>
              <w:t>57</w:t>
            </w:r>
          </w:p>
        </w:tc>
        <w:tc>
          <w:tcPr>
            <w:tcW w:w="987" w:type="pct"/>
          </w:tcPr>
          <w:p w:rsidR="004A53A1" w:rsidRPr="00CB32B1" w:rsidRDefault="004A53A1" w:rsidP="004A53A1">
            <w:pPr>
              <w:pStyle w:val="NumericTableTextDecimalNormal"/>
              <w:cnfStyle w:val="000000000000"/>
              <w:rPr>
                <w:rFonts w:asciiTheme="majorHAnsi" w:hAnsiTheme="majorHAnsi"/>
              </w:rPr>
            </w:pPr>
            <w:r w:rsidRPr="00CB32B1">
              <w:rPr>
                <w:rFonts w:asciiTheme="majorHAnsi" w:hAnsiTheme="majorHAnsi"/>
              </w:rPr>
              <w:t>68%</w:t>
            </w:r>
          </w:p>
        </w:tc>
      </w:tr>
      <w:tr w:rsidR="004A53A1" w:rsidRPr="00CB32B1" w:rsidTr="004A53A1">
        <w:tc>
          <w:tcPr>
            <w:cnfStyle w:val="001000000000"/>
            <w:tcW w:w="3026" w:type="pct"/>
          </w:tcPr>
          <w:p w:rsidR="004A53A1" w:rsidRPr="00CB32B1" w:rsidRDefault="004A53A1" w:rsidP="004A53A1">
            <w:pPr>
              <w:pStyle w:val="NumericTableTextNormal"/>
              <w:rPr>
                <w:rFonts w:asciiTheme="majorHAnsi" w:hAnsiTheme="majorHAnsi"/>
              </w:rPr>
            </w:pPr>
            <w:r w:rsidRPr="00CB32B1">
              <w:rPr>
                <w:rFonts w:asciiTheme="majorHAnsi" w:hAnsiTheme="majorHAnsi"/>
              </w:rPr>
              <w:t>Complete training offered through private practising associations</w:t>
            </w:r>
          </w:p>
        </w:tc>
        <w:tc>
          <w:tcPr>
            <w:tcW w:w="987" w:type="pct"/>
          </w:tcPr>
          <w:p w:rsidR="004A53A1" w:rsidRPr="00CB32B1" w:rsidRDefault="004A53A1" w:rsidP="004A53A1">
            <w:pPr>
              <w:pStyle w:val="NumericTableTextDecimalNormal"/>
              <w:cnfStyle w:val="000000000000"/>
              <w:rPr>
                <w:rFonts w:asciiTheme="majorHAnsi" w:hAnsiTheme="majorHAnsi"/>
              </w:rPr>
            </w:pPr>
            <w:r w:rsidRPr="00CB32B1">
              <w:rPr>
                <w:rFonts w:asciiTheme="majorHAnsi" w:hAnsiTheme="majorHAnsi"/>
              </w:rPr>
              <w:t>36</w:t>
            </w:r>
          </w:p>
        </w:tc>
        <w:tc>
          <w:tcPr>
            <w:tcW w:w="987" w:type="pct"/>
          </w:tcPr>
          <w:p w:rsidR="004A53A1" w:rsidRPr="00CB32B1" w:rsidRDefault="004A53A1" w:rsidP="004A53A1">
            <w:pPr>
              <w:pStyle w:val="NumericTableTextDecimalNormal"/>
              <w:cnfStyle w:val="000000000000"/>
              <w:rPr>
                <w:rFonts w:asciiTheme="majorHAnsi" w:hAnsiTheme="majorHAnsi"/>
              </w:rPr>
            </w:pPr>
            <w:r w:rsidRPr="00CB32B1">
              <w:rPr>
                <w:rFonts w:asciiTheme="majorHAnsi" w:hAnsiTheme="majorHAnsi"/>
              </w:rPr>
              <w:t>43%</w:t>
            </w:r>
          </w:p>
        </w:tc>
      </w:tr>
      <w:tr w:rsidR="004A53A1" w:rsidRPr="00CB32B1" w:rsidTr="004A53A1">
        <w:tc>
          <w:tcPr>
            <w:cnfStyle w:val="001000000000"/>
            <w:tcW w:w="3026" w:type="pct"/>
          </w:tcPr>
          <w:p w:rsidR="004A53A1" w:rsidRPr="00CB32B1" w:rsidRDefault="004A53A1" w:rsidP="004A53A1">
            <w:pPr>
              <w:pStyle w:val="NumericTableTextNormal"/>
              <w:rPr>
                <w:rFonts w:asciiTheme="majorHAnsi" w:hAnsiTheme="majorHAnsi"/>
              </w:rPr>
            </w:pPr>
            <w:r w:rsidRPr="00CB32B1">
              <w:rPr>
                <w:rFonts w:asciiTheme="majorHAnsi" w:hAnsiTheme="majorHAnsi"/>
              </w:rPr>
              <w:t>Complete training offered through professional associations</w:t>
            </w:r>
          </w:p>
        </w:tc>
        <w:tc>
          <w:tcPr>
            <w:tcW w:w="987" w:type="pct"/>
          </w:tcPr>
          <w:p w:rsidR="004A53A1" w:rsidRPr="00CB32B1" w:rsidRDefault="004A53A1" w:rsidP="004A53A1">
            <w:pPr>
              <w:pStyle w:val="NumericTableTextDecimalNormal"/>
              <w:cnfStyle w:val="000000000000"/>
              <w:rPr>
                <w:rFonts w:asciiTheme="majorHAnsi" w:hAnsiTheme="majorHAnsi"/>
              </w:rPr>
            </w:pPr>
            <w:r w:rsidRPr="00CB32B1">
              <w:rPr>
                <w:rFonts w:asciiTheme="majorHAnsi" w:hAnsiTheme="majorHAnsi"/>
              </w:rPr>
              <w:t>58</w:t>
            </w:r>
          </w:p>
        </w:tc>
        <w:tc>
          <w:tcPr>
            <w:tcW w:w="987" w:type="pct"/>
          </w:tcPr>
          <w:p w:rsidR="004A53A1" w:rsidRPr="00CB32B1" w:rsidRDefault="004A53A1" w:rsidP="004A53A1">
            <w:pPr>
              <w:pStyle w:val="NumericTableTextDecimalNormal"/>
              <w:cnfStyle w:val="000000000000"/>
              <w:rPr>
                <w:rFonts w:asciiTheme="majorHAnsi" w:hAnsiTheme="majorHAnsi"/>
              </w:rPr>
            </w:pPr>
            <w:r w:rsidRPr="00CB32B1">
              <w:rPr>
                <w:rFonts w:asciiTheme="majorHAnsi" w:hAnsiTheme="majorHAnsi"/>
              </w:rPr>
              <w:t>69%</w:t>
            </w:r>
          </w:p>
        </w:tc>
      </w:tr>
      <w:tr w:rsidR="004A53A1" w:rsidRPr="00CB32B1" w:rsidTr="004A53A1">
        <w:tc>
          <w:tcPr>
            <w:cnfStyle w:val="001000000000"/>
            <w:tcW w:w="3026" w:type="pct"/>
          </w:tcPr>
          <w:p w:rsidR="004A53A1" w:rsidRPr="00CB32B1" w:rsidRDefault="004A53A1" w:rsidP="004A53A1">
            <w:pPr>
              <w:pStyle w:val="NumericTableTextNormal"/>
              <w:rPr>
                <w:rFonts w:asciiTheme="majorHAnsi" w:hAnsiTheme="majorHAnsi"/>
              </w:rPr>
            </w:pPr>
            <w:r w:rsidRPr="00CB32B1">
              <w:rPr>
                <w:rFonts w:asciiTheme="majorHAnsi" w:hAnsiTheme="majorHAnsi"/>
              </w:rPr>
              <w:t>Not applicable –privately practising homebirth services not provided</w:t>
            </w:r>
          </w:p>
        </w:tc>
        <w:tc>
          <w:tcPr>
            <w:tcW w:w="987" w:type="pct"/>
          </w:tcPr>
          <w:p w:rsidR="004A53A1" w:rsidRPr="00CB32B1" w:rsidRDefault="004A53A1" w:rsidP="004A53A1">
            <w:pPr>
              <w:pStyle w:val="NumericTableTextDecimalNormal"/>
              <w:cnfStyle w:val="000000000000"/>
              <w:rPr>
                <w:rFonts w:asciiTheme="majorHAnsi" w:hAnsiTheme="majorHAnsi"/>
              </w:rPr>
            </w:pPr>
            <w:r w:rsidRPr="00CB32B1">
              <w:rPr>
                <w:rFonts w:asciiTheme="majorHAnsi" w:hAnsiTheme="majorHAnsi"/>
              </w:rPr>
              <w:t>11</w:t>
            </w:r>
          </w:p>
        </w:tc>
        <w:tc>
          <w:tcPr>
            <w:tcW w:w="987" w:type="pct"/>
          </w:tcPr>
          <w:p w:rsidR="004A53A1" w:rsidRPr="00CB32B1" w:rsidRDefault="004A53A1" w:rsidP="004A53A1">
            <w:pPr>
              <w:pStyle w:val="NumericTableTextDecimalNormal"/>
              <w:cnfStyle w:val="000000000000"/>
              <w:rPr>
                <w:rFonts w:asciiTheme="majorHAnsi" w:hAnsiTheme="majorHAnsi"/>
              </w:rPr>
            </w:pPr>
            <w:r w:rsidRPr="00CB32B1">
              <w:rPr>
                <w:rFonts w:asciiTheme="majorHAnsi" w:hAnsiTheme="majorHAnsi"/>
              </w:rPr>
              <w:t>13%</w:t>
            </w:r>
          </w:p>
        </w:tc>
      </w:tr>
    </w:tbl>
    <w:p w:rsidR="00D35863" w:rsidRPr="00CB32B1" w:rsidRDefault="00F4035D" w:rsidP="007A5745">
      <w:pPr>
        <w:pStyle w:val="PwCNormal"/>
        <w:keepNext/>
        <w:keepLines/>
        <w:spacing w:before="240"/>
      </w:pPr>
      <w:r w:rsidRPr="00CB32B1">
        <w:t>The majority of participants use more than one method of professional development:</w:t>
      </w:r>
    </w:p>
    <w:tbl>
      <w:tblPr>
        <w:tblStyle w:val="PwCTableStyle1"/>
        <w:tblW w:w="5000" w:type="pct"/>
        <w:tblLook w:val="04A0"/>
      </w:tblPr>
      <w:tblGrid>
        <w:gridCol w:w="4642"/>
        <w:gridCol w:w="4643"/>
      </w:tblGrid>
      <w:tr w:rsidR="00F4035D" w:rsidRPr="00CB32B1" w:rsidTr="00747120">
        <w:trPr>
          <w:cnfStyle w:val="100000000000"/>
        </w:trPr>
        <w:tc>
          <w:tcPr>
            <w:cnfStyle w:val="001000000000"/>
            <w:tcW w:w="2500" w:type="pct"/>
            <w:shd w:val="clear" w:color="auto" w:fill="DC6900" w:themeFill="text2"/>
            <w:vAlign w:val="center"/>
          </w:tcPr>
          <w:p w:rsidR="00F4035D" w:rsidRPr="00CB32B1" w:rsidRDefault="00F4035D" w:rsidP="00747120">
            <w:pPr>
              <w:pStyle w:val="NumericTableColumnHeadingNormal"/>
              <w:rPr>
                <w:rFonts w:asciiTheme="majorHAnsi" w:hAnsiTheme="majorHAnsi"/>
              </w:rPr>
            </w:pPr>
            <w:r w:rsidRPr="00CB32B1">
              <w:rPr>
                <w:rFonts w:asciiTheme="majorHAnsi" w:hAnsiTheme="majorHAnsi"/>
              </w:rPr>
              <w:t>Number of methods of</w:t>
            </w:r>
            <w:r w:rsidRPr="00CB32B1">
              <w:rPr>
                <w:rFonts w:asciiTheme="majorHAnsi" w:hAnsiTheme="majorHAnsi"/>
              </w:rPr>
              <w:br/>
              <w:t>professional development used</w:t>
            </w:r>
          </w:p>
        </w:tc>
        <w:tc>
          <w:tcPr>
            <w:tcW w:w="2500" w:type="pct"/>
            <w:shd w:val="clear" w:color="auto" w:fill="DC6900" w:themeFill="text2"/>
            <w:vAlign w:val="center"/>
          </w:tcPr>
          <w:p w:rsidR="00F4035D" w:rsidRPr="00CB32B1" w:rsidRDefault="00F4035D" w:rsidP="00747120">
            <w:pPr>
              <w:pStyle w:val="NumericTableColumnHeadingNormal"/>
              <w:jc w:val="center"/>
              <w:cnfStyle w:val="100000000000"/>
              <w:rPr>
                <w:rFonts w:asciiTheme="majorHAnsi" w:hAnsiTheme="majorHAnsi"/>
              </w:rPr>
            </w:pPr>
            <w:r w:rsidRPr="00CB32B1">
              <w:rPr>
                <w:rFonts w:asciiTheme="majorHAnsi" w:hAnsiTheme="majorHAnsi"/>
              </w:rPr>
              <w:t>Count of participants</w:t>
            </w:r>
          </w:p>
        </w:tc>
      </w:tr>
      <w:tr w:rsidR="00F4035D" w:rsidRPr="00CB32B1" w:rsidTr="00F4035D">
        <w:tc>
          <w:tcPr>
            <w:cnfStyle w:val="001000000000"/>
            <w:tcW w:w="2500" w:type="pct"/>
          </w:tcPr>
          <w:p w:rsidR="00F4035D" w:rsidRPr="00CB32B1" w:rsidRDefault="00F4035D" w:rsidP="00F4035D">
            <w:pPr>
              <w:pStyle w:val="NumericTableTextDecimalSmall"/>
              <w:tabs>
                <w:tab w:val="clear" w:pos="1004"/>
                <w:tab w:val="decimal" w:pos="2340"/>
              </w:tabs>
              <w:rPr>
                <w:rFonts w:asciiTheme="majorHAnsi" w:hAnsiTheme="majorHAnsi"/>
                <w:sz w:val="20"/>
                <w:szCs w:val="20"/>
              </w:rPr>
            </w:pPr>
            <w:r w:rsidRPr="00CB32B1">
              <w:rPr>
                <w:rFonts w:asciiTheme="majorHAnsi" w:hAnsiTheme="majorHAnsi"/>
                <w:sz w:val="20"/>
                <w:szCs w:val="20"/>
              </w:rPr>
              <w:t>1</w:t>
            </w:r>
          </w:p>
        </w:tc>
        <w:tc>
          <w:tcPr>
            <w:tcW w:w="2500" w:type="pct"/>
          </w:tcPr>
          <w:p w:rsidR="00F4035D" w:rsidRPr="00CB32B1" w:rsidRDefault="00F4035D" w:rsidP="00F4035D">
            <w:pPr>
              <w:pStyle w:val="NumericTableTextDecimalSmall"/>
              <w:tabs>
                <w:tab w:val="clear" w:pos="1004"/>
                <w:tab w:val="decimal" w:pos="1870"/>
              </w:tabs>
              <w:cnfStyle w:val="000000000000"/>
              <w:rPr>
                <w:rFonts w:asciiTheme="majorHAnsi" w:hAnsiTheme="majorHAnsi"/>
                <w:sz w:val="20"/>
                <w:szCs w:val="20"/>
              </w:rPr>
            </w:pPr>
            <w:r w:rsidRPr="00CB32B1">
              <w:rPr>
                <w:rFonts w:asciiTheme="majorHAnsi" w:hAnsiTheme="majorHAnsi"/>
                <w:sz w:val="20"/>
                <w:szCs w:val="20"/>
              </w:rPr>
              <w:t>17</w:t>
            </w:r>
          </w:p>
        </w:tc>
      </w:tr>
      <w:tr w:rsidR="00F4035D" w:rsidRPr="00CB32B1" w:rsidTr="00F4035D">
        <w:tc>
          <w:tcPr>
            <w:cnfStyle w:val="001000000000"/>
            <w:tcW w:w="2500" w:type="pct"/>
          </w:tcPr>
          <w:p w:rsidR="00F4035D" w:rsidRPr="00CB32B1" w:rsidRDefault="00F4035D" w:rsidP="00F4035D">
            <w:pPr>
              <w:pStyle w:val="NumericTableTextDecimalSmall"/>
              <w:tabs>
                <w:tab w:val="clear" w:pos="1004"/>
                <w:tab w:val="decimal" w:pos="2340"/>
              </w:tabs>
              <w:rPr>
                <w:rFonts w:asciiTheme="majorHAnsi" w:hAnsiTheme="majorHAnsi"/>
                <w:sz w:val="20"/>
                <w:szCs w:val="20"/>
              </w:rPr>
            </w:pPr>
            <w:r w:rsidRPr="00CB32B1">
              <w:rPr>
                <w:rFonts w:asciiTheme="majorHAnsi" w:hAnsiTheme="majorHAnsi"/>
                <w:sz w:val="20"/>
                <w:szCs w:val="20"/>
              </w:rPr>
              <w:t>2</w:t>
            </w:r>
          </w:p>
        </w:tc>
        <w:tc>
          <w:tcPr>
            <w:tcW w:w="2500" w:type="pct"/>
          </w:tcPr>
          <w:p w:rsidR="00F4035D" w:rsidRPr="00CB32B1" w:rsidRDefault="00F4035D" w:rsidP="00F4035D">
            <w:pPr>
              <w:pStyle w:val="NumericTableTextDecimalSmall"/>
              <w:tabs>
                <w:tab w:val="clear" w:pos="1004"/>
                <w:tab w:val="decimal" w:pos="1870"/>
              </w:tabs>
              <w:cnfStyle w:val="000000000000"/>
              <w:rPr>
                <w:rFonts w:asciiTheme="majorHAnsi" w:hAnsiTheme="majorHAnsi"/>
                <w:sz w:val="20"/>
                <w:szCs w:val="20"/>
              </w:rPr>
            </w:pPr>
            <w:r w:rsidRPr="00CB32B1">
              <w:rPr>
                <w:rFonts w:asciiTheme="majorHAnsi" w:hAnsiTheme="majorHAnsi"/>
                <w:sz w:val="20"/>
                <w:szCs w:val="20"/>
              </w:rPr>
              <w:t>3</w:t>
            </w:r>
          </w:p>
        </w:tc>
      </w:tr>
      <w:tr w:rsidR="00F4035D" w:rsidRPr="00CB32B1" w:rsidTr="00F4035D">
        <w:tc>
          <w:tcPr>
            <w:cnfStyle w:val="001000000000"/>
            <w:tcW w:w="2500" w:type="pct"/>
          </w:tcPr>
          <w:p w:rsidR="00F4035D" w:rsidRPr="00CB32B1" w:rsidRDefault="00F4035D" w:rsidP="00F4035D">
            <w:pPr>
              <w:pStyle w:val="NumericTableTextDecimalSmall"/>
              <w:tabs>
                <w:tab w:val="clear" w:pos="1004"/>
                <w:tab w:val="decimal" w:pos="2340"/>
              </w:tabs>
              <w:rPr>
                <w:rFonts w:asciiTheme="majorHAnsi" w:hAnsiTheme="majorHAnsi"/>
                <w:sz w:val="20"/>
                <w:szCs w:val="20"/>
              </w:rPr>
            </w:pPr>
            <w:r w:rsidRPr="00CB32B1">
              <w:rPr>
                <w:rFonts w:asciiTheme="majorHAnsi" w:hAnsiTheme="majorHAnsi"/>
                <w:sz w:val="20"/>
                <w:szCs w:val="20"/>
              </w:rPr>
              <w:t>3</w:t>
            </w:r>
          </w:p>
        </w:tc>
        <w:tc>
          <w:tcPr>
            <w:tcW w:w="2500" w:type="pct"/>
          </w:tcPr>
          <w:p w:rsidR="00F4035D" w:rsidRPr="00CB32B1" w:rsidRDefault="00F4035D" w:rsidP="00F4035D">
            <w:pPr>
              <w:pStyle w:val="NumericTableTextDecimalSmall"/>
              <w:tabs>
                <w:tab w:val="clear" w:pos="1004"/>
                <w:tab w:val="decimal" w:pos="1870"/>
              </w:tabs>
              <w:cnfStyle w:val="000000000000"/>
              <w:rPr>
                <w:rFonts w:asciiTheme="majorHAnsi" w:hAnsiTheme="majorHAnsi"/>
                <w:sz w:val="20"/>
                <w:szCs w:val="20"/>
              </w:rPr>
            </w:pPr>
            <w:r w:rsidRPr="00CB32B1">
              <w:rPr>
                <w:rFonts w:asciiTheme="majorHAnsi" w:hAnsiTheme="majorHAnsi"/>
                <w:sz w:val="20"/>
                <w:szCs w:val="20"/>
              </w:rPr>
              <w:t>6</w:t>
            </w:r>
          </w:p>
        </w:tc>
      </w:tr>
      <w:tr w:rsidR="00F4035D" w:rsidRPr="00CB32B1" w:rsidTr="00F4035D">
        <w:tc>
          <w:tcPr>
            <w:cnfStyle w:val="001000000000"/>
            <w:tcW w:w="2500" w:type="pct"/>
          </w:tcPr>
          <w:p w:rsidR="00F4035D" w:rsidRPr="00CB32B1" w:rsidRDefault="00F4035D" w:rsidP="00F4035D">
            <w:pPr>
              <w:pStyle w:val="NumericTableTextDecimalSmall"/>
              <w:tabs>
                <w:tab w:val="clear" w:pos="1004"/>
                <w:tab w:val="decimal" w:pos="2340"/>
              </w:tabs>
              <w:rPr>
                <w:rFonts w:asciiTheme="majorHAnsi" w:hAnsiTheme="majorHAnsi"/>
                <w:sz w:val="20"/>
                <w:szCs w:val="20"/>
              </w:rPr>
            </w:pPr>
            <w:r w:rsidRPr="00CB32B1">
              <w:rPr>
                <w:rFonts w:asciiTheme="majorHAnsi" w:hAnsiTheme="majorHAnsi"/>
                <w:sz w:val="20"/>
                <w:szCs w:val="20"/>
              </w:rPr>
              <w:t>4</w:t>
            </w:r>
          </w:p>
        </w:tc>
        <w:tc>
          <w:tcPr>
            <w:tcW w:w="2500" w:type="pct"/>
          </w:tcPr>
          <w:p w:rsidR="00F4035D" w:rsidRPr="00CB32B1" w:rsidRDefault="00F4035D" w:rsidP="00F4035D">
            <w:pPr>
              <w:pStyle w:val="NumericTableTextDecimalSmall"/>
              <w:tabs>
                <w:tab w:val="clear" w:pos="1004"/>
                <w:tab w:val="decimal" w:pos="1870"/>
              </w:tabs>
              <w:cnfStyle w:val="000000000000"/>
              <w:rPr>
                <w:rFonts w:asciiTheme="majorHAnsi" w:hAnsiTheme="majorHAnsi"/>
                <w:sz w:val="20"/>
                <w:szCs w:val="20"/>
              </w:rPr>
            </w:pPr>
            <w:r w:rsidRPr="00CB32B1">
              <w:rPr>
                <w:rFonts w:asciiTheme="majorHAnsi" w:hAnsiTheme="majorHAnsi"/>
                <w:sz w:val="20"/>
                <w:szCs w:val="20"/>
              </w:rPr>
              <w:t>14</w:t>
            </w:r>
          </w:p>
        </w:tc>
      </w:tr>
      <w:tr w:rsidR="00F4035D" w:rsidRPr="00CB32B1" w:rsidTr="00F4035D">
        <w:tc>
          <w:tcPr>
            <w:cnfStyle w:val="001000000000"/>
            <w:tcW w:w="2500" w:type="pct"/>
          </w:tcPr>
          <w:p w:rsidR="00F4035D" w:rsidRPr="00CB32B1" w:rsidRDefault="00F4035D" w:rsidP="00F4035D">
            <w:pPr>
              <w:pStyle w:val="NumericTableTextDecimalSmall"/>
              <w:tabs>
                <w:tab w:val="clear" w:pos="1004"/>
                <w:tab w:val="decimal" w:pos="2340"/>
              </w:tabs>
              <w:rPr>
                <w:rFonts w:asciiTheme="majorHAnsi" w:hAnsiTheme="majorHAnsi"/>
                <w:sz w:val="20"/>
                <w:szCs w:val="20"/>
              </w:rPr>
            </w:pPr>
            <w:r w:rsidRPr="00CB32B1">
              <w:rPr>
                <w:rFonts w:asciiTheme="majorHAnsi" w:hAnsiTheme="majorHAnsi"/>
                <w:sz w:val="20"/>
                <w:szCs w:val="20"/>
              </w:rPr>
              <w:t>5</w:t>
            </w:r>
          </w:p>
        </w:tc>
        <w:tc>
          <w:tcPr>
            <w:tcW w:w="2500" w:type="pct"/>
          </w:tcPr>
          <w:p w:rsidR="00F4035D" w:rsidRPr="00CB32B1" w:rsidRDefault="00F4035D" w:rsidP="00F4035D">
            <w:pPr>
              <w:pStyle w:val="NumericTableTextDecimalSmall"/>
              <w:tabs>
                <w:tab w:val="clear" w:pos="1004"/>
                <w:tab w:val="decimal" w:pos="1870"/>
              </w:tabs>
              <w:cnfStyle w:val="000000000000"/>
              <w:rPr>
                <w:rFonts w:asciiTheme="majorHAnsi" w:hAnsiTheme="majorHAnsi"/>
                <w:sz w:val="20"/>
                <w:szCs w:val="20"/>
              </w:rPr>
            </w:pPr>
            <w:r w:rsidRPr="00CB32B1">
              <w:rPr>
                <w:rFonts w:asciiTheme="majorHAnsi" w:hAnsiTheme="majorHAnsi"/>
                <w:sz w:val="20"/>
                <w:szCs w:val="20"/>
              </w:rPr>
              <w:t>12</w:t>
            </w:r>
          </w:p>
        </w:tc>
      </w:tr>
      <w:tr w:rsidR="00F4035D" w:rsidRPr="00CB32B1" w:rsidTr="00F4035D">
        <w:tc>
          <w:tcPr>
            <w:cnfStyle w:val="001000000000"/>
            <w:tcW w:w="2500" w:type="pct"/>
          </w:tcPr>
          <w:p w:rsidR="00F4035D" w:rsidRPr="00CB32B1" w:rsidRDefault="00F4035D" w:rsidP="00F4035D">
            <w:pPr>
              <w:pStyle w:val="NumericTableTextDecimalSmall"/>
              <w:tabs>
                <w:tab w:val="clear" w:pos="1004"/>
                <w:tab w:val="decimal" w:pos="2340"/>
              </w:tabs>
              <w:rPr>
                <w:rFonts w:asciiTheme="majorHAnsi" w:hAnsiTheme="majorHAnsi"/>
                <w:sz w:val="20"/>
                <w:szCs w:val="20"/>
              </w:rPr>
            </w:pPr>
            <w:r w:rsidRPr="00CB32B1">
              <w:rPr>
                <w:rFonts w:asciiTheme="majorHAnsi" w:hAnsiTheme="majorHAnsi"/>
                <w:sz w:val="20"/>
                <w:szCs w:val="20"/>
              </w:rPr>
              <w:t>6</w:t>
            </w:r>
          </w:p>
        </w:tc>
        <w:tc>
          <w:tcPr>
            <w:tcW w:w="2500" w:type="pct"/>
          </w:tcPr>
          <w:p w:rsidR="00F4035D" w:rsidRPr="00CB32B1" w:rsidRDefault="00F4035D" w:rsidP="00F4035D">
            <w:pPr>
              <w:pStyle w:val="NumericTableTextDecimalSmall"/>
              <w:tabs>
                <w:tab w:val="clear" w:pos="1004"/>
                <w:tab w:val="decimal" w:pos="1870"/>
              </w:tabs>
              <w:cnfStyle w:val="000000000000"/>
              <w:rPr>
                <w:rFonts w:asciiTheme="majorHAnsi" w:hAnsiTheme="majorHAnsi"/>
                <w:sz w:val="20"/>
                <w:szCs w:val="20"/>
              </w:rPr>
            </w:pPr>
            <w:r w:rsidRPr="00CB32B1">
              <w:rPr>
                <w:rFonts w:asciiTheme="majorHAnsi" w:hAnsiTheme="majorHAnsi"/>
                <w:sz w:val="20"/>
                <w:szCs w:val="20"/>
              </w:rPr>
              <w:t>15</w:t>
            </w:r>
          </w:p>
        </w:tc>
      </w:tr>
      <w:tr w:rsidR="00F4035D" w:rsidRPr="00CB32B1" w:rsidTr="00F4035D">
        <w:tc>
          <w:tcPr>
            <w:cnfStyle w:val="001000000000"/>
            <w:tcW w:w="2500" w:type="pct"/>
          </w:tcPr>
          <w:p w:rsidR="00F4035D" w:rsidRPr="00CB32B1" w:rsidRDefault="00F4035D" w:rsidP="00F4035D">
            <w:pPr>
              <w:pStyle w:val="NumericTableTextDecimalSmall"/>
              <w:tabs>
                <w:tab w:val="clear" w:pos="1004"/>
                <w:tab w:val="decimal" w:pos="2340"/>
              </w:tabs>
              <w:rPr>
                <w:rFonts w:asciiTheme="majorHAnsi" w:hAnsiTheme="majorHAnsi"/>
                <w:sz w:val="20"/>
                <w:szCs w:val="20"/>
              </w:rPr>
            </w:pPr>
            <w:r w:rsidRPr="00CB32B1">
              <w:rPr>
                <w:rFonts w:asciiTheme="majorHAnsi" w:hAnsiTheme="majorHAnsi"/>
                <w:sz w:val="20"/>
                <w:szCs w:val="20"/>
              </w:rPr>
              <w:t>7</w:t>
            </w:r>
          </w:p>
        </w:tc>
        <w:tc>
          <w:tcPr>
            <w:tcW w:w="2500" w:type="pct"/>
          </w:tcPr>
          <w:p w:rsidR="00F4035D" w:rsidRPr="00CB32B1" w:rsidRDefault="00F4035D" w:rsidP="00F4035D">
            <w:pPr>
              <w:pStyle w:val="NumericTableTextDecimalSmall"/>
              <w:tabs>
                <w:tab w:val="clear" w:pos="1004"/>
                <w:tab w:val="decimal" w:pos="1870"/>
              </w:tabs>
              <w:cnfStyle w:val="000000000000"/>
              <w:rPr>
                <w:rFonts w:asciiTheme="majorHAnsi" w:hAnsiTheme="majorHAnsi"/>
                <w:sz w:val="20"/>
                <w:szCs w:val="20"/>
              </w:rPr>
            </w:pPr>
            <w:r w:rsidRPr="00CB32B1">
              <w:rPr>
                <w:rFonts w:asciiTheme="majorHAnsi" w:hAnsiTheme="majorHAnsi"/>
                <w:sz w:val="20"/>
                <w:szCs w:val="20"/>
              </w:rPr>
              <w:t>17</w:t>
            </w:r>
          </w:p>
        </w:tc>
      </w:tr>
    </w:tbl>
    <w:p w:rsidR="007A5745" w:rsidRPr="00CB32B1" w:rsidRDefault="007A5745" w:rsidP="007A5745">
      <w:pPr>
        <w:pStyle w:val="Minorheading"/>
      </w:pPr>
      <w:r w:rsidRPr="00CB32B1">
        <w:t>How many privately practising midwives have collaborative arrangements in place, and who are these with?</w:t>
      </w:r>
    </w:p>
    <w:p w:rsidR="00F4035D" w:rsidRPr="00CB32B1" w:rsidRDefault="007A5745" w:rsidP="007A5745">
      <w:pPr>
        <w:pStyle w:val="PwCNormal"/>
      </w:pPr>
      <w:r w:rsidRPr="00CB32B1">
        <w:rPr>
          <w:b/>
          <w:color w:val="DC6900" w:themeColor="text2"/>
        </w:rPr>
        <w:t>39</w:t>
      </w:r>
      <w:r w:rsidRPr="00CB32B1">
        <w:t xml:space="preserve"> participants have collaborative arrangements in place. 75 participants responded to this question.</w:t>
      </w:r>
    </w:p>
    <w:tbl>
      <w:tblPr>
        <w:tblStyle w:val="PwCTableStyle1"/>
        <w:tblW w:w="5000" w:type="pct"/>
        <w:tblLook w:val="04A0"/>
      </w:tblPr>
      <w:tblGrid>
        <w:gridCol w:w="5619"/>
        <w:gridCol w:w="1833"/>
        <w:gridCol w:w="1833"/>
      </w:tblGrid>
      <w:tr w:rsidR="001033B5" w:rsidRPr="00CB32B1" w:rsidTr="00747120">
        <w:trPr>
          <w:cnfStyle w:val="100000000000"/>
        </w:trPr>
        <w:tc>
          <w:tcPr>
            <w:cnfStyle w:val="001000000000"/>
            <w:tcW w:w="3026" w:type="pct"/>
            <w:shd w:val="clear" w:color="auto" w:fill="DC6900" w:themeFill="text2"/>
            <w:vAlign w:val="center"/>
          </w:tcPr>
          <w:p w:rsidR="001033B5" w:rsidRPr="00CB32B1" w:rsidRDefault="001033B5" w:rsidP="00747120">
            <w:pPr>
              <w:pStyle w:val="NumericTableColumnHeadingNormal"/>
              <w:rPr>
                <w:rFonts w:asciiTheme="majorHAnsi" w:hAnsiTheme="majorHAnsi"/>
              </w:rPr>
            </w:pPr>
            <w:r w:rsidRPr="00CB32B1">
              <w:rPr>
                <w:rFonts w:asciiTheme="majorHAnsi" w:hAnsiTheme="majorHAnsi"/>
              </w:rPr>
              <w:t>Rate of collaboration</w:t>
            </w:r>
          </w:p>
        </w:tc>
        <w:tc>
          <w:tcPr>
            <w:tcW w:w="987" w:type="pct"/>
            <w:shd w:val="clear" w:color="auto" w:fill="DC6900" w:themeFill="text2"/>
            <w:vAlign w:val="center"/>
          </w:tcPr>
          <w:p w:rsidR="001033B5" w:rsidRPr="00CB32B1" w:rsidRDefault="001033B5" w:rsidP="00747120">
            <w:pPr>
              <w:pStyle w:val="NumericTableColumnHeadingNormal"/>
              <w:jc w:val="center"/>
              <w:cnfStyle w:val="100000000000"/>
              <w:rPr>
                <w:rFonts w:asciiTheme="majorHAnsi" w:hAnsiTheme="majorHAnsi"/>
              </w:rPr>
            </w:pPr>
            <w:r w:rsidRPr="00CB32B1">
              <w:rPr>
                <w:rFonts w:asciiTheme="majorHAnsi" w:hAnsiTheme="majorHAnsi"/>
              </w:rPr>
              <w:t>Count of responses</w:t>
            </w:r>
          </w:p>
        </w:tc>
        <w:tc>
          <w:tcPr>
            <w:tcW w:w="987" w:type="pct"/>
            <w:shd w:val="clear" w:color="auto" w:fill="DC6900" w:themeFill="text2"/>
            <w:vAlign w:val="center"/>
          </w:tcPr>
          <w:p w:rsidR="001033B5" w:rsidRPr="00CB32B1" w:rsidRDefault="001033B5" w:rsidP="00747120">
            <w:pPr>
              <w:pStyle w:val="NumericTableColumnHeadingNormal"/>
              <w:jc w:val="center"/>
              <w:cnfStyle w:val="100000000000"/>
              <w:rPr>
                <w:rFonts w:asciiTheme="majorHAnsi" w:hAnsiTheme="majorHAnsi"/>
              </w:rPr>
            </w:pPr>
            <w:r w:rsidRPr="00CB32B1">
              <w:rPr>
                <w:rFonts w:asciiTheme="majorHAnsi" w:hAnsiTheme="majorHAnsi"/>
              </w:rPr>
              <w:t>% of respondents</w:t>
            </w:r>
          </w:p>
        </w:tc>
      </w:tr>
      <w:tr w:rsidR="001033B5" w:rsidRPr="00CB32B1" w:rsidTr="001033B5">
        <w:tc>
          <w:tcPr>
            <w:cnfStyle w:val="001000000000"/>
            <w:tcW w:w="3026" w:type="pct"/>
          </w:tcPr>
          <w:p w:rsidR="001033B5" w:rsidRPr="00CB32B1" w:rsidRDefault="001033B5" w:rsidP="001033B5">
            <w:pPr>
              <w:pStyle w:val="NumericTableTextNormal"/>
              <w:rPr>
                <w:rFonts w:asciiTheme="majorHAnsi" w:hAnsiTheme="majorHAnsi"/>
              </w:rPr>
            </w:pPr>
            <w:r w:rsidRPr="00CB32B1">
              <w:rPr>
                <w:rFonts w:asciiTheme="majorHAnsi" w:hAnsiTheme="majorHAnsi"/>
              </w:rPr>
              <w:t>No</w:t>
            </w:r>
          </w:p>
        </w:tc>
        <w:tc>
          <w:tcPr>
            <w:tcW w:w="987" w:type="pct"/>
          </w:tcPr>
          <w:p w:rsidR="001033B5" w:rsidRPr="00CB32B1" w:rsidRDefault="001033B5" w:rsidP="001033B5">
            <w:pPr>
              <w:pStyle w:val="NumericTableTextDecimalNormal"/>
              <w:cnfStyle w:val="000000000000"/>
              <w:rPr>
                <w:rFonts w:asciiTheme="majorHAnsi" w:hAnsiTheme="majorHAnsi"/>
              </w:rPr>
            </w:pPr>
            <w:r w:rsidRPr="00CB32B1">
              <w:rPr>
                <w:rFonts w:asciiTheme="majorHAnsi" w:hAnsiTheme="majorHAnsi"/>
              </w:rPr>
              <w:t>36</w:t>
            </w:r>
          </w:p>
        </w:tc>
        <w:tc>
          <w:tcPr>
            <w:tcW w:w="987" w:type="pct"/>
          </w:tcPr>
          <w:p w:rsidR="001033B5" w:rsidRPr="00CB32B1" w:rsidRDefault="001033B5" w:rsidP="001033B5">
            <w:pPr>
              <w:pStyle w:val="NumericTableTextDecimalNormal"/>
              <w:cnfStyle w:val="000000000000"/>
              <w:rPr>
                <w:rFonts w:asciiTheme="majorHAnsi" w:hAnsiTheme="majorHAnsi"/>
              </w:rPr>
            </w:pPr>
            <w:r w:rsidRPr="00CB32B1">
              <w:rPr>
                <w:rFonts w:asciiTheme="majorHAnsi" w:hAnsiTheme="majorHAnsi"/>
              </w:rPr>
              <w:t>48%</w:t>
            </w:r>
          </w:p>
        </w:tc>
      </w:tr>
      <w:tr w:rsidR="001033B5" w:rsidRPr="00CB32B1" w:rsidTr="001033B5">
        <w:tc>
          <w:tcPr>
            <w:cnfStyle w:val="001000000000"/>
            <w:tcW w:w="3026" w:type="pct"/>
          </w:tcPr>
          <w:p w:rsidR="001033B5" w:rsidRPr="00CB32B1" w:rsidRDefault="001033B5" w:rsidP="001033B5">
            <w:pPr>
              <w:pStyle w:val="NumericTableTextNormal"/>
              <w:rPr>
                <w:rFonts w:asciiTheme="majorHAnsi" w:hAnsiTheme="majorHAnsi"/>
              </w:rPr>
            </w:pPr>
            <w:r w:rsidRPr="00CB32B1">
              <w:rPr>
                <w:rFonts w:asciiTheme="majorHAnsi" w:hAnsiTheme="majorHAnsi"/>
              </w:rPr>
              <w:t>Yes</w:t>
            </w:r>
          </w:p>
        </w:tc>
        <w:tc>
          <w:tcPr>
            <w:tcW w:w="987" w:type="pct"/>
          </w:tcPr>
          <w:p w:rsidR="001033B5" w:rsidRPr="00CB32B1" w:rsidRDefault="001033B5" w:rsidP="001033B5">
            <w:pPr>
              <w:pStyle w:val="NumericTableTextDecimalNormal"/>
              <w:cnfStyle w:val="000000000000"/>
              <w:rPr>
                <w:rFonts w:asciiTheme="majorHAnsi" w:hAnsiTheme="majorHAnsi"/>
              </w:rPr>
            </w:pPr>
            <w:r w:rsidRPr="00CB32B1">
              <w:rPr>
                <w:rFonts w:asciiTheme="majorHAnsi" w:hAnsiTheme="majorHAnsi"/>
              </w:rPr>
              <w:t>39</w:t>
            </w:r>
          </w:p>
        </w:tc>
        <w:tc>
          <w:tcPr>
            <w:tcW w:w="987" w:type="pct"/>
          </w:tcPr>
          <w:p w:rsidR="001033B5" w:rsidRPr="00CB32B1" w:rsidRDefault="001033B5" w:rsidP="001033B5">
            <w:pPr>
              <w:pStyle w:val="NumericTableTextDecimalNormal"/>
              <w:cnfStyle w:val="000000000000"/>
              <w:rPr>
                <w:rFonts w:asciiTheme="majorHAnsi" w:hAnsiTheme="majorHAnsi"/>
              </w:rPr>
            </w:pPr>
            <w:r w:rsidRPr="00CB32B1">
              <w:rPr>
                <w:rFonts w:asciiTheme="majorHAnsi" w:hAnsiTheme="majorHAnsi"/>
              </w:rPr>
              <w:t>52%</w:t>
            </w:r>
          </w:p>
        </w:tc>
      </w:tr>
      <w:tr w:rsidR="001033B5" w:rsidRPr="00CB32B1" w:rsidTr="001033B5">
        <w:tc>
          <w:tcPr>
            <w:cnfStyle w:val="001000000000"/>
            <w:tcW w:w="3026" w:type="pct"/>
          </w:tcPr>
          <w:p w:rsidR="001033B5" w:rsidRPr="00872729" w:rsidRDefault="001033B5" w:rsidP="001033B5">
            <w:pPr>
              <w:pStyle w:val="NumericTableTextNormal"/>
              <w:rPr>
                <w:rFonts w:asciiTheme="majorHAnsi" w:hAnsiTheme="majorHAnsi"/>
                <w:i/>
              </w:rPr>
            </w:pPr>
            <w:r w:rsidRPr="00872729">
              <w:rPr>
                <w:rFonts w:asciiTheme="majorHAnsi" w:hAnsiTheme="majorHAnsi"/>
                <w:i/>
              </w:rPr>
              <w:t>Just GP</w:t>
            </w:r>
          </w:p>
        </w:tc>
        <w:tc>
          <w:tcPr>
            <w:tcW w:w="987" w:type="pct"/>
          </w:tcPr>
          <w:p w:rsidR="001033B5" w:rsidRPr="00CB32B1" w:rsidRDefault="001033B5" w:rsidP="001033B5">
            <w:pPr>
              <w:pStyle w:val="NumericTableTextDecimalNormal"/>
              <w:cnfStyle w:val="000000000000"/>
              <w:rPr>
                <w:rFonts w:asciiTheme="majorHAnsi" w:hAnsiTheme="majorHAnsi"/>
              </w:rPr>
            </w:pPr>
            <w:r w:rsidRPr="00CB32B1">
              <w:rPr>
                <w:rFonts w:asciiTheme="majorHAnsi" w:hAnsiTheme="majorHAnsi"/>
              </w:rPr>
              <w:t>7</w:t>
            </w:r>
          </w:p>
        </w:tc>
        <w:tc>
          <w:tcPr>
            <w:tcW w:w="987" w:type="pct"/>
          </w:tcPr>
          <w:p w:rsidR="001033B5" w:rsidRPr="00CB32B1" w:rsidRDefault="001033B5" w:rsidP="001033B5">
            <w:pPr>
              <w:pStyle w:val="NumericTableTextDecimalNormal"/>
              <w:cnfStyle w:val="000000000000"/>
              <w:rPr>
                <w:rFonts w:asciiTheme="majorHAnsi" w:hAnsiTheme="majorHAnsi"/>
              </w:rPr>
            </w:pPr>
          </w:p>
        </w:tc>
      </w:tr>
      <w:tr w:rsidR="001033B5" w:rsidRPr="00CB32B1" w:rsidTr="001033B5">
        <w:tc>
          <w:tcPr>
            <w:cnfStyle w:val="001000000000"/>
            <w:tcW w:w="3026" w:type="pct"/>
          </w:tcPr>
          <w:p w:rsidR="001033B5" w:rsidRPr="00872729" w:rsidRDefault="001033B5" w:rsidP="001033B5">
            <w:pPr>
              <w:pStyle w:val="NumericTableTextNormal"/>
              <w:rPr>
                <w:rFonts w:asciiTheme="majorHAnsi" w:hAnsiTheme="majorHAnsi"/>
                <w:i/>
              </w:rPr>
            </w:pPr>
            <w:r w:rsidRPr="00872729">
              <w:rPr>
                <w:rFonts w:asciiTheme="majorHAnsi" w:hAnsiTheme="majorHAnsi"/>
                <w:i/>
              </w:rPr>
              <w:t>Just hospital</w:t>
            </w:r>
          </w:p>
        </w:tc>
        <w:tc>
          <w:tcPr>
            <w:tcW w:w="987" w:type="pct"/>
          </w:tcPr>
          <w:p w:rsidR="001033B5" w:rsidRPr="00CB32B1" w:rsidRDefault="001033B5" w:rsidP="001033B5">
            <w:pPr>
              <w:pStyle w:val="NumericTableTextDecimalNormal"/>
              <w:cnfStyle w:val="000000000000"/>
              <w:rPr>
                <w:rFonts w:asciiTheme="majorHAnsi" w:hAnsiTheme="majorHAnsi"/>
              </w:rPr>
            </w:pPr>
            <w:r w:rsidRPr="00CB32B1">
              <w:rPr>
                <w:rFonts w:asciiTheme="majorHAnsi" w:hAnsiTheme="majorHAnsi"/>
              </w:rPr>
              <w:t>8</w:t>
            </w:r>
          </w:p>
        </w:tc>
        <w:tc>
          <w:tcPr>
            <w:tcW w:w="987" w:type="pct"/>
          </w:tcPr>
          <w:p w:rsidR="001033B5" w:rsidRPr="00CB32B1" w:rsidRDefault="001033B5" w:rsidP="001033B5">
            <w:pPr>
              <w:pStyle w:val="NumericTableTextDecimalNormal"/>
              <w:cnfStyle w:val="000000000000"/>
              <w:rPr>
                <w:rFonts w:asciiTheme="majorHAnsi" w:hAnsiTheme="majorHAnsi"/>
              </w:rPr>
            </w:pPr>
          </w:p>
        </w:tc>
      </w:tr>
      <w:tr w:rsidR="001033B5" w:rsidRPr="00CB32B1" w:rsidTr="001033B5">
        <w:tc>
          <w:tcPr>
            <w:cnfStyle w:val="001000000000"/>
            <w:tcW w:w="3026" w:type="pct"/>
          </w:tcPr>
          <w:p w:rsidR="001033B5" w:rsidRPr="00872729" w:rsidRDefault="001033B5" w:rsidP="001033B5">
            <w:pPr>
              <w:pStyle w:val="NumericTableTextNormal"/>
              <w:rPr>
                <w:rFonts w:asciiTheme="majorHAnsi" w:hAnsiTheme="majorHAnsi"/>
                <w:i/>
              </w:rPr>
            </w:pPr>
            <w:r w:rsidRPr="00872729">
              <w:rPr>
                <w:rFonts w:asciiTheme="majorHAnsi" w:hAnsiTheme="majorHAnsi"/>
                <w:i/>
              </w:rPr>
              <w:t>Just obstetrician</w:t>
            </w:r>
          </w:p>
        </w:tc>
        <w:tc>
          <w:tcPr>
            <w:tcW w:w="987" w:type="pct"/>
          </w:tcPr>
          <w:p w:rsidR="001033B5" w:rsidRPr="00CB32B1" w:rsidRDefault="001033B5" w:rsidP="001033B5">
            <w:pPr>
              <w:pStyle w:val="NumericTableTextDecimalNormal"/>
              <w:cnfStyle w:val="000000000000"/>
              <w:rPr>
                <w:rFonts w:asciiTheme="majorHAnsi" w:hAnsiTheme="majorHAnsi"/>
              </w:rPr>
            </w:pPr>
            <w:r w:rsidRPr="00CB32B1">
              <w:rPr>
                <w:rFonts w:asciiTheme="majorHAnsi" w:hAnsiTheme="majorHAnsi"/>
              </w:rPr>
              <w:t>6</w:t>
            </w:r>
          </w:p>
        </w:tc>
        <w:tc>
          <w:tcPr>
            <w:tcW w:w="987" w:type="pct"/>
          </w:tcPr>
          <w:p w:rsidR="001033B5" w:rsidRPr="00CB32B1" w:rsidRDefault="001033B5" w:rsidP="001033B5">
            <w:pPr>
              <w:pStyle w:val="NumericTableTextDecimalNormal"/>
              <w:cnfStyle w:val="000000000000"/>
              <w:rPr>
                <w:rFonts w:asciiTheme="majorHAnsi" w:hAnsiTheme="majorHAnsi"/>
              </w:rPr>
            </w:pPr>
          </w:p>
        </w:tc>
      </w:tr>
      <w:tr w:rsidR="001033B5" w:rsidRPr="00CB32B1" w:rsidTr="001033B5">
        <w:tc>
          <w:tcPr>
            <w:cnfStyle w:val="001000000000"/>
            <w:tcW w:w="3026" w:type="pct"/>
          </w:tcPr>
          <w:p w:rsidR="001033B5" w:rsidRPr="00872729" w:rsidRDefault="001033B5" w:rsidP="001033B5">
            <w:pPr>
              <w:pStyle w:val="NumericTableTextNormal"/>
              <w:rPr>
                <w:rFonts w:asciiTheme="majorHAnsi" w:hAnsiTheme="majorHAnsi"/>
                <w:i/>
              </w:rPr>
            </w:pPr>
            <w:r w:rsidRPr="00872729">
              <w:rPr>
                <w:rFonts w:asciiTheme="majorHAnsi" w:hAnsiTheme="majorHAnsi"/>
                <w:i/>
              </w:rPr>
              <w:t>Collaborative arrangement with more than one type</w:t>
            </w:r>
          </w:p>
        </w:tc>
        <w:tc>
          <w:tcPr>
            <w:tcW w:w="987" w:type="pct"/>
          </w:tcPr>
          <w:p w:rsidR="001033B5" w:rsidRPr="00CB32B1" w:rsidRDefault="001033B5" w:rsidP="001033B5">
            <w:pPr>
              <w:pStyle w:val="NumericTableTextDecimalNormal"/>
              <w:cnfStyle w:val="000000000000"/>
              <w:rPr>
                <w:rFonts w:asciiTheme="majorHAnsi" w:hAnsiTheme="majorHAnsi"/>
              </w:rPr>
            </w:pPr>
            <w:r w:rsidRPr="00CB32B1">
              <w:rPr>
                <w:rFonts w:asciiTheme="majorHAnsi" w:hAnsiTheme="majorHAnsi"/>
              </w:rPr>
              <w:t>9</w:t>
            </w:r>
          </w:p>
        </w:tc>
        <w:tc>
          <w:tcPr>
            <w:tcW w:w="987" w:type="pct"/>
          </w:tcPr>
          <w:p w:rsidR="001033B5" w:rsidRPr="00CB32B1" w:rsidRDefault="001033B5" w:rsidP="001033B5">
            <w:pPr>
              <w:pStyle w:val="NumericTableTextDecimalNormal"/>
              <w:cnfStyle w:val="000000000000"/>
              <w:rPr>
                <w:rFonts w:asciiTheme="majorHAnsi" w:hAnsiTheme="majorHAnsi"/>
              </w:rPr>
            </w:pPr>
          </w:p>
        </w:tc>
      </w:tr>
      <w:tr w:rsidR="001033B5" w:rsidRPr="00CB32B1" w:rsidTr="001033B5">
        <w:tc>
          <w:tcPr>
            <w:cnfStyle w:val="001000000000"/>
            <w:tcW w:w="3026" w:type="pct"/>
          </w:tcPr>
          <w:p w:rsidR="001033B5" w:rsidRPr="00872729" w:rsidRDefault="001033B5" w:rsidP="001033B5">
            <w:pPr>
              <w:pStyle w:val="NumericTableTextNormal"/>
              <w:rPr>
                <w:rFonts w:asciiTheme="majorHAnsi" w:hAnsiTheme="majorHAnsi"/>
                <w:i/>
              </w:rPr>
            </w:pPr>
            <w:r w:rsidRPr="00872729">
              <w:rPr>
                <w:rFonts w:asciiTheme="majorHAnsi" w:hAnsiTheme="majorHAnsi"/>
                <w:i/>
              </w:rPr>
              <w:t>Yes, with no details given</w:t>
            </w:r>
          </w:p>
        </w:tc>
        <w:tc>
          <w:tcPr>
            <w:tcW w:w="987" w:type="pct"/>
          </w:tcPr>
          <w:p w:rsidR="001033B5" w:rsidRPr="00CB32B1" w:rsidRDefault="001033B5" w:rsidP="001033B5">
            <w:pPr>
              <w:pStyle w:val="NumericTableTextDecimalNormal"/>
              <w:cnfStyle w:val="000000000000"/>
              <w:rPr>
                <w:rFonts w:asciiTheme="majorHAnsi" w:hAnsiTheme="majorHAnsi"/>
              </w:rPr>
            </w:pPr>
            <w:r w:rsidRPr="00CB32B1">
              <w:rPr>
                <w:rFonts w:asciiTheme="majorHAnsi" w:hAnsiTheme="majorHAnsi"/>
              </w:rPr>
              <w:t>9</w:t>
            </w:r>
          </w:p>
        </w:tc>
        <w:tc>
          <w:tcPr>
            <w:tcW w:w="987" w:type="pct"/>
          </w:tcPr>
          <w:p w:rsidR="001033B5" w:rsidRPr="00CB32B1" w:rsidRDefault="001033B5" w:rsidP="001033B5">
            <w:pPr>
              <w:pStyle w:val="NumericTableTextDecimalNormal"/>
              <w:cnfStyle w:val="000000000000"/>
              <w:rPr>
                <w:rFonts w:asciiTheme="majorHAnsi" w:hAnsiTheme="majorHAnsi"/>
              </w:rPr>
            </w:pPr>
          </w:p>
        </w:tc>
      </w:tr>
      <w:tr w:rsidR="001033B5" w:rsidRPr="00CB32B1" w:rsidTr="001033B5">
        <w:tc>
          <w:tcPr>
            <w:cnfStyle w:val="001000000000"/>
            <w:tcW w:w="3026" w:type="pct"/>
          </w:tcPr>
          <w:p w:rsidR="001033B5" w:rsidRPr="00CB32B1" w:rsidRDefault="001033B5" w:rsidP="001033B5">
            <w:pPr>
              <w:pStyle w:val="NumericTableTextNormal"/>
              <w:rPr>
                <w:rFonts w:asciiTheme="majorHAnsi" w:hAnsiTheme="majorHAnsi"/>
                <w:b/>
                <w:color w:val="DC6900" w:themeColor="text2"/>
              </w:rPr>
            </w:pPr>
            <w:r w:rsidRPr="00CB32B1">
              <w:rPr>
                <w:rFonts w:asciiTheme="majorHAnsi" w:hAnsiTheme="majorHAnsi"/>
                <w:b/>
                <w:color w:val="DC6900" w:themeColor="text2"/>
              </w:rPr>
              <w:t>Total count</w:t>
            </w:r>
          </w:p>
        </w:tc>
        <w:tc>
          <w:tcPr>
            <w:tcW w:w="987" w:type="pct"/>
          </w:tcPr>
          <w:p w:rsidR="001033B5" w:rsidRPr="00CB32B1" w:rsidRDefault="001033B5" w:rsidP="001033B5">
            <w:pPr>
              <w:pStyle w:val="NumericTableTextDecimalNormal"/>
              <w:cnfStyle w:val="000000000000"/>
              <w:rPr>
                <w:rFonts w:asciiTheme="majorHAnsi" w:hAnsiTheme="majorHAnsi"/>
                <w:b/>
                <w:color w:val="DC6900" w:themeColor="text2"/>
              </w:rPr>
            </w:pPr>
            <w:r w:rsidRPr="00CB32B1">
              <w:rPr>
                <w:rFonts w:asciiTheme="majorHAnsi" w:hAnsiTheme="majorHAnsi"/>
                <w:b/>
                <w:color w:val="DC6900" w:themeColor="text2"/>
              </w:rPr>
              <w:t>75</w:t>
            </w:r>
          </w:p>
        </w:tc>
        <w:tc>
          <w:tcPr>
            <w:tcW w:w="987" w:type="pct"/>
          </w:tcPr>
          <w:p w:rsidR="001033B5" w:rsidRPr="00CB32B1" w:rsidRDefault="001033B5" w:rsidP="001033B5">
            <w:pPr>
              <w:pStyle w:val="NumericTableTextDecimalNormal"/>
              <w:cnfStyle w:val="000000000000"/>
              <w:rPr>
                <w:rFonts w:asciiTheme="majorHAnsi" w:hAnsiTheme="majorHAnsi"/>
              </w:rPr>
            </w:pPr>
          </w:p>
        </w:tc>
      </w:tr>
    </w:tbl>
    <w:p w:rsidR="002627FC" w:rsidRPr="00CB32B1" w:rsidRDefault="002627FC" w:rsidP="002627FC">
      <w:pPr>
        <w:pStyle w:val="Minorheading"/>
      </w:pPr>
      <w:r w:rsidRPr="00CB32B1">
        <w:t>What are the biggest factors impacting upon entering into collaborative arrangements?</w:t>
      </w:r>
    </w:p>
    <w:p w:rsidR="002627FC" w:rsidRPr="00CB32B1" w:rsidRDefault="002627FC" w:rsidP="002627FC">
      <w:pPr>
        <w:pStyle w:val="PwCNormal"/>
      </w:pPr>
      <w:r w:rsidRPr="00CB32B1">
        <w:t xml:space="preserve">Participants were asked to select all the appropriate factors that impact upon their entering into collaborative arrangements. </w:t>
      </w:r>
      <w:r w:rsidRPr="00CB32B1">
        <w:rPr>
          <w:b/>
          <w:color w:val="DC6900" w:themeColor="text2"/>
        </w:rPr>
        <w:t>83</w:t>
      </w:r>
      <w:r w:rsidRPr="00CB32B1">
        <w:t xml:space="preserve"> participants responded to this question. </w:t>
      </w:r>
    </w:p>
    <w:p w:rsidR="002627FC" w:rsidRPr="00CB32B1" w:rsidRDefault="002627FC" w:rsidP="002627FC">
      <w:pPr>
        <w:pStyle w:val="PwCNormal"/>
      </w:pPr>
      <w:r w:rsidRPr="00CB32B1">
        <w:t>The most frequently cited factors impacting upon entering into collaborative arrangements were:</w:t>
      </w:r>
    </w:p>
    <w:p w:rsidR="002627FC" w:rsidRPr="00CB32B1" w:rsidRDefault="002627FC" w:rsidP="002627FC">
      <w:pPr>
        <w:pStyle w:val="ListBullet"/>
      </w:pPr>
      <w:r w:rsidRPr="00CB32B1">
        <w:t>Voluntary requirement for health services to support collaborative arrangements (</w:t>
      </w:r>
      <w:r w:rsidRPr="00CB32B1">
        <w:rPr>
          <w:b/>
          <w:color w:val="DC6900" w:themeColor="text2"/>
        </w:rPr>
        <w:t>35%</w:t>
      </w:r>
      <w:r w:rsidRPr="00CB32B1">
        <w:t xml:space="preserve"> of respondents)</w:t>
      </w:r>
    </w:p>
    <w:p w:rsidR="002627FC" w:rsidRPr="00CB32B1" w:rsidRDefault="002627FC" w:rsidP="002627FC">
      <w:pPr>
        <w:pStyle w:val="ListBullet"/>
      </w:pPr>
      <w:r w:rsidRPr="00CB32B1">
        <w:t>Relationship with health professional (</w:t>
      </w:r>
      <w:r w:rsidRPr="00CB32B1">
        <w:rPr>
          <w:b/>
          <w:color w:val="DC6900" w:themeColor="text2"/>
        </w:rPr>
        <w:t>33%</w:t>
      </w:r>
      <w:r w:rsidRPr="00CB32B1">
        <w:t xml:space="preserve"> of respondents)</w:t>
      </w:r>
    </w:p>
    <w:p w:rsidR="007A5745" w:rsidRPr="00CB32B1" w:rsidRDefault="002627FC" w:rsidP="002627FC">
      <w:pPr>
        <w:pStyle w:val="ListBullet"/>
      </w:pPr>
      <w:r w:rsidRPr="00CB32B1">
        <w:t>Legislative requirements around arrangements (</w:t>
      </w:r>
      <w:r w:rsidRPr="00CB32B1">
        <w:rPr>
          <w:b/>
          <w:color w:val="DC6900" w:themeColor="text2"/>
        </w:rPr>
        <w:t>31%</w:t>
      </w:r>
      <w:r w:rsidRPr="00CB32B1">
        <w:t xml:space="preserve"> of respondents).</w:t>
      </w:r>
    </w:p>
    <w:tbl>
      <w:tblPr>
        <w:tblStyle w:val="PwCTableStyle1"/>
        <w:tblW w:w="5000" w:type="pct"/>
        <w:tblLook w:val="04A0"/>
      </w:tblPr>
      <w:tblGrid>
        <w:gridCol w:w="5619"/>
        <w:gridCol w:w="1833"/>
        <w:gridCol w:w="1833"/>
      </w:tblGrid>
      <w:tr w:rsidR="002627FC" w:rsidRPr="00CB32B1" w:rsidTr="00747120">
        <w:trPr>
          <w:cnfStyle w:val="100000000000"/>
        </w:trPr>
        <w:tc>
          <w:tcPr>
            <w:cnfStyle w:val="001000000000"/>
            <w:tcW w:w="3026" w:type="pct"/>
            <w:shd w:val="clear" w:color="auto" w:fill="DC6900" w:themeFill="text2"/>
            <w:vAlign w:val="center"/>
          </w:tcPr>
          <w:p w:rsidR="002627FC" w:rsidRPr="00CB32B1" w:rsidRDefault="002627FC" w:rsidP="00747120">
            <w:pPr>
              <w:pStyle w:val="NumericTableColumnHeadingNormal"/>
              <w:rPr>
                <w:rFonts w:asciiTheme="majorHAnsi" w:hAnsiTheme="majorHAnsi"/>
              </w:rPr>
            </w:pPr>
            <w:r w:rsidRPr="00CB32B1">
              <w:rPr>
                <w:rFonts w:asciiTheme="majorHAnsi" w:hAnsiTheme="majorHAnsi"/>
              </w:rPr>
              <w:t>Factor</w:t>
            </w:r>
          </w:p>
        </w:tc>
        <w:tc>
          <w:tcPr>
            <w:tcW w:w="987" w:type="pct"/>
            <w:shd w:val="clear" w:color="auto" w:fill="DC6900" w:themeFill="text2"/>
            <w:vAlign w:val="center"/>
          </w:tcPr>
          <w:p w:rsidR="002627FC" w:rsidRPr="00CB32B1" w:rsidRDefault="002627FC" w:rsidP="00747120">
            <w:pPr>
              <w:pStyle w:val="NumericTableColumnHeadingNormal"/>
              <w:jc w:val="center"/>
              <w:cnfStyle w:val="100000000000"/>
              <w:rPr>
                <w:rFonts w:asciiTheme="majorHAnsi" w:hAnsiTheme="majorHAnsi"/>
              </w:rPr>
            </w:pPr>
            <w:r w:rsidRPr="00CB32B1">
              <w:rPr>
                <w:rFonts w:asciiTheme="majorHAnsi" w:hAnsiTheme="majorHAnsi"/>
              </w:rPr>
              <w:t>Count of responses</w:t>
            </w:r>
          </w:p>
        </w:tc>
        <w:tc>
          <w:tcPr>
            <w:tcW w:w="987" w:type="pct"/>
            <w:shd w:val="clear" w:color="auto" w:fill="DC6900" w:themeFill="text2"/>
            <w:vAlign w:val="center"/>
          </w:tcPr>
          <w:p w:rsidR="002627FC" w:rsidRPr="00CB32B1" w:rsidRDefault="002627FC" w:rsidP="00747120">
            <w:pPr>
              <w:pStyle w:val="NumericTableColumnHeadingNormal"/>
              <w:jc w:val="center"/>
              <w:cnfStyle w:val="100000000000"/>
              <w:rPr>
                <w:rFonts w:asciiTheme="majorHAnsi" w:hAnsiTheme="majorHAnsi"/>
              </w:rPr>
            </w:pPr>
            <w:r w:rsidRPr="00CB32B1">
              <w:rPr>
                <w:rFonts w:asciiTheme="majorHAnsi" w:hAnsiTheme="majorHAnsi"/>
              </w:rPr>
              <w:t>% of respondents</w:t>
            </w:r>
          </w:p>
        </w:tc>
      </w:tr>
      <w:tr w:rsidR="002627FC" w:rsidRPr="00CB32B1" w:rsidTr="002627FC">
        <w:tc>
          <w:tcPr>
            <w:cnfStyle w:val="001000000000"/>
            <w:tcW w:w="3026" w:type="pct"/>
          </w:tcPr>
          <w:p w:rsidR="002627FC" w:rsidRPr="00CB32B1" w:rsidRDefault="002627FC" w:rsidP="002627FC">
            <w:pPr>
              <w:pStyle w:val="NumericTableTextNormal"/>
              <w:rPr>
                <w:rFonts w:asciiTheme="majorHAnsi" w:hAnsiTheme="majorHAnsi"/>
              </w:rPr>
            </w:pPr>
            <w:r w:rsidRPr="00CB32B1">
              <w:rPr>
                <w:rFonts w:asciiTheme="majorHAnsi" w:hAnsiTheme="majorHAnsi"/>
              </w:rPr>
              <w:t>Voluntary requirement for health services to support collaborative arrangements</w:t>
            </w:r>
          </w:p>
        </w:tc>
        <w:tc>
          <w:tcPr>
            <w:tcW w:w="987" w:type="pct"/>
          </w:tcPr>
          <w:p w:rsidR="002627FC" w:rsidRPr="00CB32B1" w:rsidRDefault="002627FC" w:rsidP="002627FC">
            <w:pPr>
              <w:pStyle w:val="NumericTableTextDecimalNormal"/>
              <w:cnfStyle w:val="000000000000"/>
              <w:rPr>
                <w:rFonts w:asciiTheme="majorHAnsi" w:hAnsiTheme="majorHAnsi"/>
              </w:rPr>
            </w:pPr>
            <w:r w:rsidRPr="00CB32B1">
              <w:rPr>
                <w:rFonts w:asciiTheme="majorHAnsi" w:hAnsiTheme="majorHAnsi"/>
              </w:rPr>
              <w:t>29</w:t>
            </w:r>
          </w:p>
        </w:tc>
        <w:tc>
          <w:tcPr>
            <w:tcW w:w="987" w:type="pct"/>
          </w:tcPr>
          <w:p w:rsidR="002627FC" w:rsidRPr="00CB32B1" w:rsidRDefault="002627FC" w:rsidP="002627FC">
            <w:pPr>
              <w:pStyle w:val="NumericTableTextDecimalNormal"/>
              <w:cnfStyle w:val="000000000000"/>
              <w:rPr>
                <w:rFonts w:asciiTheme="majorHAnsi" w:hAnsiTheme="majorHAnsi"/>
              </w:rPr>
            </w:pPr>
            <w:r w:rsidRPr="00CB32B1">
              <w:rPr>
                <w:rFonts w:asciiTheme="majorHAnsi" w:hAnsiTheme="majorHAnsi"/>
              </w:rPr>
              <w:t>35%</w:t>
            </w:r>
          </w:p>
        </w:tc>
      </w:tr>
      <w:tr w:rsidR="002627FC" w:rsidRPr="00CB32B1" w:rsidTr="002627FC">
        <w:tc>
          <w:tcPr>
            <w:cnfStyle w:val="001000000000"/>
            <w:tcW w:w="3026" w:type="pct"/>
          </w:tcPr>
          <w:p w:rsidR="002627FC" w:rsidRPr="00CB32B1" w:rsidRDefault="002627FC" w:rsidP="002627FC">
            <w:pPr>
              <w:pStyle w:val="NumericTableTextNormal"/>
              <w:rPr>
                <w:rFonts w:asciiTheme="majorHAnsi" w:hAnsiTheme="majorHAnsi"/>
              </w:rPr>
            </w:pPr>
            <w:r w:rsidRPr="00CB32B1">
              <w:rPr>
                <w:rFonts w:asciiTheme="majorHAnsi" w:hAnsiTheme="majorHAnsi"/>
              </w:rPr>
              <w:t>Relationship with health professional</w:t>
            </w:r>
          </w:p>
        </w:tc>
        <w:tc>
          <w:tcPr>
            <w:tcW w:w="987" w:type="pct"/>
          </w:tcPr>
          <w:p w:rsidR="002627FC" w:rsidRPr="00CB32B1" w:rsidRDefault="002627FC" w:rsidP="002627FC">
            <w:pPr>
              <w:pStyle w:val="NumericTableTextDecimalNormal"/>
              <w:cnfStyle w:val="000000000000"/>
              <w:rPr>
                <w:rFonts w:asciiTheme="majorHAnsi" w:hAnsiTheme="majorHAnsi"/>
              </w:rPr>
            </w:pPr>
            <w:r w:rsidRPr="00CB32B1">
              <w:rPr>
                <w:rFonts w:asciiTheme="majorHAnsi" w:hAnsiTheme="majorHAnsi"/>
              </w:rPr>
              <w:t>27</w:t>
            </w:r>
          </w:p>
        </w:tc>
        <w:tc>
          <w:tcPr>
            <w:tcW w:w="987" w:type="pct"/>
          </w:tcPr>
          <w:p w:rsidR="002627FC" w:rsidRPr="00CB32B1" w:rsidRDefault="002627FC" w:rsidP="002627FC">
            <w:pPr>
              <w:pStyle w:val="NumericTableTextDecimalNormal"/>
              <w:cnfStyle w:val="000000000000"/>
              <w:rPr>
                <w:rFonts w:asciiTheme="majorHAnsi" w:hAnsiTheme="majorHAnsi"/>
              </w:rPr>
            </w:pPr>
            <w:r w:rsidRPr="00CB32B1">
              <w:rPr>
                <w:rFonts w:asciiTheme="majorHAnsi" w:hAnsiTheme="majorHAnsi"/>
              </w:rPr>
              <w:t>33%</w:t>
            </w:r>
          </w:p>
        </w:tc>
      </w:tr>
      <w:tr w:rsidR="002627FC" w:rsidRPr="00CB32B1" w:rsidTr="002627FC">
        <w:tc>
          <w:tcPr>
            <w:cnfStyle w:val="001000000000"/>
            <w:tcW w:w="3026" w:type="pct"/>
          </w:tcPr>
          <w:p w:rsidR="002627FC" w:rsidRPr="00CB32B1" w:rsidRDefault="002627FC" w:rsidP="002627FC">
            <w:pPr>
              <w:pStyle w:val="NumericTableTextNormal"/>
              <w:rPr>
                <w:rFonts w:asciiTheme="majorHAnsi" w:hAnsiTheme="majorHAnsi"/>
              </w:rPr>
            </w:pPr>
            <w:r w:rsidRPr="00CB32B1">
              <w:rPr>
                <w:rFonts w:asciiTheme="majorHAnsi" w:hAnsiTheme="majorHAnsi"/>
              </w:rPr>
              <w:t>Legislative requirements around arrangements</w:t>
            </w:r>
          </w:p>
        </w:tc>
        <w:tc>
          <w:tcPr>
            <w:tcW w:w="987" w:type="pct"/>
          </w:tcPr>
          <w:p w:rsidR="002627FC" w:rsidRPr="00CB32B1" w:rsidRDefault="002627FC" w:rsidP="002627FC">
            <w:pPr>
              <w:pStyle w:val="NumericTableTextDecimalNormal"/>
              <w:cnfStyle w:val="000000000000"/>
              <w:rPr>
                <w:rFonts w:asciiTheme="majorHAnsi" w:hAnsiTheme="majorHAnsi"/>
              </w:rPr>
            </w:pPr>
            <w:r w:rsidRPr="00CB32B1">
              <w:rPr>
                <w:rFonts w:asciiTheme="majorHAnsi" w:hAnsiTheme="majorHAnsi"/>
              </w:rPr>
              <w:t>26</w:t>
            </w:r>
          </w:p>
        </w:tc>
        <w:tc>
          <w:tcPr>
            <w:tcW w:w="987" w:type="pct"/>
          </w:tcPr>
          <w:p w:rsidR="002627FC" w:rsidRPr="00CB32B1" w:rsidRDefault="002627FC" w:rsidP="002627FC">
            <w:pPr>
              <w:pStyle w:val="NumericTableTextDecimalNormal"/>
              <w:cnfStyle w:val="000000000000"/>
              <w:rPr>
                <w:rFonts w:asciiTheme="majorHAnsi" w:hAnsiTheme="majorHAnsi"/>
              </w:rPr>
            </w:pPr>
            <w:r w:rsidRPr="00CB32B1">
              <w:rPr>
                <w:rFonts w:asciiTheme="majorHAnsi" w:hAnsiTheme="majorHAnsi"/>
              </w:rPr>
              <w:t>31%</w:t>
            </w:r>
          </w:p>
        </w:tc>
      </w:tr>
      <w:tr w:rsidR="002627FC" w:rsidRPr="00CB32B1" w:rsidTr="002627FC">
        <w:tc>
          <w:tcPr>
            <w:cnfStyle w:val="001000000000"/>
            <w:tcW w:w="3026" w:type="pct"/>
          </w:tcPr>
          <w:p w:rsidR="002627FC" w:rsidRPr="00CB32B1" w:rsidRDefault="002627FC" w:rsidP="002627FC">
            <w:pPr>
              <w:pStyle w:val="NumericTableTextNormal"/>
              <w:rPr>
                <w:rFonts w:asciiTheme="majorHAnsi" w:hAnsiTheme="majorHAnsi"/>
              </w:rPr>
            </w:pPr>
            <w:r w:rsidRPr="00CB32B1">
              <w:rPr>
                <w:rFonts w:asciiTheme="majorHAnsi" w:hAnsiTheme="majorHAnsi"/>
              </w:rPr>
              <w:t>Relationship with health services</w:t>
            </w:r>
          </w:p>
        </w:tc>
        <w:tc>
          <w:tcPr>
            <w:tcW w:w="987" w:type="pct"/>
          </w:tcPr>
          <w:p w:rsidR="002627FC" w:rsidRPr="00CB32B1" w:rsidRDefault="002627FC" w:rsidP="002627FC">
            <w:pPr>
              <w:pStyle w:val="NumericTableTextDecimalNormal"/>
              <w:cnfStyle w:val="000000000000"/>
              <w:rPr>
                <w:rFonts w:asciiTheme="majorHAnsi" w:hAnsiTheme="majorHAnsi"/>
              </w:rPr>
            </w:pPr>
            <w:r w:rsidRPr="00CB32B1">
              <w:rPr>
                <w:rFonts w:asciiTheme="majorHAnsi" w:hAnsiTheme="majorHAnsi"/>
              </w:rPr>
              <w:t>24</w:t>
            </w:r>
          </w:p>
        </w:tc>
        <w:tc>
          <w:tcPr>
            <w:tcW w:w="987" w:type="pct"/>
          </w:tcPr>
          <w:p w:rsidR="002627FC" w:rsidRPr="00CB32B1" w:rsidRDefault="002627FC" w:rsidP="002627FC">
            <w:pPr>
              <w:pStyle w:val="NumericTableTextDecimalNormal"/>
              <w:cnfStyle w:val="000000000000"/>
              <w:rPr>
                <w:rFonts w:asciiTheme="majorHAnsi" w:hAnsiTheme="majorHAnsi"/>
              </w:rPr>
            </w:pPr>
            <w:r w:rsidRPr="00CB32B1">
              <w:rPr>
                <w:rFonts w:asciiTheme="majorHAnsi" w:hAnsiTheme="majorHAnsi"/>
              </w:rPr>
              <w:t>29%</w:t>
            </w:r>
          </w:p>
        </w:tc>
      </w:tr>
      <w:tr w:rsidR="002627FC" w:rsidRPr="00CB32B1" w:rsidTr="002627FC">
        <w:tc>
          <w:tcPr>
            <w:cnfStyle w:val="001000000000"/>
            <w:tcW w:w="3026" w:type="pct"/>
          </w:tcPr>
          <w:p w:rsidR="002627FC" w:rsidRPr="00CB32B1" w:rsidRDefault="002627FC" w:rsidP="002627FC">
            <w:pPr>
              <w:pStyle w:val="NumericTableTextNormal"/>
              <w:rPr>
                <w:rFonts w:asciiTheme="majorHAnsi" w:hAnsiTheme="majorHAnsi"/>
              </w:rPr>
            </w:pPr>
            <w:r w:rsidRPr="00CB32B1">
              <w:rPr>
                <w:rFonts w:asciiTheme="majorHAnsi" w:hAnsiTheme="majorHAnsi"/>
              </w:rPr>
              <w:t>Restrictions on care through collaborative arrangements</w:t>
            </w:r>
          </w:p>
        </w:tc>
        <w:tc>
          <w:tcPr>
            <w:tcW w:w="987" w:type="pct"/>
          </w:tcPr>
          <w:p w:rsidR="002627FC" w:rsidRPr="00CB32B1" w:rsidRDefault="002627FC" w:rsidP="002627FC">
            <w:pPr>
              <w:pStyle w:val="NumericTableTextDecimalNormal"/>
              <w:cnfStyle w:val="000000000000"/>
              <w:rPr>
                <w:rFonts w:asciiTheme="majorHAnsi" w:hAnsiTheme="majorHAnsi"/>
              </w:rPr>
            </w:pPr>
            <w:r w:rsidRPr="00CB32B1">
              <w:rPr>
                <w:rFonts w:asciiTheme="majorHAnsi" w:hAnsiTheme="majorHAnsi"/>
              </w:rPr>
              <w:t>23</w:t>
            </w:r>
          </w:p>
        </w:tc>
        <w:tc>
          <w:tcPr>
            <w:tcW w:w="987" w:type="pct"/>
          </w:tcPr>
          <w:p w:rsidR="002627FC" w:rsidRPr="00CB32B1" w:rsidRDefault="002627FC" w:rsidP="002627FC">
            <w:pPr>
              <w:pStyle w:val="NumericTableTextDecimalNormal"/>
              <w:cnfStyle w:val="000000000000"/>
              <w:rPr>
                <w:rFonts w:asciiTheme="majorHAnsi" w:hAnsiTheme="majorHAnsi"/>
              </w:rPr>
            </w:pPr>
            <w:r w:rsidRPr="00CB32B1">
              <w:rPr>
                <w:rFonts w:asciiTheme="majorHAnsi" w:hAnsiTheme="majorHAnsi"/>
              </w:rPr>
              <w:t>28%</w:t>
            </w:r>
          </w:p>
        </w:tc>
      </w:tr>
      <w:tr w:rsidR="002627FC" w:rsidRPr="00CB32B1" w:rsidTr="002627FC">
        <w:tc>
          <w:tcPr>
            <w:cnfStyle w:val="001000000000"/>
            <w:tcW w:w="3026" w:type="pct"/>
          </w:tcPr>
          <w:p w:rsidR="002627FC" w:rsidRPr="00CB32B1" w:rsidRDefault="002627FC" w:rsidP="002627FC">
            <w:pPr>
              <w:pStyle w:val="NumericTableTextNormal"/>
              <w:rPr>
                <w:rFonts w:asciiTheme="majorHAnsi" w:hAnsiTheme="majorHAnsi"/>
              </w:rPr>
            </w:pPr>
            <w:r w:rsidRPr="00CB32B1">
              <w:rPr>
                <w:rFonts w:asciiTheme="majorHAnsi" w:hAnsiTheme="majorHAnsi"/>
              </w:rPr>
              <w:t>Not applicable – privately practising homebirth services not provided</w:t>
            </w:r>
          </w:p>
        </w:tc>
        <w:tc>
          <w:tcPr>
            <w:tcW w:w="987" w:type="pct"/>
          </w:tcPr>
          <w:p w:rsidR="002627FC" w:rsidRPr="00CB32B1" w:rsidRDefault="002627FC" w:rsidP="002627FC">
            <w:pPr>
              <w:pStyle w:val="NumericTableTextDecimalNormal"/>
              <w:cnfStyle w:val="000000000000"/>
              <w:rPr>
                <w:rFonts w:asciiTheme="majorHAnsi" w:hAnsiTheme="majorHAnsi"/>
              </w:rPr>
            </w:pPr>
            <w:r w:rsidRPr="00CB32B1">
              <w:rPr>
                <w:rFonts w:asciiTheme="majorHAnsi" w:hAnsiTheme="majorHAnsi"/>
              </w:rPr>
              <w:t>11</w:t>
            </w:r>
          </w:p>
        </w:tc>
        <w:tc>
          <w:tcPr>
            <w:tcW w:w="987" w:type="pct"/>
          </w:tcPr>
          <w:p w:rsidR="002627FC" w:rsidRPr="00CB32B1" w:rsidRDefault="002627FC" w:rsidP="002627FC">
            <w:pPr>
              <w:pStyle w:val="NumericTableTextDecimalNormal"/>
              <w:cnfStyle w:val="000000000000"/>
              <w:rPr>
                <w:rFonts w:asciiTheme="majorHAnsi" w:hAnsiTheme="majorHAnsi"/>
              </w:rPr>
            </w:pPr>
            <w:r w:rsidRPr="00CB32B1">
              <w:rPr>
                <w:rFonts w:asciiTheme="majorHAnsi" w:hAnsiTheme="majorHAnsi"/>
              </w:rPr>
              <w:t>13%</w:t>
            </w:r>
          </w:p>
        </w:tc>
      </w:tr>
      <w:tr w:rsidR="002627FC" w:rsidRPr="00CB32B1" w:rsidTr="002627FC">
        <w:tc>
          <w:tcPr>
            <w:cnfStyle w:val="001000000000"/>
            <w:tcW w:w="3026" w:type="pct"/>
          </w:tcPr>
          <w:p w:rsidR="002627FC" w:rsidRPr="00CB32B1" w:rsidRDefault="002627FC" w:rsidP="002627FC">
            <w:pPr>
              <w:pStyle w:val="NumericTableTextNormal"/>
              <w:rPr>
                <w:rFonts w:asciiTheme="majorHAnsi" w:hAnsiTheme="majorHAnsi"/>
              </w:rPr>
            </w:pPr>
            <w:r w:rsidRPr="00CB32B1">
              <w:rPr>
                <w:rFonts w:asciiTheme="majorHAnsi" w:hAnsiTheme="majorHAnsi"/>
              </w:rPr>
              <w:t>Other</w:t>
            </w:r>
          </w:p>
        </w:tc>
        <w:tc>
          <w:tcPr>
            <w:tcW w:w="987" w:type="pct"/>
          </w:tcPr>
          <w:p w:rsidR="002627FC" w:rsidRPr="00CB32B1" w:rsidRDefault="002627FC" w:rsidP="002627FC">
            <w:pPr>
              <w:pStyle w:val="NumericTableTextDecimalNormal"/>
              <w:cnfStyle w:val="000000000000"/>
              <w:rPr>
                <w:rFonts w:asciiTheme="majorHAnsi" w:hAnsiTheme="majorHAnsi"/>
              </w:rPr>
            </w:pPr>
            <w:r w:rsidRPr="00CB32B1">
              <w:rPr>
                <w:rFonts w:asciiTheme="majorHAnsi" w:hAnsiTheme="majorHAnsi"/>
              </w:rPr>
              <w:t>8</w:t>
            </w:r>
          </w:p>
        </w:tc>
        <w:tc>
          <w:tcPr>
            <w:tcW w:w="987" w:type="pct"/>
          </w:tcPr>
          <w:p w:rsidR="002627FC" w:rsidRPr="00CB32B1" w:rsidRDefault="002627FC" w:rsidP="002627FC">
            <w:pPr>
              <w:pStyle w:val="NumericTableTextDecimalNormal"/>
              <w:cnfStyle w:val="000000000000"/>
              <w:rPr>
                <w:rFonts w:asciiTheme="majorHAnsi" w:hAnsiTheme="majorHAnsi"/>
              </w:rPr>
            </w:pPr>
            <w:r w:rsidRPr="00CB32B1">
              <w:rPr>
                <w:rFonts w:asciiTheme="majorHAnsi" w:hAnsiTheme="majorHAnsi"/>
              </w:rPr>
              <w:t>10%</w:t>
            </w:r>
          </w:p>
        </w:tc>
      </w:tr>
      <w:tr w:rsidR="002627FC" w:rsidRPr="00CB32B1" w:rsidTr="002627FC">
        <w:tc>
          <w:tcPr>
            <w:cnfStyle w:val="001000000000"/>
            <w:tcW w:w="3026" w:type="pct"/>
          </w:tcPr>
          <w:p w:rsidR="002627FC" w:rsidRPr="00CB32B1" w:rsidRDefault="002627FC" w:rsidP="002627FC">
            <w:pPr>
              <w:pStyle w:val="NumericTableTextNormal"/>
              <w:rPr>
                <w:rFonts w:asciiTheme="majorHAnsi" w:hAnsiTheme="majorHAnsi"/>
              </w:rPr>
            </w:pPr>
            <w:r w:rsidRPr="00CB32B1">
              <w:rPr>
                <w:rFonts w:asciiTheme="majorHAnsi" w:hAnsiTheme="majorHAnsi"/>
              </w:rPr>
              <w:t>Location to health service</w:t>
            </w:r>
          </w:p>
        </w:tc>
        <w:tc>
          <w:tcPr>
            <w:tcW w:w="987" w:type="pct"/>
          </w:tcPr>
          <w:p w:rsidR="002627FC" w:rsidRPr="00CB32B1" w:rsidRDefault="002627FC" w:rsidP="002627FC">
            <w:pPr>
              <w:pStyle w:val="NumericTableTextDecimalNormal"/>
              <w:cnfStyle w:val="000000000000"/>
              <w:rPr>
                <w:rFonts w:asciiTheme="majorHAnsi" w:hAnsiTheme="majorHAnsi"/>
              </w:rPr>
            </w:pPr>
            <w:r w:rsidRPr="00CB32B1">
              <w:rPr>
                <w:rFonts w:asciiTheme="majorHAnsi" w:hAnsiTheme="majorHAnsi"/>
              </w:rPr>
              <w:t>7</w:t>
            </w:r>
          </w:p>
        </w:tc>
        <w:tc>
          <w:tcPr>
            <w:tcW w:w="987" w:type="pct"/>
          </w:tcPr>
          <w:p w:rsidR="002627FC" w:rsidRPr="00CB32B1" w:rsidRDefault="002627FC" w:rsidP="002627FC">
            <w:pPr>
              <w:pStyle w:val="NumericTableTextDecimalNormal"/>
              <w:cnfStyle w:val="000000000000"/>
              <w:rPr>
                <w:rFonts w:asciiTheme="majorHAnsi" w:hAnsiTheme="majorHAnsi"/>
              </w:rPr>
            </w:pPr>
            <w:r w:rsidRPr="00CB32B1">
              <w:rPr>
                <w:rFonts w:asciiTheme="majorHAnsi" w:hAnsiTheme="majorHAnsi"/>
              </w:rPr>
              <w:t>8%</w:t>
            </w:r>
          </w:p>
        </w:tc>
      </w:tr>
    </w:tbl>
    <w:p w:rsidR="00AF3F73" w:rsidRPr="00CB32B1" w:rsidRDefault="00AF3F73" w:rsidP="00AF3F73">
      <w:pPr>
        <w:pStyle w:val="Minorheading"/>
      </w:pPr>
      <w:r w:rsidRPr="00CB32B1">
        <w:t>What proportion of privately practising midwives are eligible midwives?</w:t>
      </w:r>
    </w:p>
    <w:p w:rsidR="00AF3F73" w:rsidRPr="00CB32B1" w:rsidRDefault="00AF3F73" w:rsidP="00AF3F73">
      <w:pPr>
        <w:pStyle w:val="PwCNormal"/>
      </w:pPr>
      <w:r w:rsidRPr="00CB32B1">
        <w:t>Of the 85 survey participants:</w:t>
      </w:r>
    </w:p>
    <w:p w:rsidR="00AF3F73" w:rsidRPr="00CB32B1" w:rsidRDefault="00AF3F73" w:rsidP="00AF3F73">
      <w:pPr>
        <w:pStyle w:val="ListBullet"/>
      </w:pPr>
      <w:r w:rsidRPr="00CB32B1">
        <w:rPr>
          <w:b/>
          <w:color w:val="DC6900" w:themeColor="text2"/>
        </w:rPr>
        <w:t>52</w:t>
      </w:r>
      <w:r w:rsidRPr="00CB32B1">
        <w:t xml:space="preserve"> are eligible midwives – 61% </w:t>
      </w:r>
    </w:p>
    <w:p w:rsidR="00AF3F73" w:rsidRPr="00CB32B1" w:rsidRDefault="00AF3F73" w:rsidP="00AF3F73">
      <w:pPr>
        <w:pStyle w:val="ListBullet"/>
      </w:pPr>
      <w:r w:rsidRPr="00CB32B1">
        <w:rPr>
          <w:b/>
          <w:color w:val="DC6900" w:themeColor="text2"/>
        </w:rPr>
        <w:t>24</w:t>
      </w:r>
      <w:r w:rsidRPr="00CB32B1">
        <w:t xml:space="preserve"> are not eligible midwives – 28% </w:t>
      </w:r>
    </w:p>
    <w:p w:rsidR="00AF3F73" w:rsidRPr="00CB32B1" w:rsidRDefault="00AF3F73" w:rsidP="00AF3F73">
      <w:pPr>
        <w:pStyle w:val="ListBullet"/>
      </w:pPr>
      <w:r w:rsidRPr="00CB32B1">
        <w:rPr>
          <w:b/>
          <w:color w:val="DC6900" w:themeColor="text2"/>
        </w:rPr>
        <w:t>9</w:t>
      </w:r>
      <w:r w:rsidRPr="00CB32B1">
        <w:t xml:space="preserve"> did not respond to this question – 11%.</w:t>
      </w:r>
    </w:p>
    <w:p w:rsidR="00AF3F73" w:rsidRPr="00CB32B1" w:rsidRDefault="00AF3F73" w:rsidP="00AF3F73">
      <w:pPr>
        <w:pStyle w:val="PwCNormal"/>
      </w:pPr>
      <w:r w:rsidRPr="00CB32B1">
        <w:t>Of the 81 participants who have practised as a midwife in the last 12 months, 50 (</w:t>
      </w:r>
      <w:r w:rsidRPr="00CB32B1">
        <w:rPr>
          <w:b/>
          <w:color w:val="DC6900" w:themeColor="text2"/>
        </w:rPr>
        <w:t>62%</w:t>
      </w:r>
      <w:r w:rsidRPr="00CB32B1">
        <w:t>) are ‘eligible midwives’.</w:t>
      </w:r>
    </w:p>
    <w:p w:rsidR="002627FC" w:rsidRPr="00CB32B1" w:rsidRDefault="00AF3F73" w:rsidP="00AF3F73">
      <w:pPr>
        <w:pStyle w:val="PwCNormal"/>
      </w:pPr>
      <w:r w:rsidRPr="00CB32B1">
        <w:t>Of the 57 participants who are privately practising, 42 (</w:t>
      </w:r>
      <w:r w:rsidRPr="00CB32B1">
        <w:rPr>
          <w:b/>
          <w:color w:val="DC6900" w:themeColor="text2"/>
        </w:rPr>
        <w:t>74%</w:t>
      </w:r>
      <w:r w:rsidRPr="00CB32B1">
        <w:t>) are ‘eligible midwives’.</w:t>
      </w:r>
    </w:p>
    <w:p w:rsidR="009E135F" w:rsidRPr="00CB32B1" w:rsidRDefault="009E135F" w:rsidP="002C0887">
      <w:pPr>
        <w:pStyle w:val="Minorheading"/>
        <w:sectPr w:rsidR="009E135F" w:rsidRPr="00CB32B1" w:rsidSect="003E4E09">
          <w:pgSz w:w="11907" w:h="16840" w:code="9"/>
          <w:pgMar w:top="1699" w:right="1138" w:bottom="1699" w:left="1138" w:header="677" w:footer="677" w:gutter="562"/>
          <w:cols w:space="708"/>
          <w:titlePg/>
          <w:docGrid w:linePitch="360"/>
        </w:sectPr>
      </w:pPr>
    </w:p>
    <w:p w:rsidR="002C0887" w:rsidRPr="00CB32B1" w:rsidRDefault="002C0887" w:rsidP="002C0887">
      <w:pPr>
        <w:pStyle w:val="Minorheading"/>
      </w:pPr>
      <w:r w:rsidRPr="00CB32B1">
        <w:t>Why are participants not eligible midwives?</w:t>
      </w:r>
    </w:p>
    <w:p w:rsidR="002C0887" w:rsidRPr="00CB32B1" w:rsidRDefault="002C0887" w:rsidP="002C0887">
      <w:pPr>
        <w:pStyle w:val="PwCNormal"/>
      </w:pPr>
      <w:r w:rsidRPr="00CB32B1">
        <w:t>24 participants identified themselves as not being eligible midwives.</w:t>
      </w:r>
    </w:p>
    <w:tbl>
      <w:tblPr>
        <w:tblStyle w:val="PwCTableStyle1"/>
        <w:tblW w:w="5000" w:type="pct"/>
        <w:tblLook w:val="04A0"/>
      </w:tblPr>
      <w:tblGrid>
        <w:gridCol w:w="6497"/>
        <w:gridCol w:w="1287"/>
        <w:gridCol w:w="1501"/>
      </w:tblGrid>
      <w:tr w:rsidR="002C0887" w:rsidRPr="00CB32B1" w:rsidTr="00747120">
        <w:trPr>
          <w:cnfStyle w:val="100000000000"/>
        </w:trPr>
        <w:tc>
          <w:tcPr>
            <w:cnfStyle w:val="001000000000"/>
            <w:tcW w:w="3499" w:type="pct"/>
            <w:shd w:val="clear" w:color="auto" w:fill="DC6900" w:themeFill="text2"/>
            <w:vAlign w:val="center"/>
          </w:tcPr>
          <w:p w:rsidR="002C0887" w:rsidRPr="00CB32B1" w:rsidRDefault="002C0887" w:rsidP="00747120">
            <w:pPr>
              <w:pStyle w:val="NumericTableColumnHeadingNormal"/>
              <w:rPr>
                <w:rFonts w:asciiTheme="majorHAnsi" w:hAnsiTheme="majorHAnsi"/>
              </w:rPr>
            </w:pPr>
            <w:r w:rsidRPr="00CB32B1">
              <w:rPr>
                <w:rFonts w:asciiTheme="majorHAnsi" w:hAnsiTheme="majorHAnsi"/>
              </w:rPr>
              <w:t>Reasons provided</w:t>
            </w:r>
          </w:p>
        </w:tc>
        <w:tc>
          <w:tcPr>
            <w:tcW w:w="693" w:type="pct"/>
            <w:shd w:val="clear" w:color="auto" w:fill="DC6900" w:themeFill="text2"/>
            <w:vAlign w:val="center"/>
          </w:tcPr>
          <w:p w:rsidR="002C0887" w:rsidRPr="00CB32B1" w:rsidRDefault="002C0887" w:rsidP="00747120">
            <w:pPr>
              <w:pStyle w:val="NumericTableColumnHeadingNormal"/>
              <w:jc w:val="center"/>
              <w:cnfStyle w:val="100000000000"/>
              <w:rPr>
                <w:rFonts w:asciiTheme="majorHAnsi" w:hAnsiTheme="majorHAnsi"/>
              </w:rPr>
            </w:pPr>
            <w:r w:rsidRPr="00CB32B1">
              <w:rPr>
                <w:rFonts w:asciiTheme="majorHAnsi" w:hAnsiTheme="majorHAnsi"/>
              </w:rPr>
              <w:t>Count of responses</w:t>
            </w:r>
          </w:p>
        </w:tc>
        <w:tc>
          <w:tcPr>
            <w:tcW w:w="808" w:type="pct"/>
            <w:shd w:val="clear" w:color="auto" w:fill="DC6900" w:themeFill="text2"/>
            <w:vAlign w:val="center"/>
          </w:tcPr>
          <w:p w:rsidR="002C0887" w:rsidRPr="00CB32B1" w:rsidRDefault="002C0887" w:rsidP="00747120">
            <w:pPr>
              <w:pStyle w:val="NumericTableColumnHeadingNormal"/>
              <w:jc w:val="center"/>
              <w:cnfStyle w:val="100000000000"/>
              <w:rPr>
                <w:rFonts w:asciiTheme="majorHAnsi" w:hAnsiTheme="majorHAnsi"/>
              </w:rPr>
            </w:pPr>
            <w:r w:rsidRPr="00CB32B1">
              <w:rPr>
                <w:rFonts w:asciiTheme="majorHAnsi" w:hAnsiTheme="majorHAnsi"/>
              </w:rPr>
              <w:t>% of respondents</w:t>
            </w:r>
          </w:p>
        </w:tc>
      </w:tr>
      <w:tr w:rsidR="002C0887" w:rsidRPr="00CB32B1" w:rsidTr="002C0887">
        <w:tc>
          <w:tcPr>
            <w:cnfStyle w:val="001000000000"/>
            <w:tcW w:w="3499" w:type="pct"/>
          </w:tcPr>
          <w:p w:rsidR="002C0887" w:rsidRPr="00CB32B1" w:rsidRDefault="002C0887" w:rsidP="002C0887">
            <w:pPr>
              <w:pStyle w:val="NumericTableTextNormal"/>
              <w:rPr>
                <w:rFonts w:asciiTheme="majorHAnsi" w:hAnsiTheme="majorHAnsi"/>
              </w:rPr>
            </w:pPr>
            <w:r w:rsidRPr="00CB32B1">
              <w:rPr>
                <w:rFonts w:asciiTheme="majorHAnsi" w:hAnsiTheme="majorHAnsi"/>
              </w:rPr>
              <w:t>Restrictions through the requirements of being an eligible midwife</w:t>
            </w:r>
          </w:p>
        </w:tc>
        <w:tc>
          <w:tcPr>
            <w:tcW w:w="693" w:type="pct"/>
          </w:tcPr>
          <w:p w:rsidR="002C0887" w:rsidRPr="00CB32B1" w:rsidRDefault="002C0887" w:rsidP="002C0887">
            <w:pPr>
              <w:pStyle w:val="NumericTableTextDecimalNormal"/>
              <w:tabs>
                <w:tab w:val="clear" w:pos="1004"/>
                <w:tab w:val="decimal" w:pos="610"/>
              </w:tabs>
              <w:cnfStyle w:val="000000000000"/>
              <w:rPr>
                <w:rFonts w:asciiTheme="majorHAnsi" w:hAnsiTheme="majorHAnsi"/>
              </w:rPr>
            </w:pPr>
            <w:r w:rsidRPr="00CB32B1">
              <w:rPr>
                <w:rFonts w:asciiTheme="majorHAnsi" w:hAnsiTheme="majorHAnsi"/>
              </w:rPr>
              <w:t>10</w:t>
            </w:r>
          </w:p>
        </w:tc>
        <w:tc>
          <w:tcPr>
            <w:tcW w:w="808" w:type="pct"/>
          </w:tcPr>
          <w:p w:rsidR="002C0887" w:rsidRPr="00CB32B1" w:rsidRDefault="002C0887" w:rsidP="002C0887">
            <w:pPr>
              <w:pStyle w:val="NumericTableTextDecimalNormal"/>
              <w:tabs>
                <w:tab w:val="clear" w:pos="1004"/>
                <w:tab w:val="decimal" w:pos="673"/>
              </w:tabs>
              <w:cnfStyle w:val="000000000000"/>
              <w:rPr>
                <w:rFonts w:asciiTheme="majorHAnsi" w:hAnsiTheme="majorHAnsi"/>
              </w:rPr>
            </w:pPr>
            <w:r w:rsidRPr="00CB32B1">
              <w:rPr>
                <w:rFonts w:asciiTheme="majorHAnsi" w:hAnsiTheme="majorHAnsi"/>
              </w:rPr>
              <w:t>42%</w:t>
            </w:r>
          </w:p>
        </w:tc>
      </w:tr>
      <w:tr w:rsidR="002C0887" w:rsidRPr="00CB32B1" w:rsidTr="002C0887">
        <w:tc>
          <w:tcPr>
            <w:cnfStyle w:val="001000000000"/>
            <w:tcW w:w="3499" w:type="pct"/>
          </w:tcPr>
          <w:p w:rsidR="002C0887" w:rsidRPr="00CB32B1" w:rsidRDefault="002C0887" w:rsidP="002C0887">
            <w:pPr>
              <w:pStyle w:val="NumericTableTextNormal"/>
              <w:rPr>
                <w:rFonts w:asciiTheme="majorHAnsi" w:hAnsiTheme="majorHAnsi"/>
              </w:rPr>
            </w:pPr>
            <w:r w:rsidRPr="00CB32B1">
              <w:rPr>
                <w:rFonts w:asciiTheme="majorHAnsi" w:hAnsiTheme="majorHAnsi"/>
              </w:rPr>
              <w:t>Was not aware of the Medicare Australia arrangement for eligible midwives</w:t>
            </w:r>
          </w:p>
        </w:tc>
        <w:tc>
          <w:tcPr>
            <w:tcW w:w="693" w:type="pct"/>
          </w:tcPr>
          <w:p w:rsidR="002C0887" w:rsidRPr="00CB32B1" w:rsidRDefault="002C0887" w:rsidP="002C0887">
            <w:pPr>
              <w:pStyle w:val="NumericTableTextDecimalNormal"/>
              <w:tabs>
                <w:tab w:val="clear" w:pos="1004"/>
                <w:tab w:val="decimal" w:pos="610"/>
              </w:tabs>
              <w:cnfStyle w:val="000000000000"/>
              <w:rPr>
                <w:rFonts w:asciiTheme="majorHAnsi" w:hAnsiTheme="majorHAnsi"/>
              </w:rPr>
            </w:pPr>
            <w:r w:rsidRPr="00CB32B1">
              <w:rPr>
                <w:rFonts w:asciiTheme="majorHAnsi" w:hAnsiTheme="majorHAnsi"/>
              </w:rPr>
              <w:t>2</w:t>
            </w:r>
          </w:p>
        </w:tc>
        <w:tc>
          <w:tcPr>
            <w:tcW w:w="808" w:type="pct"/>
          </w:tcPr>
          <w:p w:rsidR="002C0887" w:rsidRPr="00CB32B1" w:rsidRDefault="002C0887" w:rsidP="002C0887">
            <w:pPr>
              <w:pStyle w:val="NumericTableTextDecimalNormal"/>
              <w:tabs>
                <w:tab w:val="clear" w:pos="1004"/>
                <w:tab w:val="decimal" w:pos="673"/>
              </w:tabs>
              <w:cnfStyle w:val="000000000000"/>
              <w:rPr>
                <w:rFonts w:asciiTheme="majorHAnsi" w:hAnsiTheme="majorHAnsi"/>
              </w:rPr>
            </w:pPr>
            <w:r w:rsidRPr="00CB32B1">
              <w:rPr>
                <w:rFonts w:asciiTheme="majorHAnsi" w:hAnsiTheme="majorHAnsi"/>
              </w:rPr>
              <w:t>8%</w:t>
            </w:r>
          </w:p>
        </w:tc>
      </w:tr>
      <w:tr w:rsidR="002C0887" w:rsidRPr="00CB32B1" w:rsidTr="002C0887">
        <w:tc>
          <w:tcPr>
            <w:cnfStyle w:val="001000000000"/>
            <w:tcW w:w="3499" w:type="pct"/>
          </w:tcPr>
          <w:p w:rsidR="002C0887" w:rsidRPr="00CB32B1" w:rsidRDefault="002C0887" w:rsidP="002C0887">
            <w:pPr>
              <w:pStyle w:val="NumericTableTextNormal"/>
              <w:rPr>
                <w:rFonts w:asciiTheme="majorHAnsi" w:hAnsiTheme="majorHAnsi"/>
              </w:rPr>
            </w:pPr>
            <w:r w:rsidRPr="00CB32B1">
              <w:rPr>
                <w:rFonts w:asciiTheme="majorHAnsi" w:hAnsiTheme="majorHAnsi"/>
              </w:rPr>
              <w:t>Access to the requirements of being an eligible midwife (</w:t>
            </w:r>
            <w:r w:rsidR="00854DEF" w:rsidRPr="00CB32B1">
              <w:rPr>
                <w:rFonts w:asciiTheme="majorHAnsi" w:hAnsiTheme="majorHAnsi"/>
              </w:rPr>
              <w:t>eg</w:t>
            </w:r>
            <w:r w:rsidRPr="00CB32B1">
              <w:rPr>
                <w:rFonts w:asciiTheme="majorHAnsi" w:hAnsiTheme="majorHAnsi"/>
              </w:rPr>
              <w:t xml:space="preserve"> collaborative arrangements)</w:t>
            </w:r>
          </w:p>
        </w:tc>
        <w:tc>
          <w:tcPr>
            <w:tcW w:w="693" w:type="pct"/>
          </w:tcPr>
          <w:p w:rsidR="002C0887" w:rsidRPr="00CB32B1" w:rsidRDefault="002C0887" w:rsidP="002C0887">
            <w:pPr>
              <w:pStyle w:val="NumericTableTextDecimalNormal"/>
              <w:tabs>
                <w:tab w:val="clear" w:pos="1004"/>
                <w:tab w:val="decimal" w:pos="610"/>
              </w:tabs>
              <w:cnfStyle w:val="000000000000"/>
              <w:rPr>
                <w:rFonts w:asciiTheme="majorHAnsi" w:hAnsiTheme="majorHAnsi"/>
              </w:rPr>
            </w:pPr>
            <w:r w:rsidRPr="00CB32B1">
              <w:rPr>
                <w:rFonts w:asciiTheme="majorHAnsi" w:hAnsiTheme="majorHAnsi"/>
              </w:rPr>
              <w:t>1</w:t>
            </w:r>
          </w:p>
        </w:tc>
        <w:tc>
          <w:tcPr>
            <w:tcW w:w="808" w:type="pct"/>
          </w:tcPr>
          <w:p w:rsidR="002C0887" w:rsidRPr="00CB32B1" w:rsidRDefault="002C0887" w:rsidP="002C0887">
            <w:pPr>
              <w:pStyle w:val="NumericTableTextDecimalNormal"/>
              <w:tabs>
                <w:tab w:val="clear" w:pos="1004"/>
                <w:tab w:val="decimal" w:pos="673"/>
              </w:tabs>
              <w:cnfStyle w:val="000000000000"/>
              <w:rPr>
                <w:rFonts w:asciiTheme="majorHAnsi" w:hAnsiTheme="majorHAnsi"/>
              </w:rPr>
            </w:pPr>
            <w:r w:rsidRPr="00CB32B1">
              <w:rPr>
                <w:rFonts w:asciiTheme="majorHAnsi" w:hAnsiTheme="majorHAnsi"/>
              </w:rPr>
              <w:t>4%</w:t>
            </w:r>
          </w:p>
        </w:tc>
      </w:tr>
      <w:tr w:rsidR="002C0887" w:rsidRPr="00CB32B1" w:rsidTr="002C0887">
        <w:tc>
          <w:tcPr>
            <w:cnfStyle w:val="001000000000"/>
            <w:tcW w:w="3499" w:type="pct"/>
          </w:tcPr>
          <w:p w:rsidR="002C0887" w:rsidRPr="00CB32B1" w:rsidRDefault="002C0887" w:rsidP="002C0887">
            <w:pPr>
              <w:pStyle w:val="NumericTableTextNormal"/>
              <w:rPr>
                <w:rFonts w:asciiTheme="majorHAnsi" w:hAnsiTheme="majorHAnsi"/>
              </w:rPr>
            </w:pPr>
            <w:r w:rsidRPr="00CB32B1">
              <w:rPr>
                <w:rFonts w:asciiTheme="majorHAnsi" w:hAnsiTheme="majorHAnsi"/>
              </w:rPr>
              <w:t>No requirement for additional funding through Medicare Australia</w:t>
            </w:r>
          </w:p>
        </w:tc>
        <w:tc>
          <w:tcPr>
            <w:tcW w:w="693" w:type="pct"/>
          </w:tcPr>
          <w:p w:rsidR="002C0887" w:rsidRPr="00CB32B1" w:rsidRDefault="002C0887" w:rsidP="002C0887">
            <w:pPr>
              <w:pStyle w:val="NumericTableTextDecimalNormal"/>
              <w:tabs>
                <w:tab w:val="clear" w:pos="1004"/>
                <w:tab w:val="decimal" w:pos="610"/>
              </w:tabs>
              <w:cnfStyle w:val="000000000000"/>
              <w:rPr>
                <w:rFonts w:asciiTheme="majorHAnsi" w:hAnsiTheme="majorHAnsi"/>
              </w:rPr>
            </w:pPr>
            <w:r w:rsidRPr="00CB32B1">
              <w:rPr>
                <w:rFonts w:asciiTheme="majorHAnsi" w:hAnsiTheme="majorHAnsi"/>
              </w:rPr>
              <w:t>1</w:t>
            </w:r>
          </w:p>
        </w:tc>
        <w:tc>
          <w:tcPr>
            <w:tcW w:w="808" w:type="pct"/>
          </w:tcPr>
          <w:p w:rsidR="002C0887" w:rsidRPr="00CB32B1" w:rsidRDefault="002C0887" w:rsidP="002C0887">
            <w:pPr>
              <w:pStyle w:val="NumericTableTextDecimalNormal"/>
              <w:tabs>
                <w:tab w:val="clear" w:pos="1004"/>
                <w:tab w:val="decimal" w:pos="673"/>
              </w:tabs>
              <w:cnfStyle w:val="000000000000"/>
              <w:rPr>
                <w:rFonts w:asciiTheme="majorHAnsi" w:hAnsiTheme="majorHAnsi"/>
              </w:rPr>
            </w:pPr>
            <w:r w:rsidRPr="00CB32B1">
              <w:rPr>
                <w:rFonts w:asciiTheme="majorHAnsi" w:hAnsiTheme="majorHAnsi"/>
              </w:rPr>
              <w:t>4%</w:t>
            </w:r>
          </w:p>
        </w:tc>
      </w:tr>
      <w:tr w:rsidR="002C0887" w:rsidRPr="00CB32B1" w:rsidTr="002C0887">
        <w:tc>
          <w:tcPr>
            <w:cnfStyle w:val="001000000000"/>
            <w:tcW w:w="3499" w:type="pct"/>
          </w:tcPr>
          <w:p w:rsidR="002C0887" w:rsidRPr="00CB32B1" w:rsidRDefault="002C0887" w:rsidP="002C0887">
            <w:pPr>
              <w:pStyle w:val="NumericTableTextNormal"/>
              <w:rPr>
                <w:rFonts w:asciiTheme="majorHAnsi" w:hAnsiTheme="majorHAnsi"/>
              </w:rPr>
            </w:pPr>
            <w:r w:rsidRPr="00CB32B1">
              <w:rPr>
                <w:rFonts w:asciiTheme="majorHAnsi" w:hAnsiTheme="majorHAnsi"/>
              </w:rPr>
              <w:t>Additional administrative requirements of being an eligible midwife</w:t>
            </w:r>
          </w:p>
        </w:tc>
        <w:tc>
          <w:tcPr>
            <w:tcW w:w="693" w:type="pct"/>
          </w:tcPr>
          <w:p w:rsidR="002C0887" w:rsidRPr="00CB32B1" w:rsidRDefault="002C0887" w:rsidP="002C0887">
            <w:pPr>
              <w:pStyle w:val="NumericTableTextDecimalNormal"/>
              <w:tabs>
                <w:tab w:val="clear" w:pos="1004"/>
                <w:tab w:val="decimal" w:pos="610"/>
              </w:tabs>
              <w:cnfStyle w:val="000000000000"/>
              <w:rPr>
                <w:rFonts w:asciiTheme="majorHAnsi" w:hAnsiTheme="majorHAnsi"/>
              </w:rPr>
            </w:pPr>
            <w:r w:rsidRPr="00CB32B1">
              <w:rPr>
                <w:rFonts w:asciiTheme="majorHAnsi" w:hAnsiTheme="majorHAnsi"/>
              </w:rPr>
              <w:t>1</w:t>
            </w:r>
          </w:p>
        </w:tc>
        <w:tc>
          <w:tcPr>
            <w:tcW w:w="808" w:type="pct"/>
          </w:tcPr>
          <w:p w:rsidR="002C0887" w:rsidRPr="00CB32B1" w:rsidRDefault="002C0887" w:rsidP="002C0887">
            <w:pPr>
              <w:pStyle w:val="NumericTableTextDecimalNormal"/>
              <w:tabs>
                <w:tab w:val="clear" w:pos="1004"/>
                <w:tab w:val="decimal" w:pos="673"/>
              </w:tabs>
              <w:cnfStyle w:val="000000000000"/>
              <w:rPr>
                <w:rFonts w:asciiTheme="majorHAnsi" w:hAnsiTheme="majorHAnsi"/>
              </w:rPr>
            </w:pPr>
            <w:r w:rsidRPr="00CB32B1">
              <w:rPr>
                <w:rFonts w:asciiTheme="majorHAnsi" w:hAnsiTheme="majorHAnsi"/>
              </w:rPr>
              <w:t>4%</w:t>
            </w:r>
          </w:p>
        </w:tc>
      </w:tr>
      <w:tr w:rsidR="002C0887" w:rsidRPr="00CB32B1" w:rsidTr="002C0887">
        <w:tc>
          <w:tcPr>
            <w:cnfStyle w:val="001000000000"/>
            <w:tcW w:w="3499" w:type="pct"/>
          </w:tcPr>
          <w:p w:rsidR="002C0887" w:rsidRPr="00CB32B1" w:rsidRDefault="002C0887" w:rsidP="002C0887">
            <w:pPr>
              <w:pStyle w:val="NumericTableTextNormal"/>
              <w:rPr>
                <w:rFonts w:asciiTheme="majorHAnsi" w:hAnsiTheme="majorHAnsi"/>
              </w:rPr>
            </w:pPr>
            <w:r w:rsidRPr="00CB32B1">
              <w:rPr>
                <w:rFonts w:asciiTheme="majorHAnsi" w:hAnsiTheme="majorHAnsi"/>
              </w:rPr>
              <w:t>Other</w:t>
            </w:r>
          </w:p>
        </w:tc>
        <w:tc>
          <w:tcPr>
            <w:tcW w:w="693" w:type="pct"/>
          </w:tcPr>
          <w:p w:rsidR="002C0887" w:rsidRPr="00CB32B1" w:rsidRDefault="002C0887" w:rsidP="002C0887">
            <w:pPr>
              <w:pStyle w:val="NumericTableTextDecimalNormal"/>
              <w:tabs>
                <w:tab w:val="clear" w:pos="1004"/>
                <w:tab w:val="decimal" w:pos="610"/>
              </w:tabs>
              <w:cnfStyle w:val="000000000000"/>
              <w:rPr>
                <w:rFonts w:asciiTheme="majorHAnsi" w:hAnsiTheme="majorHAnsi"/>
              </w:rPr>
            </w:pPr>
            <w:r w:rsidRPr="00CB32B1">
              <w:rPr>
                <w:rFonts w:asciiTheme="majorHAnsi" w:hAnsiTheme="majorHAnsi"/>
              </w:rPr>
              <w:t>4</w:t>
            </w:r>
          </w:p>
        </w:tc>
        <w:tc>
          <w:tcPr>
            <w:tcW w:w="808" w:type="pct"/>
          </w:tcPr>
          <w:p w:rsidR="002C0887" w:rsidRPr="00CB32B1" w:rsidRDefault="002C0887" w:rsidP="002C0887">
            <w:pPr>
              <w:pStyle w:val="NumericTableTextDecimalNormal"/>
              <w:tabs>
                <w:tab w:val="clear" w:pos="1004"/>
                <w:tab w:val="decimal" w:pos="673"/>
              </w:tabs>
              <w:cnfStyle w:val="000000000000"/>
              <w:rPr>
                <w:rFonts w:asciiTheme="majorHAnsi" w:hAnsiTheme="majorHAnsi"/>
              </w:rPr>
            </w:pPr>
            <w:r w:rsidRPr="00CB32B1">
              <w:rPr>
                <w:rFonts w:asciiTheme="majorHAnsi" w:hAnsiTheme="majorHAnsi"/>
              </w:rPr>
              <w:t>17%</w:t>
            </w:r>
          </w:p>
        </w:tc>
      </w:tr>
      <w:tr w:rsidR="002C0887" w:rsidRPr="00CB32B1" w:rsidTr="002C0887">
        <w:tc>
          <w:tcPr>
            <w:cnfStyle w:val="001000000000"/>
            <w:tcW w:w="3499" w:type="pct"/>
          </w:tcPr>
          <w:p w:rsidR="002C0887" w:rsidRPr="00CB32B1" w:rsidRDefault="002C0887" w:rsidP="002C0887">
            <w:pPr>
              <w:pStyle w:val="NumericTableTextNormal"/>
              <w:rPr>
                <w:rFonts w:asciiTheme="majorHAnsi" w:hAnsiTheme="majorHAnsi"/>
              </w:rPr>
            </w:pPr>
            <w:r w:rsidRPr="00CB32B1">
              <w:rPr>
                <w:rFonts w:asciiTheme="majorHAnsi" w:hAnsiTheme="majorHAnsi"/>
              </w:rPr>
              <w:t>Not applicable – privately practising homebirth services not provided</w:t>
            </w:r>
          </w:p>
        </w:tc>
        <w:tc>
          <w:tcPr>
            <w:tcW w:w="693" w:type="pct"/>
          </w:tcPr>
          <w:p w:rsidR="002C0887" w:rsidRPr="00CB32B1" w:rsidRDefault="002C0887" w:rsidP="002C0887">
            <w:pPr>
              <w:pStyle w:val="NumericTableTextDecimalNormal"/>
              <w:tabs>
                <w:tab w:val="clear" w:pos="1004"/>
                <w:tab w:val="decimal" w:pos="610"/>
              </w:tabs>
              <w:cnfStyle w:val="000000000000"/>
              <w:rPr>
                <w:rFonts w:asciiTheme="majorHAnsi" w:hAnsiTheme="majorHAnsi"/>
              </w:rPr>
            </w:pPr>
            <w:r w:rsidRPr="00CB32B1">
              <w:rPr>
                <w:rFonts w:asciiTheme="majorHAnsi" w:hAnsiTheme="majorHAnsi"/>
              </w:rPr>
              <w:t>2</w:t>
            </w:r>
          </w:p>
        </w:tc>
        <w:tc>
          <w:tcPr>
            <w:tcW w:w="808" w:type="pct"/>
          </w:tcPr>
          <w:p w:rsidR="002C0887" w:rsidRPr="00CB32B1" w:rsidRDefault="002C0887" w:rsidP="002C0887">
            <w:pPr>
              <w:pStyle w:val="NumericTableTextDecimalNormal"/>
              <w:tabs>
                <w:tab w:val="clear" w:pos="1004"/>
                <w:tab w:val="decimal" w:pos="673"/>
              </w:tabs>
              <w:cnfStyle w:val="000000000000"/>
              <w:rPr>
                <w:rFonts w:asciiTheme="majorHAnsi" w:hAnsiTheme="majorHAnsi"/>
              </w:rPr>
            </w:pPr>
            <w:r w:rsidRPr="00CB32B1">
              <w:rPr>
                <w:rFonts w:asciiTheme="majorHAnsi" w:hAnsiTheme="majorHAnsi"/>
              </w:rPr>
              <w:t>8%</w:t>
            </w:r>
          </w:p>
        </w:tc>
      </w:tr>
      <w:tr w:rsidR="002C0887" w:rsidRPr="00CB32B1" w:rsidTr="002C0887">
        <w:tc>
          <w:tcPr>
            <w:cnfStyle w:val="001000000000"/>
            <w:tcW w:w="3499" w:type="pct"/>
          </w:tcPr>
          <w:p w:rsidR="002C0887" w:rsidRPr="00CB32B1" w:rsidRDefault="002C0887" w:rsidP="002C0887">
            <w:pPr>
              <w:pStyle w:val="NumericTableTextNormal"/>
              <w:rPr>
                <w:rFonts w:asciiTheme="majorHAnsi" w:hAnsiTheme="majorHAnsi"/>
              </w:rPr>
            </w:pPr>
            <w:r w:rsidRPr="00CB32B1">
              <w:rPr>
                <w:rFonts w:asciiTheme="majorHAnsi" w:hAnsiTheme="majorHAnsi"/>
              </w:rPr>
              <w:t>No response</w:t>
            </w:r>
          </w:p>
        </w:tc>
        <w:tc>
          <w:tcPr>
            <w:tcW w:w="693" w:type="pct"/>
          </w:tcPr>
          <w:p w:rsidR="002C0887" w:rsidRPr="00CB32B1" w:rsidRDefault="002C0887" w:rsidP="002C0887">
            <w:pPr>
              <w:pStyle w:val="NumericTableTextDecimalNormal"/>
              <w:tabs>
                <w:tab w:val="clear" w:pos="1004"/>
                <w:tab w:val="decimal" w:pos="610"/>
              </w:tabs>
              <w:cnfStyle w:val="000000000000"/>
              <w:rPr>
                <w:rFonts w:asciiTheme="majorHAnsi" w:hAnsiTheme="majorHAnsi"/>
              </w:rPr>
            </w:pPr>
            <w:r w:rsidRPr="00CB32B1">
              <w:rPr>
                <w:rFonts w:asciiTheme="majorHAnsi" w:hAnsiTheme="majorHAnsi"/>
              </w:rPr>
              <w:t>3</w:t>
            </w:r>
          </w:p>
        </w:tc>
        <w:tc>
          <w:tcPr>
            <w:tcW w:w="808" w:type="pct"/>
          </w:tcPr>
          <w:p w:rsidR="002C0887" w:rsidRPr="00CB32B1" w:rsidRDefault="002C0887" w:rsidP="002C0887">
            <w:pPr>
              <w:pStyle w:val="NumericTableTextDecimalNormal"/>
              <w:tabs>
                <w:tab w:val="clear" w:pos="1004"/>
                <w:tab w:val="decimal" w:pos="673"/>
              </w:tabs>
              <w:cnfStyle w:val="000000000000"/>
              <w:rPr>
                <w:rFonts w:asciiTheme="majorHAnsi" w:hAnsiTheme="majorHAnsi"/>
              </w:rPr>
            </w:pPr>
            <w:r w:rsidRPr="00CB32B1">
              <w:rPr>
                <w:rFonts w:asciiTheme="majorHAnsi" w:hAnsiTheme="majorHAnsi"/>
              </w:rPr>
              <w:t>13%</w:t>
            </w:r>
          </w:p>
        </w:tc>
      </w:tr>
      <w:tr w:rsidR="002C0887" w:rsidRPr="00CB32B1" w:rsidTr="002C0887">
        <w:tc>
          <w:tcPr>
            <w:cnfStyle w:val="001000000000"/>
            <w:tcW w:w="3499" w:type="pct"/>
          </w:tcPr>
          <w:p w:rsidR="002C0887" w:rsidRPr="00CB32B1" w:rsidRDefault="002C0887" w:rsidP="002C0887">
            <w:pPr>
              <w:pStyle w:val="NumericTableTextNormal"/>
              <w:rPr>
                <w:rFonts w:asciiTheme="majorHAnsi" w:hAnsiTheme="majorHAnsi"/>
                <w:b/>
                <w:color w:val="DC6900" w:themeColor="text2"/>
              </w:rPr>
            </w:pPr>
            <w:r w:rsidRPr="00CB32B1">
              <w:rPr>
                <w:rFonts w:asciiTheme="majorHAnsi" w:hAnsiTheme="majorHAnsi"/>
                <w:b/>
                <w:color w:val="DC6900" w:themeColor="text2"/>
              </w:rPr>
              <w:t>Total count</w:t>
            </w:r>
          </w:p>
        </w:tc>
        <w:tc>
          <w:tcPr>
            <w:tcW w:w="693" w:type="pct"/>
          </w:tcPr>
          <w:p w:rsidR="002C0887" w:rsidRPr="00CB32B1" w:rsidRDefault="002C0887" w:rsidP="002C0887">
            <w:pPr>
              <w:pStyle w:val="NumericTableTextDecimalNormal"/>
              <w:tabs>
                <w:tab w:val="clear" w:pos="1004"/>
                <w:tab w:val="decimal" w:pos="610"/>
              </w:tabs>
              <w:cnfStyle w:val="000000000000"/>
              <w:rPr>
                <w:rFonts w:asciiTheme="majorHAnsi" w:hAnsiTheme="majorHAnsi"/>
                <w:b/>
                <w:color w:val="DC6900" w:themeColor="text2"/>
              </w:rPr>
            </w:pPr>
            <w:r w:rsidRPr="00CB32B1">
              <w:rPr>
                <w:rFonts w:asciiTheme="majorHAnsi" w:hAnsiTheme="majorHAnsi"/>
                <w:b/>
                <w:color w:val="DC6900" w:themeColor="text2"/>
              </w:rPr>
              <w:t>24</w:t>
            </w:r>
          </w:p>
        </w:tc>
        <w:tc>
          <w:tcPr>
            <w:tcW w:w="808" w:type="pct"/>
          </w:tcPr>
          <w:p w:rsidR="002C0887" w:rsidRPr="00CB32B1" w:rsidRDefault="002C0887" w:rsidP="002C0887">
            <w:pPr>
              <w:pStyle w:val="NumericTableTextDecimalNormal"/>
              <w:tabs>
                <w:tab w:val="clear" w:pos="1004"/>
                <w:tab w:val="decimal" w:pos="673"/>
              </w:tabs>
              <w:cnfStyle w:val="000000000000"/>
              <w:rPr>
                <w:rFonts w:asciiTheme="majorHAnsi" w:hAnsiTheme="majorHAnsi"/>
                <w:b/>
                <w:color w:val="DC6900" w:themeColor="text2"/>
              </w:rPr>
            </w:pPr>
            <w:r w:rsidRPr="00CB32B1">
              <w:rPr>
                <w:rFonts w:asciiTheme="majorHAnsi" w:hAnsiTheme="majorHAnsi"/>
                <w:b/>
                <w:color w:val="DC6900" w:themeColor="text2"/>
              </w:rPr>
              <w:t>100%</w:t>
            </w:r>
          </w:p>
        </w:tc>
      </w:tr>
    </w:tbl>
    <w:p w:rsidR="002C0887" w:rsidRPr="00CB32B1" w:rsidRDefault="002C0887" w:rsidP="002C0887">
      <w:pPr>
        <w:pStyle w:val="Minorheading"/>
      </w:pPr>
      <w:r w:rsidRPr="00CB32B1">
        <w:t>What factor would improve the practice of privately practising midwives the most?</w:t>
      </w:r>
    </w:p>
    <w:p w:rsidR="002C0887" w:rsidRPr="00CB32B1" w:rsidRDefault="002C0887" w:rsidP="002C0887">
      <w:pPr>
        <w:pStyle w:val="PwCNormal"/>
      </w:pPr>
      <w:r w:rsidRPr="00CB32B1">
        <w:t>Participants were asked to select one factor that, if put in place, would most improve their practice as a privately practising midwife.</w:t>
      </w:r>
    </w:p>
    <w:p w:rsidR="002C0887" w:rsidRPr="00CB32B1" w:rsidRDefault="002C0887" w:rsidP="002C0887">
      <w:pPr>
        <w:pStyle w:val="PwCNormal"/>
      </w:pPr>
      <w:r w:rsidRPr="00CB32B1">
        <w:t>The most frequently cited factors to improve practice were:</w:t>
      </w:r>
    </w:p>
    <w:p w:rsidR="002C0887" w:rsidRPr="00CB32B1" w:rsidRDefault="002C0887" w:rsidP="002C0887">
      <w:pPr>
        <w:pStyle w:val="ListBullet"/>
      </w:pPr>
      <w:r w:rsidRPr="00CB32B1">
        <w:t>Legislative and regulatory supports for your practice (32%)</w:t>
      </w:r>
    </w:p>
    <w:p w:rsidR="002C0887" w:rsidRPr="00CB32B1" w:rsidRDefault="002C0887" w:rsidP="002C0887">
      <w:pPr>
        <w:pStyle w:val="ListBullet"/>
      </w:pPr>
      <w:r w:rsidRPr="00CB32B1">
        <w:t>Access to health services and admitting rights (24%)</w:t>
      </w:r>
    </w:p>
    <w:p w:rsidR="002C0887" w:rsidRPr="00CB32B1" w:rsidRDefault="002C0887" w:rsidP="002C0887">
      <w:pPr>
        <w:pStyle w:val="ListBullet"/>
      </w:pPr>
      <w:r w:rsidRPr="00CB32B1">
        <w:t>Understanding of practice by community and health professionals (16%).</w:t>
      </w:r>
    </w:p>
    <w:p w:rsidR="009E135F" w:rsidRPr="00CB32B1" w:rsidRDefault="009E135F" w:rsidP="00E9078D">
      <w:pPr>
        <w:pStyle w:val="NumericTableColumnHeadingNormal"/>
        <w:rPr>
          <w:rFonts w:asciiTheme="majorHAnsi" w:hAnsiTheme="majorHAnsi"/>
        </w:rPr>
        <w:sectPr w:rsidR="009E135F" w:rsidRPr="00CB32B1" w:rsidSect="003E4E09">
          <w:pgSz w:w="11907" w:h="16840" w:code="9"/>
          <w:pgMar w:top="1699" w:right="1138" w:bottom="1699" w:left="1138" w:header="677" w:footer="677" w:gutter="562"/>
          <w:cols w:space="708"/>
          <w:titlePg/>
          <w:docGrid w:linePitch="360"/>
        </w:sectPr>
      </w:pPr>
    </w:p>
    <w:tbl>
      <w:tblPr>
        <w:tblStyle w:val="PwCTableStyle1"/>
        <w:tblW w:w="5000" w:type="pct"/>
        <w:tblLook w:val="04A0"/>
      </w:tblPr>
      <w:tblGrid>
        <w:gridCol w:w="5619"/>
        <w:gridCol w:w="1833"/>
        <w:gridCol w:w="1833"/>
      </w:tblGrid>
      <w:tr w:rsidR="002C0887" w:rsidRPr="00CB32B1" w:rsidTr="00747120">
        <w:trPr>
          <w:cnfStyle w:val="100000000000"/>
        </w:trPr>
        <w:tc>
          <w:tcPr>
            <w:cnfStyle w:val="001000000000"/>
            <w:tcW w:w="3026" w:type="pct"/>
            <w:shd w:val="clear" w:color="auto" w:fill="DC6900" w:themeFill="text2"/>
            <w:vAlign w:val="center"/>
          </w:tcPr>
          <w:p w:rsidR="002C0887" w:rsidRPr="00CB32B1" w:rsidRDefault="002C0887" w:rsidP="00747120">
            <w:pPr>
              <w:pStyle w:val="NumericTableColumnHeadingNormal"/>
              <w:rPr>
                <w:rFonts w:asciiTheme="majorHAnsi" w:hAnsiTheme="majorHAnsi"/>
              </w:rPr>
            </w:pPr>
            <w:r w:rsidRPr="00CB32B1">
              <w:rPr>
                <w:rFonts w:asciiTheme="majorHAnsi" w:hAnsiTheme="majorHAnsi"/>
              </w:rPr>
              <w:t>Factors</w:t>
            </w:r>
          </w:p>
        </w:tc>
        <w:tc>
          <w:tcPr>
            <w:tcW w:w="987" w:type="pct"/>
            <w:shd w:val="clear" w:color="auto" w:fill="DC6900" w:themeFill="text2"/>
            <w:vAlign w:val="center"/>
          </w:tcPr>
          <w:p w:rsidR="002C0887" w:rsidRPr="00CB32B1" w:rsidRDefault="002C0887" w:rsidP="00747120">
            <w:pPr>
              <w:pStyle w:val="NumericTableColumnHeadingNormal"/>
              <w:jc w:val="center"/>
              <w:cnfStyle w:val="100000000000"/>
              <w:rPr>
                <w:rFonts w:asciiTheme="majorHAnsi" w:hAnsiTheme="majorHAnsi"/>
              </w:rPr>
            </w:pPr>
            <w:r w:rsidRPr="00CB32B1">
              <w:rPr>
                <w:rFonts w:asciiTheme="majorHAnsi" w:hAnsiTheme="majorHAnsi"/>
              </w:rPr>
              <w:t>Count of responses</w:t>
            </w:r>
          </w:p>
        </w:tc>
        <w:tc>
          <w:tcPr>
            <w:tcW w:w="987" w:type="pct"/>
            <w:shd w:val="clear" w:color="auto" w:fill="DC6900" w:themeFill="text2"/>
            <w:vAlign w:val="center"/>
          </w:tcPr>
          <w:p w:rsidR="002C0887" w:rsidRPr="00CB32B1" w:rsidRDefault="002C0887" w:rsidP="00747120">
            <w:pPr>
              <w:pStyle w:val="NumericTableColumnHeadingNormal"/>
              <w:jc w:val="center"/>
              <w:cnfStyle w:val="100000000000"/>
              <w:rPr>
                <w:rFonts w:asciiTheme="majorHAnsi" w:hAnsiTheme="majorHAnsi"/>
              </w:rPr>
            </w:pPr>
            <w:r w:rsidRPr="00CB32B1">
              <w:rPr>
                <w:rFonts w:asciiTheme="majorHAnsi" w:hAnsiTheme="majorHAnsi"/>
              </w:rPr>
              <w:t>% of respondents</w:t>
            </w:r>
          </w:p>
        </w:tc>
      </w:tr>
      <w:tr w:rsidR="002C0887" w:rsidRPr="00CB32B1" w:rsidTr="002C0887">
        <w:tc>
          <w:tcPr>
            <w:cnfStyle w:val="001000000000"/>
            <w:tcW w:w="3026" w:type="pct"/>
          </w:tcPr>
          <w:p w:rsidR="002C0887" w:rsidRPr="00CB32B1" w:rsidRDefault="002C0887" w:rsidP="002C0887">
            <w:pPr>
              <w:pStyle w:val="NumericTableTextNormal"/>
              <w:rPr>
                <w:rFonts w:asciiTheme="majorHAnsi" w:hAnsiTheme="majorHAnsi"/>
              </w:rPr>
            </w:pPr>
            <w:r w:rsidRPr="00CB32B1">
              <w:rPr>
                <w:rFonts w:asciiTheme="majorHAnsi" w:hAnsiTheme="majorHAnsi"/>
              </w:rPr>
              <w:t>Legislative and regulatory supports for your practice</w:t>
            </w:r>
          </w:p>
        </w:tc>
        <w:tc>
          <w:tcPr>
            <w:tcW w:w="987" w:type="pct"/>
          </w:tcPr>
          <w:p w:rsidR="002C0887" w:rsidRPr="00CB32B1" w:rsidRDefault="002C0887" w:rsidP="002C0887">
            <w:pPr>
              <w:pStyle w:val="NumericTableTextDecimalNormal"/>
              <w:cnfStyle w:val="000000000000"/>
              <w:rPr>
                <w:rFonts w:asciiTheme="majorHAnsi" w:hAnsiTheme="majorHAnsi"/>
              </w:rPr>
            </w:pPr>
            <w:r w:rsidRPr="00CB32B1">
              <w:rPr>
                <w:rFonts w:asciiTheme="majorHAnsi" w:hAnsiTheme="majorHAnsi"/>
              </w:rPr>
              <w:t>27</w:t>
            </w:r>
          </w:p>
        </w:tc>
        <w:tc>
          <w:tcPr>
            <w:tcW w:w="987" w:type="pct"/>
          </w:tcPr>
          <w:p w:rsidR="002C0887" w:rsidRPr="00CB32B1" w:rsidRDefault="002C0887" w:rsidP="002C0887">
            <w:pPr>
              <w:pStyle w:val="NumericTableTextDecimalNormal"/>
              <w:cnfStyle w:val="000000000000"/>
              <w:rPr>
                <w:rFonts w:asciiTheme="majorHAnsi" w:hAnsiTheme="majorHAnsi"/>
              </w:rPr>
            </w:pPr>
            <w:r w:rsidRPr="00CB32B1">
              <w:rPr>
                <w:rFonts w:asciiTheme="majorHAnsi" w:hAnsiTheme="majorHAnsi"/>
              </w:rPr>
              <w:t>32%</w:t>
            </w:r>
          </w:p>
        </w:tc>
      </w:tr>
      <w:tr w:rsidR="002C0887" w:rsidRPr="00CB32B1" w:rsidTr="002C0887">
        <w:tc>
          <w:tcPr>
            <w:cnfStyle w:val="001000000000"/>
            <w:tcW w:w="3026" w:type="pct"/>
          </w:tcPr>
          <w:p w:rsidR="002C0887" w:rsidRPr="00CB32B1" w:rsidRDefault="002C0887" w:rsidP="002C0887">
            <w:pPr>
              <w:pStyle w:val="NumericTableTextNormal"/>
              <w:rPr>
                <w:rFonts w:asciiTheme="majorHAnsi" w:hAnsiTheme="majorHAnsi"/>
              </w:rPr>
            </w:pPr>
            <w:r w:rsidRPr="00CB32B1">
              <w:rPr>
                <w:rFonts w:asciiTheme="majorHAnsi" w:hAnsiTheme="majorHAnsi"/>
              </w:rPr>
              <w:t>Access to health services and admitting rights</w:t>
            </w:r>
          </w:p>
        </w:tc>
        <w:tc>
          <w:tcPr>
            <w:tcW w:w="987" w:type="pct"/>
          </w:tcPr>
          <w:p w:rsidR="002C0887" w:rsidRPr="00CB32B1" w:rsidRDefault="002C0887" w:rsidP="002C0887">
            <w:pPr>
              <w:pStyle w:val="NumericTableTextDecimalNormal"/>
              <w:cnfStyle w:val="000000000000"/>
              <w:rPr>
                <w:rFonts w:asciiTheme="majorHAnsi" w:hAnsiTheme="majorHAnsi"/>
              </w:rPr>
            </w:pPr>
            <w:r w:rsidRPr="00CB32B1">
              <w:rPr>
                <w:rFonts w:asciiTheme="majorHAnsi" w:hAnsiTheme="majorHAnsi"/>
              </w:rPr>
              <w:t>20</w:t>
            </w:r>
          </w:p>
        </w:tc>
        <w:tc>
          <w:tcPr>
            <w:tcW w:w="987" w:type="pct"/>
          </w:tcPr>
          <w:p w:rsidR="002C0887" w:rsidRPr="00CB32B1" w:rsidRDefault="002C0887" w:rsidP="002C0887">
            <w:pPr>
              <w:pStyle w:val="NumericTableTextDecimalNormal"/>
              <w:cnfStyle w:val="000000000000"/>
              <w:rPr>
                <w:rFonts w:asciiTheme="majorHAnsi" w:hAnsiTheme="majorHAnsi"/>
              </w:rPr>
            </w:pPr>
            <w:r w:rsidRPr="00CB32B1">
              <w:rPr>
                <w:rFonts w:asciiTheme="majorHAnsi" w:hAnsiTheme="majorHAnsi"/>
              </w:rPr>
              <w:t>24%</w:t>
            </w:r>
          </w:p>
        </w:tc>
      </w:tr>
      <w:tr w:rsidR="002C0887" w:rsidRPr="00CB32B1" w:rsidTr="002C0887">
        <w:tc>
          <w:tcPr>
            <w:cnfStyle w:val="001000000000"/>
            <w:tcW w:w="3026" w:type="pct"/>
          </w:tcPr>
          <w:p w:rsidR="002C0887" w:rsidRPr="00CB32B1" w:rsidRDefault="002C0887" w:rsidP="002C0887">
            <w:pPr>
              <w:pStyle w:val="NumericTableTextNormal"/>
              <w:rPr>
                <w:rFonts w:asciiTheme="majorHAnsi" w:hAnsiTheme="majorHAnsi"/>
              </w:rPr>
            </w:pPr>
            <w:r w:rsidRPr="00CB32B1">
              <w:rPr>
                <w:rFonts w:asciiTheme="majorHAnsi" w:hAnsiTheme="majorHAnsi"/>
              </w:rPr>
              <w:t>Understanding of practice by community and health professionals</w:t>
            </w:r>
          </w:p>
        </w:tc>
        <w:tc>
          <w:tcPr>
            <w:tcW w:w="987" w:type="pct"/>
          </w:tcPr>
          <w:p w:rsidR="002C0887" w:rsidRPr="00CB32B1" w:rsidRDefault="002C0887" w:rsidP="002C0887">
            <w:pPr>
              <w:pStyle w:val="NumericTableTextDecimalNormal"/>
              <w:cnfStyle w:val="000000000000"/>
              <w:rPr>
                <w:rFonts w:asciiTheme="majorHAnsi" w:hAnsiTheme="majorHAnsi"/>
              </w:rPr>
            </w:pPr>
            <w:r w:rsidRPr="00CB32B1">
              <w:rPr>
                <w:rFonts w:asciiTheme="majorHAnsi" w:hAnsiTheme="majorHAnsi"/>
              </w:rPr>
              <w:t>14</w:t>
            </w:r>
          </w:p>
        </w:tc>
        <w:tc>
          <w:tcPr>
            <w:tcW w:w="987" w:type="pct"/>
          </w:tcPr>
          <w:p w:rsidR="002C0887" w:rsidRPr="00CB32B1" w:rsidRDefault="002C0887" w:rsidP="002C0887">
            <w:pPr>
              <w:pStyle w:val="NumericTableTextDecimalNormal"/>
              <w:cnfStyle w:val="000000000000"/>
              <w:rPr>
                <w:rFonts w:asciiTheme="majorHAnsi" w:hAnsiTheme="majorHAnsi"/>
              </w:rPr>
            </w:pPr>
            <w:r w:rsidRPr="00CB32B1">
              <w:rPr>
                <w:rFonts w:asciiTheme="majorHAnsi" w:hAnsiTheme="majorHAnsi"/>
              </w:rPr>
              <w:t>16%</w:t>
            </w:r>
          </w:p>
        </w:tc>
      </w:tr>
      <w:tr w:rsidR="002C0887" w:rsidRPr="00CB32B1" w:rsidTr="002C0887">
        <w:tc>
          <w:tcPr>
            <w:cnfStyle w:val="001000000000"/>
            <w:tcW w:w="3026" w:type="pct"/>
          </w:tcPr>
          <w:p w:rsidR="002C0887" w:rsidRPr="00CB32B1" w:rsidRDefault="002C0887" w:rsidP="002C0887">
            <w:pPr>
              <w:pStyle w:val="NumericTableTextNormal"/>
              <w:rPr>
                <w:rFonts w:asciiTheme="majorHAnsi" w:hAnsiTheme="majorHAnsi"/>
              </w:rPr>
            </w:pPr>
            <w:r w:rsidRPr="00CB32B1">
              <w:rPr>
                <w:rFonts w:asciiTheme="majorHAnsi" w:hAnsiTheme="majorHAnsi"/>
              </w:rPr>
              <w:t>Indemnity insurance arrangements</w:t>
            </w:r>
          </w:p>
        </w:tc>
        <w:tc>
          <w:tcPr>
            <w:tcW w:w="987" w:type="pct"/>
          </w:tcPr>
          <w:p w:rsidR="002C0887" w:rsidRPr="00CB32B1" w:rsidRDefault="002C0887" w:rsidP="002C0887">
            <w:pPr>
              <w:pStyle w:val="NumericTableTextDecimalNormal"/>
              <w:cnfStyle w:val="000000000000"/>
              <w:rPr>
                <w:rFonts w:asciiTheme="majorHAnsi" w:hAnsiTheme="majorHAnsi"/>
              </w:rPr>
            </w:pPr>
            <w:r w:rsidRPr="00CB32B1">
              <w:rPr>
                <w:rFonts w:asciiTheme="majorHAnsi" w:hAnsiTheme="majorHAnsi"/>
              </w:rPr>
              <w:t>9</w:t>
            </w:r>
          </w:p>
        </w:tc>
        <w:tc>
          <w:tcPr>
            <w:tcW w:w="987" w:type="pct"/>
          </w:tcPr>
          <w:p w:rsidR="002C0887" w:rsidRPr="00CB32B1" w:rsidRDefault="002C0887" w:rsidP="002C0887">
            <w:pPr>
              <w:pStyle w:val="NumericTableTextDecimalNormal"/>
              <w:cnfStyle w:val="000000000000"/>
              <w:rPr>
                <w:rFonts w:asciiTheme="majorHAnsi" w:hAnsiTheme="majorHAnsi"/>
              </w:rPr>
            </w:pPr>
            <w:r w:rsidRPr="00CB32B1">
              <w:rPr>
                <w:rFonts w:asciiTheme="majorHAnsi" w:hAnsiTheme="majorHAnsi"/>
              </w:rPr>
              <w:t>11%</w:t>
            </w:r>
          </w:p>
        </w:tc>
      </w:tr>
      <w:tr w:rsidR="002C0887" w:rsidRPr="00CB32B1" w:rsidTr="002C0887">
        <w:tc>
          <w:tcPr>
            <w:cnfStyle w:val="001000000000"/>
            <w:tcW w:w="3026" w:type="pct"/>
          </w:tcPr>
          <w:p w:rsidR="002C0887" w:rsidRPr="00CB32B1" w:rsidRDefault="002C0887" w:rsidP="002C0887">
            <w:pPr>
              <w:pStyle w:val="NumericTableTextNormal"/>
              <w:rPr>
                <w:rFonts w:asciiTheme="majorHAnsi" w:hAnsiTheme="majorHAnsi"/>
              </w:rPr>
            </w:pPr>
            <w:r w:rsidRPr="00CB32B1">
              <w:rPr>
                <w:rFonts w:asciiTheme="majorHAnsi" w:hAnsiTheme="majorHAnsi"/>
              </w:rPr>
              <w:t>Improved funding for services</w:t>
            </w:r>
          </w:p>
        </w:tc>
        <w:tc>
          <w:tcPr>
            <w:tcW w:w="987" w:type="pct"/>
          </w:tcPr>
          <w:p w:rsidR="002C0887" w:rsidRPr="00CB32B1" w:rsidRDefault="002C0887" w:rsidP="002C0887">
            <w:pPr>
              <w:pStyle w:val="NumericTableTextDecimalNormal"/>
              <w:cnfStyle w:val="000000000000"/>
              <w:rPr>
                <w:rFonts w:asciiTheme="majorHAnsi" w:hAnsiTheme="majorHAnsi"/>
              </w:rPr>
            </w:pPr>
            <w:r w:rsidRPr="00CB32B1">
              <w:rPr>
                <w:rFonts w:asciiTheme="majorHAnsi" w:hAnsiTheme="majorHAnsi"/>
              </w:rPr>
              <w:t>4</w:t>
            </w:r>
          </w:p>
        </w:tc>
        <w:tc>
          <w:tcPr>
            <w:tcW w:w="987" w:type="pct"/>
          </w:tcPr>
          <w:p w:rsidR="002C0887" w:rsidRPr="00CB32B1" w:rsidRDefault="002C0887" w:rsidP="002C0887">
            <w:pPr>
              <w:pStyle w:val="NumericTableTextDecimalNormal"/>
              <w:cnfStyle w:val="000000000000"/>
              <w:rPr>
                <w:rFonts w:asciiTheme="majorHAnsi" w:hAnsiTheme="majorHAnsi"/>
              </w:rPr>
            </w:pPr>
            <w:r w:rsidRPr="00CB32B1">
              <w:rPr>
                <w:rFonts w:asciiTheme="majorHAnsi" w:hAnsiTheme="majorHAnsi"/>
              </w:rPr>
              <w:t>5%</w:t>
            </w:r>
          </w:p>
        </w:tc>
      </w:tr>
      <w:tr w:rsidR="002C0887" w:rsidRPr="00CB32B1" w:rsidTr="002C0887">
        <w:tc>
          <w:tcPr>
            <w:cnfStyle w:val="001000000000"/>
            <w:tcW w:w="3026" w:type="pct"/>
          </w:tcPr>
          <w:p w:rsidR="002C0887" w:rsidRPr="00CB32B1" w:rsidRDefault="002C0887" w:rsidP="002C0887">
            <w:pPr>
              <w:pStyle w:val="NumericTableTextNormal"/>
              <w:rPr>
                <w:rFonts w:asciiTheme="majorHAnsi" w:hAnsiTheme="majorHAnsi"/>
              </w:rPr>
            </w:pPr>
            <w:r w:rsidRPr="00CB32B1">
              <w:rPr>
                <w:rFonts w:asciiTheme="majorHAnsi" w:hAnsiTheme="majorHAnsi"/>
              </w:rPr>
              <w:t>Relationship with health practitioners</w:t>
            </w:r>
          </w:p>
        </w:tc>
        <w:tc>
          <w:tcPr>
            <w:tcW w:w="987" w:type="pct"/>
          </w:tcPr>
          <w:p w:rsidR="002C0887" w:rsidRPr="00CB32B1" w:rsidRDefault="002C0887" w:rsidP="002C0887">
            <w:pPr>
              <w:pStyle w:val="NumericTableTextDecimalNormal"/>
              <w:cnfStyle w:val="000000000000"/>
              <w:rPr>
                <w:rFonts w:asciiTheme="majorHAnsi" w:hAnsiTheme="majorHAnsi"/>
              </w:rPr>
            </w:pPr>
            <w:r w:rsidRPr="00CB32B1">
              <w:rPr>
                <w:rFonts w:asciiTheme="majorHAnsi" w:hAnsiTheme="majorHAnsi"/>
              </w:rPr>
              <w:t>2</w:t>
            </w:r>
          </w:p>
        </w:tc>
        <w:tc>
          <w:tcPr>
            <w:tcW w:w="987" w:type="pct"/>
          </w:tcPr>
          <w:p w:rsidR="002C0887" w:rsidRPr="00CB32B1" w:rsidRDefault="002C0887" w:rsidP="002C0887">
            <w:pPr>
              <w:pStyle w:val="NumericTableTextDecimalNormal"/>
              <w:cnfStyle w:val="000000000000"/>
              <w:rPr>
                <w:rFonts w:asciiTheme="majorHAnsi" w:hAnsiTheme="majorHAnsi"/>
              </w:rPr>
            </w:pPr>
            <w:r w:rsidRPr="00CB32B1">
              <w:rPr>
                <w:rFonts w:asciiTheme="majorHAnsi" w:hAnsiTheme="majorHAnsi"/>
              </w:rPr>
              <w:t>2%</w:t>
            </w:r>
          </w:p>
        </w:tc>
      </w:tr>
      <w:tr w:rsidR="002C0887" w:rsidRPr="00CB32B1" w:rsidTr="002C0887">
        <w:tc>
          <w:tcPr>
            <w:cnfStyle w:val="001000000000"/>
            <w:tcW w:w="3026" w:type="pct"/>
          </w:tcPr>
          <w:p w:rsidR="002C0887" w:rsidRPr="00CB32B1" w:rsidRDefault="002C0887" w:rsidP="002C0887">
            <w:pPr>
              <w:pStyle w:val="NumericTableTextNormal"/>
              <w:rPr>
                <w:rFonts w:asciiTheme="majorHAnsi" w:hAnsiTheme="majorHAnsi"/>
              </w:rPr>
            </w:pPr>
            <w:r w:rsidRPr="00CB32B1">
              <w:rPr>
                <w:rFonts w:asciiTheme="majorHAnsi" w:hAnsiTheme="majorHAnsi"/>
              </w:rPr>
              <w:t>Relationship with health services</w:t>
            </w:r>
          </w:p>
        </w:tc>
        <w:tc>
          <w:tcPr>
            <w:tcW w:w="987" w:type="pct"/>
          </w:tcPr>
          <w:p w:rsidR="002C0887" w:rsidRPr="00CB32B1" w:rsidRDefault="002C0887" w:rsidP="002C0887">
            <w:pPr>
              <w:pStyle w:val="NumericTableTextDecimalNormal"/>
              <w:cnfStyle w:val="000000000000"/>
              <w:rPr>
                <w:rFonts w:asciiTheme="majorHAnsi" w:hAnsiTheme="majorHAnsi"/>
              </w:rPr>
            </w:pPr>
            <w:r w:rsidRPr="00CB32B1">
              <w:rPr>
                <w:rFonts w:asciiTheme="majorHAnsi" w:hAnsiTheme="majorHAnsi"/>
              </w:rPr>
              <w:t>1</w:t>
            </w:r>
          </w:p>
        </w:tc>
        <w:tc>
          <w:tcPr>
            <w:tcW w:w="987" w:type="pct"/>
          </w:tcPr>
          <w:p w:rsidR="002C0887" w:rsidRPr="00CB32B1" w:rsidRDefault="002C0887" w:rsidP="002C0887">
            <w:pPr>
              <w:pStyle w:val="NumericTableTextDecimalNormal"/>
              <w:cnfStyle w:val="000000000000"/>
              <w:rPr>
                <w:rFonts w:asciiTheme="majorHAnsi" w:hAnsiTheme="majorHAnsi"/>
              </w:rPr>
            </w:pPr>
            <w:r w:rsidRPr="00CB32B1">
              <w:rPr>
                <w:rFonts w:asciiTheme="majorHAnsi" w:hAnsiTheme="majorHAnsi"/>
              </w:rPr>
              <w:t>1%</w:t>
            </w:r>
          </w:p>
        </w:tc>
      </w:tr>
      <w:tr w:rsidR="002C0887" w:rsidRPr="00CB32B1" w:rsidTr="002C0887">
        <w:tc>
          <w:tcPr>
            <w:cnfStyle w:val="001000000000"/>
            <w:tcW w:w="3026" w:type="pct"/>
          </w:tcPr>
          <w:p w:rsidR="002C0887" w:rsidRPr="00CB32B1" w:rsidRDefault="002C0887" w:rsidP="002C0887">
            <w:pPr>
              <w:pStyle w:val="NumericTableTextNormal"/>
              <w:rPr>
                <w:rFonts w:asciiTheme="majorHAnsi" w:hAnsiTheme="majorHAnsi"/>
              </w:rPr>
            </w:pPr>
            <w:r w:rsidRPr="00CB32B1">
              <w:rPr>
                <w:rFonts w:asciiTheme="majorHAnsi" w:hAnsiTheme="majorHAnsi"/>
              </w:rPr>
              <w:t>Other</w:t>
            </w:r>
          </w:p>
        </w:tc>
        <w:tc>
          <w:tcPr>
            <w:tcW w:w="987" w:type="pct"/>
          </w:tcPr>
          <w:p w:rsidR="002C0887" w:rsidRPr="00CB32B1" w:rsidRDefault="002C0887" w:rsidP="002C0887">
            <w:pPr>
              <w:pStyle w:val="NumericTableTextDecimalNormal"/>
              <w:cnfStyle w:val="000000000000"/>
              <w:rPr>
                <w:rFonts w:asciiTheme="majorHAnsi" w:hAnsiTheme="majorHAnsi"/>
              </w:rPr>
            </w:pPr>
            <w:r w:rsidRPr="00CB32B1">
              <w:rPr>
                <w:rFonts w:asciiTheme="majorHAnsi" w:hAnsiTheme="majorHAnsi"/>
              </w:rPr>
              <w:t>4</w:t>
            </w:r>
          </w:p>
        </w:tc>
        <w:tc>
          <w:tcPr>
            <w:tcW w:w="987" w:type="pct"/>
          </w:tcPr>
          <w:p w:rsidR="002C0887" w:rsidRPr="00CB32B1" w:rsidRDefault="002C0887" w:rsidP="002C0887">
            <w:pPr>
              <w:pStyle w:val="NumericTableTextDecimalNormal"/>
              <w:cnfStyle w:val="000000000000"/>
              <w:rPr>
                <w:rFonts w:asciiTheme="majorHAnsi" w:hAnsiTheme="majorHAnsi"/>
              </w:rPr>
            </w:pPr>
            <w:r w:rsidRPr="00CB32B1">
              <w:rPr>
                <w:rFonts w:asciiTheme="majorHAnsi" w:hAnsiTheme="majorHAnsi"/>
              </w:rPr>
              <w:t>5%</w:t>
            </w:r>
          </w:p>
        </w:tc>
      </w:tr>
      <w:tr w:rsidR="002C0887" w:rsidRPr="00CB32B1" w:rsidTr="002C0887">
        <w:tc>
          <w:tcPr>
            <w:cnfStyle w:val="001000000000"/>
            <w:tcW w:w="3026" w:type="pct"/>
          </w:tcPr>
          <w:p w:rsidR="002C0887" w:rsidRPr="00CB32B1" w:rsidRDefault="002C0887" w:rsidP="002C0887">
            <w:pPr>
              <w:pStyle w:val="NumericTableTextNormal"/>
              <w:rPr>
                <w:rFonts w:asciiTheme="majorHAnsi" w:hAnsiTheme="majorHAnsi"/>
              </w:rPr>
            </w:pPr>
            <w:r w:rsidRPr="00CB32B1">
              <w:rPr>
                <w:rFonts w:asciiTheme="majorHAnsi" w:hAnsiTheme="majorHAnsi"/>
              </w:rPr>
              <w:t>No response</w:t>
            </w:r>
          </w:p>
        </w:tc>
        <w:tc>
          <w:tcPr>
            <w:tcW w:w="987" w:type="pct"/>
          </w:tcPr>
          <w:p w:rsidR="002C0887" w:rsidRPr="00CB32B1" w:rsidRDefault="002C0887" w:rsidP="002C0887">
            <w:pPr>
              <w:pStyle w:val="NumericTableTextDecimalNormal"/>
              <w:cnfStyle w:val="000000000000"/>
              <w:rPr>
                <w:rFonts w:asciiTheme="majorHAnsi" w:hAnsiTheme="majorHAnsi"/>
              </w:rPr>
            </w:pPr>
            <w:r w:rsidRPr="00CB32B1">
              <w:rPr>
                <w:rFonts w:asciiTheme="majorHAnsi" w:hAnsiTheme="majorHAnsi"/>
              </w:rPr>
              <w:t>4</w:t>
            </w:r>
          </w:p>
        </w:tc>
        <w:tc>
          <w:tcPr>
            <w:tcW w:w="987" w:type="pct"/>
          </w:tcPr>
          <w:p w:rsidR="002C0887" w:rsidRPr="00CB32B1" w:rsidRDefault="002C0887" w:rsidP="002C0887">
            <w:pPr>
              <w:pStyle w:val="NumericTableTextDecimalNormal"/>
              <w:cnfStyle w:val="000000000000"/>
              <w:rPr>
                <w:rFonts w:asciiTheme="majorHAnsi" w:hAnsiTheme="majorHAnsi"/>
              </w:rPr>
            </w:pPr>
            <w:r w:rsidRPr="00CB32B1">
              <w:rPr>
                <w:rFonts w:asciiTheme="majorHAnsi" w:hAnsiTheme="majorHAnsi"/>
              </w:rPr>
              <w:t>5%</w:t>
            </w:r>
          </w:p>
        </w:tc>
      </w:tr>
      <w:tr w:rsidR="002C0887" w:rsidRPr="00CB32B1" w:rsidTr="002C0887">
        <w:tc>
          <w:tcPr>
            <w:cnfStyle w:val="001000000000"/>
            <w:tcW w:w="3026" w:type="pct"/>
          </w:tcPr>
          <w:p w:rsidR="002C0887" w:rsidRPr="00CB32B1" w:rsidRDefault="002C0887" w:rsidP="002C0887">
            <w:pPr>
              <w:pStyle w:val="NumericTableTextNormal"/>
              <w:rPr>
                <w:rFonts w:asciiTheme="majorHAnsi" w:hAnsiTheme="majorHAnsi"/>
                <w:b/>
                <w:color w:val="DC6900" w:themeColor="text2"/>
              </w:rPr>
            </w:pPr>
            <w:r w:rsidRPr="00CB32B1">
              <w:rPr>
                <w:rFonts w:asciiTheme="majorHAnsi" w:hAnsiTheme="majorHAnsi"/>
                <w:b/>
                <w:color w:val="DC6900" w:themeColor="text2"/>
              </w:rPr>
              <w:t>Total count</w:t>
            </w:r>
          </w:p>
        </w:tc>
        <w:tc>
          <w:tcPr>
            <w:tcW w:w="987" w:type="pct"/>
          </w:tcPr>
          <w:p w:rsidR="002C0887" w:rsidRPr="00CB32B1" w:rsidRDefault="002C0887" w:rsidP="002C0887">
            <w:pPr>
              <w:pStyle w:val="NumericTableTextDecimalNormal"/>
              <w:cnfStyle w:val="000000000000"/>
              <w:rPr>
                <w:rFonts w:asciiTheme="majorHAnsi" w:hAnsiTheme="majorHAnsi"/>
                <w:b/>
                <w:color w:val="DC6900" w:themeColor="text2"/>
              </w:rPr>
            </w:pPr>
            <w:r w:rsidRPr="00CB32B1">
              <w:rPr>
                <w:rFonts w:asciiTheme="majorHAnsi" w:hAnsiTheme="majorHAnsi"/>
                <w:b/>
                <w:color w:val="DC6900" w:themeColor="text2"/>
              </w:rPr>
              <w:t>85</w:t>
            </w:r>
          </w:p>
        </w:tc>
        <w:tc>
          <w:tcPr>
            <w:tcW w:w="987" w:type="pct"/>
          </w:tcPr>
          <w:p w:rsidR="002C0887" w:rsidRPr="00CB32B1" w:rsidRDefault="002C0887" w:rsidP="002C0887">
            <w:pPr>
              <w:pStyle w:val="NumericTableTextDecimalNormal"/>
              <w:cnfStyle w:val="000000000000"/>
              <w:rPr>
                <w:rFonts w:asciiTheme="majorHAnsi" w:hAnsiTheme="majorHAnsi"/>
                <w:b/>
                <w:color w:val="DC6900" w:themeColor="text2"/>
              </w:rPr>
            </w:pPr>
            <w:r w:rsidRPr="00CB32B1">
              <w:rPr>
                <w:rFonts w:asciiTheme="majorHAnsi" w:hAnsiTheme="majorHAnsi"/>
                <w:b/>
                <w:color w:val="DC6900" w:themeColor="text2"/>
              </w:rPr>
              <w:t>100%</w:t>
            </w:r>
          </w:p>
        </w:tc>
      </w:tr>
    </w:tbl>
    <w:p w:rsidR="002C0887" w:rsidRPr="00CB32B1" w:rsidRDefault="003242D5" w:rsidP="009E135F">
      <w:pPr>
        <w:pStyle w:val="Minorheading"/>
        <w:keepNext w:val="0"/>
        <w:keepLines w:val="0"/>
      </w:pPr>
      <w:r w:rsidRPr="00CB32B1">
        <w:t>How many participants have received a notification or a complaint against them in the last 10 years in relation to the practice of midwifery?</w:t>
      </w:r>
    </w:p>
    <w:tbl>
      <w:tblPr>
        <w:tblStyle w:val="PwCTableStyle1"/>
        <w:tblW w:w="5000" w:type="pct"/>
        <w:tblLook w:val="04A0"/>
      </w:tblPr>
      <w:tblGrid>
        <w:gridCol w:w="5619"/>
        <w:gridCol w:w="1833"/>
        <w:gridCol w:w="1833"/>
      </w:tblGrid>
      <w:tr w:rsidR="003242D5" w:rsidRPr="00CB32B1" w:rsidTr="00747120">
        <w:trPr>
          <w:cnfStyle w:val="100000000000"/>
        </w:trPr>
        <w:tc>
          <w:tcPr>
            <w:cnfStyle w:val="001000000000"/>
            <w:tcW w:w="3026" w:type="pct"/>
            <w:shd w:val="clear" w:color="auto" w:fill="DC6900" w:themeFill="text2"/>
          </w:tcPr>
          <w:p w:rsidR="003242D5" w:rsidRPr="00CB32B1" w:rsidRDefault="003242D5" w:rsidP="009E135F">
            <w:pPr>
              <w:pStyle w:val="NumericTableColumnHeadingNormal"/>
              <w:keepNext w:val="0"/>
              <w:keepLines w:val="0"/>
              <w:rPr>
                <w:rFonts w:asciiTheme="majorHAnsi" w:hAnsiTheme="majorHAnsi"/>
              </w:rPr>
            </w:pPr>
            <w:r w:rsidRPr="00CB32B1">
              <w:rPr>
                <w:rFonts w:asciiTheme="majorHAnsi" w:hAnsiTheme="majorHAnsi"/>
              </w:rPr>
              <w:t>Response</w:t>
            </w:r>
          </w:p>
        </w:tc>
        <w:tc>
          <w:tcPr>
            <w:tcW w:w="987" w:type="pct"/>
            <w:shd w:val="clear" w:color="auto" w:fill="DC6900" w:themeFill="text2"/>
            <w:vAlign w:val="center"/>
          </w:tcPr>
          <w:p w:rsidR="003242D5" w:rsidRPr="00CB32B1" w:rsidRDefault="003242D5" w:rsidP="00747120">
            <w:pPr>
              <w:pStyle w:val="NumericTableColumnHeadingNormal"/>
              <w:keepNext w:val="0"/>
              <w:keepLines w:val="0"/>
              <w:jc w:val="center"/>
              <w:cnfStyle w:val="100000000000"/>
              <w:rPr>
                <w:rFonts w:asciiTheme="majorHAnsi" w:hAnsiTheme="majorHAnsi"/>
              </w:rPr>
            </w:pPr>
            <w:r w:rsidRPr="00CB32B1">
              <w:rPr>
                <w:rFonts w:asciiTheme="majorHAnsi" w:hAnsiTheme="majorHAnsi"/>
              </w:rPr>
              <w:t>Count of responses</w:t>
            </w:r>
          </w:p>
        </w:tc>
        <w:tc>
          <w:tcPr>
            <w:tcW w:w="987" w:type="pct"/>
            <w:shd w:val="clear" w:color="auto" w:fill="DC6900" w:themeFill="text2"/>
            <w:vAlign w:val="center"/>
          </w:tcPr>
          <w:p w:rsidR="003242D5" w:rsidRPr="00CB32B1" w:rsidRDefault="003242D5" w:rsidP="00747120">
            <w:pPr>
              <w:pStyle w:val="NumericTableColumnHeadingNormal"/>
              <w:keepNext w:val="0"/>
              <w:keepLines w:val="0"/>
              <w:jc w:val="center"/>
              <w:cnfStyle w:val="100000000000"/>
              <w:rPr>
                <w:rFonts w:asciiTheme="majorHAnsi" w:hAnsiTheme="majorHAnsi"/>
              </w:rPr>
            </w:pPr>
            <w:r w:rsidRPr="00CB32B1">
              <w:rPr>
                <w:rFonts w:asciiTheme="majorHAnsi" w:hAnsiTheme="majorHAnsi"/>
              </w:rPr>
              <w:t>% of respondents</w:t>
            </w:r>
          </w:p>
        </w:tc>
      </w:tr>
      <w:tr w:rsidR="003242D5" w:rsidRPr="00CB32B1" w:rsidTr="003242D5">
        <w:tc>
          <w:tcPr>
            <w:cnfStyle w:val="001000000000"/>
            <w:tcW w:w="3026" w:type="pct"/>
          </w:tcPr>
          <w:p w:rsidR="003242D5" w:rsidRPr="00CB32B1" w:rsidRDefault="003242D5" w:rsidP="003242D5">
            <w:pPr>
              <w:pStyle w:val="NumericTableTextNormal"/>
              <w:rPr>
                <w:rFonts w:asciiTheme="majorHAnsi" w:hAnsiTheme="majorHAnsi"/>
              </w:rPr>
            </w:pPr>
            <w:r w:rsidRPr="00CB32B1">
              <w:rPr>
                <w:rFonts w:asciiTheme="majorHAnsi" w:hAnsiTheme="majorHAnsi"/>
              </w:rPr>
              <w:t>Have received a notification or complaint</w:t>
            </w:r>
          </w:p>
        </w:tc>
        <w:tc>
          <w:tcPr>
            <w:tcW w:w="987" w:type="pct"/>
          </w:tcPr>
          <w:p w:rsidR="003242D5" w:rsidRPr="00CB32B1" w:rsidRDefault="003242D5" w:rsidP="003242D5">
            <w:pPr>
              <w:pStyle w:val="NumericTableTextDecimalNormal"/>
              <w:cnfStyle w:val="000000000000"/>
              <w:rPr>
                <w:rFonts w:asciiTheme="majorHAnsi" w:hAnsiTheme="majorHAnsi"/>
              </w:rPr>
            </w:pPr>
            <w:r w:rsidRPr="00CB32B1">
              <w:rPr>
                <w:rFonts w:asciiTheme="majorHAnsi" w:hAnsiTheme="majorHAnsi"/>
              </w:rPr>
              <w:t>7</w:t>
            </w:r>
          </w:p>
        </w:tc>
        <w:tc>
          <w:tcPr>
            <w:tcW w:w="987" w:type="pct"/>
          </w:tcPr>
          <w:p w:rsidR="003242D5" w:rsidRPr="00CB32B1" w:rsidRDefault="003242D5" w:rsidP="003242D5">
            <w:pPr>
              <w:pStyle w:val="NumericTableTextDecimalNormal"/>
              <w:cnfStyle w:val="000000000000"/>
              <w:rPr>
                <w:rFonts w:asciiTheme="majorHAnsi" w:hAnsiTheme="majorHAnsi"/>
              </w:rPr>
            </w:pPr>
            <w:r w:rsidRPr="00CB32B1">
              <w:rPr>
                <w:rFonts w:asciiTheme="majorHAnsi" w:hAnsiTheme="majorHAnsi"/>
              </w:rPr>
              <w:t>8%</w:t>
            </w:r>
          </w:p>
        </w:tc>
      </w:tr>
      <w:tr w:rsidR="003242D5" w:rsidRPr="00CB32B1" w:rsidTr="003242D5">
        <w:tc>
          <w:tcPr>
            <w:cnfStyle w:val="001000000000"/>
            <w:tcW w:w="3026" w:type="pct"/>
          </w:tcPr>
          <w:p w:rsidR="003242D5" w:rsidRPr="00CB32B1" w:rsidRDefault="003242D5" w:rsidP="003242D5">
            <w:pPr>
              <w:pStyle w:val="NumericTableTextNormal"/>
              <w:rPr>
                <w:rFonts w:asciiTheme="majorHAnsi" w:hAnsiTheme="majorHAnsi"/>
              </w:rPr>
            </w:pPr>
            <w:r w:rsidRPr="00CB32B1">
              <w:rPr>
                <w:rFonts w:asciiTheme="majorHAnsi" w:hAnsiTheme="majorHAnsi"/>
              </w:rPr>
              <w:t>Have not received a notification or complaint</w:t>
            </w:r>
          </w:p>
        </w:tc>
        <w:tc>
          <w:tcPr>
            <w:tcW w:w="987" w:type="pct"/>
          </w:tcPr>
          <w:p w:rsidR="003242D5" w:rsidRPr="00CB32B1" w:rsidRDefault="003242D5" w:rsidP="003242D5">
            <w:pPr>
              <w:pStyle w:val="NumericTableTextDecimalNormal"/>
              <w:cnfStyle w:val="000000000000"/>
              <w:rPr>
                <w:rFonts w:asciiTheme="majorHAnsi" w:hAnsiTheme="majorHAnsi"/>
              </w:rPr>
            </w:pPr>
            <w:r w:rsidRPr="00CB32B1">
              <w:rPr>
                <w:rFonts w:asciiTheme="majorHAnsi" w:hAnsiTheme="majorHAnsi"/>
              </w:rPr>
              <w:t>77</w:t>
            </w:r>
          </w:p>
        </w:tc>
        <w:tc>
          <w:tcPr>
            <w:tcW w:w="987" w:type="pct"/>
          </w:tcPr>
          <w:p w:rsidR="003242D5" w:rsidRPr="00CB32B1" w:rsidRDefault="003242D5" w:rsidP="003242D5">
            <w:pPr>
              <w:pStyle w:val="NumericTableTextDecimalNormal"/>
              <w:cnfStyle w:val="000000000000"/>
              <w:rPr>
                <w:rFonts w:asciiTheme="majorHAnsi" w:hAnsiTheme="majorHAnsi"/>
              </w:rPr>
            </w:pPr>
            <w:r w:rsidRPr="00CB32B1">
              <w:rPr>
                <w:rFonts w:asciiTheme="majorHAnsi" w:hAnsiTheme="majorHAnsi"/>
              </w:rPr>
              <w:t>91%</w:t>
            </w:r>
          </w:p>
        </w:tc>
      </w:tr>
      <w:tr w:rsidR="003242D5" w:rsidRPr="00CB32B1" w:rsidTr="003242D5">
        <w:tc>
          <w:tcPr>
            <w:cnfStyle w:val="001000000000"/>
            <w:tcW w:w="3026" w:type="pct"/>
          </w:tcPr>
          <w:p w:rsidR="003242D5" w:rsidRPr="00CB32B1" w:rsidRDefault="003242D5" w:rsidP="003242D5">
            <w:pPr>
              <w:pStyle w:val="NumericTableTextNormal"/>
              <w:rPr>
                <w:rFonts w:asciiTheme="majorHAnsi" w:hAnsiTheme="majorHAnsi"/>
              </w:rPr>
            </w:pPr>
            <w:r w:rsidRPr="00CB32B1">
              <w:rPr>
                <w:rFonts w:asciiTheme="majorHAnsi" w:hAnsiTheme="majorHAnsi"/>
              </w:rPr>
              <w:t>No response</w:t>
            </w:r>
          </w:p>
        </w:tc>
        <w:tc>
          <w:tcPr>
            <w:tcW w:w="987" w:type="pct"/>
          </w:tcPr>
          <w:p w:rsidR="003242D5" w:rsidRPr="00CB32B1" w:rsidRDefault="003242D5" w:rsidP="003242D5">
            <w:pPr>
              <w:pStyle w:val="NumericTableTextDecimalNormal"/>
              <w:cnfStyle w:val="000000000000"/>
              <w:rPr>
                <w:rFonts w:asciiTheme="majorHAnsi" w:hAnsiTheme="majorHAnsi"/>
              </w:rPr>
            </w:pPr>
            <w:r w:rsidRPr="00CB32B1">
              <w:rPr>
                <w:rFonts w:asciiTheme="majorHAnsi" w:hAnsiTheme="majorHAnsi"/>
              </w:rPr>
              <w:t>1</w:t>
            </w:r>
          </w:p>
        </w:tc>
        <w:tc>
          <w:tcPr>
            <w:tcW w:w="987" w:type="pct"/>
          </w:tcPr>
          <w:p w:rsidR="003242D5" w:rsidRPr="00CB32B1" w:rsidRDefault="003242D5" w:rsidP="003242D5">
            <w:pPr>
              <w:pStyle w:val="NumericTableTextDecimalNormal"/>
              <w:cnfStyle w:val="000000000000"/>
              <w:rPr>
                <w:rFonts w:asciiTheme="majorHAnsi" w:hAnsiTheme="majorHAnsi"/>
              </w:rPr>
            </w:pPr>
            <w:r w:rsidRPr="00CB32B1">
              <w:rPr>
                <w:rFonts w:asciiTheme="majorHAnsi" w:hAnsiTheme="majorHAnsi"/>
              </w:rPr>
              <w:t>1%</w:t>
            </w:r>
          </w:p>
        </w:tc>
      </w:tr>
      <w:tr w:rsidR="003242D5" w:rsidRPr="00CB32B1" w:rsidTr="003242D5">
        <w:tc>
          <w:tcPr>
            <w:cnfStyle w:val="001000000000"/>
            <w:tcW w:w="3026" w:type="pct"/>
          </w:tcPr>
          <w:p w:rsidR="003242D5" w:rsidRPr="00CB32B1" w:rsidRDefault="003242D5" w:rsidP="003242D5">
            <w:pPr>
              <w:pStyle w:val="NumericTableTextNormal"/>
              <w:rPr>
                <w:rFonts w:asciiTheme="majorHAnsi" w:hAnsiTheme="majorHAnsi"/>
                <w:b/>
                <w:color w:val="DC6900" w:themeColor="text2"/>
              </w:rPr>
            </w:pPr>
            <w:r w:rsidRPr="00CB32B1">
              <w:rPr>
                <w:rFonts w:asciiTheme="majorHAnsi" w:hAnsiTheme="majorHAnsi"/>
                <w:b/>
                <w:color w:val="DC6900" w:themeColor="text2"/>
              </w:rPr>
              <w:t>Total count</w:t>
            </w:r>
          </w:p>
        </w:tc>
        <w:tc>
          <w:tcPr>
            <w:tcW w:w="987" w:type="pct"/>
          </w:tcPr>
          <w:p w:rsidR="003242D5" w:rsidRPr="00CB32B1" w:rsidRDefault="003242D5" w:rsidP="003242D5">
            <w:pPr>
              <w:pStyle w:val="NumericTableTextDecimalNormal"/>
              <w:cnfStyle w:val="000000000000"/>
              <w:rPr>
                <w:rFonts w:asciiTheme="majorHAnsi" w:hAnsiTheme="majorHAnsi"/>
                <w:b/>
                <w:color w:val="DC6900" w:themeColor="text2"/>
              </w:rPr>
            </w:pPr>
            <w:r w:rsidRPr="00CB32B1">
              <w:rPr>
                <w:rFonts w:asciiTheme="majorHAnsi" w:hAnsiTheme="majorHAnsi"/>
                <w:b/>
                <w:color w:val="DC6900" w:themeColor="text2"/>
              </w:rPr>
              <w:t>85</w:t>
            </w:r>
          </w:p>
        </w:tc>
        <w:tc>
          <w:tcPr>
            <w:tcW w:w="987" w:type="pct"/>
          </w:tcPr>
          <w:p w:rsidR="003242D5" w:rsidRPr="00CB32B1" w:rsidRDefault="003242D5" w:rsidP="003242D5">
            <w:pPr>
              <w:pStyle w:val="NumericTableTextDecimalNormal"/>
              <w:cnfStyle w:val="000000000000"/>
              <w:rPr>
                <w:rFonts w:asciiTheme="majorHAnsi" w:hAnsiTheme="majorHAnsi"/>
                <w:b/>
                <w:color w:val="DC6900" w:themeColor="text2"/>
              </w:rPr>
            </w:pPr>
            <w:r w:rsidRPr="00CB32B1">
              <w:rPr>
                <w:rFonts w:asciiTheme="majorHAnsi" w:hAnsiTheme="majorHAnsi"/>
                <w:b/>
                <w:color w:val="DC6900" w:themeColor="text2"/>
              </w:rPr>
              <w:t>100%</w:t>
            </w:r>
          </w:p>
        </w:tc>
      </w:tr>
    </w:tbl>
    <w:p w:rsidR="003242D5" w:rsidRPr="00CB32B1" w:rsidRDefault="003242D5" w:rsidP="003242D5">
      <w:pPr>
        <w:pStyle w:val="Minorheading"/>
      </w:pPr>
      <w:r w:rsidRPr="00CB32B1">
        <w:t>How many participants have had an insurance claim against them relating to the practice of midwifery within the last 10 years?</w:t>
      </w:r>
    </w:p>
    <w:p w:rsidR="002C0887" w:rsidRPr="00CB32B1" w:rsidRDefault="003242D5" w:rsidP="003242D5">
      <w:pPr>
        <w:pStyle w:val="PwCNormal"/>
        <w:numPr>
          <w:ilvl w:val="0"/>
          <w:numId w:val="0"/>
        </w:numPr>
      </w:pPr>
      <w:r w:rsidRPr="00CB32B1">
        <w:t>No participants reported having received an insurance claim against them relating to the practice of midwifery within the last 10 years.</w:t>
      </w:r>
    </w:p>
    <w:p w:rsidR="002C0887" w:rsidRPr="00CB32B1" w:rsidRDefault="003242D5" w:rsidP="009E135F">
      <w:pPr>
        <w:pStyle w:val="Majorheading"/>
        <w:pageBreakBefore/>
      </w:pPr>
      <w:r w:rsidRPr="00CB32B1">
        <w:t>J.2. Statistics on homebirth in Australia</w:t>
      </w:r>
    </w:p>
    <w:p w:rsidR="003242D5" w:rsidRPr="00CB32B1" w:rsidRDefault="003242D5" w:rsidP="003242D5">
      <w:pPr>
        <w:pStyle w:val="PwCNormal"/>
      </w:pPr>
      <w:r w:rsidRPr="00CB32B1">
        <w:t xml:space="preserve">As a part of the report, publicly available statistics </w:t>
      </w:r>
      <w:r w:rsidR="00872729">
        <w:t xml:space="preserve">were collected </w:t>
      </w:r>
      <w:r w:rsidRPr="00CB32B1">
        <w:t>to demonstrate the number of homebirths across Australia and the trends seen in homebirth practice</w:t>
      </w:r>
      <w:r w:rsidR="00872729">
        <w:t xml:space="preserve"> were collected</w:t>
      </w:r>
      <w:r w:rsidRPr="00CB32B1">
        <w:t xml:space="preserve">. These statistics are recorded in the AIHW, </w:t>
      </w:r>
      <w:r w:rsidRPr="00872729">
        <w:rPr>
          <w:i/>
        </w:rPr>
        <w:t>Women and Babies</w:t>
      </w:r>
      <w:r w:rsidRPr="00CB32B1">
        <w:t xml:space="preserve"> report annually. The statistics below show the:</w:t>
      </w:r>
    </w:p>
    <w:p w:rsidR="003242D5" w:rsidRPr="00CB32B1" w:rsidRDefault="003242D5" w:rsidP="00872729">
      <w:pPr>
        <w:pStyle w:val="ListBullet"/>
      </w:pPr>
      <w:r w:rsidRPr="00CB32B1">
        <w:t>Number of births in Australia</w:t>
      </w:r>
    </w:p>
    <w:p w:rsidR="003242D5" w:rsidRPr="00CB32B1" w:rsidRDefault="003242D5" w:rsidP="00872729">
      <w:pPr>
        <w:pStyle w:val="ListBullet"/>
      </w:pPr>
      <w:r w:rsidRPr="00CB32B1">
        <w:t>Number of homebirths in Australia</w:t>
      </w:r>
    </w:p>
    <w:p w:rsidR="002C0887" w:rsidRPr="00CB32B1" w:rsidRDefault="003242D5" w:rsidP="00872729">
      <w:pPr>
        <w:pStyle w:val="ListBullet"/>
      </w:pPr>
      <w:r w:rsidRPr="00CB32B1">
        <w:t>Proportion of births in the home out of all births in Australia.</w:t>
      </w:r>
    </w:p>
    <w:p w:rsidR="002C0887" w:rsidRPr="00CB32B1" w:rsidRDefault="003242D5" w:rsidP="00D42B1C">
      <w:pPr>
        <w:pStyle w:val="Majorheading"/>
      </w:pPr>
      <w:r w:rsidRPr="00CB32B1">
        <w:t>Number of births in Australia</w:t>
      </w:r>
    </w:p>
    <w:p w:rsidR="003242D5" w:rsidRPr="00CB32B1" w:rsidRDefault="003242D5" w:rsidP="003242D5">
      <w:pPr>
        <w:pStyle w:val="PwCNormal"/>
      </w:pPr>
      <w:r w:rsidRPr="00CB32B1">
        <w:t xml:space="preserve">Births in Australia are recorded by both the ABS and AIHW. The AIHW data relate to live births but is recorded where the birth is defined as the complete expulsion or extraction from a woman of a baby of at least 20 weeks’ gestation or weighing at least 400 grams at birth. The AIHW did not include any births where the gestation and birth weight were not recorded. </w:t>
      </w:r>
    </w:p>
    <w:p w:rsidR="00E75C14" w:rsidRPr="00CB32B1" w:rsidRDefault="00E75C14" w:rsidP="00E75C14">
      <w:pPr>
        <w:pStyle w:val="NumericCaption"/>
      </w:pPr>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32</w:t>
      </w:r>
      <w:r w:rsidR="009129A6" w:rsidRPr="00CB32B1">
        <w:fldChar w:fldCharType="end"/>
      </w:r>
      <w:r w:rsidRPr="00CB32B1">
        <w:t>: Number of births in Australia</w:t>
      </w:r>
    </w:p>
    <w:tbl>
      <w:tblPr>
        <w:tblStyle w:val="PwCTableStyle1"/>
        <w:tblW w:w="5000" w:type="pct"/>
        <w:tblCellMar>
          <w:left w:w="58" w:type="dxa"/>
          <w:right w:w="58" w:type="dxa"/>
        </w:tblCellMar>
        <w:tblLook w:val="04A0"/>
      </w:tblPr>
      <w:tblGrid>
        <w:gridCol w:w="742"/>
        <w:gridCol w:w="841"/>
        <w:gridCol w:w="843"/>
        <w:gridCol w:w="841"/>
        <w:gridCol w:w="843"/>
        <w:gridCol w:w="841"/>
        <w:gridCol w:w="843"/>
        <w:gridCol w:w="854"/>
        <w:gridCol w:w="843"/>
        <w:gridCol w:w="850"/>
        <w:gridCol w:w="844"/>
      </w:tblGrid>
      <w:tr w:rsidR="00D42B1C" w:rsidRPr="00CB32B1" w:rsidTr="00747120">
        <w:trPr>
          <w:cnfStyle w:val="100000000000"/>
          <w:trHeight w:val="300"/>
        </w:trPr>
        <w:tc>
          <w:tcPr>
            <w:cnfStyle w:val="001000000000"/>
            <w:tcW w:w="405" w:type="pct"/>
            <w:shd w:val="clear" w:color="auto" w:fill="DC6900" w:themeFill="text2"/>
            <w:noWrap/>
            <w:vAlign w:val="center"/>
            <w:hideMark/>
          </w:tcPr>
          <w:p w:rsidR="00D42B1C" w:rsidRPr="00CB32B1" w:rsidRDefault="00D42B1C" w:rsidP="00747120">
            <w:pPr>
              <w:pStyle w:val="NumericTableColumnHeadingNormal"/>
              <w:jc w:val="center"/>
              <w:rPr>
                <w:rFonts w:asciiTheme="majorHAnsi" w:hAnsiTheme="majorHAnsi"/>
              </w:rPr>
            </w:pPr>
          </w:p>
        </w:tc>
        <w:tc>
          <w:tcPr>
            <w:tcW w:w="459" w:type="pct"/>
            <w:shd w:val="clear" w:color="auto" w:fill="DC6900" w:themeFill="text2"/>
            <w:noWrap/>
            <w:vAlign w:val="center"/>
            <w:hideMark/>
          </w:tcPr>
          <w:p w:rsidR="00D42B1C" w:rsidRPr="00CB32B1" w:rsidRDefault="00D42B1C" w:rsidP="00747120">
            <w:pPr>
              <w:pStyle w:val="NumericTableColumnHeadingNormal"/>
              <w:jc w:val="center"/>
              <w:cnfStyle w:val="100000000000"/>
              <w:rPr>
                <w:rFonts w:asciiTheme="majorHAnsi" w:hAnsiTheme="majorHAnsi"/>
              </w:rPr>
            </w:pPr>
            <w:r w:rsidRPr="00CB32B1">
              <w:rPr>
                <w:rFonts w:asciiTheme="majorHAnsi" w:hAnsiTheme="majorHAnsi"/>
              </w:rPr>
              <w:t>2001</w:t>
            </w:r>
          </w:p>
        </w:tc>
        <w:tc>
          <w:tcPr>
            <w:tcW w:w="460" w:type="pct"/>
            <w:shd w:val="clear" w:color="auto" w:fill="DC6900" w:themeFill="text2"/>
            <w:noWrap/>
            <w:vAlign w:val="center"/>
            <w:hideMark/>
          </w:tcPr>
          <w:p w:rsidR="00D42B1C" w:rsidRPr="00CB32B1" w:rsidRDefault="00D42B1C" w:rsidP="00747120">
            <w:pPr>
              <w:pStyle w:val="NumericTableColumnHeadingNormal"/>
              <w:jc w:val="center"/>
              <w:cnfStyle w:val="100000000000"/>
              <w:rPr>
                <w:rFonts w:asciiTheme="majorHAnsi" w:hAnsiTheme="majorHAnsi"/>
              </w:rPr>
            </w:pPr>
            <w:r w:rsidRPr="00CB32B1">
              <w:rPr>
                <w:rFonts w:asciiTheme="majorHAnsi" w:hAnsiTheme="majorHAnsi"/>
              </w:rPr>
              <w:t>2002</w:t>
            </w:r>
          </w:p>
        </w:tc>
        <w:tc>
          <w:tcPr>
            <w:tcW w:w="459" w:type="pct"/>
            <w:shd w:val="clear" w:color="auto" w:fill="DC6900" w:themeFill="text2"/>
            <w:noWrap/>
            <w:vAlign w:val="center"/>
            <w:hideMark/>
          </w:tcPr>
          <w:p w:rsidR="00D42B1C" w:rsidRPr="00CB32B1" w:rsidRDefault="00D42B1C" w:rsidP="00747120">
            <w:pPr>
              <w:pStyle w:val="NumericTableColumnHeadingNormal"/>
              <w:jc w:val="center"/>
              <w:cnfStyle w:val="100000000000"/>
              <w:rPr>
                <w:rFonts w:asciiTheme="majorHAnsi" w:hAnsiTheme="majorHAnsi"/>
              </w:rPr>
            </w:pPr>
            <w:r w:rsidRPr="00CB32B1">
              <w:rPr>
                <w:rFonts w:asciiTheme="majorHAnsi" w:hAnsiTheme="majorHAnsi"/>
              </w:rPr>
              <w:t>2003</w:t>
            </w:r>
          </w:p>
        </w:tc>
        <w:tc>
          <w:tcPr>
            <w:tcW w:w="460" w:type="pct"/>
            <w:shd w:val="clear" w:color="auto" w:fill="DC6900" w:themeFill="text2"/>
            <w:noWrap/>
            <w:vAlign w:val="center"/>
            <w:hideMark/>
          </w:tcPr>
          <w:p w:rsidR="00D42B1C" w:rsidRPr="00CB32B1" w:rsidRDefault="00D42B1C" w:rsidP="00747120">
            <w:pPr>
              <w:pStyle w:val="NumericTableColumnHeadingNormal"/>
              <w:jc w:val="center"/>
              <w:cnfStyle w:val="100000000000"/>
              <w:rPr>
                <w:rFonts w:asciiTheme="majorHAnsi" w:hAnsiTheme="majorHAnsi"/>
              </w:rPr>
            </w:pPr>
            <w:r w:rsidRPr="00CB32B1">
              <w:rPr>
                <w:rFonts w:asciiTheme="majorHAnsi" w:hAnsiTheme="majorHAnsi"/>
              </w:rPr>
              <w:t>2004</w:t>
            </w:r>
          </w:p>
        </w:tc>
        <w:tc>
          <w:tcPr>
            <w:tcW w:w="459" w:type="pct"/>
            <w:shd w:val="clear" w:color="auto" w:fill="DC6900" w:themeFill="text2"/>
            <w:noWrap/>
            <w:vAlign w:val="center"/>
            <w:hideMark/>
          </w:tcPr>
          <w:p w:rsidR="00D42B1C" w:rsidRPr="00CB32B1" w:rsidRDefault="00D42B1C" w:rsidP="00747120">
            <w:pPr>
              <w:pStyle w:val="NumericTableColumnHeadingNormal"/>
              <w:jc w:val="center"/>
              <w:cnfStyle w:val="100000000000"/>
              <w:rPr>
                <w:rFonts w:asciiTheme="majorHAnsi" w:hAnsiTheme="majorHAnsi"/>
              </w:rPr>
            </w:pPr>
            <w:r w:rsidRPr="00CB32B1">
              <w:rPr>
                <w:rFonts w:asciiTheme="majorHAnsi" w:hAnsiTheme="majorHAnsi"/>
              </w:rPr>
              <w:t>2005</w:t>
            </w:r>
          </w:p>
        </w:tc>
        <w:tc>
          <w:tcPr>
            <w:tcW w:w="460" w:type="pct"/>
            <w:shd w:val="clear" w:color="auto" w:fill="DC6900" w:themeFill="text2"/>
            <w:noWrap/>
            <w:vAlign w:val="center"/>
            <w:hideMark/>
          </w:tcPr>
          <w:p w:rsidR="00D42B1C" w:rsidRPr="00CB32B1" w:rsidRDefault="00D42B1C" w:rsidP="00747120">
            <w:pPr>
              <w:pStyle w:val="NumericTableColumnHeadingNormal"/>
              <w:jc w:val="center"/>
              <w:cnfStyle w:val="100000000000"/>
              <w:rPr>
                <w:rFonts w:asciiTheme="majorHAnsi" w:hAnsiTheme="majorHAnsi"/>
              </w:rPr>
            </w:pPr>
            <w:r w:rsidRPr="00CB32B1">
              <w:rPr>
                <w:rFonts w:asciiTheme="majorHAnsi" w:hAnsiTheme="majorHAnsi"/>
              </w:rPr>
              <w:t>2006</w:t>
            </w:r>
          </w:p>
        </w:tc>
        <w:tc>
          <w:tcPr>
            <w:tcW w:w="459" w:type="pct"/>
            <w:shd w:val="clear" w:color="auto" w:fill="DC6900" w:themeFill="text2"/>
            <w:noWrap/>
            <w:vAlign w:val="center"/>
            <w:hideMark/>
          </w:tcPr>
          <w:p w:rsidR="00D42B1C" w:rsidRPr="00CB32B1" w:rsidRDefault="00D42B1C" w:rsidP="00747120">
            <w:pPr>
              <w:pStyle w:val="NumericTableColumnHeadingNormal"/>
              <w:jc w:val="center"/>
              <w:cnfStyle w:val="100000000000"/>
              <w:rPr>
                <w:rFonts w:asciiTheme="majorHAnsi" w:hAnsiTheme="majorHAnsi"/>
              </w:rPr>
            </w:pPr>
            <w:r w:rsidRPr="00CB32B1">
              <w:rPr>
                <w:rFonts w:asciiTheme="majorHAnsi" w:hAnsiTheme="majorHAnsi"/>
              </w:rPr>
              <w:t>2007</w:t>
            </w:r>
          </w:p>
        </w:tc>
        <w:tc>
          <w:tcPr>
            <w:tcW w:w="460" w:type="pct"/>
            <w:shd w:val="clear" w:color="auto" w:fill="DC6900" w:themeFill="text2"/>
            <w:noWrap/>
            <w:vAlign w:val="center"/>
            <w:hideMark/>
          </w:tcPr>
          <w:p w:rsidR="00D42B1C" w:rsidRPr="00CB32B1" w:rsidRDefault="00D42B1C" w:rsidP="00747120">
            <w:pPr>
              <w:pStyle w:val="NumericTableColumnHeadingNormal"/>
              <w:jc w:val="center"/>
              <w:cnfStyle w:val="100000000000"/>
              <w:rPr>
                <w:rFonts w:asciiTheme="majorHAnsi" w:hAnsiTheme="majorHAnsi"/>
              </w:rPr>
            </w:pPr>
            <w:r w:rsidRPr="00CB32B1">
              <w:rPr>
                <w:rFonts w:asciiTheme="majorHAnsi" w:hAnsiTheme="majorHAnsi"/>
              </w:rPr>
              <w:t>2008</w:t>
            </w:r>
          </w:p>
        </w:tc>
        <w:tc>
          <w:tcPr>
            <w:tcW w:w="459" w:type="pct"/>
            <w:shd w:val="clear" w:color="auto" w:fill="DC6900" w:themeFill="text2"/>
            <w:noWrap/>
            <w:vAlign w:val="center"/>
            <w:hideMark/>
          </w:tcPr>
          <w:p w:rsidR="00D42B1C" w:rsidRPr="00CB32B1" w:rsidRDefault="00D42B1C" w:rsidP="00747120">
            <w:pPr>
              <w:pStyle w:val="NumericTableColumnHeadingNormal"/>
              <w:jc w:val="center"/>
              <w:cnfStyle w:val="100000000000"/>
              <w:rPr>
                <w:rFonts w:asciiTheme="majorHAnsi" w:hAnsiTheme="majorHAnsi"/>
              </w:rPr>
            </w:pPr>
            <w:r w:rsidRPr="00CB32B1">
              <w:rPr>
                <w:rFonts w:asciiTheme="majorHAnsi" w:hAnsiTheme="majorHAnsi"/>
              </w:rPr>
              <w:t>2009</w:t>
            </w:r>
          </w:p>
        </w:tc>
        <w:tc>
          <w:tcPr>
            <w:tcW w:w="460" w:type="pct"/>
            <w:shd w:val="clear" w:color="auto" w:fill="DC6900" w:themeFill="text2"/>
            <w:noWrap/>
            <w:vAlign w:val="center"/>
            <w:hideMark/>
          </w:tcPr>
          <w:p w:rsidR="00D42B1C" w:rsidRPr="00CB32B1" w:rsidRDefault="00D42B1C" w:rsidP="00747120">
            <w:pPr>
              <w:pStyle w:val="NumericTableColumnHeadingNormal"/>
              <w:jc w:val="center"/>
              <w:cnfStyle w:val="100000000000"/>
              <w:rPr>
                <w:rFonts w:asciiTheme="majorHAnsi" w:hAnsiTheme="majorHAnsi"/>
              </w:rPr>
            </w:pPr>
            <w:r w:rsidRPr="00CB32B1">
              <w:rPr>
                <w:rFonts w:asciiTheme="majorHAnsi" w:hAnsiTheme="majorHAnsi"/>
              </w:rPr>
              <w:t>2010</w:t>
            </w:r>
          </w:p>
        </w:tc>
      </w:tr>
      <w:tr w:rsidR="00D42B1C" w:rsidRPr="00CB32B1" w:rsidTr="007B567A">
        <w:trPr>
          <w:trHeight w:val="300"/>
        </w:trPr>
        <w:tc>
          <w:tcPr>
            <w:cnfStyle w:val="001000000000"/>
            <w:tcW w:w="405" w:type="pct"/>
            <w:noWrap/>
          </w:tcPr>
          <w:p w:rsidR="00D42B1C" w:rsidRPr="00CB32B1" w:rsidRDefault="00D42B1C" w:rsidP="00D42B1C">
            <w:pPr>
              <w:pStyle w:val="NumericTableTextNormal"/>
              <w:rPr>
                <w:rFonts w:asciiTheme="majorHAnsi" w:hAnsiTheme="majorHAnsi"/>
              </w:rPr>
            </w:pPr>
            <w:r w:rsidRPr="00CB32B1">
              <w:rPr>
                <w:rFonts w:asciiTheme="majorHAnsi" w:hAnsiTheme="majorHAnsi"/>
              </w:rPr>
              <w:t>AIHW</w:t>
            </w:r>
          </w:p>
        </w:tc>
        <w:tc>
          <w:tcPr>
            <w:tcW w:w="459" w:type="pct"/>
            <w:noWrap/>
          </w:tcPr>
          <w:p w:rsidR="00D42B1C" w:rsidRPr="00CB32B1" w:rsidRDefault="00D42B1C" w:rsidP="00D42B1C">
            <w:pPr>
              <w:pStyle w:val="NumericTableTextNormal"/>
              <w:jc w:val="center"/>
              <w:cnfStyle w:val="000000000000"/>
              <w:rPr>
                <w:rFonts w:asciiTheme="majorHAnsi" w:hAnsiTheme="majorHAnsi"/>
              </w:rPr>
            </w:pPr>
            <w:r w:rsidRPr="00CB32B1">
              <w:rPr>
                <w:rFonts w:asciiTheme="majorHAnsi" w:hAnsiTheme="majorHAnsi"/>
              </w:rPr>
              <w:t>250,071</w:t>
            </w:r>
          </w:p>
        </w:tc>
        <w:tc>
          <w:tcPr>
            <w:tcW w:w="460" w:type="pct"/>
            <w:noWrap/>
          </w:tcPr>
          <w:p w:rsidR="00D42B1C" w:rsidRPr="00CB32B1" w:rsidRDefault="00D42B1C" w:rsidP="00D42B1C">
            <w:pPr>
              <w:pStyle w:val="NumericTableTextNormal"/>
              <w:jc w:val="center"/>
              <w:cnfStyle w:val="000000000000"/>
              <w:rPr>
                <w:rFonts w:asciiTheme="majorHAnsi" w:hAnsiTheme="majorHAnsi"/>
              </w:rPr>
            </w:pPr>
            <w:r w:rsidRPr="00CB32B1">
              <w:rPr>
                <w:rFonts w:asciiTheme="majorHAnsi" w:hAnsiTheme="majorHAnsi"/>
              </w:rPr>
              <w:t>250,758</w:t>
            </w:r>
          </w:p>
        </w:tc>
        <w:tc>
          <w:tcPr>
            <w:tcW w:w="459" w:type="pct"/>
            <w:noWrap/>
          </w:tcPr>
          <w:p w:rsidR="00D42B1C" w:rsidRPr="00CB32B1" w:rsidRDefault="00D42B1C" w:rsidP="00D42B1C">
            <w:pPr>
              <w:pStyle w:val="NumericTableTextNormal"/>
              <w:jc w:val="center"/>
              <w:cnfStyle w:val="000000000000"/>
              <w:rPr>
                <w:rFonts w:asciiTheme="majorHAnsi" w:hAnsiTheme="majorHAnsi"/>
              </w:rPr>
            </w:pPr>
            <w:r w:rsidRPr="00CB32B1">
              <w:rPr>
                <w:rFonts w:asciiTheme="majorHAnsi" w:hAnsiTheme="majorHAnsi"/>
              </w:rPr>
              <w:t>252,584</w:t>
            </w:r>
          </w:p>
        </w:tc>
        <w:tc>
          <w:tcPr>
            <w:tcW w:w="460" w:type="pct"/>
            <w:noWrap/>
          </w:tcPr>
          <w:p w:rsidR="00D42B1C" w:rsidRPr="00CB32B1" w:rsidRDefault="00D42B1C" w:rsidP="00D42B1C">
            <w:pPr>
              <w:pStyle w:val="NumericTableTextNormal"/>
              <w:jc w:val="center"/>
              <w:cnfStyle w:val="000000000000"/>
              <w:rPr>
                <w:rFonts w:asciiTheme="majorHAnsi" w:hAnsiTheme="majorHAnsi"/>
              </w:rPr>
            </w:pPr>
            <w:r w:rsidRPr="00CB32B1">
              <w:rPr>
                <w:rFonts w:asciiTheme="majorHAnsi" w:hAnsiTheme="majorHAnsi"/>
              </w:rPr>
              <w:t>252,871</w:t>
            </w:r>
          </w:p>
        </w:tc>
        <w:tc>
          <w:tcPr>
            <w:tcW w:w="459" w:type="pct"/>
            <w:noWrap/>
          </w:tcPr>
          <w:p w:rsidR="00D42B1C" w:rsidRPr="00CB32B1" w:rsidRDefault="00D42B1C" w:rsidP="00D42B1C">
            <w:pPr>
              <w:pStyle w:val="NumericTableTextNormal"/>
              <w:jc w:val="center"/>
              <w:cnfStyle w:val="000000000000"/>
              <w:rPr>
                <w:rFonts w:asciiTheme="majorHAnsi" w:hAnsiTheme="majorHAnsi"/>
              </w:rPr>
            </w:pPr>
            <w:r w:rsidRPr="00CB32B1">
              <w:rPr>
                <w:rFonts w:asciiTheme="majorHAnsi" w:hAnsiTheme="majorHAnsi"/>
              </w:rPr>
              <w:t>267,793</w:t>
            </w:r>
          </w:p>
        </w:tc>
        <w:tc>
          <w:tcPr>
            <w:tcW w:w="460" w:type="pct"/>
            <w:noWrap/>
          </w:tcPr>
          <w:p w:rsidR="00D42B1C" w:rsidRPr="00CB32B1" w:rsidRDefault="00D42B1C" w:rsidP="00D42B1C">
            <w:pPr>
              <w:pStyle w:val="NumericTableTextNormal"/>
              <w:jc w:val="center"/>
              <w:cnfStyle w:val="000000000000"/>
              <w:rPr>
                <w:rFonts w:asciiTheme="majorHAnsi" w:hAnsiTheme="majorHAnsi"/>
              </w:rPr>
            </w:pPr>
            <w:r w:rsidRPr="00CB32B1">
              <w:rPr>
                <w:rFonts w:asciiTheme="majorHAnsi" w:hAnsiTheme="majorHAnsi"/>
              </w:rPr>
              <w:t>277,436</w:t>
            </w:r>
          </w:p>
        </w:tc>
        <w:tc>
          <w:tcPr>
            <w:tcW w:w="459" w:type="pct"/>
            <w:noWrap/>
          </w:tcPr>
          <w:p w:rsidR="00D42B1C" w:rsidRPr="00CB32B1" w:rsidRDefault="00D42B1C" w:rsidP="00D42B1C">
            <w:pPr>
              <w:pStyle w:val="NumericTableTextNormal"/>
              <w:jc w:val="center"/>
              <w:cnfStyle w:val="000000000000"/>
              <w:rPr>
                <w:rFonts w:asciiTheme="majorHAnsi" w:hAnsiTheme="majorHAnsi"/>
              </w:rPr>
            </w:pPr>
            <w:r w:rsidRPr="00CB32B1">
              <w:rPr>
                <w:rFonts w:asciiTheme="majorHAnsi" w:hAnsiTheme="majorHAnsi"/>
              </w:rPr>
              <w:t>289,496</w:t>
            </w:r>
          </w:p>
        </w:tc>
        <w:tc>
          <w:tcPr>
            <w:tcW w:w="460" w:type="pct"/>
            <w:noWrap/>
          </w:tcPr>
          <w:p w:rsidR="00D42B1C" w:rsidRPr="00CB32B1" w:rsidRDefault="00D42B1C" w:rsidP="00D42B1C">
            <w:pPr>
              <w:pStyle w:val="NumericTableTextNormal"/>
              <w:jc w:val="center"/>
              <w:cnfStyle w:val="000000000000"/>
              <w:rPr>
                <w:rFonts w:asciiTheme="majorHAnsi" w:hAnsiTheme="majorHAnsi"/>
              </w:rPr>
            </w:pPr>
            <w:r w:rsidRPr="00CB32B1">
              <w:rPr>
                <w:rFonts w:asciiTheme="majorHAnsi" w:hAnsiTheme="majorHAnsi"/>
              </w:rPr>
              <w:t>292,156</w:t>
            </w:r>
          </w:p>
        </w:tc>
        <w:tc>
          <w:tcPr>
            <w:tcW w:w="459" w:type="pct"/>
            <w:noWrap/>
          </w:tcPr>
          <w:p w:rsidR="00D42B1C" w:rsidRPr="00CB32B1" w:rsidRDefault="00D42B1C" w:rsidP="00D42B1C">
            <w:pPr>
              <w:pStyle w:val="NumericTableTextNormal"/>
              <w:jc w:val="center"/>
              <w:cnfStyle w:val="000000000000"/>
              <w:rPr>
                <w:rFonts w:asciiTheme="majorHAnsi" w:hAnsiTheme="majorHAnsi"/>
              </w:rPr>
            </w:pPr>
            <w:r w:rsidRPr="00CB32B1">
              <w:rPr>
                <w:rFonts w:asciiTheme="majorHAnsi" w:hAnsiTheme="majorHAnsi"/>
              </w:rPr>
              <w:t>294,540</w:t>
            </w:r>
          </w:p>
        </w:tc>
        <w:tc>
          <w:tcPr>
            <w:tcW w:w="460" w:type="pct"/>
            <w:noWrap/>
          </w:tcPr>
          <w:p w:rsidR="00D42B1C" w:rsidRPr="00CB32B1" w:rsidRDefault="00D42B1C" w:rsidP="00D42B1C">
            <w:pPr>
              <w:pStyle w:val="NumericTableTextNormal"/>
              <w:jc w:val="center"/>
              <w:cnfStyle w:val="000000000000"/>
              <w:rPr>
                <w:rFonts w:asciiTheme="majorHAnsi" w:hAnsiTheme="majorHAnsi"/>
              </w:rPr>
            </w:pPr>
            <w:r w:rsidRPr="00CB32B1">
              <w:rPr>
                <w:rFonts w:asciiTheme="majorHAnsi" w:hAnsiTheme="majorHAnsi"/>
              </w:rPr>
              <w:t>297,357</w:t>
            </w:r>
          </w:p>
        </w:tc>
      </w:tr>
    </w:tbl>
    <w:p w:rsidR="003242D5" w:rsidRPr="00CB32B1" w:rsidRDefault="00E75C14" w:rsidP="00E75C14">
      <w:pPr>
        <w:pStyle w:val="Sources"/>
      </w:pPr>
      <w:r w:rsidRPr="00CB32B1">
        <w:rPr>
          <w:b/>
        </w:rPr>
        <w:t>Source</w:t>
      </w:r>
      <w:r w:rsidR="00FA152C" w:rsidRPr="00CB32B1">
        <w:rPr>
          <w:b/>
        </w:rPr>
        <w:t>s</w:t>
      </w:r>
      <w:r w:rsidRPr="00CB32B1">
        <w:rPr>
          <w:b/>
        </w:rPr>
        <w:t>:</w:t>
      </w:r>
      <w:r w:rsidRPr="00CB32B1">
        <w:t xml:space="preserve"> </w:t>
      </w:r>
      <w:r w:rsidR="00C405B3" w:rsidRPr="00CB32B1">
        <w:t xml:space="preserve">Australian Bureau of Statistics </w:t>
      </w:r>
      <w:r w:rsidRPr="00CB32B1">
        <w:t>2011; A</w:t>
      </w:r>
      <w:r w:rsidR="00894387" w:rsidRPr="00CB32B1">
        <w:t>ustralian Institute of Health and Welfare, 200</w:t>
      </w:r>
      <w:r w:rsidR="00F94B0D">
        <w:t>4</w:t>
      </w:r>
      <w:r w:rsidR="00865724">
        <w:t>b</w:t>
      </w:r>
      <w:r w:rsidR="00F94B0D">
        <w:t>-</w:t>
      </w:r>
      <w:r w:rsidR="00894387" w:rsidRPr="00CB32B1">
        <w:t>201</w:t>
      </w:r>
      <w:r w:rsidR="00F94B0D">
        <w:t>3</w:t>
      </w:r>
      <w:r w:rsidRPr="00CB32B1">
        <w:t>.</w:t>
      </w:r>
    </w:p>
    <w:p w:rsidR="00D42B1C" w:rsidRPr="00CB32B1" w:rsidRDefault="00D42B1C" w:rsidP="00D42B1C">
      <w:pPr>
        <w:pStyle w:val="PwCNormal"/>
      </w:pPr>
      <w:r w:rsidRPr="00CB32B1">
        <w:t xml:space="preserve">A limitation of this data set is that it is unclear as to which date is attributable to the birth registration, </w:t>
      </w:r>
      <w:r w:rsidR="00795E1A">
        <w:t>(</w:t>
      </w:r>
      <w:r w:rsidR="00854DEF" w:rsidRPr="00CB32B1">
        <w:t>eg</w:t>
      </w:r>
      <w:r w:rsidRPr="00CB32B1">
        <w:t xml:space="preserve"> the date of occurrence, data of registration with the state or territory</w:t>
      </w:r>
      <w:r w:rsidR="00872729">
        <w:t>,</w:t>
      </w:r>
      <w:r w:rsidRPr="00CB32B1">
        <w:t xml:space="preserve"> or the date in which the registered event is provided to the AIHW</w:t>
      </w:r>
      <w:r w:rsidR="00795E1A">
        <w:t>)</w:t>
      </w:r>
      <w:r w:rsidRPr="00CB32B1">
        <w:t>.</w:t>
      </w:r>
    </w:p>
    <w:p w:rsidR="00D42B1C" w:rsidRPr="00CB32B1" w:rsidRDefault="00D42B1C" w:rsidP="00E75C14">
      <w:pPr>
        <w:pStyle w:val="Majorheading"/>
      </w:pPr>
      <w:r w:rsidRPr="00CB32B1">
        <w:t>Number of homebirths in Australia</w:t>
      </w:r>
    </w:p>
    <w:p w:rsidR="00D42B1C" w:rsidRPr="00CB32B1" w:rsidRDefault="00D42B1C" w:rsidP="00D42B1C">
      <w:pPr>
        <w:pStyle w:val="PwCNormal"/>
      </w:pPr>
      <w:r w:rsidRPr="00CB32B1">
        <w:t xml:space="preserve">According to AIHW data, actual homebirths accounted for 1,345 births in 2010 as outlined in </w:t>
      </w:r>
      <w:r w:rsidR="009129A6" w:rsidRPr="00CB32B1">
        <w:fldChar w:fldCharType="begin"/>
      </w:r>
      <w:r w:rsidR="00AA3C29" w:rsidRPr="00CB32B1">
        <w:instrText xml:space="preserve"> REF _Ref361224057 \h </w:instrText>
      </w:r>
      <w:r w:rsidR="009129A6" w:rsidRPr="00CB32B1">
        <w:fldChar w:fldCharType="separate"/>
      </w:r>
      <w:r w:rsidR="008816B4" w:rsidRPr="00CB32B1">
        <w:t xml:space="preserve">Table </w:t>
      </w:r>
      <w:r w:rsidR="008816B4">
        <w:rPr>
          <w:noProof/>
        </w:rPr>
        <w:t>33</w:t>
      </w:r>
      <w:r w:rsidR="009129A6" w:rsidRPr="00CB32B1">
        <w:fldChar w:fldCharType="end"/>
      </w:r>
      <w:r w:rsidRPr="00CB32B1">
        <w:t xml:space="preserve">. </w:t>
      </w:r>
    </w:p>
    <w:p w:rsidR="00E75C14" w:rsidRPr="00CB32B1" w:rsidRDefault="00E75C14" w:rsidP="005E41E6">
      <w:pPr>
        <w:pStyle w:val="NumericCaption"/>
      </w:pPr>
      <w:bookmarkStart w:id="148" w:name="_Ref361224057"/>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33</w:t>
      </w:r>
      <w:r w:rsidR="009129A6" w:rsidRPr="00CB32B1">
        <w:fldChar w:fldCharType="end"/>
      </w:r>
      <w:bookmarkEnd w:id="148"/>
      <w:r w:rsidRPr="00CB32B1">
        <w:t>: Number of homebirths in Australia</w:t>
      </w:r>
    </w:p>
    <w:tbl>
      <w:tblPr>
        <w:tblStyle w:val="PwCTableStyle1"/>
        <w:tblW w:w="5000" w:type="pct"/>
        <w:tblLayout w:type="fixed"/>
        <w:tblLook w:val="04A0"/>
      </w:tblPr>
      <w:tblGrid>
        <w:gridCol w:w="1243"/>
        <w:gridCol w:w="805"/>
        <w:gridCol w:w="805"/>
        <w:gridCol w:w="804"/>
        <w:gridCol w:w="804"/>
        <w:gridCol w:w="804"/>
        <w:gridCol w:w="804"/>
        <w:gridCol w:w="804"/>
        <w:gridCol w:w="804"/>
        <w:gridCol w:w="804"/>
        <w:gridCol w:w="804"/>
      </w:tblGrid>
      <w:tr w:rsidR="00723DA6" w:rsidRPr="00CB32B1" w:rsidTr="00723DA6">
        <w:trPr>
          <w:cnfStyle w:val="100000000000"/>
          <w:trHeight w:val="300"/>
        </w:trPr>
        <w:tc>
          <w:tcPr>
            <w:cnfStyle w:val="001000000000"/>
            <w:tcW w:w="669" w:type="pct"/>
            <w:shd w:val="clear" w:color="auto" w:fill="DC6900" w:themeFill="text2"/>
            <w:noWrap/>
            <w:vAlign w:val="center"/>
            <w:hideMark/>
          </w:tcPr>
          <w:p w:rsidR="00E75C14" w:rsidRPr="00CB32B1" w:rsidRDefault="00E75C14" w:rsidP="00747120">
            <w:pPr>
              <w:pStyle w:val="NumericTableColumnHeadingNormal"/>
              <w:jc w:val="center"/>
              <w:rPr>
                <w:rFonts w:asciiTheme="majorHAnsi" w:hAnsiTheme="majorHAnsi"/>
              </w:rPr>
            </w:pPr>
          </w:p>
        </w:tc>
        <w:tc>
          <w:tcPr>
            <w:tcW w:w="433" w:type="pct"/>
            <w:shd w:val="clear" w:color="auto" w:fill="DC6900" w:themeFill="text2"/>
            <w:noWrap/>
            <w:vAlign w:val="center"/>
            <w:hideMark/>
          </w:tcPr>
          <w:p w:rsidR="00E75C14" w:rsidRPr="00CB32B1" w:rsidRDefault="00E75C14" w:rsidP="00747120">
            <w:pPr>
              <w:pStyle w:val="NumericTableColumnHeadingNormal"/>
              <w:jc w:val="center"/>
              <w:cnfStyle w:val="100000000000"/>
              <w:rPr>
                <w:rFonts w:asciiTheme="majorHAnsi" w:hAnsiTheme="majorHAnsi"/>
              </w:rPr>
            </w:pPr>
            <w:r w:rsidRPr="00CB32B1">
              <w:rPr>
                <w:rFonts w:asciiTheme="majorHAnsi" w:hAnsiTheme="majorHAnsi"/>
              </w:rPr>
              <w:t>2001</w:t>
            </w:r>
          </w:p>
        </w:tc>
        <w:tc>
          <w:tcPr>
            <w:tcW w:w="433" w:type="pct"/>
            <w:shd w:val="clear" w:color="auto" w:fill="DC6900" w:themeFill="text2"/>
            <w:noWrap/>
            <w:vAlign w:val="center"/>
            <w:hideMark/>
          </w:tcPr>
          <w:p w:rsidR="00E75C14" w:rsidRPr="00CB32B1" w:rsidRDefault="00E75C14" w:rsidP="00747120">
            <w:pPr>
              <w:pStyle w:val="NumericTableColumnHeadingNormal"/>
              <w:jc w:val="center"/>
              <w:cnfStyle w:val="100000000000"/>
              <w:rPr>
                <w:rFonts w:asciiTheme="majorHAnsi" w:hAnsiTheme="majorHAnsi"/>
              </w:rPr>
            </w:pPr>
            <w:r w:rsidRPr="00CB32B1">
              <w:rPr>
                <w:rFonts w:asciiTheme="majorHAnsi" w:hAnsiTheme="majorHAnsi"/>
              </w:rPr>
              <w:t>2002</w:t>
            </w:r>
          </w:p>
        </w:tc>
        <w:tc>
          <w:tcPr>
            <w:tcW w:w="433" w:type="pct"/>
            <w:shd w:val="clear" w:color="auto" w:fill="DC6900" w:themeFill="text2"/>
            <w:noWrap/>
            <w:vAlign w:val="center"/>
            <w:hideMark/>
          </w:tcPr>
          <w:p w:rsidR="00E75C14" w:rsidRPr="00CB32B1" w:rsidRDefault="00E75C14" w:rsidP="00747120">
            <w:pPr>
              <w:pStyle w:val="NumericTableColumnHeadingNormal"/>
              <w:jc w:val="center"/>
              <w:cnfStyle w:val="100000000000"/>
              <w:rPr>
                <w:rFonts w:asciiTheme="majorHAnsi" w:hAnsiTheme="majorHAnsi"/>
              </w:rPr>
            </w:pPr>
            <w:r w:rsidRPr="00CB32B1">
              <w:rPr>
                <w:rFonts w:asciiTheme="majorHAnsi" w:hAnsiTheme="majorHAnsi"/>
              </w:rPr>
              <w:t>2003</w:t>
            </w:r>
          </w:p>
        </w:tc>
        <w:tc>
          <w:tcPr>
            <w:tcW w:w="433" w:type="pct"/>
            <w:shd w:val="clear" w:color="auto" w:fill="DC6900" w:themeFill="text2"/>
            <w:noWrap/>
            <w:vAlign w:val="center"/>
            <w:hideMark/>
          </w:tcPr>
          <w:p w:rsidR="00E75C14" w:rsidRPr="00CB32B1" w:rsidRDefault="00E75C14" w:rsidP="00747120">
            <w:pPr>
              <w:pStyle w:val="NumericTableColumnHeadingNormal"/>
              <w:jc w:val="center"/>
              <w:cnfStyle w:val="100000000000"/>
              <w:rPr>
                <w:rFonts w:asciiTheme="majorHAnsi" w:hAnsiTheme="majorHAnsi"/>
              </w:rPr>
            </w:pPr>
            <w:r w:rsidRPr="00CB32B1">
              <w:rPr>
                <w:rFonts w:asciiTheme="majorHAnsi" w:hAnsiTheme="majorHAnsi"/>
              </w:rPr>
              <w:t>2004</w:t>
            </w:r>
          </w:p>
        </w:tc>
        <w:tc>
          <w:tcPr>
            <w:tcW w:w="433" w:type="pct"/>
            <w:shd w:val="clear" w:color="auto" w:fill="DC6900" w:themeFill="text2"/>
            <w:noWrap/>
            <w:vAlign w:val="center"/>
            <w:hideMark/>
          </w:tcPr>
          <w:p w:rsidR="00E75C14" w:rsidRPr="00CB32B1" w:rsidRDefault="00E75C14" w:rsidP="00747120">
            <w:pPr>
              <w:pStyle w:val="NumericTableColumnHeadingNormal"/>
              <w:jc w:val="center"/>
              <w:cnfStyle w:val="100000000000"/>
              <w:rPr>
                <w:rFonts w:asciiTheme="majorHAnsi" w:hAnsiTheme="majorHAnsi"/>
              </w:rPr>
            </w:pPr>
            <w:r w:rsidRPr="00CB32B1">
              <w:rPr>
                <w:rFonts w:asciiTheme="majorHAnsi" w:hAnsiTheme="majorHAnsi"/>
              </w:rPr>
              <w:t>2005</w:t>
            </w:r>
          </w:p>
        </w:tc>
        <w:tc>
          <w:tcPr>
            <w:tcW w:w="433" w:type="pct"/>
            <w:shd w:val="clear" w:color="auto" w:fill="DC6900" w:themeFill="text2"/>
            <w:noWrap/>
            <w:vAlign w:val="center"/>
            <w:hideMark/>
          </w:tcPr>
          <w:p w:rsidR="00E75C14" w:rsidRPr="00CB32B1" w:rsidRDefault="00E75C14" w:rsidP="00747120">
            <w:pPr>
              <w:pStyle w:val="NumericTableColumnHeadingNormal"/>
              <w:jc w:val="center"/>
              <w:cnfStyle w:val="100000000000"/>
              <w:rPr>
                <w:rFonts w:asciiTheme="majorHAnsi" w:hAnsiTheme="majorHAnsi"/>
              </w:rPr>
            </w:pPr>
            <w:r w:rsidRPr="00CB32B1">
              <w:rPr>
                <w:rFonts w:asciiTheme="majorHAnsi" w:hAnsiTheme="majorHAnsi"/>
              </w:rPr>
              <w:t>2006</w:t>
            </w:r>
          </w:p>
        </w:tc>
        <w:tc>
          <w:tcPr>
            <w:tcW w:w="433" w:type="pct"/>
            <w:shd w:val="clear" w:color="auto" w:fill="DC6900" w:themeFill="text2"/>
            <w:noWrap/>
            <w:vAlign w:val="center"/>
            <w:hideMark/>
          </w:tcPr>
          <w:p w:rsidR="00E75C14" w:rsidRPr="00CB32B1" w:rsidRDefault="00E75C14" w:rsidP="00747120">
            <w:pPr>
              <w:pStyle w:val="NumericTableColumnHeadingNormal"/>
              <w:jc w:val="center"/>
              <w:cnfStyle w:val="100000000000"/>
              <w:rPr>
                <w:rFonts w:asciiTheme="majorHAnsi" w:hAnsiTheme="majorHAnsi"/>
              </w:rPr>
            </w:pPr>
            <w:r w:rsidRPr="00CB32B1">
              <w:rPr>
                <w:rFonts w:asciiTheme="majorHAnsi" w:hAnsiTheme="majorHAnsi"/>
              </w:rPr>
              <w:t>2007</w:t>
            </w:r>
          </w:p>
        </w:tc>
        <w:tc>
          <w:tcPr>
            <w:tcW w:w="433" w:type="pct"/>
            <w:shd w:val="clear" w:color="auto" w:fill="DC6900" w:themeFill="text2"/>
            <w:noWrap/>
            <w:vAlign w:val="center"/>
            <w:hideMark/>
          </w:tcPr>
          <w:p w:rsidR="00E75C14" w:rsidRPr="00CB32B1" w:rsidRDefault="00E75C14" w:rsidP="00747120">
            <w:pPr>
              <w:pStyle w:val="NumericTableColumnHeadingNormal"/>
              <w:jc w:val="center"/>
              <w:cnfStyle w:val="100000000000"/>
              <w:rPr>
                <w:rFonts w:asciiTheme="majorHAnsi" w:hAnsiTheme="majorHAnsi"/>
              </w:rPr>
            </w:pPr>
            <w:r w:rsidRPr="00CB32B1">
              <w:rPr>
                <w:rFonts w:asciiTheme="majorHAnsi" w:hAnsiTheme="majorHAnsi"/>
              </w:rPr>
              <w:t>2008</w:t>
            </w:r>
          </w:p>
        </w:tc>
        <w:tc>
          <w:tcPr>
            <w:tcW w:w="433" w:type="pct"/>
            <w:shd w:val="clear" w:color="auto" w:fill="DC6900" w:themeFill="text2"/>
            <w:noWrap/>
            <w:vAlign w:val="center"/>
            <w:hideMark/>
          </w:tcPr>
          <w:p w:rsidR="00E75C14" w:rsidRPr="00CB32B1" w:rsidRDefault="00E75C14" w:rsidP="00747120">
            <w:pPr>
              <w:pStyle w:val="NumericTableColumnHeadingNormal"/>
              <w:jc w:val="center"/>
              <w:cnfStyle w:val="100000000000"/>
              <w:rPr>
                <w:rFonts w:asciiTheme="majorHAnsi" w:hAnsiTheme="majorHAnsi"/>
              </w:rPr>
            </w:pPr>
            <w:r w:rsidRPr="00CB32B1">
              <w:rPr>
                <w:rFonts w:asciiTheme="majorHAnsi" w:hAnsiTheme="majorHAnsi"/>
              </w:rPr>
              <w:t>2009</w:t>
            </w:r>
          </w:p>
        </w:tc>
        <w:tc>
          <w:tcPr>
            <w:tcW w:w="433" w:type="pct"/>
            <w:shd w:val="clear" w:color="auto" w:fill="DC6900" w:themeFill="text2"/>
            <w:noWrap/>
            <w:vAlign w:val="center"/>
            <w:hideMark/>
          </w:tcPr>
          <w:p w:rsidR="00E75C14" w:rsidRPr="00CB32B1" w:rsidRDefault="00E75C14" w:rsidP="00747120">
            <w:pPr>
              <w:pStyle w:val="NumericTableColumnHeadingNormal"/>
              <w:jc w:val="center"/>
              <w:cnfStyle w:val="100000000000"/>
              <w:rPr>
                <w:rFonts w:asciiTheme="majorHAnsi" w:hAnsiTheme="majorHAnsi"/>
              </w:rPr>
            </w:pPr>
            <w:r w:rsidRPr="00CB32B1">
              <w:rPr>
                <w:rFonts w:asciiTheme="majorHAnsi" w:hAnsiTheme="majorHAnsi"/>
              </w:rPr>
              <w:t>2010</w:t>
            </w:r>
          </w:p>
        </w:tc>
      </w:tr>
      <w:tr w:rsidR="00723DA6" w:rsidRPr="00CB32B1" w:rsidTr="00723DA6">
        <w:trPr>
          <w:trHeight w:val="300"/>
        </w:trPr>
        <w:tc>
          <w:tcPr>
            <w:cnfStyle w:val="001000000000"/>
            <w:tcW w:w="669" w:type="pct"/>
            <w:noWrap/>
            <w:hideMark/>
          </w:tcPr>
          <w:p w:rsidR="00E75C14" w:rsidRPr="00CB32B1" w:rsidRDefault="00E75C14" w:rsidP="00E75C14">
            <w:pPr>
              <w:pStyle w:val="NumericTableTextNormal"/>
              <w:rPr>
                <w:rFonts w:asciiTheme="majorHAnsi" w:hAnsiTheme="majorHAnsi"/>
              </w:rPr>
            </w:pPr>
            <w:r w:rsidRPr="00CB32B1">
              <w:rPr>
                <w:rFonts w:asciiTheme="majorHAnsi" w:hAnsiTheme="majorHAnsi"/>
              </w:rPr>
              <w:t>Number of homebirths by women</w:t>
            </w:r>
          </w:p>
        </w:tc>
        <w:tc>
          <w:tcPr>
            <w:tcW w:w="433" w:type="pct"/>
            <w:noWrap/>
            <w:hideMark/>
          </w:tcPr>
          <w:p w:rsidR="00E75C14" w:rsidRPr="00CB32B1" w:rsidRDefault="00E75C14" w:rsidP="00E75C14">
            <w:pPr>
              <w:pStyle w:val="NumericTableTextDecimalNormal"/>
              <w:tabs>
                <w:tab w:val="clear" w:pos="1004"/>
                <w:tab w:val="decimal" w:pos="403"/>
              </w:tabs>
              <w:cnfStyle w:val="000000000000"/>
              <w:rPr>
                <w:rFonts w:asciiTheme="majorHAnsi" w:hAnsiTheme="majorHAnsi"/>
              </w:rPr>
            </w:pPr>
            <w:r w:rsidRPr="00CB32B1">
              <w:rPr>
                <w:rFonts w:asciiTheme="majorHAnsi" w:hAnsiTheme="majorHAnsi"/>
              </w:rPr>
              <w:t>699</w:t>
            </w:r>
          </w:p>
        </w:tc>
        <w:tc>
          <w:tcPr>
            <w:tcW w:w="433" w:type="pct"/>
            <w:noWrap/>
            <w:hideMark/>
          </w:tcPr>
          <w:p w:rsidR="00E75C14" w:rsidRPr="00CB32B1" w:rsidRDefault="00E75C14" w:rsidP="00E75C14">
            <w:pPr>
              <w:pStyle w:val="NumericTableTextDecimalNormal"/>
              <w:tabs>
                <w:tab w:val="clear" w:pos="1004"/>
                <w:tab w:val="decimal" w:pos="469"/>
              </w:tabs>
              <w:cnfStyle w:val="000000000000"/>
              <w:rPr>
                <w:rFonts w:asciiTheme="majorHAnsi" w:hAnsiTheme="majorHAnsi"/>
              </w:rPr>
            </w:pPr>
            <w:r w:rsidRPr="00CB32B1">
              <w:rPr>
                <w:rFonts w:asciiTheme="majorHAnsi" w:hAnsiTheme="majorHAnsi"/>
              </w:rPr>
              <w:t>637</w:t>
            </w:r>
          </w:p>
        </w:tc>
        <w:tc>
          <w:tcPr>
            <w:tcW w:w="433" w:type="pct"/>
            <w:noWrap/>
            <w:hideMark/>
          </w:tcPr>
          <w:p w:rsidR="00E75C14" w:rsidRPr="00CB32B1" w:rsidRDefault="00E75C14" w:rsidP="00E75C14">
            <w:pPr>
              <w:pStyle w:val="NumericTableTextDecimalNormal"/>
              <w:tabs>
                <w:tab w:val="clear" w:pos="1004"/>
                <w:tab w:val="decimal" w:pos="463"/>
              </w:tabs>
              <w:cnfStyle w:val="000000000000"/>
              <w:rPr>
                <w:rFonts w:asciiTheme="majorHAnsi" w:hAnsiTheme="majorHAnsi"/>
              </w:rPr>
            </w:pPr>
            <w:r w:rsidRPr="00CB32B1">
              <w:rPr>
                <w:rFonts w:asciiTheme="majorHAnsi" w:hAnsiTheme="majorHAnsi"/>
              </w:rPr>
              <w:t>576</w:t>
            </w:r>
          </w:p>
        </w:tc>
        <w:tc>
          <w:tcPr>
            <w:tcW w:w="433" w:type="pct"/>
            <w:noWrap/>
            <w:hideMark/>
          </w:tcPr>
          <w:p w:rsidR="00E75C14" w:rsidRPr="00CB32B1" w:rsidRDefault="00E75C14" w:rsidP="00E75C14">
            <w:pPr>
              <w:pStyle w:val="NumericTableTextDecimalNormal"/>
              <w:tabs>
                <w:tab w:val="clear" w:pos="1004"/>
                <w:tab w:val="decimal" w:pos="448"/>
              </w:tabs>
              <w:cnfStyle w:val="000000000000"/>
              <w:rPr>
                <w:rFonts w:asciiTheme="majorHAnsi" w:hAnsiTheme="majorHAnsi"/>
              </w:rPr>
            </w:pPr>
            <w:r w:rsidRPr="00CB32B1">
              <w:rPr>
                <w:rFonts w:asciiTheme="majorHAnsi" w:hAnsiTheme="majorHAnsi"/>
              </w:rPr>
              <w:t>589</w:t>
            </w:r>
          </w:p>
        </w:tc>
        <w:tc>
          <w:tcPr>
            <w:tcW w:w="433" w:type="pct"/>
            <w:noWrap/>
            <w:hideMark/>
          </w:tcPr>
          <w:p w:rsidR="00E75C14" w:rsidRPr="00CB32B1" w:rsidRDefault="00E75C14" w:rsidP="00E75C14">
            <w:pPr>
              <w:pStyle w:val="NumericTableTextDecimalNormal"/>
              <w:tabs>
                <w:tab w:val="clear" w:pos="1004"/>
                <w:tab w:val="decimal" w:pos="424"/>
              </w:tabs>
              <w:cnfStyle w:val="000000000000"/>
              <w:rPr>
                <w:rFonts w:asciiTheme="majorHAnsi" w:hAnsiTheme="majorHAnsi"/>
              </w:rPr>
            </w:pPr>
            <w:r w:rsidRPr="00CB32B1">
              <w:rPr>
                <w:rFonts w:asciiTheme="majorHAnsi" w:hAnsiTheme="majorHAnsi"/>
              </w:rPr>
              <w:t>601</w:t>
            </w:r>
          </w:p>
        </w:tc>
        <w:tc>
          <w:tcPr>
            <w:tcW w:w="433" w:type="pct"/>
            <w:noWrap/>
            <w:hideMark/>
          </w:tcPr>
          <w:p w:rsidR="00E75C14" w:rsidRPr="00CB32B1" w:rsidRDefault="00E75C14" w:rsidP="00E75C14">
            <w:pPr>
              <w:pStyle w:val="NumericTableTextDecimalNormal"/>
              <w:tabs>
                <w:tab w:val="clear" w:pos="1004"/>
                <w:tab w:val="decimal" w:pos="445"/>
              </w:tabs>
              <w:cnfStyle w:val="000000000000"/>
              <w:rPr>
                <w:rFonts w:asciiTheme="majorHAnsi" w:hAnsiTheme="majorHAnsi"/>
              </w:rPr>
            </w:pPr>
            <w:r w:rsidRPr="00CB32B1">
              <w:rPr>
                <w:rFonts w:asciiTheme="majorHAnsi" w:hAnsiTheme="majorHAnsi"/>
              </w:rPr>
              <w:t>708</w:t>
            </w:r>
          </w:p>
        </w:tc>
        <w:tc>
          <w:tcPr>
            <w:tcW w:w="433" w:type="pct"/>
            <w:noWrap/>
            <w:hideMark/>
          </w:tcPr>
          <w:p w:rsidR="00E75C14" w:rsidRPr="00CB32B1" w:rsidRDefault="00E75C14" w:rsidP="00E75C14">
            <w:pPr>
              <w:pStyle w:val="NumericTableTextDecimalNormal"/>
              <w:tabs>
                <w:tab w:val="clear" w:pos="1004"/>
                <w:tab w:val="decimal" w:pos="421"/>
              </w:tabs>
              <w:cnfStyle w:val="000000000000"/>
              <w:rPr>
                <w:rFonts w:asciiTheme="majorHAnsi" w:hAnsiTheme="majorHAnsi"/>
              </w:rPr>
            </w:pPr>
            <w:r w:rsidRPr="00CB32B1">
              <w:rPr>
                <w:rFonts w:asciiTheme="majorHAnsi" w:hAnsiTheme="majorHAnsi"/>
              </w:rPr>
              <w:t>870</w:t>
            </w:r>
          </w:p>
        </w:tc>
        <w:tc>
          <w:tcPr>
            <w:tcW w:w="433" w:type="pct"/>
            <w:noWrap/>
            <w:hideMark/>
          </w:tcPr>
          <w:p w:rsidR="00E75C14" w:rsidRPr="00CB32B1" w:rsidRDefault="00E75C14" w:rsidP="00E75C14">
            <w:pPr>
              <w:pStyle w:val="NumericTableTextDecimalNormal"/>
              <w:tabs>
                <w:tab w:val="clear" w:pos="1004"/>
                <w:tab w:val="decimal" w:pos="442"/>
              </w:tabs>
              <w:cnfStyle w:val="000000000000"/>
              <w:rPr>
                <w:rFonts w:asciiTheme="majorHAnsi" w:hAnsiTheme="majorHAnsi"/>
              </w:rPr>
            </w:pPr>
            <w:r w:rsidRPr="00CB32B1">
              <w:rPr>
                <w:rFonts w:asciiTheme="majorHAnsi" w:hAnsiTheme="majorHAnsi"/>
              </w:rPr>
              <w:t>1,000</w:t>
            </w:r>
          </w:p>
        </w:tc>
        <w:tc>
          <w:tcPr>
            <w:tcW w:w="433" w:type="pct"/>
            <w:noWrap/>
            <w:hideMark/>
          </w:tcPr>
          <w:p w:rsidR="00E75C14" w:rsidRPr="00CB32B1" w:rsidRDefault="00E75C14" w:rsidP="00E75C14">
            <w:pPr>
              <w:pStyle w:val="NumericTableTextDecimalNormal"/>
              <w:tabs>
                <w:tab w:val="clear" w:pos="1004"/>
                <w:tab w:val="decimal" w:pos="481"/>
              </w:tabs>
              <w:cnfStyle w:val="000000000000"/>
              <w:rPr>
                <w:rFonts w:asciiTheme="majorHAnsi" w:hAnsiTheme="majorHAnsi"/>
              </w:rPr>
            </w:pPr>
            <w:r w:rsidRPr="00CB32B1">
              <w:rPr>
                <w:rFonts w:asciiTheme="majorHAnsi" w:hAnsiTheme="majorHAnsi"/>
              </w:rPr>
              <w:t>863</w:t>
            </w:r>
          </w:p>
        </w:tc>
        <w:tc>
          <w:tcPr>
            <w:tcW w:w="433" w:type="pct"/>
            <w:noWrap/>
            <w:hideMark/>
          </w:tcPr>
          <w:p w:rsidR="00E75C14" w:rsidRPr="00CB32B1" w:rsidRDefault="00E75C14" w:rsidP="00E75C14">
            <w:pPr>
              <w:pStyle w:val="NumericTableTextDecimalNormal"/>
              <w:tabs>
                <w:tab w:val="clear" w:pos="1004"/>
                <w:tab w:val="decimal" w:pos="511"/>
              </w:tabs>
              <w:cnfStyle w:val="000000000000"/>
              <w:rPr>
                <w:rFonts w:asciiTheme="majorHAnsi" w:hAnsiTheme="majorHAnsi"/>
              </w:rPr>
            </w:pPr>
            <w:r w:rsidRPr="00CB32B1">
              <w:rPr>
                <w:rFonts w:asciiTheme="majorHAnsi" w:hAnsiTheme="majorHAnsi"/>
              </w:rPr>
              <w:t>1,345</w:t>
            </w:r>
          </w:p>
        </w:tc>
      </w:tr>
      <w:tr w:rsidR="00723DA6" w:rsidRPr="00CB32B1" w:rsidTr="00723DA6">
        <w:trPr>
          <w:trHeight w:val="300"/>
        </w:trPr>
        <w:tc>
          <w:tcPr>
            <w:cnfStyle w:val="001000000000"/>
            <w:tcW w:w="669" w:type="pct"/>
            <w:noWrap/>
          </w:tcPr>
          <w:p w:rsidR="00E75C14" w:rsidRPr="00CB32B1" w:rsidRDefault="00E75C14" w:rsidP="00E75C14">
            <w:pPr>
              <w:pStyle w:val="NumericTableTextNormal"/>
              <w:rPr>
                <w:rFonts w:asciiTheme="majorHAnsi" w:hAnsiTheme="majorHAnsi"/>
              </w:rPr>
            </w:pPr>
            <w:r w:rsidRPr="00CB32B1">
              <w:rPr>
                <w:rFonts w:asciiTheme="majorHAnsi" w:hAnsiTheme="majorHAnsi"/>
              </w:rPr>
              <w:t>Total number of births</w:t>
            </w:r>
            <w:r w:rsidR="00723DA6">
              <w:rPr>
                <w:rFonts w:asciiTheme="majorHAnsi" w:hAnsiTheme="majorHAnsi"/>
              </w:rPr>
              <w:t xml:space="preserve"> at home</w:t>
            </w:r>
            <w:r w:rsidRPr="00CB32B1">
              <w:rPr>
                <w:rFonts w:asciiTheme="majorHAnsi" w:hAnsiTheme="majorHAnsi"/>
              </w:rPr>
              <w:t>:</w:t>
            </w:r>
          </w:p>
        </w:tc>
        <w:tc>
          <w:tcPr>
            <w:tcW w:w="433" w:type="pct"/>
            <w:noWrap/>
          </w:tcPr>
          <w:p w:rsidR="00E75C14" w:rsidRPr="00872729" w:rsidRDefault="00872729" w:rsidP="00E75C14">
            <w:pPr>
              <w:pStyle w:val="NumericTableTextDecimalNormal"/>
              <w:tabs>
                <w:tab w:val="clear" w:pos="1004"/>
                <w:tab w:val="decimal" w:pos="403"/>
              </w:tabs>
              <w:cnfStyle w:val="000000000000"/>
              <w:rPr>
                <w:rFonts w:asciiTheme="majorHAnsi" w:hAnsiTheme="majorHAnsi"/>
                <w:b/>
                <w:color w:val="DC6900" w:themeColor="text2"/>
              </w:rPr>
            </w:pPr>
            <w:r w:rsidRPr="00872729">
              <w:rPr>
                <w:rFonts w:asciiTheme="majorHAnsi" w:hAnsiTheme="majorHAnsi"/>
                <w:b/>
                <w:color w:val="DC6900" w:themeColor="text2"/>
              </w:rPr>
              <w:t>nr*</w:t>
            </w:r>
          </w:p>
        </w:tc>
        <w:tc>
          <w:tcPr>
            <w:tcW w:w="433" w:type="pct"/>
            <w:noWrap/>
          </w:tcPr>
          <w:p w:rsidR="00E75C14" w:rsidRPr="00872729" w:rsidRDefault="00E75C14" w:rsidP="00E75C14">
            <w:pPr>
              <w:pStyle w:val="NumericTableTextDecimalNormal"/>
              <w:tabs>
                <w:tab w:val="clear" w:pos="1004"/>
                <w:tab w:val="decimal" w:pos="469"/>
              </w:tabs>
              <w:cnfStyle w:val="000000000000"/>
              <w:rPr>
                <w:rFonts w:asciiTheme="majorHAnsi" w:hAnsiTheme="majorHAnsi"/>
                <w:b/>
                <w:color w:val="DC6900" w:themeColor="text2"/>
              </w:rPr>
            </w:pPr>
            <w:r w:rsidRPr="00872729">
              <w:rPr>
                <w:rFonts w:asciiTheme="majorHAnsi" w:hAnsiTheme="majorHAnsi"/>
                <w:b/>
                <w:color w:val="DC6900" w:themeColor="text2"/>
              </w:rPr>
              <w:t>639</w:t>
            </w:r>
          </w:p>
        </w:tc>
        <w:tc>
          <w:tcPr>
            <w:tcW w:w="433" w:type="pct"/>
            <w:noWrap/>
          </w:tcPr>
          <w:p w:rsidR="00E75C14" w:rsidRPr="00872729" w:rsidRDefault="00872729" w:rsidP="00E75C14">
            <w:pPr>
              <w:pStyle w:val="NumericTableTextDecimalNormal"/>
              <w:tabs>
                <w:tab w:val="clear" w:pos="1004"/>
                <w:tab w:val="decimal" w:pos="463"/>
              </w:tabs>
              <w:cnfStyle w:val="000000000000"/>
              <w:rPr>
                <w:rFonts w:asciiTheme="majorHAnsi" w:hAnsiTheme="majorHAnsi"/>
                <w:b/>
                <w:color w:val="DC6900" w:themeColor="text2"/>
              </w:rPr>
            </w:pPr>
            <w:r w:rsidRPr="00872729">
              <w:rPr>
                <w:rFonts w:asciiTheme="majorHAnsi" w:hAnsiTheme="majorHAnsi"/>
                <w:b/>
                <w:color w:val="DC6900" w:themeColor="text2"/>
              </w:rPr>
              <w:t>nr*</w:t>
            </w:r>
          </w:p>
        </w:tc>
        <w:tc>
          <w:tcPr>
            <w:tcW w:w="433" w:type="pct"/>
            <w:noWrap/>
          </w:tcPr>
          <w:p w:rsidR="00E75C14" w:rsidRPr="00CB32B1" w:rsidRDefault="00E75C14" w:rsidP="00E75C14">
            <w:pPr>
              <w:pStyle w:val="NumericTableTextDecimalNormal"/>
              <w:tabs>
                <w:tab w:val="clear" w:pos="1004"/>
                <w:tab w:val="decimal" w:pos="448"/>
              </w:tabs>
              <w:cnfStyle w:val="000000000000"/>
              <w:rPr>
                <w:rFonts w:asciiTheme="majorHAnsi" w:hAnsiTheme="majorHAnsi"/>
                <w:b/>
                <w:color w:val="DC6900" w:themeColor="text2"/>
              </w:rPr>
            </w:pPr>
            <w:r w:rsidRPr="00CB32B1">
              <w:rPr>
                <w:rFonts w:asciiTheme="majorHAnsi" w:hAnsiTheme="majorHAnsi"/>
                <w:b/>
                <w:color w:val="DC6900" w:themeColor="text2"/>
              </w:rPr>
              <w:t>592</w:t>
            </w:r>
          </w:p>
        </w:tc>
        <w:tc>
          <w:tcPr>
            <w:tcW w:w="433" w:type="pct"/>
            <w:noWrap/>
          </w:tcPr>
          <w:p w:rsidR="00E75C14" w:rsidRPr="00CB32B1" w:rsidRDefault="00E75C14" w:rsidP="00E75C14">
            <w:pPr>
              <w:pStyle w:val="NumericTableTextDecimalNormal"/>
              <w:tabs>
                <w:tab w:val="clear" w:pos="1004"/>
                <w:tab w:val="decimal" w:pos="424"/>
              </w:tabs>
              <w:cnfStyle w:val="000000000000"/>
              <w:rPr>
                <w:rFonts w:asciiTheme="majorHAnsi" w:hAnsiTheme="majorHAnsi"/>
                <w:b/>
                <w:color w:val="DC6900" w:themeColor="text2"/>
              </w:rPr>
            </w:pPr>
            <w:r w:rsidRPr="00CB32B1">
              <w:rPr>
                <w:rFonts w:asciiTheme="majorHAnsi" w:hAnsiTheme="majorHAnsi"/>
                <w:b/>
                <w:color w:val="DC6900" w:themeColor="text2"/>
              </w:rPr>
              <w:t>603</w:t>
            </w:r>
          </w:p>
        </w:tc>
        <w:tc>
          <w:tcPr>
            <w:tcW w:w="433" w:type="pct"/>
            <w:noWrap/>
          </w:tcPr>
          <w:p w:rsidR="00E75C14" w:rsidRPr="00CB32B1" w:rsidRDefault="00E75C14" w:rsidP="00E75C14">
            <w:pPr>
              <w:pStyle w:val="NumericTableTextDecimalNormal"/>
              <w:tabs>
                <w:tab w:val="clear" w:pos="1004"/>
                <w:tab w:val="decimal" w:pos="445"/>
              </w:tabs>
              <w:cnfStyle w:val="000000000000"/>
              <w:rPr>
                <w:rFonts w:asciiTheme="majorHAnsi" w:hAnsiTheme="majorHAnsi"/>
                <w:b/>
                <w:color w:val="DC6900" w:themeColor="text2"/>
              </w:rPr>
            </w:pPr>
            <w:r w:rsidRPr="00CB32B1">
              <w:rPr>
                <w:rFonts w:asciiTheme="majorHAnsi" w:hAnsiTheme="majorHAnsi"/>
                <w:b/>
                <w:color w:val="DC6900" w:themeColor="text2"/>
              </w:rPr>
              <w:t>711</w:t>
            </w:r>
          </w:p>
        </w:tc>
        <w:tc>
          <w:tcPr>
            <w:tcW w:w="433" w:type="pct"/>
            <w:noWrap/>
          </w:tcPr>
          <w:p w:rsidR="00E75C14" w:rsidRPr="00CB32B1" w:rsidRDefault="00E75C14" w:rsidP="00E75C14">
            <w:pPr>
              <w:pStyle w:val="NumericTableTextDecimalNormal"/>
              <w:tabs>
                <w:tab w:val="clear" w:pos="1004"/>
                <w:tab w:val="decimal" w:pos="421"/>
              </w:tabs>
              <w:cnfStyle w:val="000000000000"/>
              <w:rPr>
                <w:rFonts w:asciiTheme="majorHAnsi" w:hAnsiTheme="majorHAnsi"/>
                <w:b/>
                <w:color w:val="DC6900" w:themeColor="text2"/>
              </w:rPr>
            </w:pPr>
            <w:r w:rsidRPr="00CB32B1">
              <w:rPr>
                <w:rFonts w:asciiTheme="majorHAnsi" w:hAnsiTheme="majorHAnsi"/>
                <w:b/>
                <w:color w:val="DC6900" w:themeColor="text2"/>
              </w:rPr>
              <w:t>874</w:t>
            </w:r>
          </w:p>
        </w:tc>
        <w:tc>
          <w:tcPr>
            <w:tcW w:w="433" w:type="pct"/>
            <w:noWrap/>
          </w:tcPr>
          <w:p w:rsidR="00E75C14" w:rsidRPr="00CB32B1" w:rsidRDefault="00E75C14" w:rsidP="00E75C14">
            <w:pPr>
              <w:pStyle w:val="NumericTableTextDecimalNormal"/>
              <w:tabs>
                <w:tab w:val="clear" w:pos="1004"/>
                <w:tab w:val="decimal" w:pos="442"/>
              </w:tabs>
              <w:cnfStyle w:val="000000000000"/>
              <w:rPr>
                <w:rFonts w:asciiTheme="majorHAnsi" w:hAnsiTheme="majorHAnsi"/>
                <w:b/>
                <w:color w:val="DC6900" w:themeColor="text2"/>
              </w:rPr>
            </w:pPr>
            <w:r w:rsidRPr="00CB32B1">
              <w:rPr>
                <w:rFonts w:asciiTheme="majorHAnsi" w:hAnsiTheme="majorHAnsi"/>
                <w:b/>
                <w:color w:val="DC6900" w:themeColor="text2"/>
              </w:rPr>
              <w:t>1,002</w:t>
            </w:r>
          </w:p>
        </w:tc>
        <w:tc>
          <w:tcPr>
            <w:tcW w:w="433" w:type="pct"/>
            <w:noWrap/>
          </w:tcPr>
          <w:p w:rsidR="00E75C14" w:rsidRPr="00CB32B1" w:rsidRDefault="00E75C14" w:rsidP="00E75C14">
            <w:pPr>
              <w:pStyle w:val="NumericTableTextDecimalNormal"/>
              <w:tabs>
                <w:tab w:val="clear" w:pos="1004"/>
                <w:tab w:val="decimal" w:pos="481"/>
              </w:tabs>
              <w:cnfStyle w:val="000000000000"/>
              <w:rPr>
                <w:rFonts w:asciiTheme="majorHAnsi" w:hAnsiTheme="majorHAnsi"/>
                <w:b/>
                <w:color w:val="DC6900" w:themeColor="text2"/>
              </w:rPr>
            </w:pPr>
            <w:r w:rsidRPr="00CB32B1">
              <w:rPr>
                <w:rFonts w:asciiTheme="majorHAnsi" w:hAnsiTheme="majorHAnsi"/>
                <w:b/>
                <w:color w:val="DC6900" w:themeColor="text2"/>
              </w:rPr>
              <w:t>864</w:t>
            </w:r>
          </w:p>
        </w:tc>
        <w:tc>
          <w:tcPr>
            <w:tcW w:w="433" w:type="pct"/>
            <w:noWrap/>
          </w:tcPr>
          <w:p w:rsidR="00E75C14" w:rsidRPr="00CB32B1" w:rsidRDefault="00E75C14" w:rsidP="00E75C14">
            <w:pPr>
              <w:pStyle w:val="NumericTableTextDecimalNormal"/>
              <w:tabs>
                <w:tab w:val="clear" w:pos="1004"/>
                <w:tab w:val="decimal" w:pos="511"/>
              </w:tabs>
              <w:cnfStyle w:val="000000000000"/>
              <w:rPr>
                <w:rFonts w:asciiTheme="majorHAnsi" w:hAnsiTheme="majorHAnsi"/>
                <w:b/>
                <w:color w:val="DC6900" w:themeColor="text2"/>
              </w:rPr>
            </w:pPr>
            <w:r w:rsidRPr="00CB32B1">
              <w:rPr>
                <w:rFonts w:asciiTheme="majorHAnsi" w:hAnsiTheme="majorHAnsi"/>
                <w:b/>
                <w:color w:val="DC6900" w:themeColor="text2"/>
              </w:rPr>
              <w:t>1,354</w:t>
            </w:r>
          </w:p>
        </w:tc>
      </w:tr>
      <w:tr w:rsidR="00723DA6" w:rsidRPr="00CB32B1" w:rsidTr="00723DA6">
        <w:trPr>
          <w:trHeight w:val="300"/>
        </w:trPr>
        <w:tc>
          <w:tcPr>
            <w:cnfStyle w:val="001000000000"/>
            <w:tcW w:w="669" w:type="pct"/>
            <w:noWrap/>
          </w:tcPr>
          <w:p w:rsidR="00E75C14" w:rsidRPr="00723DA6" w:rsidRDefault="00723DA6" w:rsidP="00723DA6">
            <w:pPr>
              <w:pStyle w:val="NumericTableTextNormal"/>
              <w:rPr>
                <w:rFonts w:asciiTheme="majorHAnsi" w:hAnsiTheme="majorHAnsi"/>
                <w:i/>
              </w:rPr>
            </w:pPr>
            <w:r>
              <w:rPr>
                <w:rFonts w:asciiTheme="majorHAnsi" w:hAnsiTheme="majorHAnsi"/>
                <w:i/>
              </w:rPr>
              <w:t>L</w:t>
            </w:r>
            <w:r w:rsidR="00E75C14" w:rsidRPr="00723DA6">
              <w:rPr>
                <w:rFonts w:asciiTheme="majorHAnsi" w:hAnsiTheme="majorHAnsi"/>
                <w:i/>
              </w:rPr>
              <w:t>ive birth</w:t>
            </w:r>
            <w:r>
              <w:rPr>
                <w:rFonts w:asciiTheme="majorHAnsi" w:hAnsiTheme="majorHAnsi"/>
                <w:i/>
              </w:rPr>
              <w:t>s</w:t>
            </w:r>
          </w:p>
        </w:tc>
        <w:tc>
          <w:tcPr>
            <w:tcW w:w="433" w:type="pct"/>
            <w:noWrap/>
          </w:tcPr>
          <w:p w:rsidR="00E75C14" w:rsidRPr="00723DA6" w:rsidRDefault="00872729" w:rsidP="00E75C14">
            <w:pPr>
              <w:pStyle w:val="NumericTableTextDecimalNormal"/>
              <w:tabs>
                <w:tab w:val="clear" w:pos="1004"/>
                <w:tab w:val="decimal" w:pos="403"/>
              </w:tabs>
              <w:cnfStyle w:val="000000000000"/>
              <w:rPr>
                <w:rFonts w:asciiTheme="majorHAnsi" w:hAnsiTheme="majorHAnsi"/>
                <w:i/>
              </w:rPr>
            </w:pPr>
            <w:r w:rsidRPr="00723DA6">
              <w:rPr>
                <w:rFonts w:asciiTheme="majorHAnsi" w:hAnsiTheme="majorHAnsi"/>
                <w:i/>
              </w:rPr>
              <w:t>nr*</w:t>
            </w:r>
          </w:p>
        </w:tc>
        <w:tc>
          <w:tcPr>
            <w:tcW w:w="433" w:type="pct"/>
            <w:noWrap/>
          </w:tcPr>
          <w:p w:rsidR="00E75C14" w:rsidRPr="00723DA6" w:rsidRDefault="00E75C14" w:rsidP="00E75C14">
            <w:pPr>
              <w:pStyle w:val="NumericTableTextDecimalNormal"/>
              <w:tabs>
                <w:tab w:val="clear" w:pos="1004"/>
                <w:tab w:val="decimal" w:pos="469"/>
              </w:tabs>
              <w:cnfStyle w:val="000000000000"/>
              <w:rPr>
                <w:rFonts w:asciiTheme="majorHAnsi" w:hAnsiTheme="majorHAnsi"/>
                <w:i/>
              </w:rPr>
            </w:pPr>
            <w:r w:rsidRPr="00723DA6">
              <w:rPr>
                <w:rFonts w:asciiTheme="majorHAnsi" w:hAnsiTheme="majorHAnsi"/>
                <w:i/>
              </w:rPr>
              <w:t>630</w:t>
            </w:r>
          </w:p>
        </w:tc>
        <w:tc>
          <w:tcPr>
            <w:tcW w:w="433" w:type="pct"/>
            <w:noWrap/>
          </w:tcPr>
          <w:p w:rsidR="00E75C14" w:rsidRPr="00723DA6" w:rsidRDefault="00872729" w:rsidP="00E75C14">
            <w:pPr>
              <w:pStyle w:val="NumericTableTextDecimalNormal"/>
              <w:tabs>
                <w:tab w:val="clear" w:pos="1004"/>
                <w:tab w:val="decimal" w:pos="463"/>
              </w:tabs>
              <w:cnfStyle w:val="000000000000"/>
              <w:rPr>
                <w:rFonts w:asciiTheme="majorHAnsi" w:hAnsiTheme="majorHAnsi"/>
                <w:i/>
              </w:rPr>
            </w:pPr>
            <w:r w:rsidRPr="00723DA6">
              <w:rPr>
                <w:rFonts w:asciiTheme="majorHAnsi" w:hAnsiTheme="majorHAnsi"/>
                <w:i/>
              </w:rPr>
              <w:t>nr*</w:t>
            </w:r>
          </w:p>
        </w:tc>
        <w:tc>
          <w:tcPr>
            <w:tcW w:w="433" w:type="pct"/>
            <w:noWrap/>
          </w:tcPr>
          <w:p w:rsidR="00E75C14" w:rsidRPr="00723DA6" w:rsidRDefault="00E75C14" w:rsidP="00E75C14">
            <w:pPr>
              <w:pStyle w:val="NumericTableTextDecimalNormal"/>
              <w:tabs>
                <w:tab w:val="clear" w:pos="1004"/>
                <w:tab w:val="decimal" w:pos="448"/>
              </w:tabs>
              <w:cnfStyle w:val="000000000000"/>
              <w:rPr>
                <w:rFonts w:asciiTheme="majorHAnsi" w:hAnsiTheme="majorHAnsi"/>
                <w:i/>
              </w:rPr>
            </w:pPr>
            <w:r w:rsidRPr="00723DA6">
              <w:rPr>
                <w:rFonts w:asciiTheme="majorHAnsi" w:hAnsiTheme="majorHAnsi"/>
                <w:i/>
              </w:rPr>
              <w:t>592</w:t>
            </w:r>
          </w:p>
        </w:tc>
        <w:tc>
          <w:tcPr>
            <w:tcW w:w="433" w:type="pct"/>
            <w:noWrap/>
          </w:tcPr>
          <w:p w:rsidR="00E75C14" w:rsidRPr="00723DA6" w:rsidRDefault="00E75C14" w:rsidP="00E75C14">
            <w:pPr>
              <w:pStyle w:val="NumericTableTextDecimalNormal"/>
              <w:tabs>
                <w:tab w:val="clear" w:pos="1004"/>
                <w:tab w:val="decimal" w:pos="424"/>
              </w:tabs>
              <w:cnfStyle w:val="000000000000"/>
              <w:rPr>
                <w:rFonts w:asciiTheme="majorHAnsi" w:hAnsiTheme="majorHAnsi"/>
                <w:i/>
              </w:rPr>
            </w:pPr>
            <w:r w:rsidRPr="00723DA6">
              <w:rPr>
                <w:rFonts w:asciiTheme="majorHAnsi" w:hAnsiTheme="majorHAnsi"/>
                <w:i/>
              </w:rPr>
              <w:t>601</w:t>
            </w:r>
          </w:p>
        </w:tc>
        <w:tc>
          <w:tcPr>
            <w:tcW w:w="433" w:type="pct"/>
            <w:noWrap/>
          </w:tcPr>
          <w:p w:rsidR="00E75C14" w:rsidRPr="00723DA6" w:rsidRDefault="00E75C14" w:rsidP="00E75C14">
            <w:pPr>
              <w:pStyle w:val="NumericTableTextDecimalNormal"/>
              <w:tabs>
                <w:tab w:val="clear" w:pos="1004"/>
                <w:tab w:val="decimal" w:pos="445"/>
              </w:tabs>
              <w:cnfStyle w:val="000000000000"/>
              <w:rPr>
                <w:rFonts w:asciiTheme="majorHAnsi" w:hAnsiTheme="majorHAnsi"/>
                <w:i/>
              </w:rPr>
            </w:pPr>
            <w:r w:rsidRPr="00723DA6">
              <w:rPr>
                <w:rFonts w:asciiTheme="majorHAnsi" w:hAnsiTheme="majorHAnsi"/>
                <w:i/>
              </w:rPr>
              <w:t>711</w:t>
            </w:r>
          </w:p>
        </w:tc>
        <w:tc>
          <w:tcPr>
            <w:tcW w:w="433" w:type="pct"/>
            <w:noWrap/>
          </w:tcPr>
          <w:p w:rsidR="00E75C14" w:rsidRPr="00723DA6" w:rsidRDefault="00E75C14" w:rsidP="00E75C14">
            <w:pPr>
              <w:pStyle w:val="NumericTableTextDecimalNormal"/>
              <w:tabs>
                <w:tab w:val="clear" w:pos="1004"/>
                <w:tab w:val="decimal" w:pos="421"/>
              </w:tabs>
              <w:cnfStyle w:val="000000000000"/>
              <w:rPr>
                <w:rFonts w:asciiTheme="majorHAnsi" w:hAnsiTheme="majorHAnsi"/>
                <w:i/>
              </w:rPr>
            </w:pPr>
            <w:r w:rsidRPr="00723DA6">
              <w:rPr>
                <w:rFonts w:asciiTheme="majorHAnsi" w:hAnsiTheme="majorHAnsi"/>
                <w:i/>
              </w:rPr>
              <w:t>871</w:t>
            </w:r>
          </w:p>
        </w:tc>
        <w:tc>
          <w:tcPr>
            <w:tcW w:w="433" w:type="pct"/>
            <w:noWrap/>
          </w:tcPr>
          <w:p w:rsidR="00E75C14" w:rsidRPr="00723DA6" w:rsidRDefault="00E75C14" w:rsidP="00E75C14">
            <w:pPr>
              <w:pStyle w:val="NumericTableTextDecimalNormal"/>
              <w:tabs>
                <w:tab w:val="clear" w:pos="1004"/>
                <w:tab w:val="decimal" w:pos="442"/>
              </w:tabs>
              <w:cnfStyle w:val="000000000000"/>
              <w:rPr>
                <w:rFonts w:asciiTheme="majorHAnsi" w:hAnsiTheme="majorHAnsi"/>
                <w:i/>
              </w:rPr>
            </w:pPr>
            <w:r w:rsidRPr="00723DA6">
              <w:rPr>
                <w:rFonts w:asciiTheme="majorHAnsi" w:hAnsiTheme="majorHAnsi"/>
                <w:i/>
              </w:rPr>
              <w:t>996</w:t>
            </w:r>
          </w:p>
        </w:tc>
        <w:tc>
          <w:tcPr>
            <w:tcW w:w="433" w:type="pct"/>
            <w:noWrap/>
          </w:tcPr>
          <w:p w:rsidR="00E75C14" w:rsidRPr="00723DA6" w:rsidRDefault="00E75C14" w:rsidP="00E75C14">
            <w:pPr>
              <w:pStyle w:val="NumericTableTextDecimalNormal"/>
              <w:tabs>
                <w:tab w:val="clear" w:pos="1004"/>
                <w:tab w:val="decimal" w:pos="481"/>
              </w:tabs>
              <w:cnfStyle w:val="000000000000"/>
              <w:rPr>
                <w:rFonts w:asciiTheme="majorHAnsi" w:hAnsiTheme="majorHAnsi"/>
                <w:i/>
              </w:rPr>
            </w:pPr>
            <w:r w:rsidRPr="00723DA6">
              <w:rPr>
                <w:rFonts w:asciiTheme="majorHAnsi" w:hAnsiTheme="majorHAnsi"/>
                <w:i/>
              </w:rPr>
              <w:t>862</w:t>
            </w:r>
          </w:p>
        </w:tc>
        <w:tc>
          <w:tcPr>
            <w:tcW w:w="433" w:type="pct"/>
            <w:noWrap/>
          </w:tcPr>
          <w:p w:rsidR="00E75C14" w:rsidRPr="00723DA6" w:rsidRDefault="00E75C14" w:rsidP="00E75C14">
            <w:pPr>
              <w:pStyle w:val="NumericTableTextDecimalNormal"/>
              <w:tabs>
                <w:tab w:val="clear" w:pos="1004"/>
                <w:tab w:val="decimal" w:pos="511"/>
              </w:tabs>
              <w:cnfStyle w:val="000000000000"/>
              <w:rPr>
                <w:rFonts w:asciiTheme="majorHAnsi" w:hAnsiTheme="majorHAnsi"/>
                <w:i/>
              </w:rPr>
            </w:pPr>
            <w:r w:rsidRPr="00723DA6">
              <w:rPr>
                <w:rFonts w:asciiTheme="majorHAnsi" w:hAnsiTheme="majorHAnsi"/>
                <w:i/>
              </w:rPr>
              <w:t>1,350</w:t>
            </w:r>
          </w:p>
        </w:tc>
      </w:tr>
      <w:tr w:rsidR="00723DA6" w:rsidRPr="00CB32B1" w:rsidTr="00723DA6">
        <w:trPr>
          <w:trHeight w:val="300"/>
        </w:trPr>
        <w:tc>
          <w:tcPr>
            <w:cnfStyle w:val="001000000000"/>
            <w:tcW w:w="669" w:type="pct"/>
            <w:noWrap/>
          </w:tcPr>
          <w:p w:rsidR="00E75C14" w:rsidRPr="00723DA6" w:rsidRDefault="00723DA6" w:rsidP="00723DA6">
            <w:pPr>
              <w:pStyle w:val="NumericTableTextNormal"/>
              <w:rPr>
                <w:rFonts w:asciiTheme="majorHAnsi" w:hAnsiTheme="majorHAnsi"/>
                <w:i/>
              </w:rPr>
            </w:pPr>
            <w:r>
              <w:rPr>
                <w:rFonts w:asciiTheme="majorHAnsi" w:hAnsiTheme="majorHAnsi"/>
                <w:i/>
              </w:rPr>
              <w:t>F</w:t>
            </w:r>
            <w:r w:rsidR="00E75C14" w:rsidRPr="00723DA6">
              <w:rPr>
                <w:rFonts w:asciiTheme="majorHAnsi" w:hAnsiTheme="majorHAnsi"/>
                <w:i/>
              </w:rPr>
              <w:t>etal deaths</w:t>
            </w:r>
          </w:p>
        </w:tc>
        <w:tc>
          <w:tcPr>
            <w:tcW w:w="433" w:type="pct"/>
            <w:noWrap/>
          </w:tcPr>
          <w:p w:rsidR="00E75C14" w:rsidRPr="00723DA6" w:rsidRDefault="00872729" w:rsidP="00E75C14">
            <w:pPr>
              <w:pStyle w:val="NumericTableTextDecimalNormal"/>
              <w:tabs>
                <w:tab w:val="clear" w:pos="1004"/>
                <w:tab w:val="decimal" w:pos="403"/>
              </w:tabs>
              <w:cnfStyle w:val="000000000000"/>
              <w:rPr>
                <w:rFonts w:asciiTheme="majorHAnsi" w:hAnsiTheme="majorHAnsi"/>
                <w:i/>
              </w:rPr>
            </w:pPr>
            <w:r w:rsidRPr="00723DA6">
              <w:rPr>
                <w:rFonts w:asciiTheme="majorHAnsi" w:hAnsiTheme="majorHAnsi"/>
                <w:i/>
              </w:rPr>
              <w:t>nr*</w:t>
            </w:r>
          </w:p>
        </w:tc>
        <w:tc>
          <w:tcPr>
            <w:tcW w:w="433" w:type="pct"/>
            <w:noWrap/>
          </w:tcPr>
          <w:p w:rsidR="00E75C14" w:rsidRPr="00723DA6" w:rsidRDefault="00E75C14" w:rsidP="00E75C14">
            <w:pPr>
              <w:pStyle w:val="NumericTableTextDecimalNormal"/>
              <w:tabs>
                <w:tab w:val="clear" w:pos="1004"/>
                <w:tab w:val="decimal" w:pos="469"/>
              </w:tabs>
              <w:cnfStyle w:val="000000000000"/>
              <w:rPr>
                <w:rFonts w:asciiTheme="majorHAnsi" w:hAnsiTheme="majorHAnsi"/>
                <w:i/>
              </w:rPr>
            </w:pPr>
            <w:r w:rsidRPr="00723DA6">
              <w:rPr>
                <w:rFonts w:asciiTheme="majorHAnsi" w:hAnsiTheme="majorHAnsi"/>
                <w:i/>
              </w:rPr>
              <w:t>9</w:t>
            </w:r>
          </w:p>
        </w:tc>
        <w:tc>
          <w:tcPr>
            <w:tcW w:w="433" w:type="pct"/>
            <w:noWrap/>
          </w:tcPr>
          <w:p w:rsidR="00E75C14" w:rsidRPr="00723DA6" w:rsidRDefault="00872729" w:rsidP="00E75C14">
            <w:pPr>
              <w:pStyle w:val="NumericTableTextDecimalNormal"/>
              <w:tabs>
                <w:tab w:val="clear" w:pos="1004"/>
                <w:tab w:val="decimal" w:pos="463"/>
              </w:tabs>
              <w:cnfStyle w:val="000000000000"/>
              <w:rPr>
                <w:rFonts w:asciiTheme="majorHAnsi" w:hAnsiTheme="majorHAnsi"/>
                <w:i/>
              </w:rPr>
            </w:pPr>
            <w:r w:rsidRPr="00723DA6">
              <w:rPr>
                <w:rFonts w:asciiTheme="majorHAnsi" w:hAnsiTheme="majorHAnsi"/>
                <w:i/>
              </w:rPr>
              <w:t>nr*</w:t>
            </w:r>
          </w:p>
        </w:tc>
        <w:tc>
          <w:tcPr>
            <w:tcW w:w="433" w:type="pct"/>
            <w:noWrap/>
          </w:tcPr>
          <w:p w:rsidR="00E75C14" w:rsidRPr="00723DA6" w:rsidRDefault="00E75C14" w:rsidP="00E75C14">
            <w:pPr>
              <w:pStyle w:val="NumericTableTextDecimalNormal"/>
              <w:tabs>
                <w:tab w:val="clear" w:pos="1004"/>
                <w:tab w:val="decimal" w:pos="448"/>
              </w:tabs>
              <w:cnfStyle w:val="000000000000"/>
              <w:rPr>
                <w:rFonts w:asciiTheme="majorHAnsi" w:hAnsiTheme="majorHAnsi"/>
                <w:i/>
              </w:rPr>
            </w:pPr>
            <w:r w:rsidRPr="00723DA6">
              <w:rPr>
                <w:rFonts w:asciiTheme="majorHAnsi" w:hAnsiTheme="majorHAnsi"/>
                <w:i/>
              </w:rPr>
              <w:t>0</w:t>
            </w:r>
          </w:p>
        </w:tc>
        <w:tc>
          <w:tcPr>
            <w:tcW w:w="433" w:type="pct"/>
            <w:noWrap/>
          </w:tcPr>
          <w:p w:rsidR="00E75C14" w:rsidRPr="00723DA6" w:rsidRDefault="00E75C14" w:rsidP="00E75C14">
            <w:pPr>
              <w:pStyle w:val="NumericTableTextDecimalNormal"/>
              <w:tabs>
                <w:tab w:val="clear" w:pos="1004"/>
                <w:tab w:val="decimal" w:pos="424"/>
              </w:tabs>
              <w:cnfStyle w:val="000000000000"/>
              <w:rPr>
                <w:rFonts w:asciiTheme="majorHAnsi" w:hAnsiTheme="majorHAnsi"/>
                <w:i/>
              </w:rPr>
            </w:pPr>
            <w:r w:rsidRPr="00723DA6">
              <w:rPr>
                <w:rFonts w:asciiTheme="majorHAnsi" w:hAnsiTheme="majorHAnsi"/>
                <w:i/>
              </w:rPr>
              <w:t>2</w:t>
            </w:r>
          </w:p>
        </w:tc>
        <w:tc>
          <w:tcPr>
            <w:tcW w:w="433" w:type="pct"/>
            <w:noWrap/>
          </w:tcPr>
          <w:p w:rsidR="00E75C14" w:rsidRPr="00723DA6" w:rsidRDefault="00E75C14" w:rsidP="00E75C14">
            <w:pPr>
              <w:pStyle w:val="NumericTableTextDecimalNormal"/>
              <w:tabs>
                <w:tab w:val="clear" w:pos="1004"/>
                <w:tab w:val="decimal" w:pos="445"/>
              </w:tabs>
              <w:cnfStyle w:val="000000000000"/>
              <w:rPr>
                <w:rFonts w:asciiTheme="majorHAnsi" w:hAnsiTheme="majorHAnsi"/>
                <w:i/>
              </w:rPr>
            </w:pPr>
            <w:r w:rsidRPr="00723DA6">
              <w:rPr>
                <w:rFonts w:asciiTheme="majorHAnsi" w:hAnsiTheme="majorHAnsi"/>
                <w:i/>
              </w:rPr>
              <w:t>0</w:t>
            </w:r>
          </w:p>
        </w:tc>
        <w:tc>
          <w:tcPr>
            <w:tcW w:w="433" w:type="pct"/>
            <w:noWrap/>
          </w:tcPr>
          <w:p w:rsidR="00E75C14" w:rsidRPr="00723DA6" w:rsidRDefault="00E75C14" w:rsidP="00E75C14">
            <w:pPr>
              <w:pStyle w:val="NumericTableTextDecimalNormal"/>
              <w:tabs>
                <w:tab w:val="clear" w:pos="1004"/>
                <w:tab w:val="decimal" w:pos="421"/>
              </w:tabs>
              <w:cnfStyle w:val="000000000000"/>
              <w:rPr>
                <w:rFonts w:asciiTheme="majorHAnsi" w:hAnsiTheme="majorHAnsi"/>
                <w:i/>
              </w:rPr>
            </w:pPr>
            <w:r w:rsidRPr="00723DA6">
              <w:rPr>
                <w:rFonts w:asciiTheme="majorHAnsi" w:hAnsiTheme="majorHAnsi"/>
                <w:i/>
              </w:rPr>
              <w:t>3</w:t>
            </w:r>
          </w:p>
        </w:tc>
        <w:tc>
          <w:tcPr>
            <w:tcW w:w="433" w:type="pct"/>
            <w:noWrap/>
          </w:tcPr>
          <w:p w:rsidR="00E75C14" w:rsidRPr="00723DA6" w:rsidRDefault="00E75C14" w:rsidP="00E75C14">
            <w:pPr>
              <w:pStyle w:val="NumericTableTextDecimalNormal"/>
              <w:tabs>
                <w:tab w:val="clear" w:pos="1004"/>
                <w:tab w:val="decimal" w:pos="442"/>
              </w:tabs>
              <w:cnfStyle w:val="000000000000"/>
              <w:rPr>
                <w:rFonts w:asciiTheme="majorHAnsi" w:hAnsiTheme="majorHAnsi"/>
                <w:i/>
              </w:rPr>
            </w:pPr>
            <w:r w:rsidRPr="00723DA6">
              <w:rPr>
                <w:rFonts w:asciiTheme="majorHAnsi" w:hAnsiTheme="majorHAnsi"/>
                <w:i/>
              </w:rPr>
              <w:t>6</w:t>
            </w:r>
          </w:p>
        </w:tc>
        <w:tc>
          <w:tcPr>
            <w:tcW w:w="433" w:type="pct"/>
            <w:noWrap/>
          </w:tcPr>
          <w:p w:rsidR="00E75C14" w:rsidRPr="00723DA6" w:rsidRDefault="00E75C14" w:rsidP="00E75C14">
            <w:pPr>
              <w:pStyle w:val="NumericTableTextDecimalNormal"/>
              <w:tabs>
                <w:tab w:val="clear" w:pos="1004"/>
                <w:tab w:val="decimal" w:pos="481"/>
              </w:tabs>
              <w:cnfStyle w:val="000000000000"/>
              <w:rPr>
                <w:rFonts w:asciiTheme="majorHAnsi" w:hAnsiTheme="majorHAnsi"/>
                <w:i/>
              </w:rPr>
            </w:pPr>
            <w:r w:rsidRPr="00723DA6">
              <w:rPr>
                <w:rFonts w:asciiTheme="majorHAnsi" w:hAnsiTheme="majorHAnsi"/>
                <w:i/>
              </w:rPr>
              <w:t>2</w:t>
            </w:r>
          </w:p>
        </w:tc>
        <w:tc>
          <w:tcPr>
            <w:tcW w:w="433" w:type="pct"/>
            <w:noWrap/>
          </w:tcPr>
          <w:p w:rsidR="00E75C14" w:rsidRPr="00723DA6" w:rsidRDefault="00E75C14" w:rsidP="00E75C14">
            <w:pPr>
              <w:pStyle w:val="NumericTableTextDecimalNormal"/>
              <w:tabs>
                <w:tab w:val="clear" w:pos="1004"/>
                <w:tab w:val="decimal" w:pos="511"/>
              </w:tabs>
              <w:cnfStyle w:val="000000000000"/>
              <w:rPr>
                <w:rFonts w:asciiTheme="majorHAnsi" w:hAnsiTheme="majorHAnsi"/>
                <w:i/>
              </w:rPr>
            </w:pPr>
            <w:r w:rsidRPr="00723DA6">
              <w:rPr>
                <w:rFonts w:asciiTheme="majorHAnsi" w:hAnsiTheme="majorHAnsi"/>
                <w:i/>
              </w:rPr>
              <w:t>4</w:t>
            </w:r>
          </w:p>
        </w:tc>
      </w:tr>
    </w:tbl>
    <w:p w:rsidR="00872729" w:rsidRPr="00CB32B1" w:rsidRDefault="00872729" w:rsidP="00872729">
      <w:pPr>
        <w:pStyle w:val="Sources"/>
        <w:keepNext/>
        <w:keepLines/>
        <w:spacing w:after="40"/>
      </w:pPr>
      <w:r w:rsidRPr="00CB32B1">
        <w:rPr>
          <w:b/>
        </w:rPr>
        <w:t>Key:</w:t>
      </w:r>
      <w:r w:rsidRPr="00CB32B1">
        <w:t xml:space="preserve"> ‘nr*’ – Not reported. </w:t>
      </w:r>
    </w:p>
    <w:p w:rsidR="00D42B1C" w:rsidRPr="00CB32B1" w:rsidRDefault="00D42B1C" w:rsidP="005E41E6">
      <w:pPr>
        <w:pStyle w:val="Sources"/>
      </w:pPr>
      <w:r w:rsidRPr="00CB32B1">
        <w:rPr>
          <w:b/>
        </w:rPr>
        <w:t>Source</w:t>
      </w:r>
      <w:r w:rsidR="00FA152C" w:rsidRPr="00CB32B1">
        <w:rPr>
          <w:b/>
        </w:rPr>
        <w:t>s:</w:t>
      </w:r>
      <w:r w:rsidR="00FA152C" w:rsidRPr="00CB32B1">
        <w:t xml:space="preserve"> </w:t>
      </w:r>
      <w:r w:rsidR="00894387" w:rsidRPr="00CB32B1">
        <w:t>Australian Institute of Health and Welfare, 200</w:t>
      </w:r>
      <w:r w:rsidR="00F94B0D">
        <w:t>4</w:t>
      </w:r>
      <w:r w:rsidR="00865724">
        <w:t>b</w:t>
      </w:r>
      <w:r w:rsidR="00F94B0D">
        <w:t>-</w:t>
      </w:r>
      <w:r w:rsidR="00894387" w:rsidRPr="00CB32B1">
        <w:t>201</w:t>
      </w:r>
      <w:r w:rsidR="00F94B0D">
        <w:t>3</w:t>
      </w:r>
      <w:r w:rsidR="00894387" w:rsidRPr="00CB32B1">
        <w:t>.</w:t>
      </w:r>
    </w:p>
    <w:p w:rsidR="00723DA6" w:rsidRDefault="00723DA6" w:rsidP="00D42B1C">
      <w:pPr>
        <w:pStyle w:val="PwCNormal"/>
      </w:pPr>
      <w:r>
        <w:t>The variation between the number of homebirths by women and the number of total births is that more than one baby may have been delivered (eg twins).</w:t>
      </w:r>
    </w:p>
    <w:p w:rsidR="00D42B1C" w:rsidRPr="00CB32B1" w:rsidRDefault="00D42B1C" w:rsidP="00D42B1C">
      <w:pPr>
        <w:pStyle w:val="PwCNormal"/>
      </w:pPr>
      <w:r w:rsidRPr="00CB32B1">
        <w:t>Limitations of the data include the uncertainty around which health practitioner is assisting the birth, if any (</w:t>
      </w:r>
      <w:r w:rsidR="00854DEF" w:rsidRPr="00CB32B1">
        <w:t>eg</w:t>
      </w:r>
      <w:r w:rsidRPr="00CB32B1">
        <w:t xml:space="preserve"> free birth), and the intent of having a planned homebirth. Also, as demonstrated when looking at state and territory data (see </w:t>
      </w:r>
      <w:r w:rsidR="009129A6" w:rsidRPr="00CB32B1">
        <w:fldChar w:fldCharType="begin"/>
      </w:r>
      <w:r w:rsidR="00AA3C29" w:rsidRPr="00CB32B1">
        <w:instrText xml:space="preserve"> REF _Ref361224071 \h </w:instrText>
      </w:r>
      <w:r w:rsidR="009129A6" w:rsidRPr="00CB32B1">
        <w:fldChar w:fldCharType="separate"/>
      </w:r>
      <w:r w:rsidR="008816B4" w:rsidRPr="00CB32B1">
        <w:t xml:space="preserve">Table </w:t>
      </w:r>
      <w:r w:rsidR="008816B4">
        <w:rPr>
          <w:noProof/>
        </w:rPr>
        <w:t>34</w:t>
      </w:r>
      <w:r w:rsidR="009129A6" w:rsidRPr="00CB32B1">
        <w:fldChar w:fldCharType="end"/>
      </w:r>
      <w:r w:rsidRPr="00CB32B1">
        <w:t>), the completeness of the data is also compromised as a result of information n</w:t>
      </w:r>
      <w:r w:rsidR="00723DA6">
        <w:t xml:space="preserve">ot being published by a state or </w:t>
      </w:r>
      <w:r w:rsidRPr="00CB32B1">
        <w:t>territory. These limitations are understandable given the role of AIHW and in response to the</w:t>
      </w:r>
      <w:r w:rsidR="00795E1A">
        <w:t xml:space="preserve"> level of</w:t>
      </w:r>
      <w:r w:rsidRPr="00CB32B1">
        <w:t xml:space="preserve"> data collected for births.</w:t>
      </w:r>
    </w:p>
    <w:p w:rsidR="00D42B1C" w:rsidRPr="00CB32B1" w:rsidRDefault="00D42B1C" w:rsidP="005E41E6">
      <w:pPr>
        <w:pStyle w:val="Minorheading"/>
      </w:pPr>
      <w:r w:rsidRPr="00CB32B1">
        <w:t>Number of homebirths by jurisdiction in Australia</w:t>
      </w:r>
    </w:p>
    <w:p w:rsidR="00D42B1C" w:rsidRPr="00CB32B1" w:rsidRDefault="00D42B1C" w:rsidP="00D42B1C">
      <w:pPr>
        <w:pStyle w:val="PwCNormal"/>
      </w:pPr>
      <w:r w:rsidRPr="00CB32B1">
        <w:t xml:space="preserve">Statistics are also provided by jurisdiction (see </w:t>
      </w:r>
      <w:r w:rsidR="009129A6" w:rsidRPr="00CB32B1">
        <w:fldChar w:fldCharType="begin"/>
      </w:r>
      <w:r w:rsidR="00AA3C29" w:rsidRPr="00CB32B1">
        <w:instrText xml:space="preserve"> REF _Ref361224071 \h </w:instrText>
      </w:r>
      <w:r w:rsidR="009129A6" w:rsidRPr="00CB32B1">
        <w:fldChar w:fldCharType="separate"/>
      </w:r>
      <w:r w:rsidR="008816B4" w:rsidRPr="00CB32B1">
        <w:t xml:space="preserve">Table </w:t>
      </w:r>
      <w:r w:rsidR="008816B4">
        <w:rPr>
          <w:noProof/>
        </w:rPr>
        <w:t>34</w:t>
      </w:r>
      <w:r w:rsidR="009129A6" w:rsidRPr="00CB32B1">
        <w:fldChar w:fldCharType="end"/>
      </w:r>
      <w:r w:rsidRPr="00CB32B1">
        <w:t>). This represents the number of women who actually gave birth at home within each state</w:t>
      </w:r>
      <w:r w:rsidR="00723DA6">
        <w:t xml:space="preserve"> or </w:t>
      </w:r>
      <w:r w:rsidRPr="00CB32B1">
        <w:t>territory.</w:t>
      </w:r>
    </w:p>
    <w:p w:rsidR="00A4654A" w:rsidRPr="00CB32B1" w:rsidRDefault="00A4654A" w:rsidP="00A4654A">
      <w:pPr>
        <w:pStyle w:val="Caption"/>
      </w:pPr>
      <w:bookmarkStart w:id="149" w:name="_Ref361224071"/>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34</w:t>
      </w:r>
      <w:r w:rsidR="009129A6" w:rsidRPr="00CB32B1">
        <w:fldChar w:fldCharType="end"/>
      </w:r>
      <w:bookmarkEnd w:id="149"/>
      <w:r w:rsidRPr="00CB32B1">
        <w:t>: Number of homebirths by jurisdiction in Australia</w:t>
      </w:r>
    </w:p>
    <w:tbl>
      <w:tblPr>
        <w:tblStyle w:val="PwCTableStyle1"/>
        <w:tblW w:w="5000" w:type="pct"/>
        <w:tblLayout w:type="fixed"/>
        <w:tblLook w:val="04A0"/>
      </w:tblPr>
      <w:tblGrid>
        <w:gridCol w:w="963"/>
        <w:gridCol w:w="963"/>
        <w:gridCol w:w="964"/>
        <w:gridCol w:w="964"/>
        <w:gridCol w:w="964"/>
        <w:gridCol w:w="964"/>
        <w:gridCol w:w="964"/>
        <w:gridCol w:w="964"/>
        <w:gridCol w:w="765"/>
        <w:gridCol w:w="810"/>
      </w:tblGrid>
      <w:tr w:rsidR="005E41E6" w:rsidRPr="00CB32B1" w:rsidTr="00747120">
        <w:trPr>
          <w:cnfStyle w:val="100000000000"/>
          <w:trHeight w:val="300"/>
        </w:trPr>
        <w:tc>
          <w:tcPr>
            <w:cnfStyle w:val="001000000000"/>
            <w:tcW w:w="519" w:type="pct"/>
            <w:shd w:val="clear" w:color="auto" w:fill="DC6900" w:themeFill="text2"/>
            <w:noWrap/>
            <w:vAlign w:val="center"/>
            <w:hideMark/>
          </w:tcPr>
          <w:p w:rsidR="005E41E6" w:rsidRPr="00CB32B1" w:rsidRDefault="005E41E6" w:rsidP="00747120">
            <w:pPr>
              <w:pStyle w:val="NumericTableColumnHeadingNormal"/>
              <w:jc w:val="center"/>
              <w:rPr>
                <w:rFonts w:asciiTheme="majorHAnsi" w:hAnsiTheme="majorHAnsi"/>
              </w:rPr>
            </w:pPr>
            <w:r w:rsidRPr="00CB32B1">
              <w:rPr>
                <w:rFonts w:asciiTheme="majorHAnsi" w:hAnsiTheme="majorHAnsi"/>
              </w:rPr>
              <w:t>Year</w:t>
            </w:r>
          </w:p>
        </w:tc>
        <w:tc>
          <w:tcPr>
            <w:tcW w:w="519" w:type="pct"/>
            <w:shd w:val="clear" w:color="auto" w:fill="DC6900" w:themeFill="text2"/>
            <w:noWrap/>
            <w:vAlign w:val="center"/>
            <w:hideMark/>
          </w:tcPr>
          <w:p w:rsidR="005E41E6" w:rsidRPr="00CB32B1" w:rsidRDefault="005E41E6" w:rsidP="00747120">
            <w:pPr>
              <w:pStyle w:val="NumericTableColumnHeadingNormal"/>
              <w:jc w:val="center"/>
              <w:cnfStyle w:val="100000000000"/>
              <w:rPr>
                <w:rFonts w:asciiTheme="majorHAnsi" w:hAnsiTheme="majorHAnsi"/>
              </w:rPr>
            </w:pPr>
            <w:r w:rsidRPr="00CB32B1">
              <w:rPr>
                <w:rFonts w:asciiTheme="majorHAnsi" w:hAnsiTheme="majorHAnsi"/>
              </w:rPr>
              <w:t>NSW</w:t>
            </w:r>
          </w:p>
        </w:tc>
        <w:tc>
          <w:tcPr>
            <w:tcW w:w="519" w:type="pct"/>
            <w:shd w:val="clear" w:color="auto" w:fill="DC6900" w:themeFill="text2"/>
            <w:noWrap/>
            <w:vAlign w:val="center"/>
            <w:hideMark/>
          </w:tcPr>
          <w:p w:rsidR="005E41E6" w:rsidRPr="00CB32B1" w:rsidRDefault="005E41E6" w:rsidP="00747120">
            <w:pPr>
              <w:pStyle w:val="NumericTableColumnHeadingNormal"/>
              <w:jc w:val="center"/>
              <w:cnfStyle w:val="100000000000"/>
              <w:rPr>
                <w:rFonts w:asciiTheme="majorHAnsi" w:hAnsiTheme="majorHAnsi"/>
              </w:rPr>
            </w:pPr>
            <w:r w:rsidRPr="00CB32B1">
              <w:rPr>
                <w:rFonts w:asciiTheme="majorHAnsi" w:hAnsiTheme="majorHAnsi"/>
              </w:rPr>
              <w:t>Vic.</w:t>
            </w:r>
          </w:p>
        </w:tc>
        <w:tc>
          <w:tcPr>
            <w:tcW w:w="519" w:type="pct"/>
            <w:shd w:val="clear" w:color="auto" w:fill="DC6900" w:themeFill="text2"/>
            <w:noWrap/>
            <w:vAlign w:val="center"/>
            <w:hideMark/>
          </w:tcPr>
          <w:p w:rsidR="005E41E6" w:rsidRPr="00CB32B1" w:rsidRDefault="005E41E6" w:rsidP="00747120">
            <w:pPr>
              <w:pStyle w:val="NumericTableColumnHeadingNormal"/>
              <w:jc w:val="center"/>
              <w:cnfStyle w:val="100000000000"/>
              <w:rPr>
                <w:rFonts w:asciiTheme="majorHAnsi" w:hAnsiTheme="majorHAnsi"/>
              </w:rPr>
            </w:pPr>
            <w:r w:rsidRPr="00CB32B1">
              <w:rPr>
                <w:rFonts w:asciiTheme="majorHAnsi" w:hAnsiTheme="majorHAnsi"/>
              </w:rPr>
              <w:t>Qld</w:t>
            </w:r>
          </w:p>
        </w:tc>
        <w:tc>
          <w:tcPr>
            <w:tcW w:w="519" w:type="pct"/>
            <w:shd w:val="clear" w:color="auto" w:fill="DC6900" w:themeFill="text2"/>
            <w:noWrap/>
            <w:vAlign w:val="center"/>
            <w:hideMark/>
          </w:tcPr>
          <w:p w:rsidR="005E41E6" w:rsidRPr="00CB32B1" w:rsidRDefault="005E41E6" w:rsidP="00747120">
            <w:pPr>
              <w:pStyle w:val="NumericTableColumnHeadingNormal"/>
              <w:jc w:val="center"/>
              <w:cnfStyle w:val="100000000000"/>
              <w:rPr>
                <w:rFonts w:asciiTheme="majorHAnsi" w:hAnsiTheme="majorHAnsi"/>
              </w:rPr>
            </w:pPr>
            <w:r w:rsidRPr="00CB32B1">
              <w:rPr>
                <w:rFonts w:asciiTheme="majorHAnsi" w:hAnsiTheme="majorHAnsi"/>
              </w:rPr>
              <w:t>WA</w:t>
            </w:r>
          </w:p>
        </w:tc>
        <w:tc>
          <w:tcPr>
            <w:tcW w:w="519" w:type="pct"/>
            <w:shd w:val="clear" w:color="auto" w:fill="DC6900" w:themeFill="text2"/>
            <w:noWrap/>
            <w:vAlign w:val="center"/>
            <w:hideMark/>
          </w:tcPr>
          <w:p w:rsidR="005E41E6" w:rsidRPr="00CB32B1" w:rsidRDefault="005E41E6" w:rsidP="00747120">
            <w:pPr>
              <w:pStyle w:val="NumericTableColumnHeadingNormal"/>
              <w:jc w:val="center"/>
              <w:cnfStyle w:val="100000000000"/>
              <w:rPr>
                <w:rFonts w:asciiTheme="majorHAnsi" w:hAnsiTheme="majorHAnsi"/>
              </w:rPr>
            </w:pPr>
            <w:r w:rsidRPr="00CB32B1">
              <w:rPr>
                <w:rFonts w:asciiTheme="majorHAnsi" w:hAnsiTheme="majorHAnsi"/>
              </w:rPr>
              <w:t>SA</w:t>
            </w:r>
          </w:p>
        </w:tc>
        <w:tc>
          <w:tcPr>
            <w:tcW w:w="519" w:type="pct"/>
            <w:shd w:val="clear" w:color="auto" w:fill="DC6900" w:themeFill="text2"/>
            <w:noWrap/>
            <w:vAlign w:val="center"/>
            <w:hideMark/>
          </w:tcPr>
          <w:p w:rsidR="005E41E6" w:rsidRPr="00CB32B1" w:rsidRDefault="005E41E6" w:rsidP="00747120">
            <w:pPr>
              <w:pStyle w:val="NumericTableColumnHeadingNormal"/>
              <w:jc w:val="center"/>
              <w:cnfStyle w:val="100000000000"/>
              <w:rPr>
                <w:rFonts w:asciiTheme="majorHAnsi" w:hAnsiTheme="majorHAnsi"/>
              </w:rPr>
            </w:pPr>
            <w:r w:rsidRPr="00CB32B1">
              <w:rPr>
                <w:rFonts w:asciiTheme="majorHAnsi" w:hAnsiTheme="majorHAnsi"/>
              </w:rPr>
              <w:t>Tas.</w:t>
            </w:r>
          </w:p>
        </w:tc>
        <w:tc>
          <w:tcPr>
            <w:tcW w:w="519" w:type="pct"/>
            <w:shd w:val="clear" w:color="auto" w:fill="DC6900" w:themeFill="text2"/>
            <w:noWrap/>
            <w:vAlign w:val="center"/>
            <w:hideMark/>
          </w:tcPr>
          <w:p w:rsidR="005E41E6" w:rsidRPr="00CB32B1" w:rsidRDefault="005E41E6" w:rsidP="00747120">
            <w:pPr>
              <w:pStyle w:val="NumericTableColumnHeadingNormal"/>
              <w:jc w:val="center"/>
              <w:cnfStyle w:val="100000000000"/>
              <w:rPr>
                <w:rFonts w:asciiTheme="majorHAnsi" w:hAnsiTheme="majorHAnsi"/>
              </w:rPr>
            </w:pPr>
            <w:r w:rsidRPr="00CB32B1">
              <w:rPr>
                <w:rFonts w:asciiTheme="majorHAnsi" w:hAnsiTheme="majorHAnsi"/>
              </w:rPr>
              <w:t>ACT</w:t>
            </w:r>
          </w:p>
        </w:tc>
        <w:tc>
          <w:tcPr>
            <w:tcW w:w="412" w:type="pct"/>
            <w:shd w:val="clear" w:color="auto" w:fill="DC6900" w:themeFill="text2"/>
            <w:noWrap/>
            <w:vAlign w:val="center"/>
            <w:hideMark/>
          </w:tcPr>
          <w:p w:rsidR="005E41E6" w:rsidRPr="00CB32B1" w:rsidRDefault="005E41E6" w:rsidP="00747120">
            <w:pPr>
              <w:pStyle w:val="NumericTableColumnHeadingNormal"/>
              <w:jc w:val="center"/>
              <w:cnfStyle w:val="100000000000"/>
              <w:rPr>
                <w:rFonts w:asciiTheme="majorHAnsi" w:hAnsiTheme="majorHAnsi"/>
              </w:rPr>
            </w:pPr>
            <w:r w:rsidRPr="00CB32B1">
              <w:rPr>
                <w:rFonts w:asciiTheme="majorHAnsi" w:hAnsiTheme="majorHAnsi"/>
              </w:rPr>
              <w:t>NT</w:t>
            </w:r>
          </w:p>
        </w:tc>
        <w:tc>
          <w:tcPr>
            <w:tcW w:w="436" w:type="pct"/>
            <w:shd w:val="clear" w:color="auto" w:fill="DC6900" w:themeFill="text2"/>
            <w:vAlign w:val="center"/>
          </w:tcPr>
          <w:p w:rsidR="005E41E6" w:rsidRPr="00CB32B1" w:rsidRDefault="005E41E6" w:rsidP="00747120">
            <w:pPr>
              <w:pStyle w:val="NumericTableColumnHeadingNormal"/>
              <w:jc w:val="center"/>
              <w:cnfStyle w:val="100000000000"/>
              <w:rPr>
                <w:rFonts w:asciiTheme="majorHAnsi" w:hAnsiTheme="majorHAnsi"/>
              </w:rPr>
            </w:pPr>
            <w:r w:rsidRPr="00CB32B1">
              <w:rPr>
                <w:rFonts w:asciiTheme="majorHAnsi" w:hAnsiTheme="majorHAnsi"/>
              </w:rPr>
              <w:t>Total</w:t>
            </w:r>
          </w:p>
        </w:tc>
      </w:tr>
      <w:tr w:rsidR="005E41E6" w:rsidRPr="00CB32B1" w:rsidTr="00395EA2">
        <w:trPr>
          <w:trHeight w:val="300"/>
        </w:trPr>
        <w:tc>
          <w:tcPr>
            <w:cnfStyle w:val="001000000000"/>
            <w:tcW w:w="519" w:type="pct"/>
            <w:noWrap/>
            <w:hideMark/>
          </w:tcPr>
          <w:p w:rsidR="005E41E6" w:rsidRPr="00CB32B1" w:rsidRDefault="005E41E6" w:rsidP="00395EA2">
            <w:pPr>
              <w:pStyle w:val="NumericTableTextDecimalNormal"/>
              <w:tabs>
                <w:tab w:val="clear" w:pos="1004"/>
                <w:tab w:val="decimal" w:pos="360"/>
              </w:tabs>
              <w:jc w:val="center"/>
              <w:rPr>
                <w:rFonts w:asciiTheme="majorHAnsi" w:hAnsiTheme="majorHAnsi"/>
              </w:rPr>
            </w:pPr>
            <w:r w:rsidRPr="00CB32B1">
              <w:rPr>
                <w:rFonts w:asciiTheme="majorHAnsi" w:hAnsiTheme="majorHAnsi"/>
              </w:rPr>
              <w:t>2001</w:t>
            </w:r>
          </w:p>
        </w:tc>
        <w:tc>
          <w:tcPr>
            <w:tcW w:w="519" w:type="pct"/>
            <w:noWrap/>
            <w:hideMark/>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144</w:t>
            </w:r>
          </w:p>
        </w:tc>
        <w:tc>
          <w:tcPr>
            <w:tcW w:w="519" w:type="pct"/>
            <w:noWrap/>
            <w:hideMark/>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127</w:t>
            </w:r>
          </w:p>
        </w:tc>
        <w:tc>
          <w:tcPr>
            <w:tcW w:w="519" w:type="pct"/>
            <w:noWrap/>
            <w:hideMark/>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194</w:t>
            </w:r>
          </w:p>
        </w:tc>
        <w:tc>
          <w:tcPr>
            <w:tcW w:w="519" w:type="pct"/>
            <w:noWrap/>
            <w:hideMark/>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144</w:t>
            </w:r>
          </w:p>
        </w:tc>
        <w:tc>
          <w:tcPr>
            <w:tcW w:w="519" w:type="pct"/>
            <w:noWrap/>
            <w:hideMark/>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37</w:t>
            </w:r>
          </w:p>
        </w:tc>
        <w:tc>
          <w:tcPr>
            <w:tcW w:w="519" w:type="pct"/>
            <w:noWrap/>
            <w:hideMark/>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6</w:t>
            </w:r>
          </w:p>
        </w:tc>
        <w:tc>
          <w:tcPr>
            <w:tcW w:w="519" w:type="pct"/>
            <w:noWrap/>
            <w:hideMark/>
          </w:tcPr>
          <w:p w:rsidR="005E41E6" w:rsidRPr="00CB32B1" w:rsidRDefault="005E41E6" w:rsidP="00395EA2">
            <w:pPr>
              <w:pStyle w:val="NumericTableTextDecimalNormal"/>
              <w:tabs>
                <w:tab w:val="clear" w:pos="1004"/>
                <w:tab w:val="decimal" w:pos="361"/>
              </w:tabs>
              <w:jc w:val="center"/>
              <w:cnfStyle w:val="000000000000"/>
              <w:rPr>
                <w:rFonts w:asciiTheme="majorHAnsi" w:hAnsiTheme="majorHAnsi"/>
              </w:rPr>
            </w:pPr>
            <w:r w:rsidRPr="00CB32B1">
              <w:rPr>
                <w:rFonts w:asciiTheme="majorHAnsi" w:hAnsiTheme="majorHAnsi"/>
              </w:rPr>
              <w:t>16</w:t>
            </w:r>
          </w:p>
        </w:tc>
        <w:tc>
          <w:tcPr>
            <w:tcW w:w="412" w:type="pct"/>
            <w:noWrap/>
            <w:hideMark/>
          </w:tcPr>
          <w:p w:rsidR="005E41E6" w:rsidRPr="00CB32B1" w:rsidRDefault="005E41E6" w:rsidP="00395EA2">
            <w:pPr>
              <w:pStyle w:val="NumericTableTextDecimalNormal"/>
              <w:tabs>
                <w:tab w:val="clear" w:pos="1004"/>
              </w:tabs>
              <w:jc w:val="center"/>
              <w:cnfStyle w:val="000000000000"/>
              <w:rPr>
                <w:rFonts w:asciiTheme="majorHAnsi" w:hAnsiTheme="majorHAnsi"/>
              </w:rPr>
            </w:pPr>
            <w:r w:rsidRPr="00CB32B1">
              <w:rPr>
                <w:rFonts w:asciiTheme="majorHAnsi" w:hAnsiTheme="majorHAnsi"/>
              </w:rPr>
              <w:t>31</w:t>
            </w:r>
          </w:p>
        </w:tc>
        <w:tc>
          <w:tcPr>
            <w:tcW w:w="436" w:type="pct"/>
          </w:tcPr>
          <w:p w:rsidR="005E41E6" w:rsidRPr="00CB32B1" w:rsidRDefault="005E41E6" w:rsidP="007C45B0">
            <w:pPr>
              <w:pStyle w:val="NumericTableTextDecimalNormal"/>
              <w:tabs>
                <w:tab w:val="clear" w:pos="1004"/>
                <w:tab w:val="left" w:pos="416"/>
                <w:tab w:val="decimal" w:pos="851"/>
              </w:tabs>
              <w:jc w:val="center"/>
              <w:cnfStyle w:val="000000000000"/>
              <w:rPr>
                <w:rFonts w:asciiTheme="majorHAnsi" w:hAnsiTheme="majorHAnsi"/>
                <w:b/>
                <w:color w:val="DC6900" w:themeColor="text2"/>
              </w:rPr>
            </w:pPr>
            <w:r w:rsidRPr="00CB32B1">
              <w:rPr>
                <w:rFonts w:asciiTheme="majorHAnsi" w:hAnsiTheme="majorHAnsi"/>
                <w:b/>
                <w:color w:val="DC6900" w:themeColor="text2"/>
              </w:rPr>
              <w:t>699</w:t>
            </w:r>
          </w:p>
        </w:tc>
      </w:tr>
      <w:tr w:rsidR="005E41E6" w:rsidRPr="00CB32B1" w:rsidTr="00395EA2">
        <w:trPr>
          <w:trHeight w:val="287"/>
        </w:trPr>
        <w:tc>
          <w:tcPr>
            <w:cnfStyle w:val="001000000000"/>
            <w:tcW w:w="519" w:type="pct"/>
            <w:noWrap/>
          </w:tcPr>
          <w:p w:rsidR="005E41E6" w:rsidRPr="00CB32B1" w:rsidRDefault="005E41E6" w:rsidP="00395EA2">
            <w:pPr>
              <w:pStyle w:val="NumericTableTextDecimalNormal"/>
              <w:tabs>
                <w:tab w:val="clear" w:pos="1004"/>
                <w:tab w:val="decimal" w:pos="360"/>
              </w:tabs>
              <w:jc w:val="center"/>
              <w:rPr>
                <w:rFonts w:asciiTheme="majorHAnsi" w:hAnsiTheme="majorHAnsi"/>
              </w:rPr>
            </w:pPr>
            <w:r w:rsidRPr="00CB32B1">
              <w:rPr>
                <w:rFonts w:asciiTheme="majorHAnsi" w:hAnsiTheme="majorHAnsi"/>
              </w:rPr>
              <w:t>2002</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99</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163</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154</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121</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48</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4</w:t>
            </w:r>
          </w:p>
        </w:tc>
        <w:tc>
          <w:tcPr>
            <w:tcW w:w="519" w:type="pct"/>
            <w:noWrap/>
          </w:tcPr>
          <w:p w:rsidR="005E41E6" w:rsidRPr="00CB32B1" w:rsidRDefault="005E41E6" w:rsidP="00395EA2">
            <w:pPr>
              <w:pStyle w:val="NumericTableTextDecimalNormal"/>
              <w:tabs>
                <w:tab w:val="clear" w:pos="1004"/>
                <w:tab w:val="decimal" w:pos="361"/>
              </w:tabs>
              <w:jc w:val="center"/>
              <w:cnfStyle w:val="000000000000"/>
              <w:rPr>
                <w:rFonts w:asciiTheme="majorHAnsi" w:hAnsiTheme="majorHAnsi"/>
              </w:rPr>
            </w:pPr>
            <w:r w:rsidRPr="00CB32B1">
              <w:rPr>
                <w:rFonts w:asciiTheme="majorHAnsi" w:hAnsiTheme="majorHAnsi"/>
              </w:rPr>
              <w:t>14</w:t>
            </w:r>
          </w:p>
        </w:tc>
        <w:tc>
          <w:tcPr>
            <w:tcW w:w="412" w:type="pct"/>
            <w:noWrap/>
          </w:tcPr>
          <w:p w:rsidR="005E41E6" w:rsidRPr="00CB32B1" w:rsidRDefault="005E41E6" w:rsidP="00395EA2">
            <w:pPr>
              <w:pStyle w:val="NumericTableTextDecimalNormal"/>
              <w:tabs>
                <w:tab w:val="clear" w:pos="1004"/>
              </w:tabs>
              <w:jc w:val="center"/>
              <w:cnfStyle w:val="000000000000"/>
              <w:rPr>
                <w:rFonts w:asciiTheme="majorHAnsi" w:hAnsiTheme="majorHAnsi"/>
              </w:rPr>
            </w:pPr>
            <w:r w:rsidRPr="00CB32B1">
              <w:rPr>
                <w:rFonts w:asciiTheme="majorHAnsi" w:hAnsiTheme="majorHAnsi"/>
              </w:rPr>
              <w:t>34</w:t>
            </w:r>
          </w:p>
        </w:tc>
        <w:tc>
          <w:tcPr>
            <w:tcW w:w="436" w:type="pct"/>
          </w:tcPr>
          <w:p w:rsidR="005E41E6" w:rsidRPr="00CB32B1" w:rsidRDefault="005E41E6" w:rsidP="00395EA2">
            <w:pPr>
              <w:pStyle w:val="NumericTableTextDecimalNormal"/>
              <w:tabs>
                <w:tab w:val="clear" w:pos="1004"/>
                <w:tab w:val="left" w:pos="416"/>
                <w:tab w:val="decimal" w:pos="851"/>
              </w:tabs>
              <w:jc w:val="center"/>
              <w:cnfStyle w:val="000000000000"/>
              <w:rPr>
                <w:rFonts w:asciiTheme="majorHAnsi" w:hAnsiTheme="majorHAnsi"/>
                <w:b/>
                <w:color w:val="DC6900" w:themeColor="text2"/>
              </w:rPr>
            </w:pPr>
            <w:r w:rsidRPr="00CB32B1">
              <w:rPr>
                <w:rFonts w:asciiTheme="majorHAnsi" w:hAnsiTheme="majorHAnsi"/>
                <w:b/>
                <w:color w:val="DC6900" w:themeColor="text2"/>
              </w:rPr>
              <w:t>637</w:t>
            </w:r>
          </w:p>
        </w:tc>
      </w:tr>
      <w:tr w:rsidR="005E41E6" w:rsidRPr="00CB32B1" w:rsidTr="00395EA2">
        <w:trPr>
          <w:trHeight w:val="300"/>
        </w:trPr>
        <w:tc>
          <w:tcPr>
            <w:cnfStyle w:val="001000000000"/>
            <w:tcW w:w="519" w:type="pct"/>
            <w:noWrap/>
          </w:tcPr>
          <w:p w:rsidR="005E41E6" w:rsidRPr="00CB32B1" w:rsidRDefault="005E41E6" w:rsidP="00395EA2">
            <w:pPr>
              <w:pStyle w:val="NumericTableTextDecimalNormal"/>
              <w:tabs>
                <w:tab w:val="clear" w:pos="1004"/>
                <w:tab w:val="decimal" w:pos="360"/>
              </w:tabs>
              <w:jc w:val="center"/>
              <w:rPr>
                <w:rFonts w:asciiTheme="majorHAnsi" w:hAnsiTheme="majorHAnsi"/>
              </w:rPr>
            </w:pPr>
            <w:r w:rsidRPr="00CB32B1">
              <w:rPr>
                <w:rFonts w:asciiTheme="majorHAnsi" w:hAnsiTheme="majorHAnsi"/>
              </w:rPr>
              <w:t>2003</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108</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153</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67</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163</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62</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nr*</w:t>
            </w:r>
          </w:p>
        </w:tc>
        <w:tc>
          <w:tcPr>
            <w:tcW w:w="519" w:type="pct"/>
            <w:noWrap/>
          </w:tcPr>
          <w:p w:rsidR="005E41E6" w:rsidRPr="00CB32B1" w:rsidRDefault="005E41E6" w:rsidP="00395EA2">
            <w:pPr>
              <w:pStyle w:val="NumericTableTextDecimalNormal"/>
              <w:tabs>
                <w:tab w:val="clear" w:pos="1004"/>
                <w:tab w:val="decimal" w:pos="361"/>
              </w:tabs>
              <w:jc w:val="center"/>
              <w:cnfStyle w:val="000000000000"/>
              <w:rPr>
                <w:rFonts w:asciiTheme="majorHAnsi" w:hAnsiTheme="majorHAnsi"/>
              </w:rPr>
            </w:pPr>
            <w:r w:rsidRPr="00CB32B1">
              <w:rPr>
                <w:rFonts w:asciiTheme="majorHAnsi" w:hAnsiTheme="majorHAnsi"/>
              </w:rPr>
              <w:t>nr*</w:t>
            </w:r>
          </w:p>
        </w:tc>
        <w:tc>
          <w:tcPr>
            <w:tcW w:w="412" w:type="pct"/>
            <w:noWrap/>
          </w:tcPr>
          <w:p w:rsidR="005E41E6" w:rsidRPr="00CB32B1" w:rsidRDefault="005E41E6" w:rsidP="00395EA2">
            <w:pPr>
              <w:pStyle w:val="NumericTableTextDecimalNormal"/>
              <w:tabs>
                <w:tab w:val="clear" w:pos="1004"/>
              </w:tabs>
              <w:jc w:val="center"/>
              <w:cnfStyle w:val="000000000000"/>
              <w:rPr>
                <w:rFonts w:asciiTheme="majorHAnsi" w:hAnsiTheme="majorHAnsi"/>
              </w:rPr>
            </w:pPr>
            <w:r w:rsidRPr="00CB32B1">
              <w:rPr>
                <w:rFonts w:asciiTheme="majorHAnsi" w:hAnsiTheme="majorHAnsi"/>
              </w:rPr>
              <w:t>14</w:t>
            </w:r>
          </w:p>
        </w:tc>
        <w:tc>
          <w:tcPr>
            <w:tcW w:w="436" w:type="pct"/>
          </w:tcPr>
          <w:p w:rsidR="005E41E6" w:rsidRPr="00CB32B1" w:rsidRDefault="005E41E6" w:rsidP="00395EA2">
            <w:pPr>
              <w:pStyle w:val="NumericTableTextDecimalNormal"/>
              <w:tabs>
                <w:tab w:val="clear" w:pos="1004"/>
                <w:tab w:val="left" w:pos="416"/>
                <w:tab w:val="decimal" w:pos="851"/>
              </w:tabs>
              <w:jc w:val="center"/>
              <w:cnfStyle w:val="000000000000"/>
              <w:rPr>
                <w:rFonts w:asciiTheme="majorHAnsi" w:hAnsiTheme="majorHAnsi"/>
                <w:b/>
                <w:color w:val="DC6900" w:themeColor="text2"/>
              </w:rPr>
            </w:pPr>
            <w:r w:rsidRPr="00CB32B1">
              <w:rPr>
                <w:rFonts w:asciiTheme="majorHAnsi" w:hAnsiTheme="majorHAnsi"/>
                <w:b/>
                <w:color w:val="DC6900" w:themeColor="text2"/>
              </w:rPr>
              <w:t>576</w:t>
            </w:r>
          </w:p>
        </w:tc>
      </w:tr>
      <w:tr w:rsidR="005E41E6" w:rsidRPr="00CB32B1" w:rsidTr="00395EA2">
        <w:trPr>
          <w:trHeight w:val="300"/>
        </w:trPr>
        <w:tc>
          <w:tcPr>
            <w:cnfStyle w:val="001000000000"/>
            <w:tcW w:w="519" w:type="pct"/>
            <w:noWrap/>
          </w:tcPr>
          <w:p w:rsidR="005E41E6" w:rsidRPr="00CB32B1" w:rsidRDefault="005E41E6" w:rsidP="00395EA2">
            <w:pPr>
              <w:pStyle w:val="NumericTableTextDecimalNormal"/>
              <w:tabs>
                <w:tab w:val="clear" w:pos="1004"/>
                <w:tab w:val="decimal" w:pos="360"/>
              </w:tabs>
              <w:jc w:val="center"/>
              <w:rPr>
                <w:rFonts w:asciiTheme="majorHAnsi" w:hAnsiTheme="majorHAnsi"/>
              </w:rPr>
            </w:pPr>
            <w:r w:rsidRPr="00CB32B1">
              <w:rPr>
                <w:rFonts w:asciiTheme="majorHAnsi" w:hAnsiTheme="majorHAnsi"/>
              </w:rPr>
              <w:t>2004</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93</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181</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57</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150</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67</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5</w:t>
            </w:r>
          </w:p>
        </w:tc>
        <w:tc>
          <w:tcPr>
            <w:tcW w:w="519" w:type="pct"/>
            <w:noWrap/>
          </w:tcPr>
          <w:p w:rsidR="005E41E6" w:rsidRPr="00CB32B1" w:rsidRDefault="005E41E6" w:rsidP="00395EA2">
            <w:pPr>
              <w:pStyle w:val="NumericTableTextDecimalNormal"/>
              <w:tabs>
                <w:tab w:val="clear" w:pos="1004"/>
                <w:tab w:val="decimal" w:pos="361"/>
              </w:tabs>
              <w:jc w:val="center"/>
              <w:cnfStyle w:val="000000000000"/>
              <w:rPr>
                <w:rFonts w:asciiTheme="majorHAnsi" w:hAnsiTheme="majorHAnsi"/>
              </w:rPr>
            </w:pPr>
            <w:r w:rsidRPr="00CB32B1">
              <w:rPr>
                <w:rFonts w:asciiTheme="majorHAnsi" w:hAnsiTheme="majorHAnsi"/>
              </w:rPr>
              <w:t>25</w:t>
            </w:r>
          </w:p>
        </w:tc>
        <w:tc>
          <w:tcPr>
            <w:tcW w:w="412" w:type="pct"/>
            <w:noWrap/>
          </w:tcPr>
          <w:p w:rsidR="005E41E6" w:rsidRPr="00CB32B1" w:rsidRDefault="005E41E6" w:rsidP="00395EA2">
            <w:pPr>
              <w:pStyle w:val="NumericTableTextDecimalNormal"/>
              <w:tabs>
                <w:tab w:val="clear" w:pos="1004"/>
              </w:tabs>
              <w:jc w:val="center"/>
              <w:cnfStyle w:val="000000000000"/>
              <w:rPr>
                <w:rFonts w:asciiTheme="majorHAnsi" w:hAnsiTheme="majorHAnsi"/>
              </w:rPr>
            </w:pPr>
            <w:r w:rsidRPr="00CB32B1">
              <w:rPr>
                <w:rFonts w:asciiTheme="majorHAnsi" w:hAnsiTheme="majorHAnsi"/>
              </w:rPr>
              <w:t>11</w:t>
            </w:r>
          </w:p>
        </w:tc>
        <w:tc>
          <w:tcPr>
            <w:tcW w:w="436" w:type="pct"/>
          </w:tcPr>
          <w:p w:rsidR="005E41E6" w:rsidRPr="00CB32B1" w:rsidRDefault="005E41E6" w:rsidP="00395EA2">
            <w:pPr>
              <w:pStyle w:val="NumericTableTextDecimalNormal"/>
              <w:tabs>
                <w:tab w:val="clear" w:pos="1004"/>
                <w:tab w:val="left" w:pos="416"/>
                <w:tab w:val="decimal" w:pos="851"/>
              </w:tabs>
              <w:jc w:val="center"/>
              <w:cnfStyle w:val="000000000000"/>
              <w:rPr>
                <w:rFonts w:asciiTheme="majorHAnsi" w:hAnsiTheme="majorHAnsi"/>
                <w:b/>
                <w:color w:val="DC6900" w:themeColor="text2"/>
              </w:rPr>
            </w:pPr>
            <w:r w:rsidRPr="00CB32B1">
              <w:rPr>
                <w:rFonts w:asciiTheme="majorHAnsi" w:hAnsiTheme="majorHAnsi"/>
                <w:b/>
                <w:color w:val="DC6900" w:themeColor="text2"/>
              </w:rPr>
              <w:t>589</w:t>
            </w:r>
          </w:p>
        </w:tc>
      </w:tr>
      <w:tr w:rsidR="005E41E6" w:rsidRPr="00CB32B1" w:rsidTr="00395EA2">
        <w:trPr>
          <w:trHeight w:val="300"/>
        </w:trPr>
        <w:tc>
          <w:tcPr>
            <w:cnfStyle w:val="001000000000"/>
            <w:tcW w:w="519" w:type="pct"/>
            <w:noWrap/>
          </w:tcPr>
          <w:p w:rsidR="005E41E6" w:rsidRPr="00CB32B1" w:rsidRDefault="005E41E6" w:rsidP="00395EA2">
            <w:pPr>
              <w:pStyle w:val="NumericTableTextDecimalNormal"/>
              <w:tabs>
                <w:tab w:val="clear" w:pos="1004"/>
                <w:tab w:val="decimal" w:pos="360"/>
              </w:tabs>
              <w:jc w:val="center"/>
              <w:rPr>
                <w:rFonts w:asciiTheme="majorHAnsi" w:hAnsiTheme="majorHAnsi"/>
              </w:rPr>
            </w:pPr>
            <w:r w:rsidRPr="00CB32B1">
              <w:rPr>
                <w:rFonts w:asciiTheme="majorHAnsi" w:hAnsiTheme="majorHAnsi"/>
              </w:rPr>
              <w:t>2005</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112</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189</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42</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155</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63</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21</w:t>
            </w:r>
          </w:p>
        </w:tc>
        <w:tc>
          <w:tcPr>
            <w:tcW w:w="519" w:type="pct"/>
            <w:noWrap/>
          </w:tcPr>
          <w:p w:rsidR="005E41E6" w:rsidRPr="00CB32B1" w:rsidRDefault="005E41E6" w:rsidP="00395EA2">
            <w:pPr>
              <w:pStyle w:val="NumericTableTextDecimalNormal"/>
              <w:tabs>
                <w:tab w:val="clear" w:pos="1004"/>
                <w:tab w:val="decimal" w:pos="361"/>
              </w:tabs>
              <w:jc w:val="center"/>
              <w:cnfStyle w:val="000000000000"/>
              <w:rPr>
                <w:rFonts w:asciiTheme="majorHAnsi" w:hAnsiTheme="majorHAnsi"/>
              </w:rPr>
            </w:pPr>
            <w:r w:rsidRPr="00CB32B1">
              <w:rPr>
                <w:rFonts w:asciiTheme="majorHAnsi" w:hAnsiTheme="majorHAnsi"/>
              </w:rPr>
              <w:t>10</w:t>
            </w:r>
          </w:p>
        </w:tc>
        <w:tc>
          <w:tcPr>
            <w:tcW w:w="412" w:type="pct"/>
            <w:noWrap/>
          </w:tcPr>
          <w:p w:rsidR="005E41E6" w:rsidRPr="00CB32B1" w:rsidRDefault="005E41E6" w:rsidP="00395EA2">
            <w:pPr>
              <w:pStyle w:val="NumericTableTextDecimalNormal"/>
              <w:tabs>
                <w:tab w:val="clear" w:pos="1004"/>
              </w:tabs>
              <w:jc w:val="center"/>
              <w:cnfStyle w:val="000000000000"/>
              <w:rPr>
                <w:rFonts w:asciiTheme="majorHAnsi" w:hAnsiTheme="majorHAnsi"/>
              </w:rPr>
            </w:pPr>
            <w:r w:rsidRPr="00CB32B1">
              <w:rPr>
                <w:rFonts w:asciiTheme="majorHAnsi" w:hAnsiTheme="majorHAnsi"/>
              </w:rPr>
              <w:t>9</w:t>
            </w:r>
          </w:p>
        </w:tc>
        <w:tc>
          <w:tcPr>
            <w:tcW w:w="436" w:type="pct"/>
          </w:tcPr>
          <w:p w:rsidR="005E41E6" w:rsidRPr="00CB32B1" w:rsidRDefault="005E41E6" w:rsidP="00395EA2">
            <w:pPr>
              <w:pStyle w:val="NumericTableTextDecimalNormal"/>
              <w:tabs>
                <w:tab w:val="clear" w:pos="1004"/>
                <w:tab w:val="left" w:pos="416"/>
                <w:tab w:val="decimal" w:pos="851"/>
              </w:tabs>
              <w:jc w:val="center"/>
              <w:cnfStyle w:val="000000000000"/>
              <w:rPr>
                <w:rFonts w:asciiTheme="majorHAnsi" w:hAnsiTheme="majorHAnsi"/>
                <w:b/>
                <w:color w:val="DC6900" w:themeColor="text2"/>
              </w:rPr>
            </w:pPr>
            <w:r w:rsidRPr="00CB32B1">
              <w:rPr>
                <w:rFonts w:asciiTheme="majorHAnsi" w:hAnsiTheme="majorHAnsi"/>
                <w:b/>
                <w:color w:val="DC6900" w:themeColor="text2"/>
              </w:rPr>
              <w:t>601</w:t>
            </w:r>
          </w:p>
        </w:tc>
      </w:tr>
      <w:tr w:rsidR="005E41E6" w:rsidRPr="00CB32B1" w:rsidTr="00395EA2">
        <w:trPr>
          <w:trHeight w:val="300"/>
        </w:trPr>
        <w:tc>
          <w:tcPr>
            <w:cnfStyle w:val="001000000000"/>
            <w:tcW w:w="519" w:type="pct"/>
            <w:noWrap/>
          </w:tcPr>
          <w:p w:rsidR="005E41E6" w:rsidRPr="00CB32B1" w:rsidRDefault="005E41E6" w:rsidP="00395EA2">
            <w:pPr>
              <w:pStyle w:val="NumericTableTextDecimalNormal"/>
              <w:tabs>
                <w:tab w:val="clear" w:pos="1004"/>
                <w:tab w:val="decimal" w:pos="360"/>
              </w:tabs>
              <w:jc w:val="center"/>
              <w:rPr>
                <w:rFonts w:asciiTheme="majorHAnsi" w:hAnsiTheme="majorHAnsi"/>
              </w:rPr>
            </w:pPr>
            <w:r w:rsidRPr="00CB32B1">
              <w:rPr>
                <w:rFonts w:asciiTheme="majorHAnsi" w:hAnsiTheme="majorHAnsi"/>
              </w:rPr>
              <w:t>2006</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125</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197</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47</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194</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86</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12</w:t>
            </w:r>
          </w:p>
        </w:tc>
        <w:tc>
          <w:tcPr>
            <w:tcW w:w="519" w:type="pct"/>
            <w:noWrap/>
          </w:tcPr>
          <w:p w:rsidR="005E41E6" w:rsidRPr="00CB32B1" w:rsidRDefault="005E41E6" w:rsidP="00395EA2">
            <w:pPr>
              <w:pStyle w:val="NumericTableTextDecimalNormal"/>
              <w:tabs>
                <w:tab w:val="clear" w:pos="1004"/>
                <w:tab w:val="decimal" w:pos="361"/>
              </w:tabs>
              <w:jc w:val="center"/>
              <w:cnfStyle w:val="000000000000"/>
              <w:rPr>
                <w:rFonts w:asciiTheme="majorHAnsi" w:hAnsiTheme="majorHAnsi"/>
              </w:rPr>
            </w:pPr>
            <w:r w:rsidRPr="00CB32B1">
              <w:rPr>
                <w:rFonts w:asciiTheme="majorHAnsi" w:hAnsiTheme="majorHAnsi"/>
              </w:rPr>
              <w:t>13</w:t>
            </w:r>
          </w:p>
        </w:tc>
        <w:tc>
          <w:tcPr>
            <w:tcW w:w="412" w:type="pct"/>
            <w:noWrap/>
          </w:tcPr>
          <w:p w:rsidR="005E41E6" w:rsidRPr="00CB32B1" w:rsidRDefault="005E41E6" w:rsidP="00395EA2">
            <w:pPr>
              <w:pStyle w:val="NumericTableTextDecimalNormal"/>
              <w:tabs>
                <w:tab w:val="clear" w:pos="1004"/>
              </w:tabs>
              <w:jc w:val="center"/>
              <w:cnfStyle w:val="000000000000"/>
              <w:rPr>
                <w:rFonts w:asciiTheme="majorHAnsi" w:hAnsiTheme="majorHAnsi"/>
              </w:rPr>
            </w:pPr>
            <w:r w:rsidRPr="00CB32B1">
              <w:rPr>
                <w:rFonts w:asciiTheme="majorHAnsi" w:hAnsiTheme="majorHAnsi"/>
              </w:rPr>
              <w:t>34</w:t>
            </w:r>
          </w:p>
        </w:tc>
        <w:tc>
          <w:tcPr>
            <w:tcW w:w="436" w:type="pct"/>
          </w:tcPr>
          <w:p w:rsidR="005E41E6" w:rsidRPr="00CB32B1" w:rsidRDefault="005E41E6" w:rsidP="00395EA2">
            <w:pPr>
              <w:pStyle w:val="NumericTableTextDecimalNormal"/>
              <w:tabs>
                <w:tab w:val="clear" w:pos="1004"/>
                <w:tab w:val="left" w:pos="416"/>
                <w:tab w:val="decimal" w:pos="851"/>
              </w:tabs>
              <w:jc w:val="center"/>
              <w:cnfStyle w:val="000000000000"/>
              <w:rPr>
                <w:rFonts w:asciiTheme="majorHAnsi" w:hAnsiTheme="majorHAnsi"/>
                <w:b/>
                <w:color w:val="DC6900" w:themeColor="text2"/>
              </w:rPr>
            </w:pPr>
            <w:r w:rsidRPr="00CB32B1">
              <w:rPr>
                <w:rFonts w:asciiTheme="majorHAnsi" w:hAnsiTheme="majorHAnsi"/>
                <w:b/>
                <w:color w:val="DC6900" w:themeColor="text2"/>
              </w:rPr>
              <w:t>708</w:t>
            </w:r>
          </w:p>
        </w:tc>
      </w:tr>
      <w:tr w:rsidR="005E41E6" w:rsidRPr="00CB32B1" w:rsidTr="00395EA2">
        <w:trPr>
          <w:trHeight w:val="300"/>
        </w:trPr>
        <w:tc>
          <w:tcPr>
            <w:cnfStyle w:val="001000000000"/>
            <w:tcW w:w="519" w:type="pct"/>
            <w:noWrap/>
          </w:tcPr>
          <w:p w:rsidR="005E41E6" w:rsidRPr="00CB32B1" w:rsidRDefault="005E41E6" w:rsidP="00395EA2">
            <w:pPr>
              <w:pStyle w:val="NumericTableTextDecimalNormal"/>
              <w:tabs>
                <w:tab w:val="clear" w:pos="1004"/>
                <w:tab w:val="decimal" w:pos="360"/>
              </w:tabs>
              <w:jc w:val="center"/>
              <w:rPr>
                <w:rFonts w:asciiTheme="majorHAnsi" w:hAnsiTheme="majorHAnsi"/>
              </w:rPr>
            </w:pPr>
            <w:r w:rsidRPr="00CB32B1">
              <w:rPr>
                <w:rFonts w:asciiTheme="majorHAnsi" w:hAnsiTheme="majorHAnsi"/>
              </w:rPr>
              <w:t>2007</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144</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253</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81</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200</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107</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36</w:t>
            </w:r>
          </w:p>
        </w:tc>
        <w:tc>
          <w:tcPr>
            <w:tcW w:w="519" w:type="pct"/>
            <w:noWrap/>
          </w:tcPr>
          <w:p w:rsidR="005E41E6" w:rsidRPr="00CB32B1" w:rsidRDefault="005E41E6" w:rsidP="00395EA2">
            <w:pPr>
              <w:pStyle w:val="NumericTableTextDecimalNormal"/>
              <w:tabs>
                <w:tab w:val="clear" w:pos="1004"/>
                <w:tab w:val="decimal" w:pos="361"/>
              </w:tabs>
              <w:jc w:val="center"/>
              <w:cnfStyle w:val="000000000000"/>
              <w:rPr>
                <w:rFonts w:asciiTheme="majorHAnsi" w:hAnsiTheme="majorHAnsi"/>
              </w:rPr>
            </w:pPr>
            <w:r w:rsidRPr="00CB32B1">
              <w:rPr>
                <w:rFonts w:asciiTheme="majorHAnsi" w:hAnsiTheme="majorHAnsi"/>
              </w:rPr>
              <w:t>10</w:t>
            </w:r>
          </w:p>
        </w:tc>
        <w:tc>
          <w:tcPr>
            <w:tcW w:w="412" w:type="pct"/>
            <w:noWrap/>
          </w:tcPr>
          <w:p w:rsidR="005E41E6" w:rsidRPr="00CB32B1" w:rsidRDefault="005E41E6" w:rsidP="00395EA2">
            <w:pPr>
              <w:pStyle w:val="NumericTableTextDecimalNormal"/>
              <w:tabs>
                <w:tab w:val="clear" w:pos="1004"/>
              </w:tabs>
              <w:jc w:val="center"/>
              <w:cnfStyle w:val="000000000000"/>
              <w:rPr>
                <w:rFonts w:asciiTheme="majorHAnsi" w:hAnsiTheme="majorHAnsi"/>
              </w:rPr>
            </w:pPr>
            <w:r w:rsidRPr="00CB32B1">
              <w:rPr>
                <w:rFonts w:asciiTheme="majorHAnsi" w:hAnsiTheme="majorHAnsi"/>
              </w:rPr>
              <w:t>39</w:t>
            </w:r>
          </w:p>
        </w:tc>
        <w:tc>
          <w:tcPr>
            <w:tcW w:w="436" w:type="pct"/>
          </w:tcPr>
          <w:p w:rsidR="005E41E6" w:rsidRPr="00CB32B1" w:rsidRDefault="005E41E6" w:rsidP="00395EA2">
            <w:pPr>
              <w:pStyle w:val="NumericTableTextDecimalNormal"/>
              <w:tabs>
                <w:tab w:val="clear" w:pos="1004"/>
                <w:tab w:val="left" w:pos="416"/>
                <w:tab w:val="decimal" w:pos="851"/>
              </w:tabs>
              <w:jc w:val="center"/>
              <w:cnfStyle w:val="000000000000"/>
              <w:rPr>
                <w:rFonts w:asciiTheme="majorHAnsi" w:hAnsiTheme="majorHAnsi"/>
                <w:b/>
                <w:color w:val="DC6900" w:themeColor="text2"/>
              </w:rPr>
            </w:pPr>
            <w:r w:rsidRPr="00CB32B1">
              <w:rPr>
                <w:rFonts w:asciiTheme="majorHAnsi" w:hAnsiTheme="majorHAnsi"/>
                <w:b/>
                <w:color w:val="DC6900" w:themeColor="text2"/>
              </w:rPr>
              <w:t>870</w:t>
            </w:r>
          </w:p>
        </w:tc>
      </w:tr>
      <w:tr w:rsidR="005E41E6" w:rsidRPr="00CB32B1" w:rsidTr="00395EA2">
        <w:trPr>
          <w:trHeight w:val="300"/>
        </w:trPr>
        <w:tc>
          <w:tcPr>
            <w:cnfStyle w:val="001000000000"/>
            <w:tcW w:w="519" w:type="pct"/>
            <w:noWrap/>
          </w:tcPr>
          <w:p w:rsidR="005E41E6" w:rsidRPr="00CB32B1" w:rsidRDefault="005E41E6" w:rsidP="00395EA2">
            <w:pPr>
              <w:pStyle w:val="NumericTableTextDecimalNormal"/>
              <w:tabs>
                <w:tab w:val="clear" w:pos="1004"/>
                <w:tab w:val="decimal" w:pos="360"/>
              </w:tabs>
              <w:jc w:val="center"/>
              <w:rPr>
                <w:rFonts w:asciiTheme="majorHAnsi" w:hAnsiTheme="majorHAnsi"/>
              </w:rPr>
            </w:pPr>
            <w:r w:rsidRPr="00CB32B1">
              <w:rPr>
                <w:rFonts w:asciiTheme="majorHAnsi" w:hAnsiTheme="majorHAnsi"/>
              </w:rPr>
              <w:t>2008</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196</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297</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111</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232</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101</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nr*</w:t>
            </w:r>
          </w:p>
        </w:tc>
        <w:tc>
          <w:tcPr>
            <w:tcW w:w="519" w:type="pct"/>
            <w:noWrap/>
          </w:tcPr>
          <w:p w:rsidR="005E41E6" w:rsidRPr="00CB32B1" w:rsidRDefault="005E41E6" w:rsidP="00395EA2">
            <w:pPr>
              <w:pStyle w:val="NumericTableTextDecimalNormal"/>
              <w:tabs>
                <w:tab w:val="clear" w:pos="1004"/>
                <w:tab w:val="decimal" w:pos="361"/>
              </w:tabs>
              <w:jc w:val="center"/>
              <w:cnfStyle w:val="000000000000"/>
              <w:rPr>
                <w:rFonts w:asciiTheme="majorHAnsi" w:hAnsiTheme="majorHAnsi"/>
              </w:rPr>
            </w:pPr>
            <w:r w:rsidRPr="00CB32B1">
              <w:rPr>
                <w:rFonts w:asciiTheme="majorHAnsi" w:hAnsiTheme="majorHAnsi"/>
              </w:rPr>
              <w:t>5</w:t>
            </w:r>
          </w:p>
        </w:tc>
        <w:tc>
          <w:tcPr>
            <w:tcW w:w="412" w:type="pct"/>
            <w:noWrap/>
          </w:tcPr>
          <w:p w:rsidR="005E41E6" w:rsidRPr="00CB32B1" w:rsidRDefault="005E41E6" w:rsidP="00395EA2">
            <w:pPr>
              <w:pStyle w:val="NumericTableTextDecimalNormal"/>
              <w:tabs>
                <w:tab w:val="clear" w:pos="1004"/>
              </w:tabs>
              <w:jc w:val="center"/>
              <w:cnfStyle w:val="000000000000"/>
              <w:rPr>
                <w:rFonts w:asciiTheme="majorHAnsi" w:hAnsiTheme="majorHAnsi"/>
              </w:rPr>
            </w:pPr>
            <w:r w:rsidRPr="00CB32B1">
              <w:rPr>
                <w:rFonts w:asciiTheme="majorHAnsi" w:hAnsiTheme="majorHAnsi"/>
              </w:rPr>
              <w:t>31</w:t>
            </w:r>
          </w:p>
        </w:tc>
        <w:tc>
          <w:tcPr>
            <w:tcW w:w="436" w:type="pct"/>
          </w:tcPr>
          <w:p w:rsidR="005E41E6" w:rsidRPr="00CB32B1" w:rsidRDefault="005E41E6" w:rsidP="00395EA2">
            <w:pPr>
              <w:pStyle w:val="NumericTableTextDecimalNormal"/>
              <w:tabs>
                <w:tab w:val="clear" w:pos="1004"/>
                <w:tab w:val="left" w:pos="416"/>
                <w:tab w:val="decimal" w:pos="851"/>
              </w:tabs>
              <w:jc w:val="center"/>
              <w:cnfStyle w:val="000000000000"/>
              <w:rPr>
                <w:rFonts w:asciiTheme="majorHAnsi" w:hAnsiTheme="majorHAnsi"/>
                <w:b/>
                <w:color w:val="DC6900" w:themeColor="text2"/>
              </w:rPr>
            </w:pPr>
            <w:r w:rsidRPr="00CB32B1">
              <w:rPr>
                <w:rFonts w:asciiTheme="majorHAnsi" w:hAnsiTheme="majorHAnsi"/>
                <w:b/>
                <w:color w:val="DC6900" w:themeColor="text2"/>
              </w:rPr>
              <w:t>1,000</w:t>
            </w:r>
          </w:p>
        </w:tc>
      </w:tr>
      <w:tr w:rsidR="005E41E6" w:rsidRPr="00CB32B1" w:rsidTr="00395EA2">
        <w:trPr>
          <w:trHeight w:val="300"/>
        </w:trPr>
        <w:tc>
          <w:tcPr>
            <w:cnfStyle w:val="001000000000"/>
            <w:tcW w:w="519" w:type="pct"/>
            <w:noWrap/>
          </w:tcPr>
          <w:p w:rsidR="005E41E6" w:rsidRPr="00CB32B1" w:rsidRDefault="005E41E6" w:rsidP="00395EA2">
            <w:pPr>
              <w:pStyle w:val="NumericTableTextDecimalNormal"/>
              <w:tabs>
                <w:tab w:val="clear" w:pos="1004"/>
                <w:tab w:val="decimal" w:pos="360"/>
              </w:tabs>
              <w:jc w:val="center"/>
              <w:rPr>
                <w:rFonts w:asciiTheme="majorHAnsi" w:hAnsiTheme="majorHAnsi"/>
              </w:rPr>
            </w:pPr>
            <w:r w:rsidRPr="00CB32B1">
              <w:rPr>
                <w:rFonts w:asciiTheme="majorHAnsi" w:hAnsiTheme="majorHAnsi"/>
              </w:rPr>
              <w:t>2009</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228</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nr*</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123</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245</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134</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85</w:t>
            </w:r>
          </w:p>
        </w:tc>
        <w:tc>
          <w:tcPr>
            <w:tcW w:w="519" w:type="pct"/>
            <w:noWrap/>
          </w:tcPr>
          <w:p w:rsidR="005E41E6" w:rsidRPr="00CB32B1" w:rsidRDefault="005E41E6" w:rsidP="00395EA2">
            <w:pPr>
              <w:pStyle w:val="NumericTableTextDecimalNormal"/>
              <w:tabs>
                <w:tab w:val="clear" w:pos="1004"/>
                <w:tab w:val="decimal" w:pos="361"/>
              </w:tabs>
              <w:jc w:val="center"/>
              <w:cnfStyle w:val="000000000000"/>
              <w:rPr>
                <w:rFonts w:asciiTheme="majorHAnsi" w:hAnsiTheme="majorHAnsi"/>
              </w:rPr>
            </w:pPr>
            <w:r w:rsidRPr="00CB32B1">
              <w:rPr>
                <w:rFonts w:asciiTheme="majorHAnsi" w:hAnsiTheme="majorHAnsi"/>
              </w:rPr>
              <w:t>11</w:t>
            </w:r>
          </w:p>
        </w:tc>
        <w:tc>
          <w:tcPr>
            <w:tcW w:w="412" w:type="pct"/>
            <w:noWrap/>
          </w:tcPr>
          <w:p w:rsidR="005E41E6" w:rsidRPr="00CB32B1" w:rsidRDefault="005E41E6" w:rsidP="00395EA2">
            <w:pPr>
              <w:pStyle w:val="NumericTableTextDecimalNormal"/>
              <w:tabs>
                <w:tab w:val="clear" w:pos="1004"/>
              </w:tabs>
              <w:jc w:val="center"/>
              <w:cnfStyle w:val="000000000000"/>
              <w:rPr>
                <w:rFonts w:asciiTheme="majorHAnsi" w:hAnsiTheme="majorHAnsi"/>
              </w:rPr>
            </w:pPr>
            <w:r w:rsidRPr="00CB32B1">
              <w:rPr>
                <w:rFonts w:asciiTheme="majorHAnsi" w:hAnsiTheme="majorHAnsi"/>
              </w:rPr>
              <w:t>37</w:t>
            </w:r>
          </w:p>
        </w:tc>
        <w:tc>
          <w:tcPr>
            <w:tcW w:w="436" w:type="pct"/>
          </w:tcPr>
          <w:p w:rsidR="005E41E6" w:rsidRPr="00CB32B1" w:rsidRDefault="005E41E6" w:rsidP="00395EA2">
            <w:pPr>
              <w:pStyle w:val="NumericTableTextDecimalNormal"/>
              <w:tabs>
                <w:tab w:val="clear" w:pos="1004"/>
                <w:tab w:val="left" w:pos="416"/>
                <w:tab w:val="decimal" w:pos="851"/>
              </w:tabs>
              <w:jc w:val="center"/>
              <w:cnfStyle w:val="000000000000"/>
              <w:rPr>
                <w:rFonts w:asciiTheme="majorHAnsi" w:hAnsiTheme="majorHAnsi"/>
                <w:b/>
                <w:color w:val="DC6900" w:themeColor="text2"/>
              </w:rPr>
            </w:pPr>
            <w:r w:rsidRPr="00CB32B1">
              <w:rPr>
                <w:rFonts w:asciiTheme="majorHAnsi" w:hAnsiTheme="majorHAnsi"/>
                <w:b/>
                <w:color w:val="DC6900" w:themeColor="text2"/>
              </w:rPr>
              <w:t>863</w:t>
            </w:r>
          </w:p>
        </w:tc>
      </w:tr>
      <w:tr w:rsidR="005E41E6" w:rsidRPr="00CB32B1" w:rsidTr="00395EA2">
        <w:trPr>
          <w:trHeight w:val="300"/>
        </w:trPr>
        <w:tc>
          <w:tcPr>
            <w:cnfStyle w:val="001000000000"/>
            <w:tcW w:w="519" w:type="pct"/>
            <w:noWrap/>
          </w:tcPr>
          <w:p w:rsidR="005E41E6" w:rsidRPr="00CB32B1" w:rsidRDefault="005E41E6" w:rsidP="00395EA2">
            <w:pPr>
              <w:pStyle w:val="NumericTableTextDecimalNormal"/>
              <w:tabs>
                <w:tab w:val="clear" w:pos="1004"/>
                <w:tab w:val="decimal" w:pos="360"/>
              </w:tabs>
              <w:jc w:val="center"/>
              <w:rPr>
                <w:rFonts w:asciiTheme="majorHAnsi" w:hAnsiTheme="majorHAnsi"/>
              </w:rPr>
            </w:pPr>
            <w:r w:rsidRPr="00CB32B1">
              <w:rPr>
                <w:rFonts w:asciiTheme="majorHAnsi" w:hAnsiTheme="majorHAnsi"/>
              </w:rPr>
              <w:t>2010</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246</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567</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85</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255</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142</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rPr>
            </w:pPr>
            <w:r w:rsidRPr="00CB32B1">
              <w:rPr>
                <w:rFonts w:asciiTheme="majorHAnsi" w:hAnsiTheme="majorHAnsi"/>
              </w:rPr>
              <w:t>13</w:t>
            </w:r>
          </w:p>
        </w:tc>
        <w:tc>
          <w:tcPr>
            <w:tcW w:w="519" w:type="pct"/>
            <w:noWrap/>
          </w:tcPr>
          <w:p w:rsidR="005E41E6" w:rsidRPr="00CB32B1" w:rsidRDefault="005E41E6" w:rsidP="00395EA2">
            <w:pPr>
              <w:pStyle w:val="NumericTableTextDecimalNormal"/>
              <w:tabs>
                <w:tab w:val="clear" w:pos="1004"/>
                <w:tab w:val="decimal" w:pos="361"/>
              </w:tabs>
              <w:jc w:val="center"/>
              <w:cnfStyle w:val="000000000000"/>
              <w:rPr>
                <w:rFonts w:asciiTheme="majorHAnsi" w:hAnsiTheme="majorHAnsi"/>
              </w:rPr>
            </w:pPr>
            <w:r w:rsidRPr="00CB32B1">
              <w:rPr>
                <w:rFonts w:asciiTheme="majorHAnsi" w:hAnsiTheme="majorHAnsi"/>
              </w:rPr>
              <w:t>6</w:t>
            </w:r>
          </w:p>
        </w:tc>
        <w:tc>
          <w:tcPr>
            <w:tcW w:w="412" w:type="pct"/>
            <w:noWrap/>
          </w:tcPr>
          <w:p w:rsidR="005E41E6" w:rsidRPr="00CB32B1" w:rsidRDefault="005E41E6" w:rsidP="00395EA2">
            <w:pPr>
              <w:pStyle w:val="NumericTableTextDecimalNormal"/>
              <w:tabs>
                <w:tab w:val="clear" w:pos="1004"/>
              </w:tabs>
              <w:jc w:val="center"/>
              <w:cnfStyle w:val="000000000000"/>
              <w:rPr>
                <w:rFonts w:asciiTheme="majorHAnsi" w:hAnsiTheme="majorHAnsi"/>
              </w:rPr>
            </w:pPr>
            <w:r w:rsidRPr="00CB32B1">
              <w:rPr>
                <w:rFonts w:asciiTheme="majorHAnsi" w:hAnsiTheme="majorHAnsi"/>
              </w:rPr>
              <w:t>31</w:t>
            </w:r>
          </w:p>
        </w:tc>
        <w:tc>
          <w:tcPr>
            <w:tcW w:w="436" w:type="pct"/>
          </w:tcPr>
          <w:p w:rsidR="005E41E6" w:rsidRPr="00CB32B1" w:rsidRDefault="005E41E6" w:rsidP="00395EA2">
            <w:pPr>
              <w:pStyle w:val="NumericTableTextDecimalNormal"/>
              <w:tabs>
                <w:tab w:val="clear" w:pos="1004"/>
                <w:tab w:val="left" w:pos="416"/>
                <w:tab w:val="decimal" w:pos="851"/>
              </w:tabs>
              <w:jc w:val="center"/>
              <w:cnfStyle w:val="000000000000"/>
              <w:rPr>
                <w:rFonts w:asciiTheme="majorHAnsi" w:hAnsiTheme="majorHAnsi"/>
                <w:b/>
                <w:color w:val="DC6900" w:themeColor="text2"/>
              </w:rPr>
            </w:pPr>
            <w:r w:rsidRPr="00CB32B1">
              <w:rPr>
                <w:rFonts w:asciiTheme="majorHAnsi" w:hAnsiTheme="majorHAnsi"/>
                <w:b/>
                <w:color w:val="DC6900" w:themeColor="text2"/>
              </w:rPr>
              <w:t>1,345</w:t>
            </w:r>
          </w:p>
        </w:tc>
      </w:tr>
      <w:tr w:rsidR="005E41E6" w:rsidRPr="00CB32B1" w:rsidTr="00395EA2">
        <w:trPr>
          <w:trHeight w:val="300"/>
        </w:trPr>
        <w:tc>
          <w:tcPr>
            <w:cnfStyle w:val="001000000000"/>
            <w:tcW w:w="519" w:type="pct"/>
            <w:noWrap/>
          </w:tcPr>
          <w:p w:rsidR="005E41E6" w:rsidRPr="00CB32B1" w:rsidRDefault="005E41E6" w:rsidP="00395EA2">
            <w:pPr>
              <w:pStyle w:val="NumericTableTextDecimalNormal"/>
              <w:tabs>
                <w:tab w:val="clear" w:pos="1004"/>
                <w:tab w:val="decimal" w:pos="360"/>
              </w:tabs>
              <w:jc w:val="center"/>
              <w:rPr>
                <w:rFonts w:asciiTheme="majorHAnsi" w:hAnsiTheme="majorHAnsi"/>
                <w:b/>
                <w:color w:val="DC6900" w:themeColor="text2"/>
              </w:rPr>
            </w:pPr>
            <w:r w:rsidRPr="00CB32B1">
              <w:rPr>
                <w:rFonts w:asciiTheme="majorHAnsi" w:hAnsiTheme="majorHAnsi"/>
                <w:b/>
                <w:color w:val="DC6900" w:themeColor="text2"/>
              </w:rPr>
              <w:t>Total</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b/>
                <w:color w:val="DC6900" w:themeColor="text2"/>
              </w:rPr>
            </w:pPr>
            <w:r w:rsidRPr="00CB32B1">
              <w:rPr>
                <w:rFonts w:asciiTheme="majorHAnsi" w:hAnsiTheme="majorHAnsi"/>
                <w:b/>
                <w:color w:val="DC6900" w:themeColor="text2"/>
              </w:rPr>
              <w:t>1,495</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b/>
                <w:color w:val="DC6900" w:themeColor="text2"/>
              </w:rPr>
            </w:pPr>
            <w:r w:rsidRPr="00CB32B1">
              <w:rPr>
                <w:rFonts w:asciiTheme="majorHAnsi" w:hAnsiTheme="majorHAnsi"/>
                <w:b/>
                <w:color w:val="DC6900" w:themeColor="text2"/>
              </w:rPr>
              <w:t>2,127</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b/>
                <w:color w:val="DC6900" w:themeColor="text2"/>
              </w:rPr>
            </w:pPr>
            <w:r w:rsidRPr="00CB32B1">
              <w:rPr>
                <w:rFonts w:asciiTheme="majorHAnsi" w:hAnsiTheme="majorHAnsi"/>
                <w:b/>
                <w:color w:val="DC6900" w:themeColor="text2"/>
              </w:rPr>
              <w:t>961</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b/>
                <w:color w:val="DC6900" w:themeColor="text2"/>
              </w:rPr>
            </w:pPr>
            <w:r w:rsidRPr="00CB32B1">
              <w:rPr>
                <w:rFonts w:asciiTheme="majorHAnsi" w:hAnsiTheme="majorHAnsi"/>
                <w:b/>
                <w:color w:val="DC6900" w:themeColor="text2"/>
              </w:rPr>
              <w:t>1,859</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b/>
                <w:color w:val="DC6900" w:themeColor="text2"/>
              </w:rPr>
            </w:pPr>
            <w:r w:rsidRPr="00CB32B1">
              <w:rPr>
                <w:rFonts w:asciiTheme="majorHAnsi" w:hAnsiTheme="majorHAnsi"/>
                <w:b/>
                <w:color w:val="DC6900" w:themeColor="text2"/>
              </w:rPr>
              <w:t>847</w:t>
            </w:r>
          </w:p>
        </w:tc>
        <w:tc>
          <w:tcPr>
            <w:tcW w:w="519" w:type="pct"/>
            <w:noWrap/>
          </w:tcPr>
          <w:p w:rsidR="005E41E6" w:rsidRPr="00CB32B1" w:rsidRDefault="005E41E6" w:rsidP="00395EA2">
            <w:pPr>
              <w:pStyle w:val="NumericTableTextDecimalNormal"/>
              <w:tabs>
                <w:tab w:val="clear" w:pos="1004"/>
                <w:tab w:val="decimal" w:pos="360"/>
              </w:tabs>
              <w:jc w:val="center"/>
              <w:cnfStyle w:val="000000000000"/>
              <w:rPr>
                <w:rFonts w:asciiTheme="majorHAnsi" w:hAnsiTheme="majorHAnsi"/>
                <w:b/>
                <w:color w:val="DC6900" w:themeColor="text2"/>
              </w:rPr>
            </w:pPr>
            <w:r w:rsidRPr="00CB32B1">
              <w:rPr>
                <w:rFonts w:asciiTheme="majorHAnsi" w:hAnsiTheme="majorHAnsi"/>
                <w:b/>
                <w:color w:val="DC6900" w:themeColor="text2"/>
              </w:rPr>
              <w:t>182</w:t>
            </w:r>
          </w:p>
        </w:tc>
        <w:tc>
          <w:tcPr>
            <w:tcW w:w="519" w:type="pct"/>
            <w:noWrap/>
          </w:tcPr>
          <w:p w:rsidR="005E41E6" w:rsidRPr="00CB32B1" w:rsidRDefault="005E41E6" w:rsidP="00395EA2">
            <w:pPr>
              <w:pStyle w:val="NumericTableTextDecimalNormal"/>
              <w:tabs>
                <w:tab w:val="clear" w:pos="1004"/>
                <w:tab w:val="decimal" w:pos="361"/>
              </w:tabs>
              <w:jc w:val="center"/>
              <w:cnfStyle w:val="000000000000"/>
              <w:rPr>
                <w:rFonts w:asciiTheme="majorHAnsi" w:hAnsiTheme="majorHAnsi"/>
                <w:b/>
                <w:color w:val="DC6900" w:themeColor="text2"/>
              </w:rPr>
            </w:pPr>
            <w:r w:rsidRPr="00CB32B1">
              <w:rPr>
                <w:rFonts w:asciiTheme="majorHAnsi" w:hAnsiTheme="majorHAnsi"/>
                <w:b/>
                <w:color w:val="DC6900" w:themeColor="text2"/>
              </w:rPr>
              <w:t>110</w:t>
            </w:r>
          </w:p>
        </w:tc>
        <w:tc>
          <w:tcPr>
            <w:tcW w:w="412" w:type="pct"/>
            <w:noWrap/>
          </w:tcPr>
          <w:p w:rsidR="005E41E6" w:rsidRPr="00CB32B1" w:rsidRDefault="005E41E6" w:rsidP="00395EA2">
            <w:pPr>
              <w:pStyle w:val="NumericTableTextDecimalNormal"/>
              <w:tabs>
                <w:tab w:val="clear" w:pos="1004"/>
              </w:tabs>
              <w:jc w:val="center"/>
              <w:cnfStyle w:val="000000000000"/>
              <w:rPr>
                <w:rFonts w:asciiTheme="majorHAnsi" w:hAnsiTheme="majorHAnsi"/>
                <w:b/>
                <w:color w:val="DC6900" w:themeColor="text2"/>
              </w:rPr>
            </w:pPr>
            <w:r w:rsidRPr="00CB32B1">
              <w:rPr>
                <w:rFonts w:asciiTheme="majorHAnsi" w:hAnsiTheme="majorHAnsi"/>
                <w:b/>
                <w:color w:val="DC6900" w:themeColor="text2"/>
              </w:rPr>
              <w:t>271</w:t>
            </w:r>
          </w:p>
        </w:tc>
        <w:tc>
          <w:tcPr>
            <w:tcW w:w="436" w:type="pct"/>
          </w:tcPr>
          <w:p w:rsidR="005E41E6" w:rsidRPr="00CB32B1" w:rsidRDefault="005E41E6" w:rsidP="00395EA2">
            <w:pPr>
              <w:pStyle w:val="NumericTableTextDecimalNormal"/>
              <w:tabs>
                <w:tab w:val="clear" w:pos="1004"/>
                <w:tab w:val="left" w:pos="416"/>
                <w:tab w:val="decimal" w:pos="851"/>
              </w:tabs>
              <w:jc w:val="center"/>
              <w:cnfStyle w:val="000000000000"/>
              <w:rPr>
                <w:rFonts w:asciiTheme="majorHAnsi" w:hAnsiTheme="majorHAnsi"/>
                <w:b/>
                <w:color w:val="DC6900" w:themeColor="text2"/>
              </w:rPr>
            </w:pPr>
          </w:p>
        </w:tc>
      </w:tr>
    </w:tbl>
    <w:p w:rsidR="00D42B1C" w:rsidRPr="00CB32B1" w:rsidRDefault="00D42B1C" w:rsidP="00FA152C">
      <w:pPr>
        <w:pStyle w:val="Sources"/>
        <w:keepNext/>
        <w:keepLines/>
        <w:spacing w:after="40"/>
      </w:pPr>
      <w:r w:rsidRPr="00CB32B1">
        <w:rPr>
          <w:b/>
        </w:rPr>
        <w:t>Key:</w:t>
      </w:r>
      <w:r w:rsidRPr="00CB32B1">
        <w:t xml:space="preserve"> ‘nr*’</w:t>
      </w:r>
      <w:r w:rsidR="00854DEF" w:rsidRPr="00CB32B1">
        <w:t xml:space="preserve"> – </w:t>
      </w:r>
      <w:r w:rsidRPr="00CB32B1">
        <w:t xml:space="preserve">Not reported. </w:t>
      </w:r>
    </w:p>
    <w:p w:rsidR="00FA152C" w:rsidRPr="00CB32B1" w:rsidRDefault="00D42B1C" w:rsidP="00FA152C">
      <w:pPr>
        <w:pStyle w:val="Sources"/>
        <w:keepNext/>
        <w:keepLines/>
        <w:spacing w:after="40"/>
      </w:pPr>
      <w:r w:rsidRPr="00CB32B1">
        <w:rPr>
          <w:b/>
        </w:rPr>
        <w:t>Note:</w:t>
      </w:r>
      <w:r w:rsidRPr="00CB32B1">
        <w:t xml:space="preserve"> </w:t>
      </w:r>
      <w:r w:rsidR="001F7539">
        <w:t>Data l</w:t>
      </w:r>
      <w:r w:rsidRPr="00CB32B1">
        <w:t xml:space="preserve">imitations include the uncertainty around which health practitioner </w:t>
      </w:r>
      <w:r w:rsidR="001F7539">
        <w:t xml:space="preserve">(if any) </w:t>
      </w:r>
      <w:r w:rsidRPr="00CB32B1">
        <w:t>is assisting the birth. There are also limitations as to whether the births are by publicly funded midwifery schemes or by PPM</w:t>
      </w:r>
      <w:r w:rsidR="00795E1A">
        <w:t>s</w:t>
      </w:r>
      <w:r w:rsidRPr="00CB32B1">
        <w:t>.</w:t>
      </w:r>
      <w:r w:rsidR="001F7539">
        <w:t xml:space="preserve"> Also note that due to different data extracts being reviewed, there are variations between the aggregate totals for states and territories.</w:t>
      </w:r>
    </w:p>
    <w:p w:rsidR="00D42B1C" w:rsidRPr="00CB32B1" w:rsidRDefault="00D42B1C" w:rsidP="00A124E8">
      <w:pPr>
        <w:pStyle w:val="Sources"/>
        <w:keepNext/>
        <w:keepLines/>
      </w:pPr>
      <w:r w:rsidRPr="00CB32B1">
        <w:rPr>
          <w:b/>
        </w:rPr>
        <w:t>Source:</w:t>
      </w:r>
      <w:r w:rsidRPr="00CB32B1">
        <w:t xml:space="preserve"> </w:t>
      </w:r>
      <w:r w:rsidR="00894387" w:rsidRPr="00CB32B1">
        <w:t>Australian Institute of Health and Welfare, 200</w:t>
      </w:r>
      <w:r w:rsidR="00F94B0D">
        <w:t>4</w:t>
      </w:r>
      <w:r w:rsidR="00865724">
        <w:t>b</w:t>
      </w:r>
      <w:r w:rsidR="00F94B0D">
        <w:t>-</w:t>
      </w:r>
      <w:r w:rsidR="00894387" w:rsidRPr="00CB32B1">
        <w:t>201</w:t>
      </w:r>
      <w:r w:rsidR="00F94B0D">
        <w:t>3</w:t>
      </w:r>
      <w:r w:rsidR="00894387" w:rsidRPr="00CB32B1">
        <w:t>.</w:t>
      </w:r>
    </w:p>
    <w:p w:rsidR="00D42B1C" w:rsidRPr="00CB32B1" w:rsidRDefault="00D42B1C" w:rsidP="00A124E8">
      <w:pPr>
        <w:pStyle w:val="Majorheading"/>
      </w:pPr>
      <w:r w:rsidRPr="00CB32B1">
        <w:t>Proportion of homebirths in Australia</w:t>
      </w:r>
    </w:p>
    <w:p w:rsidR="00D42B1C" w:rsidRPr="00CB32B1" w:rsidRDefault="00D42B1C" w:rsidP="00D42B1C">
      <w:pPr>
        <w:pStyle w:val="PwCNormal"/>
      </w:pPr>
      <w:r w:rsidRPr="00CB32B1">
        <w:t>The proportion of homebirths in Australia c</w:t>
      </w:r>
      <w:r w:rsidR="00723DA6">
        <w:t>an</w:t>
      </w:r>
      <w:r w:rsidRPr="00CB32B1">
        <w:t xml:space="preserve"> be calculated in a number of different ways; AIHW data collate homebirth in terms of the proportion of women who give birth at home rather than as a proportion of all live births which occur at home. See </w:t>
      </w:r>
      <w:r w:rsidR="009129A6" w:rsidRPr="00CB32B1">
        <w:fldChar w:fldCharType="begin"/>
      </w:r>
      <w:r w:rsidR="00AA3C29" w:rsidRPr="00CB32B1">
        <w:instrText xml:space="preserve"> REF _Ref361224095 \h </w:instrText>
      </w:r>
      <w:r w:rsidR="009129A6" w:rsidRPr="00CB32B1">
        <w:fldChar w:fldCharType="separate"/>
      </w:r>
      <w:r w:rsidR="008816B4" w:rsidRPr="00CB32B1">
        <w:t xml:space="preserve">Table </w:t>
      </w:r>
      <w:r w:rsidR="008816B4">
        <w:rPr>
          <w:noProof/>
        </w:rPr>
        <w:t>35</w:t>
      </w:r>
      <w:r w:rsidR="009129A6" w:rsidRPr="00CB32B1">
        <w:fldChar w:fldCharType="end"/>
      </w:r>
      <w:r w:rsidRPr="00CB32B1">
        <w:t>.</w:t>
      </w:r>
    </w:p>
    <w:p w:rsidR="00A4654A" w:rsidRPr="00CB32B1" w:rsidRDefault="00A4654A" w:rsidP="00723DA6">
      <w:pPr>
        <w:pStyle w:val="Caption"/>
        <w:keepNext w:val="0"/>
        <w:keepLines w:val="0"/>
      </w:pPr>
      <w:bookmarkStart w:id="150" w:name="_Ref361224095"/>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35</w:t>
      </w:r>
      <w:r w:rsidR="009129A6" w:rsidRPr="00CB32B1">
        <w:fldChar w:fldCharType="end"/>
      </w:r>
      <w:bookmarkEnd w:id="150"/>
      <w:r w:rsidRPr="00CB32B1">
        <w:t>: Proportion of homebirths in Australia</w:t>
      </w:r>
    </w:p>
    <w:tbl>
      <w:tblPr>
        <w:tblStyle w:val="PwCTableStyle1"/>
        <w:tblW w:w="5000" w:type="pct"/>
        <w:tblLayout w:type="fixed"/>
        <w:tblCellMar>
          <w:left w:w="58" w:type="dxa"/>
          <w:right w:w="58" w:type="dxa"/>
        </w:tblCellMar>
        <w:tblLook w:val="04A0"/>
      </w:tblPr>
      <w:tblGrid>
        <w:gridCol w:w="1902"/>
        <w:gridCol w:w="728"/>
        <w:gridCol w:w="728"/>
        <w:gridCol w:w="728"/>
        <w:gridCol w:w="729"/>
        <w:gridCol w:w="727"/>
        <w:gridCol w:w="727"/>
        <w:gridCol w:w="729"/>
        <w:gridCol w:w="727"/>
        <w:gridCol w:w="727"/>
        <w:gridCol w:w="733"/>
      </w:tblGrid>
      <w:tr w:rsidR="009201BE" w:rsidRPr="00CB32B1" w:rsidTr="00723DA6">
        <w:trPr>
          <w:cnfStyle w:val="100000000000"/>
          <w:trHeight w:val="300"/>
        </w:trPr>
        <w:tc>
          <w:tcPr>
            <w:cnfStyle w:val="001000000000"/>
            <w:tcW w:w="1035" w:type="pct"/>
            <w:shd w:val="clear" w:color="auto" w:fill="DC6900" w:themeFill="text2"/>
            <w:noWrap/>
            <w:vAlign w:val="center"/>
            <w:hideMark/>
          </w:tcPr>
          <w:p w:rsidR="009201BE" w:rsidRPr="00CB32B1" w:rsidRDefault="009201BE" w:rsidP="00723DA6">
            <w:pPr>
              <w:pStyle w:val="NumericTableColumnHeadingNormal"/>
              <w:keepNext w:val="0"/>
              <w:keepLines w:val="0"/>
              <w:jc w:val="center"/>
              <w:rPr>
                <w:rFonts w:asciiTheme="majorHAnsi" w:hAnsiTheme="majorHAnsi"/>
              </w:rPr>
            </w:pPr>
          </w:p>
        </w:tc>
        <w:tc>
          <w:tcPr>
            <w:tcW w:w="396" w:type="pct"/>
            <w:shd w:val="clear" w:color="auto" w:fill="DC6900" w:themeFill="text2"/>
            <w:noWrap/>
            <w:vAlign w:val="center"/>
            <w:hideMark/>
          </w:tcPr>
          <w:p w:rsidR="009201BE" w:rsidRPr="00CB32B1" w:rsidRDefault="009201BE" w:rsidP="00723DA6">
            <w:pPr>
              <w:pStyle w:val="NumericTableColumnHeadingNormal"/>
              <w:keepNext w:val="0"/>
              <w:keepLines w:val="0"/>
              <w:jc w:val="center"/>
              <w:cnfStyle w:val="100000000000"/>
              <w:rPr>
                <w:rFonts w:asciiTheme="majorHAnsi" w:hAnsiTheme="majorHAnsi"/>
              </w:rPr>
            </w:pPr>
            <w:r w:rsidRPr="00CB32B1">
              <w:rPr>
                <w:rFonts w:asciiTheme="majorHAnsi" w:hAnsiTheme="majorHAnsi"/>
              </w:rPr>
              <w:t>2001</w:t>
            </w:r>
          </w:p>
        </w:tc>
        <w:tc>
          <w:tcPr>
            <w:tcW w:w="396" w:type="pct"/>
            <w:shd w:val="clear" w:color="auto" w:fill="DC6900" w:themeFill="text2"/>
            <w:noWrap/>
            <w:vAlign w:val="center"/>
            <w:hideMark/>
          </w:tcPr>
          <w:p w:rsidR="009201BE" w:rsidRPr="00CB32B1" w:rsidRDefault="009201BE" w:rsidP="00723DA6">
            <w:pPr>
              <w:pStyle w:val="NumericTableColumnHeadingNormal"/>
              <w:keepNext w:val="0"/>
              <w:keepLines w:val="0"/>
              <w:jc w:val="center"/>
              <w:cnfStyle w:val="100000000000"/>
              <w:rPr>
                <w:rFonts w:asciiTheme="majorHAnsi" w:hAnsiTheme="majorHAnsi"/>
              </w:rPr>
            </w:pPr>
            <w:r w:rsidRPr="00CB32B1">
              <w:rPr>
                <w:rFonts w:asciiTheme="majorHAnsi" w:hAnsiTheme="majorHAnsi"/>
              </w:rPr>
              <w:t>2002</w:t>
            </w:r>
          </w:p>
        </w:tc>
        <w:tc>
          <w:tcPr>
            <w:tcW w:w="396" w:type="pct"/>
            <w:shd w:val="clear" w:color="auto" w:fill="DC6900" w:themeFill="text2"/>
            <w:noWrap/>
            <w:vAlign w:val="center"/>
            <w:hideMark/>
          </w:tcPr>
          <w:p w:rsidR="009201BE" w:rsidRPr="00CB32B1" w:rsidRDefault="009201BE" w:rsidP="00723DA6">
            <w:pPr>
              <w:pStyle w:val="NumericTableColumnHeadingNormal"/>
              <w:keepNext w:val="0"/>
              <w:keepLines w:val="0"/>
              <w:jc w:val="center"/>
              <w:cnfStyle w:val="100000000000"/>
              <w:rPr>
                <w:rFonts w:asciiTheme="majorHAnsi" w:hAnsiTheme="majorHAnsi"/>
              </w:rPr>
            </w:pPr>
            <w:r w:rsidRPr="00CB32B1">
              <w:rPr>
                <w:rFonts w:asciiTheme="majorHAnsi" w:hAnsiTheme="majorHAnsi"/>
              </w:rPr>
              <w:t>2003</w:t>
            </w:r>
          </w:p>
        </w:tc>
        <w:tc>
          <w:tcPr>
            <w:tcW w:w="397" w:type="pct"/>
            <w:shd w:val="clear" w:color="auto" w:fill="DC6900" w:themeFill="text2"/>
            <w:noWrap/>
            <w:vAlign w:val="center"/>
            <w:hideMark/>
          </w:tcPr>
          <w:p w:rsidR="009201BE" w:rsidRPr="00CB32B1" w:rsidRDefault="009201BE" w:rsidP="00723DA6">
            <w:pPr>
              <w:pStyle w:val="NumericTableColumnHeadingNormal"/>
              <w:keepNext w:val="0"/>
              <w:keepLines w:val="0"/>
              <w:jc w:val="center"/>
              <w:cnfStyle w:val="100000000000"/>
              <w:rPr>
                <w:rFonts w:asciiTheme="majorHAnsi" w:hAnsiTheme="majorHAnsi"/>
              </w:rPr>
            </w:pPr>
            <w:r w:rsidRPr="00CB32B1">
              <w:rPr>
                <w:rFonts w:asciiTheme="majorHAnsi" w:hAnsiTheme="majorHAnsi"/>
              </w:rPr>
              <w:t>2004</w:t>
            </w:r>
          </w:p>
        </w:tc>
        <w:tc>
          <w:tcPr>
            <w:tcW w:w="396" w:type="pct"/>
            <w:shd w:val="clear" w:color="auto" w:fill="DC6900" w:themeFill="text2"/>
            <w:noWrap/>
            <w:vAlign w:val="center"/>
            <w:hideMark/>
          </w:tcPr>
          <w:p w:rsidR="009201BE" w:rsidRPr="00CB32B1" w:rsidRDefault="009201BE" w:rsidP="00723DA6">
            <w:pPr>
              <w:pStyle w:val="NumericTableColumnHeadingNormal"/>
              <w:keepNext w:val="0"/>
              <w:keepLines w:val="0"/>
              <w:jc w:val="center"/>
              <w:cnfStyle w:val="100000000000"/>
              <w:rPr>
                <w:rFonts w:asciiTheme="majorHAnsi" w:hAnsiTheme="majorHAnsi"/>
              </w:rPr>
            </w:pPr>
            <w:r w:rsidRPr="00CB32B1">
              <w:rPr>
                <w:rFonts w:asciiTheme="majorHAnsi" w:hAnsiTheme="majorHAnsi"/>
              </w:rPr>
              <w:t>2005</w:t>
            </w:r>
          </w:p>
        </w:tc>
        <w:tc>
          <w:tcPr>
            <w:tcW w:w="396" w:type="pct"/>
            <w:shd w:val="clear" w:color="auto" w:fill="DC6900" w:themeFill="text2"/>
            <w:noWrap/>
            <w:vAlign w:val="center"/>
            <w:hideMark/>
          </w:tcPr>
          <w:p w:rsidR="009201BE" w:rsidRPr="00CB32B1" w:rsidRDefault="009201BE" w:rsidP="00723DA6">
            <w:pPr>
              <w:pStyle w:val="NumericTableColumnHeadingNormal"/>
              <w:keepNext w:val="0"/>
              <w:keepLines w:val="0"/>
              <w:jc w:val="center"/>
              <w:cnfStyle w:val="100000000000"/>
              <w:rPr>
                <w:rFonts w:asciiTheme="majorHAnsi" w:hAnsiTheme="majorHAnsi"/>
              </w:rPr>
            </w:pPr>
            <w:r w:rsidRPr="00CB32B1">
              <w:rPr>
                <w:rFonts w:asciiTheme="majorHAnsi" w:hAnsiTheme="majorHAnsi"/>
              </w:rPr>
              <w:t>2006</w:t>
            </w:r>
          </w:p>
        </w:tc>
        <w:tc>
          <w:tcPr>
            <w:tcW w:w="397" w:type="pct"/>
            <w:shd w:val="clear" w:color="auto" w:fill="DC6900" w:themeFill="text2"/>
            <w:noWrap/>
            <w:vAlign w:val="center"/>
            <w:hideMark/>
          </w:tcPr>
          <w:p w:rsidR="009201BE" w:rsidRPr="00CB32B1" w:rsidRDefault="009201BE" w:rsidP="00723DA6">
            <w:pPr>
              <w:pStyle w:val="NumericTableColumnHeadingNormal"/>
              <w:keepNext w:val="0"/>
              <w:keepLines w:val="0"/>
              <w:jc w:val="center"/>
              <w:cnfStyle w:val="100000000000"/>
              <w:rPr>
                <w:rFonts w:asciiTheme="majorHAnsi" w:hAnsiTheme="majorHAnsi"/>
              </w:rPr>
            </w:pPr>
            <w:r w:rsidRPr="00CB32B1">
              <w:rPr>
                <w:rFonts w:asciiTheme="majorHAnsi" w:hAnsiTheme="majorHAnsi"/>
              </w:rPr>
              <w:t>2007</w:t>
            </w:r>
          </w:p>
        </w:tc>
        <w:tc>
          <w:tcPr>
            <w:tcW w:w="396" w:type="pct"/>
            <w:shd w:val="clear" w:color="auto" w:fill="DC6900" w:themeFill="text2"/>
            <w:noWrap/>
            <w:vAlign w:val="center"/>
            <w:hideMark/>
          </w:tcPr>
          <w:p w:rsidR="009201BE" w:rsidRPr="00CB32B1" w:rsidRDefault="009201BE" w:rsidP="00723DA6">
            <w:pPr>
              <w:pStyle w:val="NumericTableColumnHeadingNormal"/>
              <w:keepNext w:val="0"/>
              <w:keepLines w:val="0"/>
              <w:jc w:val="center"/>
              <w:cnfStyle w:val="100000000000"/>
              <w:rPr>
                <w:rFonts w:asciiTheme="majorHAnsi" w:hAnsiTheme="majorHAnsi"/>
              </w:rPr>
            </w:pPr>
            <w:r w:rsidRPr="00CB32B1">
              <w:rPr>
                <w:rFonts w:asciiTheme="majorHAnsi" w:hAnsiTheme="majorHAnsi"/>
              </w:rPr>
              <w:t>2008</w:t>
            </w:r>
          </w:p>
        </w:tc>
        <w:tc>
          <w:tcPr>
            <w:tcW w:w="396" w:type="pct"/>
            <w:shd w:val="clear" w:color="auto" w:fill="DC6900" w:themeFill="text2"/>
            <w:noWrap/>
            <w:vAlign w:val="center"/>
            <w:hideMark/>
          </w:tcPr>
          <w:p w:rsidR="009201BE" w:rsidRPr="00CB32B1" w:rsidRDefault="009201BE" w:rsidP="00723DA6">
            <w:pPr>
              <w:pStyle w:val="NumericTableColumnHeadingNormal"/>
              <w:keepNext w:val="0"/>
              <w:keepLines w:val="0"/>
              <w:jc w:val="center"/>
              <w:cnfStyle w:val="100000000000"/>
              <w:rPr>
                <w:rFonts w:asciiTheme="majorHAnsi" w:hAnsiTheme="majorHAnsi"/>
              </w:rPr>
            </w:pPr>
            <w:r w:rsidRPr="00CB32B1">
              <w:rPr>
                <w:rFonts w:asciiTheme="majorHAnsi" w:hAnsiTheme="majorHAnsi"/>
              </w:rPr>
              <w:t>2009</w:t>
            </w:r>
          </w:p>
        </w:tc>
        <w:tc>
          <w:tcPr>
            <w:tcW w:w="399" w:type="pct"/>
            <w:shd w:val="clear" w:color="auto" w:fill="DC6900" w:themeFill="text2"/>
            <w:noWrap/>
            <w:vAlign w:val="center"/>
            <w:hideMark/>
          </w:tcPr>
          <w:p w:rsidR="009201BE" w:rsidRPr="00CB32B1" w:rsidRDefault="009201BE" w:rsidP="00723DA6">
            <w:pPr>
              <w:pStyle w:val="NumericTableColumnHeadingNormal"/>
              <w:keepNext w:val="0"/>
              <w:keepLines w:val="0"/>
              <w:jc w:val="center"/>
              <w:cnfStyle w:val="100000000000"/>
              <w:rPr>
                <w:rFonts w:asciiTheme="majorHAnsi" w:hAnsiTheme="majorHAnsi"/>
              </w:rPr>
            </w:pPr>
            <w:r w:rsidRPr="00CB32B1">
              <w:rPr>
                <w:rFonts w:asciiTheme="majorHAnsi" w:hAnsiTheme="majorHAnsi"/>
              </w:rPr>
              <w:t>2010</w:t>
            </w:r>
          </w:p>
        </w:tc>
      </w:tr>
      <w:tr w:rsidR="009201BE" w:rsidRPr="00CB32B1" w:rsidTr="00723DA6">
        <w:trPr>
          <w:trHeight w:val="300"/>
        </w:trPr>
        <w:tc>
          <w:tcPr>
            <w:cnfStyle w:val="001000000000"/>
            <w:tcW w:w="1035" w:type="pct"/>
            <w:noWrap/>
            <w:hideMark/>
          </w:tcPr>
          <w:p w:rsidR="009201BE" w:rsidRPr="00CB32B1" w:rsidRDefault="009201BE" w:rsidP="00723DA6">
            <w:pPr>
              <w:rPr>
                <w:rFonts w:asciiTheme="majorHAnsi" w:hAnsiTheme="majorHAnsi"/>
              </w:rPr>
            </w:pPr>
            <w:r w:rsidRPr="00CB32B1">
              <w:rPr>
                <w:rFonts w:asciiTheme="majorHAnsi" w:hAnsiTheme="majorHAnsi"/>
              </w:rPr>
              <w:t xml:space="preserve">Per cent of actual homebirths (per woman) </w:t>
            </w:r>
          </w:p>
        </w:tc>
        <w:tc>
          <w:tcPr>
            <w:tcW w:w="396" w:type="pct"/>
            <w:noWrap/>
            <w:hideMark/>
          </w:tcPr>
          <w:p w:rsidR="009201BE" w:rsidRPr="00CB32B1" w:rsidRDefault="009201BE" w:rsidP="00723DA6">
            <w:pPr>
              <w:cnfStyle w:val="000000000000"/>
              <w:rPr>
                <w:rFonts w:asciiTheme="majorHAnsi" w:hAnsiTheme="majorHAnsi"/>
              </w:rPr>
            </w:pPr>
            <w:r w:rsidRPr="00CB32B1">
              <w:rPr>
                <w:rFonts w:asciiTheme="majorHAnsi" w:hAnsiTheme="majorHAnsi"/>
              </w:rPr>
              <w:t>0.28%</w:t>
            </w:r>
          </w:p>
        </w:tc>
        <w:tc>
          <w:tcPr>
            <w:tcW w:w="396" w:type="pct"/>
            <w:noWrap/>
            <w:hideMark/>
          </w:tcPr>
          <w:p w:rsidR="009201BE" w:rsidRPr="00CB32B1" w:rsidRDefault="009201BE" w:rsidP="00723DA6">
            <w:pPr>
              <w:cnfStyle w:val="000000000000"/>
              <w:rPr>
                <w:rFonts w:asciiTheme="majorHAnsi" w:hAnsiTheme="majorHAnsi"/>
              </w:rPr>
            </w:pPr>
            <w:r w:rsidRPr="00CB32B1">
              <w:rPr>
                <w:rFonts w:asciiTheme="majorHAnsi" w:hAnsiTheme="majorHAnsi"/>
              </w:rPr>
              <w:t>0.25%</w:t>
            </w:r>
          </w:p>
        </w:tc>
        <w:tc>
          <w:tcPr>
            <w:tcW w:w="396" w:type="pct"/>
            <w:noWrap/>
            <w:hideMark/>
          </w:tcPr>
          <w:p w:rsidR="009201BE" w:rsidRPr="00CB32B1" w:rsidRDefault="009201BE" w:rsidP="00723DA6">
            <w:pPr>
              <w:cnfStyle w:val="000000000000"/>
              <w:rPr>
                <w:rFonts w:asciiTheme="majorHAnsi" w:hAnsiTheme="majorHAnsi"/>
              </w:rPr>
            </w:pPr>
            <w:r w:rsidRPr="00CB32B1">
              <w:rPr>
                <w:rFonts w:asciiTheme="majorHAnsi" w:hAnsiTheme="majorHAnsi"/>
              </w:rPr>
              <w:t>0.23%</w:t>
            </w:r>
          </w:p>
        </w:tc>
        <w:tc>
          <w:tcPr>
            <w:tcW w:w="397" w:type="pct"/>
            <w:noWrap/>
            <w:hideMark/>
          </w:tcPr>
          <w:p w:rsidR="009201BE" w:rsidRPr="00CB32B1" w:rsidRDefault="009201BE" w:rsidP="00723DA6">
            <w:pPr>
              <w:cnfStyle w:val="000000000000"/>
              <w:rPr>
                <w:rFonts w:asciiTheme="majorHAnsi" w:hAnsiTheme="majorHAnsi"/>
              </w:rPr>
            </w:pPr>
            <w:r w:rsidRPr="00CB32B1">
              <w:rPr>
                <w:rFonts w:asciiTheme="majorHAnsi" w:hAnsiTheme="majorHAnsi"/>
              </w:rPr>
              <w:t>0.23%</w:t>
            </w:r>
          </w:p>
        </w:tc>
        <w:tc>
          <w:tcPr>
            <w:tcW w:w="396" w:type="pct"/>
            <w:noWrap/>
            <w:hideMark/>
          </w:tcPr>
          <w:p w:rsidR="009201BE" w:rsidRPr="00CB32B1" w:rsidRDefault="009201BE" w:rsidP="00723DA6">
            <w:pPr>
              <w:cnfStyle w:val="000000000000"/>
              <w:rPr>
                <w:rFonts w:asciiTheme="majorHAnsi" w:hAnsiTheme="majorHAnsi"/>
              </w:rPr>
            </w:pPr>
            <w:r w:rsidRPr="00CB32B1">
              <w:rPr>
                <w:rFonts w:asciiTheme="majorHAnsi" w:hAnsiTheme="majorHAnsi"/>
              </w:rPr>
              <w:t>0.23%</w:t>
            </w:r>
          </w:p>
        </w:tc>
        <w:tc>
          <w:tcPr>
            <w:tcW w:w="396" w:type="pct"/>
            <w:noWrap/>
            <w:hideMark/>
          </w:tcPr>
          <w:p w:rsidR="009201BE" w:rsidRPr="00CB32B1" w:rsidRDefault="009201BE" w:rsidP="00723DA6">
            <w:pPr>
              <w:cnfStyle w:val="000000000000"/>
              <w:rPr>
                <w:rFonts w:asciiTheme="majorHAnsi" w:hAnsiTheme="majorHAnsi"/>
              </w:rPr>
            </w:pPr>
            <w:r w:rsidRPr="00CB32B1">
              <w:rPr>
                <w:rFonts w:asciiTheme="majorHAnsi" w:hAnsiTheme="majorHAnsi"/>
              </w:rPr>
              <w:t>0.27%</w:t>
            </w:r>
          </w:p>
        </w:tc>
        <w:tc>
          <w:tcPr>
            <w:tcW w:w="397" w:type="pct"/>
            <w:noWrap/>
            <w:hideMark/>
          </w:tcPr>
          <w:p w:rsidR="009201BE" w:rsidRPr="00CB32B1" w:rsidRDefault="009201BE" w:rsidP="00723DA6">
            <w:pPr>
              <w:cnfStyle w:val="000000000000"/>
              <w:rPr>
                <w:rFonts w:asciiTheme="majorHAnsi" w:hAnsiTheme="majorHAnsi"/>
              </w:rPr>
            </w:pPr>
            <w:r w:rsidRPr="00CB32B1">
              <w:rPr>
                <w:rFonts w:asciiTheme="majorHAnsi" w:hAnsiTheme="majorHAnsi"/>
              </w:rPr>
              <w:t>0.31%</w:t>
            </w:r>
          </w:p>
        </w:tc>
        <w:tc>
          <w:tcPr>
            <w:tcW w:w="396" w:type="pct"/>
            <w:noWrap/>
            <w:hideMark/>
          </w:tcPr>
          <w:p w:rsidR="009201BE" w:rsidRPr="00CB32B1" w:rsidRDefault="009201BE" w:rsidP="00723DA6">
            <w:pPr>
              <w:cnfStyle w:val="000000000000"/>
              <w:rPr>
                <w:rFonts w:asciiTheme="majorHAnsi" w:hAnsiTheme="majorHAnsi"/>
              </w:rPr>
            </w:pPr>
            <w:r w:rsidRPr="00CB32B1">
              <w:rPr>
                <w:rFonts w:asciiTheme="majorHAnsi" w:hAnsiTheme="majorHAnsi"/>
              </w:rPr>
              <w:t>0.34%</w:t>
            </w:r>
          </w:p>
        </w:tc>
        <w:tc>
          <w:tcPr>
            <w:tcW w:w="396" w:type="pct"/>
            <w:noWrap/>
            <w:hideMark/>
          </w:tcPr>
          <w:p w:rsidR="009201BE" w:rsidRPr="00CB32B1" w:rsidRDefault="009201BE" w:rsidP="00723DA6">
            <w:pPr>
              <w:cnfStyle w:val="000000000000"/>
              <w:rPr>
                <w:rFonts w:asciiTheme="majorHAnsi" w:hAnsiTheme="majorHAnsi"/>
              </w:rPr>
            </w:pPr>
            <w:r w:rsidRPr="00CB32B1">
              <w:rPr>
                <w:rFonts w:asciiTheme="majorHAnsi" w:hAnsiTheme="majorHAnsi"/>
              </w:rPr>
              <w:t>0.29%</w:t>
            </w:r>
          </w:p>
        </w:tc>
        <w:tc>
          <w:tcPr>
            <w:tcW w:w="397" w:type="pct"/>
            <w:noWrap/>
            <w:hideMark/>
          </w:tcPr>
          <w:p w:rsidR="009201BE" w:rsidRPr="00CB32B1" w:rsidRDefault="009201BE" w:rsidP="00723DA6">
            <w:pPr>
              <w:cnfStyle w:val="000000000000"/>
              <w:rPr>
                <w:rFonts w:asciiTheme="majorHAnsi" w:hAnsiTheme="majorHAnsi"/>
              </w:rPr>
            </w:pPr>
            <w:r w:rsidRPr="00CB32B1">
              <w:rPr>
                <w:rFonts w:asciiTheme="majorHAnsi" w:hAnsiTheme="majorHAnsi"/>
              </w:rPr>
              <w:t>0.45%</w:t>
            </w:r>
          </w:p>
        </w:tc>
      </w:tr>
    </w:tbl>
    <w:p w:rsidR="000363FD" w:rsidRPr="00CB32B1" w:rsidRDefault="000363FD" w:rsidP="00FA152C">
      <w:pPr>
        <w:pStyle w:val="Sources"/>
        <w:spacing w:after="40"/>
      </w:pPr>
      <w:r w:rsidRPr="00CB32B1">
        <w:rPr>
          <w:b/>
        </w:rPr>
        <w:t>Note:</w:t>
      </w:r>
      <w:r w:rsidRPr="00CB32B1">
        <w:t xml:space="preserve"> Limitations of the data include the uncertainty around which health practitioner is assisting the birth or whether the birth is not attended by the health practitioner. There are also limitations as to whether the births are by publicly fun</w:t>
      </w:r>
      <w:r w:rsidR="00795E1A">
        <w:t>ded midwifery schemes or by PPMs</w:t>
      </w:r>
      <w:r w:rsidRPr="00CB32B1">
        <w:t xml:space="preserve">. </w:t>
      </w:r>
    </w:p>
    <w:p w:rsidR="00D42B1C" w:rsidRPr="00CB32B1" w:rsidRDefault="000363FD" w:rsidP="000363FD">
      <w:pPr>
        <w:pStyle w:val="Sources"/>
      </w:pPr>
      <w:r w:rsidRPr="00CB32B1">
        <w:rPr>
          <w:b/>
        </w:rPr>
        <w:t>Source:</w:t>
      </w:r>
      <w:r w:rsidRPr="00CB32B1">
        <w:t xml:space="preserve"> </w:t>
      </w:r>
      <w:r w:rsidR="00894387" w:rsidRPr="00CB32B1">
        <w:t>Australian Institute of Health and Welfare, 200</w:t>
      </w:r>
      <w:r w:rsidR="00F94B0D">
        <w:t>4</w:t>
      </w:r>
      <w:r w:rsidR="00865724">
        <w:t>b</w:t>
      </w:r>
      <w:r w:rsidR="00F94B0D">
        <w:t>-</w:t>
      </w:r>
      <w:r w:rsidR="00894387" w:rsidRPr="00CB32B1">
        <w:t>201</w:t>
      </w:r>
      <w:r w:rsidR="00F94B0D">
        <w:t>3</w:t>
      </w:r>
      <w:r w:rsidR="00894387" w:rsidRPr="00CB32B1">
        <w:t>.</w:t>
      </w:r>
    </w:p>
    <w:p w:rsidR="00D42B1C" w:rsidRPr="00CB32B1" w:rsidRDefault="00C17782" w:rsidP="00C17782">
      <w:pPr>
        <w:pStyle w:val="Majorheading"/>
      </w:pPr>
      <w:r w:rsidRPr="00CB32B1">
        <w:t>J.3. Maternal outcome literature findings</w:t>
      </w:r>
    </w:p>
    <w:p w:rsidR="00C17782" w:rsidRPr="00CB32B1" w:rsidRDefault="00C17782" w:rsidP="00C17782">
      <w:pPr>
        <w:pStyle w:val="Majorheading"/>
      </w:pPr>
      <w:r w:rsidRPr="00CB32B1">
        <w:t>Findings</w:t>
      </w:r>
    </w:p>
    <w:p w:rsidR="00C17782" w:rsidRPr="00CB32B1" w:rsidRDefault="00C17782" w:rsidP="00C17782">
      <w:pPr>
        <w:pStyle w:val="Minorheading"/>
      </w:pPr>
      <w:r w:rsidRPr="00CB32B1">
        <w:t>Australian studies</w:t>
      </w:r>
    </w:p>
    <w:p w:rsidR="00C17782" w:rsidRPr="00CB32B1" w:rsidRDefault="00C17782" w:rsidP="00C17782">
      <w:pPr>
        <w:pStyle w:val="PwCNormal"/>
      </w:pPr>
      <w:r w:rsidRPr="00CB32B1">
        <w:t>Australian studies including Kennare et al, Crotty et al, and Woodcock et al,</w:t>
      </w:r>
      <w:r w:rsidR="00EB60A2" w:rsidRPr="00CB32B1">
        <w:rPr>
          <w:rStyle w:val="FootnoteReference"/>
        </w:rPr>
        <w:footnoteReference w:id="328"/>
      </w:r>
      <w:r w:rsidRPr="00CB32B1">
        <w:t xml:space="preserve"> demonstrate positive maternal outcomes from homebirths. However as a result of data limitations, caution should be applied to these studies. For example, it could not be distinguished in the studies:</w:t>
      </w:r>
    </w:p>
    <w:p w:rsidR="00C17782" w:rsidRPr="00CB32B1" w:rsidRDefault="00C17782" w:rsidP="00C17782">
      <w:pPr>
        <w:pStyle w:val="ListBullet"/>
      </w:pPr>
      <w:r w:rsidRPr="00CB32B1">
        <w:t xml:space="preserve">Who provided the service </w:t>
      </w:r>
      <w:r w:rsidR="00854DEF" w:rsidRPr="00CB32B1">
        <w:t>ie</w:t>
      </w:r>
      <w:r w:rsidRPr="00CB32B1">
        <w:t xml:space="preserve"> PPM, public hospital</w:t>
      </w:r>
      <w:r w:rsidR="00795E1A">
        <w:t xml:space="preserve"> staff</w:t>
      </w:r>
    </w:p>
    <w:p w:rsidR="00C17782" w:rsidRPr="00CB32B1" w:rsidRDefault="00C17782" w:rsidP="00C17782">
      <w:pPr>
        <w:pStyle w:val="ListBullet"/>
      </w:pPr>
      <w:r w:rsidRPr="00CB32B1">
        <w:t>Whether anyone attended the birth</w:t>
      </w:r>
    </w:p>
    <w:p w:rsidR="00C17782" w:rsidRPr="00CB32B1" w:rsidRDefault="00C17782" w:rsidP="00C17782">
      <w:pPr>
        <w:pStyle w:val="ListBullet"/>
      </w:pPr>
      <w:r w:rsidRPr="00CB32B1">
        <w:t>If a woman had complex needs during the pregnancy.</w:t>
      </w:r>
    </w:p>
    <w:p w:rsidR="00C17782" w:rsidRPr="00CB32B1" w:rsidRDefault="00C17782" w:rsidP="00C17782">
      <w:pPr>
        <w:pStyle w:val="PwCNormal"/>
      </w:pPr>
      <w:r w:rsidRPr="00CB32B1">
        <w:t xml:space="preserve">Further, these studies have only been </w:t>
      </w:r>
      <w:r w:rsidR="00723DA6">
        <w:t xml:space="preserve">completed </w:t>
      </w:r>
      <w:r w:rsidRPr="00CB32B1">
        <w:t xml:space="preserve">on a state and territory basis and not nationally and </w:t>
      </w:r>
      <w:r w:rsidR="00723DA6">
        <w:t xml:space="preserve">also </w:t>
      </w:r>
      <w:r w:rsidRPr="00CB32B1">
        <w:t>may not have been statistically significant.</w:t>
      </w:r>
    </w:p>
    <w:p w:rsidR="00C17782" w:rsidRPr="00CB32B1" w:rsidRDefault="00C17782" w:rsidP="00C17782">
      <w:pPr>
        <w:pStyle w:val="PwCNormal"/>
      </w:pPr>
      <w:r w:rsidRPr="00CB32B1">
        <w:t xml:space="preserve">The most recent study undertaken in Australia looking at maternal morbidities was completed by Kennare et al. Kennare et al found that there were better outcomes (measured by postpartum haemorrhage (PPH) and perineal tears) for planned homebirths, than other settings of care. While these results were not statistically significant for homebirth, the study did include </w:t>
      </w:r>
      <w:r w:rsidR="00875B69" w:rsidRPr="00CB32B1">
        <w:t xml:space="preserve">high-risk </w:t>
      </w:r>
      <w:r w:rsidRPr="00CB32B1">
        <w:t>women.</w:t>
      </w:r>
      <w:r w:rsidR="00EB60A2" w:rsidRPr="00CB32B1">
        <w:rPr>
          <w:rStyle w:val="FootnoteReference"/>
        </w:rPr>
        <w:footnoteReference w:id="329"/>
      </w:r>
    </w:p>
    <w:p w:rsidR="00C17782" w:rsidRPr="00CB32B1" w:rsidRDefault="00C17782" w:rsidP="00C17782">
      <w:pPr>
        <w:pStyle w:val="Minorheading"/>
      </w:pPr>
      <w:r w:rsidRPr="00CB32B1">
        <w:t>International studies</w:t>
      </w:r>
    </w:p>
    <w:p w:rsidR="00D92F94" w:rsidRPr="00CB32B1" w:rsidRDefault="00D92F94" w:rsidP="00D92F94">
      <w:pPr>
        <w:pStyle w:val="PwCNormal"/>
      </w:pPr>
      <w:r w:rsidRPr="00CB32B1">
        <w:t>The literature review completed identified that in general, two maternal outcomes were documented within studies and academic journals; PPH and perineal tears. Both PPH and perineal tears are considered to be severe adverse outcomes.</w:t>
      </w:r>
      <w:r>
        <w:t xml:space="preserve"> Note that</w:t>
      </w:r>
      <w:r w:rsidRPr="00CB32B1">
        <w:t xml:space="preserve"> </w:t>
      </w:r>
      <w:r>
        <w:t>t</w:t>
      </w:r>
      <w:r w:rsidRPr="00CB32B1">
        <w:t xml:space="preserve">here are other conditions which a mother may experience while giving birth that may result in a claim, </w:t>
      </w:r>
      <w:r>
        <w:t>but we have focussed on those which</w:t>
      </w:r>
      <w:r w:rsidRPr="00CB32B1">
        <w:t xml:space="preserve"> are the most common in studies.</w:t>
      </w:r>
      <w:r w:rsidRPr="00CB32B1">
        <w:rPr>
          <w:rStyle w:val="FootnoteReference"/>
        </w:rPr>
        <w:footnoteReference w:id="330"/>
      </w:r>
    </w:p>
    <w:p w:rsidR="00D92F94" w:rsidRPr="00CB32B1" w:rsidRDefault="00D92F94" w:rsidP="00D92F94">
      <w:pPr>
        <w:pStyle w:val="PwCNormal"/>
      </w:pPr>
      <w:r w:rsidRPr="00CB32B1">
        <w:t>In most cases, PPH can be managed so that there are no long-term consequences for a mother. However, it is possible that in extreme cases, mismanagement can lead to the need for a hysterectomy.</w:t>
      </w:r>
      <w:r w:rsidRPr="00795E1A">
        <w:t xml:space="preserve"> </w:t>
      </w:r>
      <w:r w:rsidRPr="00CB32B1">
        <w:t>Perineal tears of a certain degree</w:t>
      </w:r>
      <w:r>
        <w:t xml:space="preserve"> alternatively</w:t>
      </w:r>
      <w:r w:rsidRPr="00CB32B1">
        <w:t xml:space="preserve"> can lead to long-term damage for a mother. The perineal status, its description and care required are outlined in </w:t>
      </w:r>
      <w:r w:rsidR="009129A6" w:rsidRPr="00CB32B1">
        <w:fldChar w:fldCharType="begin"/>
      </w:r>
      <w:r w:rsidRPr="00CB32B1">
        <w:instrText xml:space="preserve"> REF _Ref361224151 \h </w:instrText>
      </w:r>
      <w:r w:rsidR="009129A6" w:rsidRPr="00CB32B1">
        <w:fldChar w:fldCharType="separate"/>
      </w:r>
      <w:r w:rsidR="008816B4" w:rsidRPr="00CB32B1">
        <w:t xml:space="preserve">Table </w:t>
      </w:r>
      <w:r w:rsidR="008816B4">
        <w:rPr>
          <w:noProof/>
        </w:rPr>
        <w:t>36</w:t>
      </w:r>
      <w:r w:rsidR="009129A6" w:rsidRPr="00CB32B1">
        <w:fldChar w:fldCharType="end"/>
      </w:r>
      <w:r w:rsidRPr="00CB32B1">
        <w:t>.</w:t>
      </w:r>
      <w:r w:rsidRPr="00CB32B1">
        <w:rPr>
          <w:rStyle w:val="FootnoteReference"/>
        </w:rPr>
        <w:footnoteReference w:id="331"/>
      </w:r>
      <w:r w:rsidRPr="00CB32B1">
        <w:t xml:space="preserve"> The outcome from a perineal tear of 3rd or 4th degree can lead to long-term damage. Therefore, we have made the assumption that an insurer would be concerned with these types of outcomes from birth.</w:t>
      </w:r>
    </w:p>
    <w:p w:rsidR="00D92F94" w:rsidRPr="00CB32B1" w:rsidRDefault="00D92F94" w:rsidP="00D92F94">
      <w:pPr>
        <w:pStyle w:val="Caption"/>
      </w:pPr>
      <w:bookmarkStart w:id="151" w:name="_Ref361224151"/>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36</w:t>
      </w:r>
      <w:r w:rsidR="009129A6" w:rsidRPr="00CB32B1">
        <w:fldChar w:fldCharType="end"/>
      </w:r>
      <w:bookmarkEnd w:id="151"/>
      <w:r w:rsidRPr="00CB32B1">
        <w:t>: Descriptions of perineal tears and the level of care and pain after tearing</w:t>
      </w:r>
    </w:p>
    <w:tbl>
      <w:tblPr>
        <w:tblStyle w:val="PwCTableStyle1"/>
        <w:tblW w:w="0" w:type="auto"/>
        <w:tblLook w:val="04A0"/>
      </w:tblPr>
      <w:tblGrid>
        <w:gridCol w:w="1829"/>
        <w:gridCol w:w="4238"/>
        <w:gridCol w:w="3218"/>
      </w:tblGrid>
      <w:tr w:rsidR="00D92F94" w:rsidRPr="00CB32B1" w:rsidTr="000436E0">
        <w:trPr>
          <w:cnfStyle w:val="100000000000"/>
        </w:trPr>
        <w:tc>
          <w:tcPr>
            <w:cnfStyle w:val="001000000000"/>
            <w:tcW w:w="1605" w:type="dxa"/>
            <w:shd w:val="clear" w:color="auto" w:fill="DC6900" w:themeFill="text2"/>
            <w:vAlign w:val="center"/>
          </w:tcPr>
          <w:p w:rsidR="00D92F94" w:rsidRPr="00CB32B1" w:rsidRDefault="00D92F94" w:rsidP="000436E0">
            <w:pPr>
              <w:pStyle w:val="TableColumnHeadingNormal"/>
            </w:pPr>
            <w:r w:rsidRPr="00CB32B1">
              <w:t>Status</w:t>
            </w:r>
          </w:p>
        </w:tc>
        <w:tc>
          <w:tcPr>
            <w:tcW w:w="4375" w:type="dxa"/>
            <w:shd w:val="clear" w:color="auto" w:fill="DC6900" w:themeFill="text2"/>
            <w:vAlign w:val="center"/>
          </w:tcPr>
          <w:p w:rsidR="00D92F94" w:rsidRPr="00CB32B1" w:rsidRDefault="00D92F94" w:rsidP="000436E0">
            <w:pPr>
              <w:pStyle w:val="TableColumnHeadingNormal"/>
              <w:cnfStyle w:val="100000000000"/>
            </w:pPr>
            <w:r w:rsidRPr="00CB32B1">
              <w:t>Description</w:t>
            </w:r>
          </w:p>
        </w:tc>
        <w:tc>
          <w:tcPr>
            <w:tcW w:w="3308" w:type="dxa"/>
            <w:shd w:val="clear" w:color="auto" w:fill="DC6900" w:themeFill="text2"/>
            <w:vAlign w:val="center"/>
          </w:tcPr>
          <w:p w:rsidR="00D92F94" w:rsidRPr="00CB32B1" w:rsidRDefault="00D92F94" w:rsidP="000436E0">
            <w:pPr>
              <w:pStyle w:val="TableColumnHeadingNormal"/>
              <w:cnfStyle w:val="100000000000"/>
            </w:pPr>
            <w:r w:rsidRPr="00CB32B1">
              <w:t>Care required</w:t>
            </w:r>
          </w:p>
        </w:tc>
      </w:tr>
      <w:tr w:rsidR="00D92F94" w:rsidRPr="00CB32B1" w:rsidTr="000436E0">
        <w:tc>
          <w:tcPr>
            <w:cnfStyle w:val="001000000000"/>
            <w:tcW w:w="1605" w:type="dxa"/>
          </w:tcPr>
          <w:p w:rsidR="00D92F94" w:rsidRPr="00CB32B1" w:rsidRDefault="00D92F94" w:rsidP="000436E0">
            <w:pPr>
              <w:pStyle w:val="TableTextNormal"/>
            </w:pPr>
            <w:r w:rsidRPr="00CB32B1">
              <w:t>Intact</w:t>
            </w:r>
          </w:p>
        </w:tc>
        <w:tc>
          <w:tcPr>
            <w:tcW w:w="4375" w:type="dxa"/>
          </w:tcPr>
          <w:p w:rsidR="00D92F94" w:rsidRPr="00CB32B1" w:rsidRDefault="00D92F94" w:rsidP="000436E0">
            <w:pPr>
              <w:pStyle w:val="TableTextNormal"/>
              <w:cnfStyle w:val="000000000000"/>
            </w:pPr>
            <w:r w:rsidRPr="00CB32B1">
              <w:t>No laceration occurs</w:t>
            </w:r>
          </w:p>
        </w:tc>
        <w:tc>
          <w:tcPr>
            <w:tcW w:w="3308" w:type="dxa"/>
          </w:tcPr>
          <w:p w:rsidR="00D92F94" w:rsidRPr="00CB32B1" w:rsidRDefault="00D92F94" w:rsidP="000436E0">
            <w:pPr>
              <w:pStyle w:val="TableTextNormal"/>
              <w:cnfStyle w:val="000000000000"/>
            </w:pPr>
            <w:r w:rsidRPr="00CB32B1">
              <w:t>No further care required</w:t>
            </w:r>
          </w:p>
        </w:tc>
      </w:tr>
      <w:tr w:rsidR="00D92F94" w:rsidRPr="00CB32B1" w:rsidTr="000436E0">
        <w:tc>
          <w:tcPr>
            <w:cnfStyle w:val="001000000000"/>
            <w:tcW w:w="1605" w:type="dxa"/>
          </w:tcPr>
          <w:p w:rsidR="00D92F94" w:rsidRPr="00CB32B1" w:rsidRDefault="00D92F94" w:rsidP="000436E0">
            <w:pPr>
              <w:pStyle w:val="TableTextNormal"/>
            </w:pPr>
            <w:r w:rsidRPr="00CB32B1">
              <w:t>1st degree laceration/vaginal graze</w:t>
            </w:r>
          </w:p>
        </w:tc>
        <w:tc>
          <w:tcPr>
            <w:tcW w:w="4375" w:type="dxa"/>
          </w:tcPr>
          <w:p w:rsidR="00D92F94" w:rsidRPr="00CB32B1" w:rsidRDefault="00D92F94" w:rsidP="000436E0">
            <w:pPr>
              <w:pStyle w:val="TableTextNormal"/>
              <w:cnfStyle w:val="000000000000"/>
            </w:pPr>
            <w:r w:rsidRPr="00CB32B1">
              <w:t>Injury to the skin</w:t>
            </w:r>
          </w:p>
        </w:tc>
        <w:tc>
          <w:tcPr>
            <w:tcW w:w="3308" w:type="dxa"/>
          </w:tcPr>
          <w:p w:rsidR="00D92F94" w:rsidRPr="00CB32B1" w:rsidRDefault="00D92F94" w:rsidP="000436E0">
            <w:pPr>
              <w:pStyle w:val="TableTextNormal"/>
              <w:cnfStyle w:val="000000000000"/>
            </w:pPr>
            <w:r w:rsidRPr="00CB32B1">
              <w:t>Few or no stitches may be required. Usually quick to heal and cause little or no discomfort to the woman</w:t>
            </w:r>
          </w:p>
        </w:tc>
      </w:tr>
      <w:tr w:rsidR="00D92F94" w:rsidRPr="00CB32B1" w:rsidTr="000436E0">
        <w:tc>
          <w:tcPr>
            <w:cnfStyle w:val="001000000000"/>
            <w:tcW w:w="1605" w:type="dxa"/>
          </w:tcPr>
          <w:p w:rsidR="00D92F94" w:rsidRPr="00CB32B1" w:rsidRDefault="00D92F94" w:rsidP="000436E0">
            <w:pPr>
              <w:pStyle w:val="TableTextNormal"/>
            </w:pPr>
            <w:r w:rsidRPr="00CB32B1">
              <w:t>2nd degree laceration</w:t>
            </w:r>
          </w:p>
        </w:tc>
        <w:tc>
          <w:tcPr>
            <w:tcW w:w="4375" w:type="dxa"/>
          </w:tcPr>
          <w:p w:rsidR="00D92F94" w:rsidRPr="00CB32B1" w:rsidRDefault="00D92F94" w:rsidP="000436E0">
            <w:pPr>
              <w:pStyle w:val="TableTextNormal"/>
              <w:cnfStyle w:val="000000000000"/>
            </w:pPr>
            <w:r w:rsidRPr="00CB32B1">
              <w:t xml:space="preserve">Injury that may involve the posterior vaginal wall, subcutaneous fat, perineal skin layer, superficial muscles and deep muscles </w:t>
            </w:r>
          </w:p>
        </w:tc>
        <w:tc>
          <w:tcPr>
            <w:tcW w:w="3308" w:type="dxa"/>
          </w:tcPr>
          <w:p w:rsidR="00D92F94" w:rsidRPr="00CB32B1" w:rsidRDefault="00D92F94" w:rsidP="000436E0">
            <w:pPr>
              <w:pStyle w:val="TableTextNormal"/>
              <w:cnfStyle w:val="000000000000"/>
            </w:pPr>
            <w:r w:rsidRPr="00CB32B1">
              <w:t>Tears need to be stitched closed layer by layer. May take a few weeks to heal</w:t>
            </w:r>
            <w:r>
              <w:t>. Stiches dissolve on their own</w:t>
            </w:r>
          </w:p>
        </w:tc>
      </w:tr>
      <w:tr w:rsidR="00D92F94" w:rsidRPr="00CB32B1" w:rsidTr="000436E0">
        <w:tc>
          <w:tcPr>
            <w:cnfStyle w:val="001000000000"/>
            <w:tcW w:w="1605" w:type="dxa"/>
          </w:tcPr>
          <w:p w:rsidR="00D92F94" w:rsidRPr="00CB32B1" w:rsidRDefault="00D92F94" w:rsidP="000436E0">
            <w:pPr>
              <w:pStyle w:val="TableTextNormal"/>
            </w:pPr>
            <w:r w:rsidRPr="00CB32B1">
              <w:t>3rd degree laceration</w:t>
            </w:r>
          </w:p>
        </w:tc>
        <w:tc>
          <w:tcPr>
            <w:tcW w:w="4375" w:type="dxa"/>
          </w:tcPr>
          <w:p w:rsidR="00D92F94" w:rsidRPr="00CB32B1" w:rsidRDefault="00D92F94" w:rsidP="000436E0">
            <w:pPr>
              <w:pStyle w:val="TableTextNormal"/>
              <w:cnfStyle w:val="000000000000"/>
            </w:pPr>
            <w:r w:rsidRPr="00CB32B1">
              <w:t>Injury involving the above muscles but also the anal sphincter complex. Three categories include:</w:t>
            </w:r>
          </w:p>
          <w:p w:rsidR="00D92F94" w:rsidRPr="00CB32B1" w:rsidRDefault="00D92F94" w:rsidP="000436E0">
            <w:pPr>
              <w:pStyle w:val="TableBullet1Normal"/>
              <w:cnfStyle w:val="000000000000"/>
            </w:pPr>
            <w:r w:rsidRPr="00CB32B1">
              <w:t>3a: partial tear of the external anal sphincter involving less than 50% thickness</w:t>
            </w:r>
          </w:p>
          <w:p w:rsidR="00D92F94" w:rsidRPr="00CB32B1" w:rsidRDefault="00D92F94" w:rsidP="000436E0">
            <w:pPr>
              <w:pStyle w:val="TableBullet1Normal"/>
              <w:cnfStyle w:val="000000000000"/>
            </w:pPr>
            <w:r w:rsidRPr="00CB32B1">
              <w:t>3b: greater than 50% tear of the external anal sphincter</w:t>
            </w:r>
          </w:p>
          <w:p w:rsidR="00D92F94" w:rsidRPr="00CB32B1" w:rsidRDefault="00D92F94" w:rsidP="000436E0">
            <w:pPr>
              <w:pStyle w:val="TableBullet1Normal"/>
              <w:cnfStyle w:val="000000000000"/>
            </w:pPr>
            <w:r w:rsidRPr="00CB32B1">
              <w:t>3c: internal sphincter is torn.</w:t>
            </w:r>
          </w:p>
        </w:tc>
        <w:tc>
          <w:tcPr>
            <w:tcW w:w="3308" w:type="dxa"/>
          </w:tcPr>
          <w:p w:rsidR="00D92F94" w:rsidRPr="00CB32B1" w:rsidRDefault="00D92F94" w:rsidP="000436E0">
            <w:pPr>
              <w:pStyle w:val="TableTextNormal"/>
              <w:cnfStyle w:val="000000000000"/>
            </w:pPr>
            <w:r w:rsidRPr="00CB32B1">
              <w:t>Can cause consi</w:t>
            </w:r>
            <w:r>
              <w:t>derable pain for several months</w:t>
            </w:r>
          </w:p>
          <w:p w:rsidR="00D92F94" w:rsidRPr="00CB32B1" w:rsidRDefault="00D92F94" w:rsidP="000436E0">
            <w:pPr>
              <w:pStyle w:val="TableTextNormal"/>
              <w:cnfStyle w:val="000000000000"/>
            </w:pPr>
            <w:r w:rsidRPr="00CB32B1">
              <w:t>Incr</w:t>
            </w:r>
            <w:r>
              <w:t>eases risk of anal incontinence</w:t>
            </w:r>
          </w:p>
        </w:tc>
      </w:tr>
      <w:tr w:rsidR="00D92F94" w:rsidRPr="00CB32B1" w:rsidTr="000436E0">
        <w:tc>
          <w:tcPr>
            <w:cnfStyle w:val="001000000000"/>
            <w:tcW w:w="1605" w:type="dxa"/>
          </w:tcPr>
          <w:p w:rsidR="00D92F94" w:rsidRPr="00CB32B1" w:rsidRDefault="00D92F94" w:rsidP="000436E0">
            <w:pPr>
              <w:pStyle w:val="TableTextNormal"/>
            </w:pPr>
            <w:r w:rsidRPr="00CB32B1">
              <w:t>4th degree laceration</w:t>
            </w:r>
          </w:p>
        </w:tc>
        <w:tc>
          <w:tcPr>
            <w:tcW w:w="4375" w:type="dxa"/>
          </w:tcPr>
          <w:p w:rsidR="00D92F94" w:rsidRPr="00CB32B1" w:rsidRDefault="00D92F94" w:rsidP="000436E0">
            <w:pPr>
              <w:pStyle w:val="TableTextNormal"/>
              <w:cnfStyle w:val="000000000000"/>
            </w:pPr>
            <w:r w:rsidRPr="00CB32B1">
              <w:t>Involves complete disruption of external and internal anal sphincter complex and the anal epithelium</w:t>
            </w:r>
          </w:p>
        </w:tc>
        <w:tc>
          <w:tcPr>
            <w:tcW w:w="3308" w:type="dxa"/>
          </w:tcPr>
          <w:p w:rsidR="00D92F94" w:rsidRPr="00CB32B1" w:rsidRDefault="00D92F94" w:rsidP="000436E0">
            <w:pPr>
              <w:pStyle w:val="TableTextNormal"/>
              <w:cnfStyle w:val="000000000000"/>
            </w:pPr>
            <w:r w:rsidRPr="00CB32B1">
              <w:t>Can cause consi</w:t>
            </w:r>
            <w:r>
              <w:t>derable pain for several months</w:t>
            </w:r>
          </w:p>
          <w:p w:rsidR="00D92F94" w:rsidRPr="00CB32B1" w:rsidRDefault="00D92F94" w:rsidP="000436E0">
            <w:pPr>
              <w:pStyle w:val="TableTextNormal"/>
              <w:cnfStyle w:val="000000000000"/>
            </w:pPr>
            <w:r w:rsidRPr="00CB32B1">
              <w:t>Increase</w:t>
            </w:r>
            <w:r>
              <w:t>s risk of anal incontinence</w:t>
            </w:r>
          </w:p>
        </w:tc>
      </w:tr>
    </w:tbl>
    <w:p w:rsidR="00D92F94" w:rsidRPr="00CB32B1" w:rsidRDefault="00D92F94" w:rsidP="00D92F94">
      <w:pPr>
        <w:pStyle w:val="Sources"/>
      </w:pPr>
      <w:r w:rsidRPr="00CB32B1">
        <w:rPr>
          <w:b/>
        </w:rPr>
        <w:t>Source</w:t>
      </w:r>
      <w:r w:rsidR="00F35E00">
        <w:rPr>
          <w:b/>
        </w:rPr>
        <w:t>s</w:t>
      </w:r>
      <w:r w:rsidRPr="00CB32B1">
        <w:rPr>
          <w:b/>
        </w:rPr>
        <w:t>:</w:t>
      </w:r>
      <w:r w:rsidRPr="00CB32B1">
        <w:t xml:space="preserve"> Descriptions of tears found at The Women’s</w:t>
      </w:r>
      <w:r>
        <w:t xml:space="preserve"> </w:t>
      </w:r>
      <w:r w:rsidRPr="00CB32B1">
        <w:t>2013; Descriptions of care or treatment found at the Baby Centre 2012.</w:t>
      </w:r>
    </w:p>
    <w:p w:rsidR="00C17782" w:rsidRPr="00CB32B1" w:rsidRDefault="00C17782" w:rsidP="00EB60A2">
      <w:pPr>
        <w:pStyle w:val="PwCNormal"/>
      </w:pPr>
      <w:r w:rsidRPr="00CB32B1">
        <w:t xml:space="preserve">A review of publicly available literature found that Canadian studies were useful </w:t>
      </w:r>
      <w:r w:rsidR="00723DA6">
        <w:t>to consider</w:t>
      </w:r>
      <w:r w:rsidRPr="00CB32B1">
        <w:t xml:space="preserve"> given the level of detail with which the studies looked at </w:t>
      </w:r>
      <w:r w:rsidR="00723DA6">
        <w:t>homebirth</w:t>
      </w:r>
      <w:r w:rsidRPr="00CB32B1">
        <w:t xml:space="preserve"> activity. The Canadian studies provided data which demonstrated each different morbidity condition and also identified the practitioners and low-risk women. Canadian studies</w:t>
      </w:r>
      <w:r w:rsidR="00EB60A2" w:rsidRPr="00CB32B1">
        <w:rPr>
          <w:rStyle w:val="FootnoteReference"/>
        </w:rPr>
        <w:footnoteReference w:id="332"/>
      </w:r>
      <w:r w:rsidRPr="00CB32B1">
        <w:t xml:space="preserve"> demonstrate lower rates of maternal morbidity from homebirths than births provided in hospital environments. Studies from England also demonstrated lower rates in maternal outcomes for third or fourth degree perinatal trauma whether for high-risk or low-risk women.</w:t>
      </w:r>
      <w:r w:rsidR="00EB60A2" w:rsidRPr="00CB32B1">
        <w:rPr>
          <w:rStyle w:val="FootnoteReference"/>
        </w:rPr>
        <w:footnoteReference w:id="333"/>
      </w:r>
      <w:r w:rsidRPr="00CB32B1">
        <w:t xml:space="preserve"> These outcomes </w:t>
      </w:r>
      <w:r w:rsidR="00875B69" w:rsidRPr="00CB32B1">
        <w:t xml:space="preserve">can be seen in </w:t>
      </w:r>
      <w:r w:rsidR="009129A6" w:rsidRPr="00CB32B1">
        <w:fldChar w:fldCharType="begin"/>
      </w:r>
      <w:r w:rsidR="00AA3C29" w:rsidRPr="00CB32B1">
        <w:instrText xml:space="preserve"> REF _Ref361224124 \h </w:instrText>
      </w:r>
      <w:r w:rsidR="009129A6" w:rsidRPr="00CB32B1">
        <w:fldChar w:fldCharType="separate"/>
      </w:r>
      <w:r w:rsidR="008816B4" w:rsidRPr="00CB32B1">
        <w:t xml:space="preserve">Table </w:t>
      </w:r>
      <w:r w:rsidR="008816B4">
        <w:rPr>
          <w:noProof/>
        </w:rPr>
        <w:t>37</w:t>
      </w:r>
      <w:r w:rsidR="009129A6" w:rsidRPr="00CB32B1">
        <w:fldChar w:fldCharType="end"/>
      </w:r>
      <w:r w:rsidRPr="00CB32B1">
        <w:t>.</w:t>
      </w:r>
    </w:p>
    <w:p w:rsidR="00EB60A2" w:rsidRPr="00CB32B1" w:rsidRDefault="00EB60A2" w:rsidP="00EB60A2">
      <w:pPr>
        <w:pStyle w:val="Caption"/>
      </w:pPr>
      <w:bookmarkStart w:id="152" w:name="_Ref361224124"/>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37</w:t>
      </w:r>
      <w:r w:rsidR="009129A6" w:rsidRPr="00CB32B1">
        <w:fldChar w:fldCharType="end"/>
      </w:r>
      <w:bookmarkEnd w:id="152"/>
      <w:r w:rsidRPr="00CB32B1">
        <w:t>: Example of findings from international academic studies on birthing interventions</w:t>
      </w:r>
    </w:p>
    <w:tbl>
      <w:tblPr>
        <w:tblStyle w:val="PwCTableStyle1"/>
        <w:tblW w:w="0" w:type="auto"/>
        <w:tblLook w:val="04A0"/>
      </w:tblPr>
      <w:tblGrid>
        <w:gridCol w:w="1219"/>
        <w:gridCol w:w="2626"/>
        <w:gridCol w:w="5440"/>
      </w:tblGrid>
      <w:tr w:rsidR="00050FB9" w:rsidRPr="00CB32B1" w:rsidTr="00747120">
        <w:trPr>
          <w:cnfStyle w:val="100000000000"/>
        </w:trPr>
        <w:tc>
          <w:tcPr>
            <w:cnfStyle w:val="001000000000"/>
            <w:tcW w:w="1219" w:type="dxa"/>
            <w:shd w:val="clear" w:color="auto" w:fill="DC6900" w:themeFill="text2"/>
            <w:vAlign w:val="center"/>
          </w:tcPr>
          <w:p w:rsidR="00050FB9" w:rsidRPr="00CB32B1" w:rsidRDefault="00050FB9" w:rsidP="00747120">
            <w:pPr>
              <w:pStyle w:val="TableColumnHeadingNormal"/>
            </w:pPr>
            <w:r w:rsidRPr="00CB32B1">
              <w:t>Number</w:t>
            </w:r>
          </w:p>
        </w:tc>
        <w:tc>
          <w:tcPr>
            <w:tcW w:w="2627" w:type="dxa"/>
            <w:shd w:val="clear" w:color="auto" w:fill="DC6900" w:themeFill="text2"/>
            <w:vAlign w:val="center"/>
          </w:tcPr>
          <w:p w:rsidR="00050FB9" w:rsidRPr="00CB32B1" w:rsidRDefault="00496AD4" w:rsidP="00747120">
            <w:pPr>
              <w:pStyle w:val="TableColumnHeadingNormal"/>
              <w:cnfStyle w:val="100000000000"/>
            </w:pPr>
            <w:r>
              <w:t>Jurisdiction</w:t>
            </w:r>
          </w:p>
        </w:tc>
        <w:tc>
          <w:tcPr>
            <w:tcW w:w="5442" w:type="dxa"/>
            <w:shd w:val="clear" w:color="auto" w:fill="DC6900" w:themeFill="text2"/>
            <w:vAlign w:val="center"/>
          </w:tcPr>
          <w:p w:rsidR="00050FB9" w:rsidRPr="00CB32B1" w:rsidRDefault="00050FB9" w:rsidP="00747120">
            <w:pPr>
              <w:pStyle w:val="TableColumnHeadingNormal"/>
              <w:cnfStyle w:val="100000000000"/>
            </w:pPr>
            <w:r w:rsidRPr="00CB32B1">
              <w:t>Finding from homebirths</w:t>
            </w:r>
          </w:p>
        </w:tc>
      </w:tr>
      <w:tr w:rsidR="00EB60A2" w:rsidRPr="00CB32B1" w:rsidTr="00EB60A2">
        <w:tc>
          <w:tcPr>
            <w:cnfStyle w:val="001000000000"/>
            <w:tcW w:w="1219" w:type="dxa"/>
          </w:tcPr>
          <w:p w:rsidR="00050FB9" w:rsidRPr="00CB32B1" w:rsidRDefault="00050FB9" w:rsidP="00050FB9">
            <w:pPr>
              <w:pStyle w:val="TableTextNormal"/>
            </w:pPr>
            <w:r w:rsidRPr="00CB32B1">
              <w:t>1</w:t>
            </w:r>
          </w:p>
        </w:tc>
        <w:tc>
          <w:tcPr>
            <w:tcW w:w="2627" w:type="dxa"/>
          </w:tcPr>
          <w:p w:rsidR="00050FB9" w:rsidRPr="00CB32B1" w:rsidRDefault="00050FB9" w:rsidP="00050FB9">
            <w:pPr>
              <w:pStyle w:val="TableTextNormal"/>
              <w:cnfStyle w:val="000000000000"/>
            </w:pPr>
            <w:r w:rsidRPr="00CB32B1">
              <w:t>Ontario, Canada</w:t>
            </w:r>
          </w:p>
        </w:tc>
        <w:tc>
          <w:tcPr>
            <w:tcW w:w="5442" w:type="dxa"/>
          </w:tcPr>
          <w:p w:rsidR="00050FB9" w:rsidRPr="00CB32B1" w:rsidRDefault="00050FB9" w:rsidP="00050FB9">
            <w:pPr>
              <w:pStyle w:val="TableTextNormal"/>
              <w:cnfStyle w:val="000000000000"/>
            </w:pPr>
            <w:r w:rsidRPr="00CB32B1">
              <w:t>Lower rates of PPH and 3rd and 4th degree perineal tears</w:t>
            </w:r>
          </w:p>
        </w:tc>
      </w:tr>
      <w:tr w:rsidR="00EB60A2" w:rsidRPr="00CB32B1" w:rsidTr="00EB60A2">
        <w:tc>
          <w:tcPr>
            <w:cnfStyle w:val="001000000000"/>
            <w:tcW w:w="1219" w:type="dxa"/>
          </w:tcPr>
          <w:p w:rsidR="00050FB9" w:rsidRPr="00CB32B1" w:rsidRDefault="00050FB9" w:rsidP="00050FB9">
            <w:pPr>
              <w:pStyle w:val="TableTextNormal"/>
            </w:pPr>
            <w:r w:rsidRPr="00CB32B1">
              <w:t>2</w:t>
            </w:r>
          </w:p>
        </w:tc>
        <w:tc>
          <w:tcPr>
            <w:tcW w:w="2627" w:type="dxa"/>
          </w:tcPr>
          <w:p w:rsidR="00050FB9" w:rsidRPr="00CB32B1" w:rsidRDefault="00050FB9" w:rsidP="00050FB9">
            <w:pPr>
              <w:pStyle w:val="TableTextNormal"/>
              <w:cnfStyle w:val="000000000000"/>
            </w:pPr>
            <w:r w:rsidRPr="00CB32B1">
              <w:t>British Columbia, Canada</w:t>
            </w:r>
          </w:p>
        </w:tc>
        <w:tc>
          <w:tcPr>
            <w:tcW w:w="5442" w:type="dxa"/>
          </w:tcPr>
          <w:p w:rsidR="00050FB9" w:rsidRPr="00CB32B1" w:rsidRDefault="00050FB9" w:rsidP="00050FB9">
            <w:pPr>
              <w:pStyle w:val="TableTextNormal"/>
              <w:cnfStyle w:val="000000000000"/>
            </w:pPr>
            <w:r w:rsidRPr="00CB32B1">
              <w:t>Lower rates of 3rd and 4th degree tears</w:t>
            </w:r>
          </w:p>
        </w:tc>
      </w:tr>
      <w:tr w:rsidR="00EB60A2" w:rsidRPr="00CB32B1" w:rsidTr="00EB60A2">
        <w:tc>
          <w:tcPr>
            <w:cnfStyle w:val="001000000000"/>
            <w:tcW w:w="1219" w:type="dxa"/>
          </w:tcPr>
          <w:p w:rsidR="00050FB9" w:rsidRPr="00CB32B1" w:rsidRDefault="00050FB9" w:rsidP="00050FB9">
            <w:pPr>
              <w:pStyle w:val="TableTextNormal"/>
            </w:pPr>
            <w:r w:rsidRPr="00CB32B1">
              <w:t>3</w:t>
            </w:r>
          </w:p>
        </w:tc>
        <w:tc>
          <w:tcPr>
            <w:tcW w:w="2627" w:type="dxa"/>
          </w:tcPr>
          <w:p w:rsidR="00050FB9" w:rsidRPr="00CB32B1" w:rsidRDefault="00050FB9" w:rsidP="00050FB9">
            <w:pPr>
              <w:pStyle w:val="TableTextNormal"/>
              <w:cnfStyle w:val="000000000000"/>
            </w:pPr>
            <w:r w:rsidRPr="00CB32B1">
              <w:t>England</w:t>
            </w:r>
          </w:p>
        </w:tc>
        <w:tc>
          <w:tcPr>
            <w:tcW w:w="5442" w:type="dxa"/>
          </w:tcPr>
          <w:p w:rsidR="00050FB9" w:rsidRPr="00CB32B1" w:rsidRDefault="00050FB9" w:rsidP="00050FB9">
            <w:pPr>
              <w:pStyle w:val="TableTextNormal"/>
              <w:cnfStyle w:val="000000000000"/>
            </w:pPr>
            <w:r w:rsidRPr="00CB32B1">
              <w:t>Lower rates of 3rd and 4th degree tears</w:t>
            </w:r>
          </w:p>
        </w:tc>
      </w:tr>
    </w:tbl>
    <w:p w:rsidR="00614EF9" w:rsidRPr="00CB32B1" w:rsidRDefault="00614EF9" w:rsidP="00614EF9">
      <w:pPr>
        <w:pStyle w:val="PwCNormal"/>
        <w:spacing w:before="240"/>
      </w:pPr>
      <w:r w:rsidRPr="00CB32B1">
        <w:t xml:space="preserve">Lower rates of maternal morbidity in the form of PPH, perineal tears and retained placentas were also seen in several pieces of literature reviewed, when comparing planned homebirth to planned other birth settings, as seen in </w:t>
      </w:r>
      <w:r w:rsidR="009129A6" w:rsidRPr="00CB32B1">
        <w:fldChar w:fldCharType="begin"/>
      </w:r>
      <w:r w:rsidR="00AA3C29" w:rsidRPr="00CB32B1">
        <w:instrText xml:space="preserve"> REF _Ref361224141 \h </w:instrText>
      </w:r>
      <w:r w:rsidR="009129A6" w:rsidRPr="00CB32B1">
        <w:fldChar w:fldCharType="separate"/>
      </w:r>
      <w:r w:rsidR="008816B4" w:rsidRPr="00CB32B1">
        <w:t xml:space="preserve">Table </w:t>
      </w:r>
      <w:r w:rsidR="008816B4">
        <w:rPr>
          <w:noProof/>
        </w:rPr>
        <w:t>38</w:t>
      </w:r>
      <w:r w:rsidR="009129A6" w:rsidRPr="00CB32B1">
        <w:fldChar w:fldCharType="end"/>
      </w:r>
      <w:r w:rsidRPr="00CB32B1">
        <w:t>.</w:t>
      </w:r>
    </w:p>
    <w:p w:rsidR="00A13A24" w:rsidRPr="00CB32B1" w:rsidRDefault="00A13A24" w:rsidP="00A13A24">
      <w:pPr>
        <w:pStyle w:val="Caption"/>
        <w:pageBreakBefore/>
        <w:ind w:left="994" w:hanging="994"/>
      </w:pPr>
      <w:bookmarkStart w:id="153" w:name="_Ref361224141"/>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38</w:t>
      </w:r>
      <w:r w:rsidR="009129A6" w:rsidRPr="00CB32B1">
        <w:fldChar w:fldCharType="end"/>
      </w:r>
      <w:bookmarkEnd w:id="153"/>
      <w:r w:rsidRPr="00CB32B1">
        <w:t>: Rates of maternal morbidity</w:t>
      </w:r>
    </w:p>
    <w:tbl>
      <w:tblPr>
        <w:tblStyle w:val="PwCTableStyle1"/>
        <w:tblW w:w="5000" w:type="pct"/>
        <w:tblLook w:val="04A0"/>
      </w:tblPr>
      <w:tblGrid>
        <w:gridCol w:w="1237"/>
        <w:gridCol w:w="723"/>
        <w:gridCol w:w="61"/>
        <w:gridCol w:w="1413"/>
        <w:gridCol w:w="2038"/>
        <w:gridCol w:w="2145"/>
        <w:gridCol w:w="1668"/>
      </w:tblGrid>
      <w:tr w:rsidR="00614EF9" w:rsidRPr="00CB32B1" w:rsidTr="00DF6E21">
        <w:trPr>
          <w:cnfStyle w:val="100000000000"/>
          <w:trHeight w:val="338"/>
        </w:trPr>
        <w:tc>
          <w:tcPr>
            <w:cnfStyle w:val="001000000000"/>
            <w:tcW w:w="677" w:type="pct"/>
            <w:vMerge w:val="restart"/>
            <w:tcBorders>
              <w:bottom w:val="single" w:sz="8" w:space="0" w:color="FFFFFF" w:themeColor="background1"/>
              <w:right w:val="single" w:sz="8" w:space="0" w:color="FFFFFF" w:themeColor="background1"/>
            </w:tcBorders>
            <w:shd w:val="clear" w:color="auto" w:fill="DC6900" w:themeFill="text2"/>
          </w:tcPr>
          <w:p w:rsidR="00614EF9" w:rsidRPr="00CB32B1" w:rsidRDefault="00614EF9" w:rsidP="00614EF9">
            <w:pPr>
              <w:pStyle w:val="TableColumnHeadingNormal"/>
            </w:pPr>
            <w:r w:rsidRPr="00CB32B1">
              <w:t>Author, date published</w:t>
            </w:r>
          </w:p>
        </w:tc>
        <w:tc>
          <w:tcPr>
            <w:tcW w:w="390" w:type="pct"/>
            <w:vMerge w:val="restart"/>
            <w:tcBorders>
              <w:left w:val="single" w:sz="8" w:space="0" w:color="FFFFFF" w:themeColor="background1"/>
              <w:bottom w:val="single" w:sz="8" w:space="0" w:color="FFFFFF" w:themeColor="background1"/>
              <w:right w:val="single" w:sz="8" w:space="0" w:color="FFFFFF" w:themeColor="background1"/>
            </w:tcBorders>
            <w:shd w:val="clear" w:color="auto" w:fill="DC6900" w:themeFill="text2"/>
          </w:tcPr>
          <w:p w:rsidR="00614EF9" w:rsidRPr="00CB32B1" w:rsidRDefault="00614EF9" w:rsidP="00614EF9">
            <w:pPr>
              <w:pStyle w:val="TableColumnHeadingNormal"/>
              <w:cnfStyle w:val="100000000000"/>
            </w:pPr>
            <w:r w:rsidRPr="00CB32B1">
              <w:t>Data</w:t>
            </w:r>
          </w:p>
        </w:tc>
        <w:tc>
          <w:tcPr>
            <w:tcW w:w="633" w:type="pct"/>
            <w:gridSpan w:val="2"/>
            <w:vMerge w:val="restart"/>
            <w:tcBorders>
              <w:left w:val="single" w:sz="8" w:space="0" w:color="FFFFFF" w:themeColor="background1"/>
              <w:bottom w:val="single" w:sz="8" w:space="0" w:color="FFFFFF" w:themeColor="background1"/>
              <w:right w:val="single" w:sz="8" w:space="0" w:color="FFFFFF" w:themeColor="background1"/>
            </w:tcBorders>
            <w:shd w:val="clear" w:color="auto" w:fill="DC6900" w:themeFill="text2"/>
          </w:tcPr>
          <w:p w:rsidR="00614EF9" w:rsidRPr="00CB32B1" w:rsidRDefault="00496AD4" w:rsidP="00614EF9">
            <w:pPr>
              <w:pStyle w:val="TableColumnHeadingNormal"/>
              <w:cnfStyle w:val="100000000000"/>
            </w:pPr>
            <w:r>
              <w:t>Jurisdiction</w:t>
            </w:r>
          </w:p>
        </w:tc>
        <w:tc>
          <w:tcPr>
            <w:tcW w:w="1183" w:type="pct"/>
            <w:vMerge w:val="restart"/>
            <w:tcBorders>
              <w:left w:val="single" w:sz="8" w:space="0" w:color="FFFFFF" w:themeColor="background1"/>
              <w:bottom w:val="single" w:sz="8" w:space="0" w:color="FFFFFF" w:themeColor="background1"/>
              <w:right w:val="single" w:sz="8" w:space="0" w:color="FFFFFF" w:themeColor="background1"/>
            </w:tcBorders>
            <w:shd w:val="clear" w:color="auto" w:fill="DC6900" w:themeFill="text2"/>
          </w:tcPr>
          <w:p w:rsidR="00614EF9" w:rsidRPr="00CB32B1" w:rsidRDefault="00614EF9" w:rsidP="00614EF9">
            <w:pPr>
              <w:pStyle w:val="TableColumnHeadingNormal"/>
              <w:cnfStyle w:val="100000000000"/>
            </w:pPr>
            <w:r w:rsidRPr="00CB32B1">
              <w:t>Settings of birth</w:t>
            </w:r>
          </w:p>
        </w:tc>
        <w:tc>
          <w:tcPr>
            <w:tcW w:w="2117" w:type="pct"/>
            <w:gridSpan w:val="2"/>
            <w:tcBorders>
              <w:left w:val="single" w:sz="8" w:space="0" w:color="FFFFFF" w:themeColor="background1"/>
              <w:bottom w:val="single" w:sz="8" w:space="0" w:color="FFFFFF" w:themeColor="background1"/>
            </w:tcBorders>
            <w:shd w:val="clear" w:color="auto" w:fill="DC6900" w:themeFill="text2"/>
          </w:tcPr>
          <w:p w:rsidR="00614EF9" w:rsidRPr="00CB32B1" w:rsidRDefault="00614EF9" w:rsidP="00614EF9">
            <w:pPr>
              <w:pStyle w:val="TableColumnHeadingNormal"/>
              <w:cnfStyle w:val="100000000000"/>
            </w:pPr>
            <w:r w:rsidRPr="00CB32B1">
              <w:t>Lower rates of type of maternal morbidity seen in homebirth (</w:t>
            </w:r>
            <w:r w:rsidRPr="00CB32B1">
              <w:sym w:font="Wingdings" w:char="F0FC"/>
            </w:r>
            <w:r w:rsidRPr="00CB32B1">
              <w:t>/×)</w:t>
            </w:r>
          </w:p>
          <w:p w:rsidR="00614EF9" w:rsidRPr="00CB32B1" w:rsidRDefault="00614EF9" w:rsidP="00614EF9">
            <w:pPr>
              <w:pStyle w:val="TableColumnHeadingNormal"/>
              <w:cnfStyle w:val="100000000000"/>
            </w:pPr>
            <w:r w:rsidRPr="00CB32B1">
              <w:t>% differences between models of care</w:t>
            </w:r>
          </w:p>
        </w:tc>
      </w:tr>
      <w:tr w:rsidR="00614EF9" w:rsidRPr="00CB32B1" w:rsidTr="00DF6E21">
        <w:trPr>
          <w:trHeight w:val="337"/>
        </w:trPr>
        <w:tc>
          <w:tcPr>
            <w:cnfStyle w:val="001000000000"/>
            <w:tcW w:w="677" w:type="pct"/>
            <w:vMerge/>
            <w:tcBorders>
              <w:top w:val="single" w:sz="8" w:space="0" w:color="FFFFFF" w:themeColor="background1"/>
              <w:right w:val="single" w:sz="8" w:space="0" w:color="FFFFFF" w:themeColor="background1"/>
            </w:tcBorders>
            <w:shd w:val="clear" w:color="auto" w:fill="DC6900" w:themeFill="text2"/>
          </w:tcPr>
          <w:p w:rsidR="00614EF9" w:rsidRPr="00CB32B1" w:rsidRDefault="00614EF9" w:rsidP="00614EF9">
            <w:pPr>
              <w:pStyle w:val="TableColumnHeadingNormal"/>
            </w:pPr>
          </w:p>
        </w:tc>
        <w:tc>
          <w:tcPr>
            <w:tcW w:w="390" w:type="pct"/>
            <w:vMerge/>
            <w:tcBorders>
              <w:top w:val="single" w:sz="8" w:space="0" w:color="FFFFFF" w:themeColor="background1"/>
              <w:left w:val="single" w:sz="8" w:space="0" w:color="FFFFFF" w:themeColor="background1"/>
              <w:right w:val="single" w:sz="8" w:space="0" w:color="FFFFFF" w:themeColor="background1"/>
            </w:tcBorders>
            <w:shd w:val="clear" w:color="auto" w:fill="DC6900" w:themeFill="text2"/>
          </w:tcPr>
          <w:p w:rsidR="00614EF9" w:rsidRPr="00CB32B1" w:rsidRDefault="00614EF9" w:rsidP="00614EF9">
            <w:pPr>
              <w:pStyle w:val="TableColumnHeadingNormal"/>
              <w:cnfStyle w:val="000000000000"/>
            </w:pPr>
          </w:p>
        </w:tc>
        <w:tc>
          <w:tcPr>
            <w:tcW w:w="633" w:type="pct"/>
            <w:gridSpan w:val="2"/>
            <w:vMerge/>
            <w:tcBorders>
              <w:top w:val="single" w:sz="8" w:space="0" w:color="FFFFFF" w:themeColor="background1"/>
              <w:left w:val="single" w:sz="8" w:space="0" w:color="FFFFFF" w:themeColor="background1"/>
              <w:right w:val="single" w:sz="8" w:space="0" w:color="FFFFFF" w:themeColor="background1"/>
            </w:tcBorders>
            <w:shd w:val="clear" w:color="auto" w:fill="DC6900" w:themeFill="text2"/>
          </w:tcPr>
          <w:p w:rsidR="00614EF9" w:rsidRPr="00CB32B1" w:rsidRDefault="00614EF9" w:rsidP="00614EF9">
            <w:pPr>
              <w:pStyle w:val="TableColumnHeadingNormal"/>
              <w:cnfStyle w:val="000000000000"/>
            </w:pPr>
          </w:p>
        </w:tc>
        <w:tc>
          <w:tcPr>
            <w:tcW w:w="1183" w:type="pct"/>
            <w:vMerge/>
            <w:tcBorders>
              <w:top w:val="single" w:sz="8" w:space="0" w:color="FFFFFF" w:themeColor="background1"/>
              <w:left w:val="single" w:sz="8" w:space="0" w:color="FFFFFF" w:themeColor="background1"/>
              <w:right w:val="single" w:sz="8" w:space="0" w:color="FFFFFF" w:themeColor="background1"/>
            </w:tcBorders>
            <w:shd w:val="clear" w:color="auto" w:fill="DC6900" w:themeFill="text2"/>
          </w:tcPr>
          <w:p w:rsidR="00614EF9" w:rsidRPr="00CB32B1" w:rsidRDefault="00614EF9" w:rsidP="00614EF9">
            <w:pPr>
              <w:pStyle w:val="TableColumnHeadingNormal"/>
              <w:cnfStyle w:val="000000000000"/>
            </w:pPr>
          </w:p>
        </w:tc>
        <w:tc>
          <w:tcPr>
            <w:tcW w:w="1187" w:type="pct"/>
            <w:tcBorders>
              <w:top w:val="single" w:sz="8" w:space="0" w:color="FFFFFF" w:themeColor="background1"/>
              <w:left w:val="single" w:sz="8" w:space="0" w:color="FFFFFF" w:themeColor="background1"/>
              <w:right w:val="single" w:sz="8" w:space="0" w:color="FFFFFF" w:themeColor="background1"/>
            </w:tcBorders>
            <w:shd w:val="clear" w:color="auto" w:fill="DC6900" w:themeFill="text2"/>
          </w:tcPr>
          <w:p w:rsidR="00614EF9" w:rsidRPr="00CB32B1" w:rsidRDefault="00614EF9" w:rsidP="00614EF9">
            <w:pPr>
              <w:pStyle w:val="TableColumnHeadingNormal"/>
              <w:cnfStyle w:val="000000000000"/>
            </w:pPr>
            <w:r w:rsidRPr="00CB32B1">
              <w:t>Postpartum haemorrhage (PPH)</w:t>
            </w:r>
          </w:p>
        </w:tc>
        <w:tc>
          <w:tcPr>
            <w:tcW w:w="930" w:type="pct"/>
            <w:tcBorders>
              <w:top w:val="single" w:sz="8" w:space="0" w:color="FFFFFF" w:themeColor="background1"/>
              <w:left w:val="single" w:sz="8" w:space="0" w:color="FFFFFF" w:themeColor="background1"/>
            </w:tcBorders>
            <w:shd w:val="clear" w:color="auto" w:fill="DC6900" w:themeFill="text2"/>
          </w:tcPr>
          <w:p w:rsidR="00614EF9" w:rsidRPr="00CB32B1" w:rsidRDefault="00614EF9" w:rsidP="00614EF9">
            <w:pPr>
              <w:pStyle w:val="TableColumnHeadingNormal"/>
              <w:cnfStyle w:val="000000000000"/>
            </w:pPr>
            <w:r w:rsidRPr="00CB32B1">
              <w:t>Perineal tears</w:t>
            </w:r>
          </w:p>
          <w:p w:rsidR="00614EF9" w:rsidRPr="00CB32B1" w:rsidRDefault="00614EF9" w:rsidP="00614EF9">
            <w:pPr>
              <w:pStyle w:val="TableColumnHeadingNormal"/>
              <w:cnfStyle w:val="000000000000"/>
            </w:pPr>
            <w:r w:rsidRPr="00CB32B1">
              <w:t>(3rd and 4th degree)</w:t>
            </w:r>
          </w:p>
        </w:tc>
      </w:tr>
      <w:tr w:rsidR="00614EF9" w:rsidRPr="00CB32B1" w:rsidTr="00167C8B">
        <w:tc>
          <w:tcPr>
            <w:cnfStyle w:val="001000000000"/>
            <w:tcW w:w="677" w:type="pct"/>
            <w:vMerge w:val="restart"/>
          </w:tcPr>
          <w:p w:rsidR="00614EF9" w:rsidRPr="00CB32B1" w:rsidRDefault="00614EF9" w:rsidP="00894387">
            <w:pPr>
              <w:pStyle w:val="TableTextNormal"/>
            </w:pPr>
            <w:r w:rsidRPr="00CB32B1">
              <w:t>Hutton, Reitsma</w:t>
            </w:r>
            <w:r w:rsidR="00C97690" w:rsidRPr="00CB32B1">
              <w:t xml:space="preserve"> &amp;</w:t>
            </w:r>
            <w:r w:rsidR="00894387" w:rsidRPr="00CB32B1">
              <w:t xml:space="preserve"> Kaufman</w:t>
            </w:r>
            <w:r w:rsidRPr="00CB32B1">
              <w:t xml:space="preserve"> 2009</w:t>
            </w:r>
          </w:p>
        </w:tc>
        <w:tc>
          <w:tcPr>
            <w:tcW w:w="416" w:type="pct"/>
            <w:gridSpan w:val="2"/>
            <w:vMerge w:val="restart"/>
          </w:tcPr>
          <w:p w:rsidR="00614EF9" w:rsidRPr="00CB32B1" w:rsidRDefault="00614EF9" w:rsidP="00614EF9">
            <w:pPr>
              <w:pStyle w:val="TableTextNormal"/>
              <w:cnfStyle w:val="000000000000"/>
            </w:pPr>
            <w:r w:rsidRPr="00CB32B1">
              <w:t>2003-2006</w:t>
            </w:r>
          </w:p>
        </w:tc>
        <w:tc>
          <w:tcPr>
            <w:tcW w:w="607" w:type="pct"/>
            <w:vMerge w:val="restart"/>
          </w:tcPr>
          <w:p w:rsidR="00614EF9" w:rsidRPr="00CB32B1" w:rsidRDefault="00614EF9" w:rsidP="00614EF9">
            <w:pPr>
              <w:pStyle w:val="TableTextNormal"/>
              <w:cnfStyle w:val="000000000000"/>
            </w:pPr>
            <w:r w:rsidRPr="00CB32B1">
              <w:t>Ontario, Canada</w:t>
            </w:r>
          </w:p>
        </w:tc>
        <w:tc>
          <w:tcPr>
            <w:tcW w:w="1183" w:type="pct"/>
          </w:tcPr>
          <w:p w:rsidR="00614EF9" w:rsidRPr="00CB32B1" w:rsidRDefault="00614EF9" w:rsidP="00614EF9">
            <w:pPr>
              <w:pStyle w:val="TableTextNormal"/>
              <w:cnfStyle w:val="000000000000"/>
            </w:pPr>
          </w:p>
        </w:tc>
        <w:tc>
          <w:tcPr>
            <w:tcW w:w="1187" w:type="pct"/>
          </w:tcPr>
          <w:p w:rsidR="00614EF9" w:rsidRPr="00CB32B1" w:rsidRDefault="00614EF9" w:rsidP="00614EF9">
            <w:pPr>
              <w:pStyle w:val="TableTextNormal"/>
              <w:jc w:val="center"/>
              <w:cnfStyle w:val="000000000000"/>
              <w:rPr>
                <w:highlight w:val="yellow"/>
              </w:rPr>
            </w:pPr>
            <w:r w:rsidRPr="00CB32B1">
              <w:sym w:font="Wingdings" w:char="F0FC"/>
            </w:r>
            <w:r w:rsidRPr="00CB32B1">
              <w:t xml:space="preserve"> (for &gt;1000mL)</w:t>
            </w:r>
          </w:p>
        </w:tc>
        <w:tc>
          <w:tcPr>
            <w:tcW w:w="930" w:type="pct"/>
          </w:tcPr>
          <w:p w:rsidR="00614EF9" w:rsidRPr="00CB32B1" w:rsidRDefault="00614EF9" w:rsidP="00614EF9">
            <w:pPr>
              <w:pStyle w:val="TableTextNormal"/>
              <w:jc w:val="center"/>
              <w:cnfStyle w:val="000000000000"/>
            </w:pPr>
            <w:r w:rsidRPr="00CB32B1">
              <w:sym w:font="Wingdings" w:char="F0FC"/>
            </w:r>
          </w:p>
        </w:tc>
      </w:tr>
      <w:tr w:rsidR="00614EF9" w:rsidRPr="00CB32B1" w:rsidTr="00167C8B">
        <w:tc>
          <w:tcPr>
            <w:cnfStyle w:val="001000000000"/>
            <w:tcW w:w="677" w:type="pct"/>
            <w:vMerge/>
          </w:tcPr>
          <w:p w:rsidR="00614EF9" w:rsidRPr="00CB32B1" w:rsidRDefault="00614EF9" w:rsidP="00614EF9">
            <w:pPr>
              <w:pStyle w:val="TableTextNormal"/>
            </w:pPr>
          </w:p>
        </w:tc>
        <w:tc>
          <w:tcPr>
            <w:tcW w:w="416" w:type="pct"/>
            <w:gridSpan w:val="2"/>
            <w:vMerge/>
          </w:tcPr>
          <w:p w:rsidR="00614EF9" w:rsidRPr="00CB32B1" w:rsidRDefault="00614EF9" w:rsidP="00614EF9">
            <w:pPr>
              <w:pStyle w:val="TableTextNormal"/>
              <w:cnfStyle w:val="000000000000"/>
            </w:pPr>
          </w:p>
        </w:tc>
        <w:tc>
          <w:tcPr>
            <w:tcW w:w="607" w:type="pct"/>
            <w:vMerge/>
          </w:tcPr>
          <w:p w:rsidR="00614EF9" w:rsidRPr="00CB32B1" w:rsidRDefault="00614EF9" w:rsidP="00614EF9">
            <w:pPr>
              <w:pStyle w:val="TableTextNormal"/>
              <w:cnfStyle w:val="000000000000"/>
            </w:pPr>
          </w:p>
        </w:tc>
        <w:tc>
          <w:tcPr>
            <w:tcW w:w="1183" w:type="pct"/>
          </w:tcPr>
          <w:p w:rsidR="00614EF9" w:rsidRPr="00CB32B1" w:rsidRDefault="00614EF9" w:rsidP="00614EF9">
            <w:pPr>
              <w:pStyle w:val="TableTextNormal"/>
              <w:cnfStyle w:val="000000000000"/>
            </w:pPr>
            <w:r w:rsidRPr="00CB32B1">
              <w:t>Planned homebirth: 6,692</w:t>
            </w:r>
          </w:p>
        </w:tc>
        <w:tc>
          <w:tcPr>
            <w:tcW w:w="1187" w:type="pct"/>
          </w:tcPr>
          <w:p w:rsidR="00614EF9" w:rsidRPr="00CB32B1" w:rsidRDefault="00614EF9" w:rsidP="00614EF9">
            <w:pPr>
              <w:pStyle w:val="TableTextNormal"/>
              <w:jc w:val="center"/>
              <w:cnfStyle w:val="000000000000"/>
            </w:pPr>
            <w:r w:rsidRPr="00CB32B1">
              <w:t>0.8%</w:t>
            </w:r>
          </w:p>
        </w:tc>
        <w:tc>
          <w:tcPr>
            <w:tcW w:w="930" w:type="pct"/>
          </w:tcPr>
          <w:p w:rsidR="00614EF9" w:rsidRPr="00CB32B1" w:rsidRDefault="00614EF9" w:rsidP="00614EF9">
            <w:pPr>
              <w:pStyle w:val="TableTextNormal"/>
              <w:jc w:val="center"/>
              <w:cnfStyle w:val="000000000000"/>
            </w:pPr>
            <w:r w:rsidRPr="00CB32B1">
              <w:t>2.1%</w:t>
            </w:r>
          </w:p>
        </w:tc>
      </w:tr>
      <w:tr w:rsidR="00614EF9" w:rsidRPr="00CB32B1" w:rsidTr="00167C8B">
        <w:tc>
          <w:tcPr>
            <w:cnfStyle w:val="001000000000"/>
            <w:tcW w:w="677" w:type="pct"/>
            <w:vMerge/>
          </w:tcPr>
          <w:p w:rsidR="00614EF9" w:rsidRPr="00CB32B1" w:rsidRDefault="00614EF9" w:rsidP="00614EF9">
            <w:pPr>
              <w:pStyle w:val="TableTextNormal"/>
            </w:pPr>
          </w:p>
        </w:tc>
        <w:tc>
          <w:tcPr>
            <w:tcW w:w="416" w:type="pct"/>
            <w:gridSpan w:val="2"/>
            <w:vMerge/>
          </w:tcPr>
          <w:p w:rsidR="00614EF9" w:rsidRPr="00CB32B1" w:rsidRDefault="00614EF9" w:rsidP="00614EF9">
            <w:pPr>
              <w:pStyle w:val="TableTextNormal"/>
              <w:cnfStyle w:val="000000000000"/>
            </w:pPr>
          </w:p>
        </w:tc>
        <w:tc>
          <w:tcPr>
            <w:tcW w:w="607" w:type="pct"/>
            <w:vMerge/>
          </w:tcPr>
          <w:p w:rsidR="00614EF9" w:rsidRPr="00CB32B1" w:rsidRDefault="00614EF9" w:rsidP="00614EF9">
            <w:pPr>
              <w:pStyle w:val="TableTextNormal"/>
              <w:cnfStyle w:val="000000000000"/>
            </w:pPr>
          </w:p>
        </w:tc>
        <w:tc>
          <w:tcPr>
            <w:tcW w:w="1183" w:type="pct"/>
          </w:tcPr>
          <w:p w:rsidR="00614EF9" w:rsidRPr="00CB32B1" w:rsidDel="00600ABD" w:rsidRDefault="00614EF9" w:rsidP="00614EF9">
            <w:pPr>
              <w:pStyle w:val="TableTextNormal"/>
              <w:cnfStyle w:val="000000000000"/>
            </w:pPr>
            <w:r w:rsidRPr="00CB32B1">
              <w:t>Planned hospital birth: 6,692</w:t>
            </w:r>
          </w:p>
        </w:tc>
        <w:tc>
          <w:tcPr>
            <w:tcW w:w="1187" w:type="pct"/>
          </w:tcPr>
          <w:p w:rsidR="00614EF9" w:rsidRPr="00CB32B1" w:rsidRDefault="00614EF9" w:rsidP="00614EF9">
            <w:pPr>
              <w:pStyle w:val="TableTextNormal"/>
              <w:jc w:val="center"/>
              <w:cnfStyle w:val="000000000000"/>
            </w:pPr>
            <w:r w:rsidRPr="00CB32B1">
              <w:t>1.2%</w:t>
            </w:r>
          </w:p>
        </w:tc>
        <w:tc>
          <w:tcPr>
            <w:tcW w:w="930" w:type="pct"/>
          </w:tcPr>
          <w:p w:rsidR="00614EF9" w:rsidRPr="00CB32B1" w:rsidRDefault="00614EF9" w:rsidP="00614EF9">
            <w:pPr>
              <w:pStyle w:val="TableTextNormal"/>
              <w:jc w:val="center"/>
              <w:cnfStyle w:val="000000000000"/>
            </w:pPr>
            <w:r w:rsidRPr="00CB32B1">
              <w:t>1.5%</w:t>
            </w:r>
          </w:p>
        </w:tc>
      </w:tr>
      <w:tr w:rsidR="00614EF9" w:rsidRPr="00CB32B1" w:rsidTr="00167C8B">
        <w:tc>
          <w:tcPr>
            <w:cnfStyle w:val="001000000000"/>
            <w:tcW w:w="677" w:type="pct"/>
            <w:vMerge w:val="restart"/>
          </w:tcPr>
          <w:p w:rsidR="00614EF9" w:rsidRPr="00CB32B1" w:rsidRDefault="00614EF9" w:rsidP="00C97690">
            <w:pPr>
              <w:pStyle w:val="TableTextNormal"/>
            </w:pPr>
            <w:r w:rsidRPr="00CB32B1">
              <w:t>Janssen, Saxell</w:t>
            </w:r>
            <w:r w:rsidR="00842F74" w:rsidRPr="00CB32B1">
              <w:t>, Page, Klein, Liston</w:t>
            </w:r>
            <w:r w:rsidR="00C97690" w:rsidRPr="00CB32B1">
              <w:t xml:space="preserve"> &amp;</w:t>
            </w:r>
            <w:r w:rsidR="00842F74" w:rsidRPr="00CB32B1">
              <w:t xml:space="preserve"> Lee</w:t>
            </w:r>
            <w:r w:rsidRPr="00CB32B1">
              <w:t xml:space="preserve"> 2009 </w:t>
            </w:r>
          </w:p>
        </w:tc>
        <w:tc>
          <w:tcPr>
            <w:tcW w:w="416" w:type="pct"/>
            <w:gridSpan w:val="2"/>
            <w:vMerge w:val="restart"/>
          </w:tcPr>
          <w:p w:rsidR="00614EF9" w:rsidRPr="00CB32B1" w:rsidRDefault="00614EF9" w:rsidP="00614EF9">
            <w:pPr>
              <w:pStyle w:val="TableTextNormal"/>
              <w:cnfStyle w:val="000000000000"/>
            </w:pPr>
            <w:r w:rsidRPr="00CB32B1">
              <w:t>2000-2004</w:t>
            </w:r>
          </w:p>
        </w:tc>
        <w:tc>
          <w:tcPr>
            <w:tcW w:w="607" w:type="pct"/>
            <w:vMerge w:val="restart"/>
          </w:tcPr>
          <w:p w:rsidR="00614EF9" w:rsidRPr="00CB32B1" w:rsidRDefault="00614EF9" w:rsidP="00614EF9">
            <w:pPr>
              <w:pStyle w:val="TableTextNormal"/>
              <w:cnfStyle w:val="000000000000"/>
            </w:pPr>
            <w:r w:rsidRPr="00CB32B1">
              <w:t>British Columbia, Canada</w:t>
            </w:r>
          </w:p>
        </w:tc>
        <w:tc>
          <w:tcPr>
            <w:tcW w:w="1183" w:type="pct"/>
          </w:tcPr>
          <w:p w:rsidR="00614EF9" w:rsidRPr="00CB32B1" w:rsidDel="00600ABD" w:rsidRDefault="00614EF9" w:rsidP="00614EF9">
            <w:pPr>
              <w:pStyle w:val="TableTextNormal"/>
              <w:cnfStyle w:val="000000000000"/>
            </w:pPr>
          </w:p>
        </w:tc>
        <w:tc>
          <w:tcPr>
            <w:tcW w:w="1187" w:type="pct"/>
          </w:tcPr>
          <w:p w:rsidR="00614EF9" w:rsidRPr="00CB32B1" w:rsidRDefault="00614EF9" w:rsidP="00614EF9">
            <w:pPr>
              <w:pStyle w:val="TableTextNormal"/>
              <w:jc w:val="center"/>
              <w:cnfStyle w:val="000000000000"/>
            </w:pPr>
            <w:r w:rsidRPr="00CB32B1">
              <w:sym w:font="Wingdings" w:char="F0FC"/>
            </w:r>
          </w:p>
        </w:tc>
        <w:tc>
          <w:tcPr>
            <w:tcW w:w="930" w:type="pct"/>
          </w:tcPr>
          <w:p w:rsidR="00614EF9" w:rsidRPr="00CB32B1" w:rsidRDefault="00614EF9" w:rsidP="00614EF9">
            <w:pPr>
              <w:pStyle w:val="TableTextNormal"/>
              <w:jc w:val="center"/>
              <w:cnfStyle w:val="000000000000"/>
            </w:pPr>
            <w:r w:rsidRPr="00CB32B1">
              <w:sym w:font="Wingdings" w:char="F0FC"/>
            </w:r>
          </w:p>
        </w:tc>
      </w:tr>
      <w:tr w:rsidR="00614EF9" w:rsidRPr="00CB32B1" w:rsidTr="00167C8B">
        <w:tc>
          <w:tcPr>
            <w:cnfStyle w:val="001000000000"/>
            <w:tcW w:w="677" w:type="pct"/>
            <w:vMerge/>
          </w:tcPr>
          <w:p w:rsidR="00614EF9" w:rsidRPr="00CB32B1" w:rsidRDefault="00614EF9" w:rsidP="00614EF9">
            <w:pPr>
              <w:pStyle w:val="TableTextNormal"/>
            </w:pPr>
          </w:p>
        </w:tc>
        <w:tc>
          <w:tcPr>
            <w:tcW w:w="416" w:type="pct"/>
            <w:gridSpan w:val="2"/>
            <w:vMerge/>
          </w:tcPr>
          <w:p w:rsidR="00614EF9" w:rsidRPr="00CB32B1" w:rsidRDefault="00614EF9" w:rsidP="00614EF9">
            <w:pPr>
              <w:pStyle w:val="TableTextNormal"/>
              <w:cnfStyle w:val="000000000000"/>
            </w:pPr>
          </w:p>
        </w:tc>
        <w:tc>
          <w:tcPr>
            <w:tcW w:w="607" w:type="pct"/>
            <w:vMerge/>
          </w:tcPr>
          <w:p w:rsidR="00614EF9" w:rsidRPr="00CB32B1" w:rsidRDefault="00614EF9" w:rsidP="00614EF9">
            <w:pPr>
              <w:pStyle w:val="TableTextNormal"/>
              <w:cnfStyle w:val="000000000000"/>
            </w:pPr>
          </w:p>
        </w:tc>
        <w:tc>
          <w:tcPr>
            <w:tcW w:w="1183" w:type="pct"/>
          </w:tcPr>
          <w:p w:rsidR="00614EF9" w:rsidRPr="00CB32B1" w:rsidRDefault="00614EF9" w:rsidP="00614EF9">
            <w:pPr>
              <w:pStyle w:val="TableTextNormal"/>
              <w:cnfStyle w:val="000000000000"/>
            </w:pPr>
            <w:r w:rsidRPr="00CB32B1">
              <w:t xml:space="preserve">Planned homebirth: 2,889 </w:t>
            </w:r>
          </w:p>
        </w:tc>
        <w:tc>
          <w:tcPr>
            <w:tcW w:w="1187" w:type="pct"/>
          </w:tcPr>
          <w:p w:rsidR="00614EF9" w:rsidRPr="00CB32B1" w:rsidRDefault="00614EF9" w:rsidP="00614EF9">
            <w:pPr>
              <w:pStyle w:val="TableTextNormal"/>
              <w:jc w:val="center"/>
              <w:cnfStyle w:val="000000000000"/>
            </w:pPr>
            <w:r w:rsidRPr="00CB32B1">
              <w:t>3.8%</w:t>
            </w:r>
          </w:p>
        </w:tc>
        <w:tc>
          <w:tcPr>
            <w:tcW w:w="930" w:type="pct"/>
          </w:tcPr>
          <w:p w:rsidR="00614EF9" w:rsidRPr="00CB32B1" w:rsidRDefault="00614EF9" w:rsidP="00614EF9">
            <w:pPr>
              <w:pStyle w:val="TableTextNormal"/>
              <w:jc w:val="center"/>
              <w:cnfStyle w:val="000000000000"/>
            </w:pPr>
            <w:r w:rsidRPr="00CB32B1">
              <w:t>1.2%</w:t>
            </w:r>
          </w:p>
        </w:tc>
      </w:tr>
      <w:tr w:rsidR="00614EF9" w:rsidRPr="00CB32B1" w:rsidTr="00167C8B">
        <w:tc>
          <w:tcPr>
            <w:cnfStyle w:val="001000000000"/>
            <w:tcW w:w="677" w:type="pct"/>
            <w:vMerge/>
          </w:tcPr>
          <w:p w:rsidR="00614EF9" w:rsidRPr="00CB32B1" w:rsidRDefault="00614EF9" w:rsidP="00614EF9">
            <w:pPr>
              <w:pStyle w:val="TableTextNormal"/>
            </w:pPr>
          </w:p>
        </w:tc>
        <w:tc>
          <w:tcPr>
            <w:tcW w:w="416" w:type="pct"/>
            <w:gridSpan w:val="2"/>
            <w:vMerge/>
          </w:tcPr>
          <w:p w:rsidR="00614EF9" w:rsidRPr="00CB32B1" w:rsidRDefault="00614EF9" w:rsidP="00614EF9">
            <w:pPr>
              <w:pStyle w:val="TableTextNormal"/>
              <w:cnfStyle w:val="000000000000"/>
            </w:pPr>
          </w:p>
        </w:tc>
        <w:tc>
          <w:tcPr>
            <w:tcW w:w="607" w:type="pct"/>
            <w:vMerge/>
          </w:tcPr>
          <w:p w:rsidR="00614EF9" w:rsidRPr="00CB32B1" w:rsidRDefault="00614EF9" w:rsidP="00614EF9">
            <w:pPr>
              <w:pStyle w:val="TableTextNormal"/>
              <w:cnfStyle w:val="000000000000"/>
            </w:pPr>
          </w:p>
        </w:tc>
        <w:tc>
          <w:tcPr>
            <w:tcW w:w="1183" w:type="pct"/>
          </w:tcPr>
          <w:p w:rsidR="00614EF9" w:rsidRPr="00CB32B1" w:rsidRDefault="00614EF9" w:rsidP="00614EF9">
            <w:pPr>
              <w:pStyle w:val="TableTextNormal"/>
              <w:cnfStyle w:val="000000000000"/>
            </w:pPr>
            <w:r w:rsidRPr="00CB32B1">
              <w:t xml:space="preserve">Planned midwife-led hospital birth: 4,752 </w:t>
            </w:r>
          </w:p>
        </w:tc>
        <w:tc>
          <w:tcPr>
            <w:tcW w:w="1187" w:type="pct"/>
          </w:tcPr>
          <w:p w:rsidR="00614EF9" w:rsidRPr="00CB32B1" w:rsidRDefault="00614EF9" w:rsidP="00614EF9">
            <w:pPr>
              <w:pStyle w:val="TableTextNormal"/>
              <w:jc w:val="center"/>
              <w:cnfStyle w:val="000000000000"/>
            </w:pPr>
            <w:r w:rsidRPr="00CB32B1">
              <w:t>6.0%</w:t>
            </w:r>
          </w:p>
        </w:tc>
        <w:tc>
          <w:tcPr>
            <w:tcW w:w="930" w:type="pct"/>
          </w:tcPr>
          <w:p w:rsidR="00614EF9" w:rsidRPr="00CB32B1" w:rsidRDefault="00614EF9" w:rsidP="00614EF9">
            <w:pPr>
              <w:pStyle w:val="TableTextNormal"/>
              <w:jc w:val="center"/>
              <w:cnfStyle w:val="000000000000"/>
            </w:pPr>
            <w:r w:rsidRPr="00CB32B1">
              <w:t>2.9%</w:t>
            </w:r>
          </w:p>
        </w:tc>
      </w:tr>
      <w:tr w:rsidR="00614EF9" w:rsidRPr="00CB32B1" w:rsidTr="00167C8B">
        <w:tc>
          <w:tcPr>
            <w:cnfStyle w:val="001000000000"/>
            <w:tcW w:w="677" w:type="pct"/>
            <w:vMerge/>
          </w:tcPr>
          <w:p w:rsidR="00614EF9" w:rsidRPr="00CB32B1" w:rsidRDefault="00614EF9" w:rsidP="00614EF9">
            <w:pPr>
              <w:pStyle w:val="TableTextNormal"/>
            </w:pPr>
          </w:p>
        </w:tc>
        <w:tc>
          <w:tcPr>
            <w:tcW w:w="416" w:type="pct"/>
            <w:gridSpan w:val="2"/>
            <w:vMerge/>
          </w:tcPr>
          <w:p w:rsidR="00614EF9" w:rsidRPr="00CB32B1" w:rsidRDefault="00614EF9" w:rsidP="00614EF9">
            <w:pPr>
              <w:pStyle w:val="TableTextNormal"/>
              <w:cnfStyle w:val="000000000000"/>
            </w:pPr>
          </w:p>
        </w:tc>
        <w:tc>
          <w:tcPr>
            <w:tcW w:w="607" w:type="pct"/>
            <w:vMerge/>
          </w:tcPr>
          <w:p w:rsidR="00614EF9" w:rsidRPr="00CB32B1" w:rsidRDefault="00614EF9" w:rsidP="00614EF9">
            <w:pPr>
              <w:pStyle w:val="TableTextNormal"/>
              <w:cnfStyle w:val="000000000000"/>
            </w:pPr>
          </w:p>
        </w:tc>
        <w:tc>
          <w:tcPr>
            <w:tcW w:w="1183" w:type="pct"/>
          </w:tcPr>
          <w:p w:rsidR="00614EF9" w:rsidRPr="00CB32B1" w:rsidRDefault="00614EF9" w:rsidP="00614EF9">
            <w:pPr>
              <w:pStyle w:val="TableTextNormal"/>
              <w:cnfStyle w:val="000000000000"/>
            </w:pPr>
            <w:r w:rsidRPr="00CB32B1">
              <w:t>Planned physician-led hospital birth: 5,331</w:t>
            </w:r>
          </w:p>
        </w:tc>
        <w:tc>
          <w:tcPr>
            <w:tcW w:w="1187" w:type="pct"/>
          </w:tcPr>
          <w:p w:rsidR="00614EF9" w:rsidRPr="00CB32B1" w:rsidRDefault="00614EF9" w:rsidP="00614EF9">
            <w:pPr>
              <w:pStyle w:val="TableTextNormal"/>
              <w:jc w:val="center"/>
              <w:cnfStyle w:val="000000000000"/>
            </w:pPr>
            <w:r w:rsidRPr="00CB32B1">
              <w:t>6.7%</w:t>
            </w:r>
          </w:p>
        </w:tc>
        <w:tc>
          <w:tcPr>
            <w:tcW w:w="930" w:type="pct"/>
          </w:tcPr>
          <w:p w:rsidR="00614EF9" w:rsidRPr="00CB32B1" w:rsidRDefault="00614EF9" w:rsidP="00614EF9">
            <w:pPr>
              <w:pStyle w:val="TableTextNormal"/>
              <w:jc w:val="center"/>
              <w:cnfStyle w:val="000000000000"/>
            </w:pPr>
            <w:r w:rsidRPr="00CB32B1">
              <w:t>3.4%</w:t>
            </w:r>
          </w:p>
        </w:tc>
      </w:tr>
      <w:tr w:rsidR="00614EF9" w:rsidRPr="00CB32B1" w:rsidTr="00167C8B">
        <w:tc>
          <w:tcPr>
            <w:cnfStyle w:val="001000000000"/>
            <w:tcW w:w="677" w:type="pct"/>
            <w:vMerge w:val="restart"/>
          </w:tcPr>
          <w:p w:rsidR="00842F74" w:rsidRPr="00CB32B1" w:rsidRDefault="00842F74" w:rsidP="00614EF9">
            <w:pPr>
              <w:pStyle w:val="TableTextNormal"/>
            </w:pPr>
            <w:r w:rsidRPr="00CB32B1">
              <w:t>National Institute for Health Research, 2011</w:t>
            </w:r>
          </w:p>
        </w:tc>
        <w:tc>
          <w:tcPr>
            <w:tcW w:w="416" w:type="pct"/>
            <w:gridSpan w:val="2"/>
            <w:vMerge w:val="restart"/>
          </w:tcPr>
          <w:p w:rsidR="00614EF9" w:rsidRPr="00CB32B1" w:rsidRDefault="00614EF9" w:rsidP="00614EF9">
            <w:pPr>
              <w:pStyle w:val="TableTextNormal"/>
              <w:cnfStyle w:val="000000000000"/>
            </w:pPr>
            <w:r w:rsidRPr="00CB32B1">
              <w:t>2007</w:t>
            </w:r>
            <w:r w:rsidR="00854DEF" w:rsidRPr="00CB32B1">
              <w:t xml:space="preserve"> – </w:t>
            </w:r>
            <w:r w:rsidRPr="00CB32B1">
              <w:t>2008</w:t>
            </w:r>
          </w:p>
        </w:tc>
        <w:tc>
          <w:tcPr>
            <w:tcW w:w="607" w:type="pct"/>
            <w:vMerge w:val="restart"/>
          </w:tcPr>
          <w:p w:rsidR="00614EF9" w:rsidRPr="00CB32B1" w:rsidRDefault="00614EF9" w:rsidP="00614EF9">
            <w:pPr>
              <w:pStyle w:val="TableTextNormal"/>
              <w:cnfStyle w:val="000000000000"/>
            </w:pPr>
            <w:r w:rsidRPr="00CB32B1">
              <w:t>England</w:t>
            </w:r>
          </w:p>
        </w:tc>
        <w:tc>
          <w:tcPr>
            <w:tcW w:w="1183" w:type="pct"/>
          </w:tcPr>
          <w:p w:rsidR="00614EF9" w:rsidRPr="00CB32B1" w:rsidRDefault="00614EF9" w:rsidP="00614EF9">
            <w:pPr>
              <w:pStyle w:val="TableTextNormal"/>
              <w:cnfStyle w:val="000000000000"/>
            </w:pPr>
          </w:p>
        </w:tc>
        <w:tc>
          <w:tcPr>
            <w:tcW w:w="1187" w:type="pct"/>
          </w:tcPr>
          <w:p w:rsidR="00614EF9" w:rsidRPr="00CB32B1" w:rsidRDefault="00614EF9" w:rsidP="00614EF9">
            <w:pPr>
              <w:pStyle w:val="TableTextNormal"/>
              <w:jc w:val="center"/>
              <w:cnfStyle w:val="000000000000"/>
            </w:pPr>
            <w:r w:rsidRPr="00CB32B1">
              <w:sym w:font="Wingdings" w:char="F0FC"/>
            </w:r>
            <w:r w:rsidR="008341BC">
              <w:t xml:space="preserve"> for low-</w:t>
            </w:r>
            <w:r w:rsidRPr="00CB32B1">
              <w:t>risk (blood transfusion)</w:t>
            </w:r>
          </w:p>
        </w:tc>
        <w:tc>
          <w:tcPr>
            <w:tcW w:w="930" w:type="pct"/>
          </w:tcPr>
          <w:p w:rsidR="00614EF9" w:rsidRPr="00CB32B1" w:rsidRDefault="00614EF9" w:rsidP="00614EF9">
            <w:pPr>
              <w:pStyle w:val="TableTextNormal"/>
              <w:jc w:val="center"/>
              <w:cnfStyle w:val="000000000000"/>
            </w:pPr>
            <w:r w:rsidRPr="00CB32B1">
              <w:sym w:font="Wingdings" w:char="F0FC"/>
            </w:r>
          </w:p>
        </w:tc>
      </w:tr>
      <w:tr w:rsidR="00614EF9" w:rsidRPr="00CB32B1" w:rsidTr="00167C8B">
        <w:tc>
          <w:tcPr>
            <w:cnfStyle w:val="001000000000"/>
            <w:tcW w:w="677" w:type="pct"/>
            <w:vMerge/>
          </w:tcPr>
          <w:p w:rsidR="00614EF9" w:rsidRPr="00CB32B1" w:rsidRDefault="00614EF9" w:rsidP="00614EF9">
            <w:pPr>
              <w:pStyle w:val="TableTextNormal"/>
            </w:pPr>
          </w:p>
        </w:tc>
        <w:tc>
          <w:tcPr>
            <w:tcW w:w="416" w:type="pct"/>
            <w:gridSpan w:val="2"/>
            <w:vMerge/>
          </w:tcPr>
          <w:p w:rsidR="00614EF9" w:rsidRPr="00CB32B1" w:rsidRDefault="00614EF9" w:rsidP="00614EF9">
            <w:pPr>
              <w:pStyle w:val="TableTextNormal"/>
              <w:cnfStyle w:val="000000000000"/>
            </w:pPr>
          </w:p>
        </w:tc>
        <w:tc>
          <w:tcPr>
            <w:tcW w:w="607" w:type="pct"/>
            <w:vMerge/>
          </w:tcPr>
          <w:p w:rsidR="00614EF9" w:rsidRPr="00CB32B1" w:rsidRDefault="00614EF9" w:rsidP="00614EF9">
            <w:pPr>
              <w:pStyle w:val="TableTextNormal"/>
              <w:cnfStyle w:val="000000000000"/>
            </w:pPr>
          </w:p>
        </w:tc>
        <w:tc>
          <w:tcPr>
            <w:tcW w:w="1183" w:type="pct"/>
          </w:tcPr>
          <w:p w:rsidR="00614EF9" w:rsidRPr="00CB32B1" w:rsidRDefault="00614EF9" w:rsidP="00614EF9">
            <w:pPr>
              <w:pStyle w:val="TableTextNormal"/>
              <w:cnfStyle w:val="000000000000"/>
            </w:pPr>
            <w:r w:rsidRPr="00CB32B1">
              <w:t xml:space="preserve">Planned homebirth: 17,000 </w:t>
            </w:r>
          </w:p>
        </w:tc>
        <w:tc>
          <w:tcPr>
            <w:tcW w:w="1187" w:type="pct"/>
          </w:tcPr>
          <w:p w:rsidR="00614EF9" w:rsidRPr="00CB32B1" w:rsidRDefault="008341BC" w:rsidP="00614EF9">
            <w:pPr>
              <w:pStyle w:val="TableTextNormal"/>
              <w:jc w:val="center"/>
              <w:cnfStyle w:val="000000000000"/>
            </w:pPr>
            <w:r>
              <w:t>0.6% (low-</w:t>
            </w:r>
            <w:r w:rsidR="00614EF9" w:rsidRPr="00CB32B1">
              <w:t>risk)</w:t>
            </w:r>
          </w:p>
          <w:p w:rsidR="00614EF9" w:rsidRPr="00CB32B1" w:rsidRDefault="008341BC" w:rsidP="00614EF9">
            <w:pPr>
              <w:pStyle w:val="TableTextNormal"/>
              <w:jc w:val="center"/>
              <w:cnfStyle w:val="000000000000"/>
            </w:pPr>
            <w:r>
              <w:t>1.2% (high-</w:t>
            </w:r>
            <w:r w:rsidR="00614EF9" w:rsidRPr="00CB32B1">
              <w:t>risk)</w:t>
            </w:r>
          </w:p>
        </w:tc>
        <w:tc>
          <w:tcPr>
            <w:tcW w:w="930" w:type="pct"/>
          </w:tcPr>
          <w:p w:rsidR="00614EF9" w:rsidRPr="00CB32B1" w:rsidRDefault="00614EF9" w:rsidP="00614EF9">
            <w:pPr>
              <w:pStyle w:val="TableTextNormal"/>
              <w:jc w:val="center"/>
              <w:cnfStyle w:val="000000000000"/>
            </w:pPr>
            <w:r w:rsidRPr="00CB32B1">
              <w:t>1.9% (low</w:t>
            </w:r>
            <w:r w:rsidR="008341BC">
              <w:t>-</w:t>
            </w:r>
            <w:r w:rsidRPr="00CB32B1">
              <w:t>risk)</w:t>
            </w:r>
          </w:p>
          <w:p w:rsidR="00614EF9" w:rsidRPr="00CB32B1" w:rsidRDefault="00614EF9" w:rsidP="008341BC">
            <w:pPr>
              <w:pStyle w:val="TableTextNormal"/>
              <w:jc w:val="center"/>
              <w:cnfStyle w:val="000000000000"/>
            </w:pPr>
            <w:r w:rsidRPr="00CB32B1">
              <w:t>1.8% (high</w:t>
            </w:r>
            <w:r w:rsidR="008341BC">
              <w:t>-</w:t>
            </w:r>
            <w:r w:rsidRPr="00CB32B1">
              <w:t>risk)</w:t>
            </w:r>
          </w:p>
        </w:tc>
      </w:tr>
      <w:tr w:rsidR="00614EF9" w:rsidRPr="00CB32B1" w:rsidTr="00167C8B">
        <w:tc>
          <w:tcPr>
            <w:cnfStyle w:val="001000000000"/>
            <w:tcW w:w="677" w:type="pct"/>
            <w:vMerge/>
          </w:tcPr>
          <w:p w:rsidR="00614EF9" w:rsidRPr="00CB32B1" w:rsidRDefault="00614EF9" w:rsidP="00614EF9">
            <w:pPr>
              <w:pStyle w:val="TableTextNormal"/>
            </w:pPr>
          </w:p>
        </w:tc>
        <w:tc>
          <w:tcPr>
            <w:tcW w:w="416" w:type="pct"/>
            <w:gridSpan w:val="2"/>
            <w:vMerge/>
          </w:tcPr>
          <w:p w:rsidR="00614EF9" w:rsidRPr="00CB32B1" w:rsidRDefault="00614EF9" w:rsidP="00614EF9">
            <w:pPr>
              <w:pStyle w:val="TableTextNormal"/>
              <w:cnfStyle w:val="000000000000"/>
            </w:pPr>
          </w:p>
        </w:tc>
        <w:tc>
          <w:tcPr>
            <w:tcW w:w="607" w:type="pct"/>
            <w:vMerge/>
          </w:tcPr>
          <w:p w:rsidR="00614EF9" w:rsidRPr="00CB32B1" w:rsidRDefault="00614EF9" w:rsidP="00614EF9">
            <w:pPr>
              <w:pStyle w:val="TableTextNormal"/>
              <w:cnfStyle w:val="000000000000"/>
            </w:pPr>
          </w:p>
        </w:tc>
        <w:tc>
          <w:tcPr>
            <w:tcW w:w="1183" w:type="pct"/>
          </w:tcPr>
          <w:p w:rsidR="00614EF9" w:rsidRPr="00CB32B1" w:rsidRDefault="00614EF9" w:rsidP="00614EF9">
            <w:pPr>
              <w:pStyle w:val="TableTextNormal"/>
              <w:cnfStyle w:val="000000000000"/>
            </w:pPr>
            <w:r w:rsidRPr="00CB32B1">
              <w:t>Freestanding Midwifery Unit:</w:t>
            </w:r>
          </w:p>
          <w:p w:rsidR="00614EF9" w:rsidRPr="00CB32B1" w:rsidRDefault="00614EF9" w:rsidP="00614EF9">
            <w:pPr>
              <w:pStyle w:val="TableTextNormal"/>
              <w:cnfStyle w:val="000000000000"/>
            </w:pPr>
            <w:r w:rsidRPr="00CB32B1">
              <w:t>5,000</w:t>
            </w:r>
          </w:p>
        </w:tc>
        <w:tc>
          <w:tcPr>
            <w:tcW w:w="1187" w:type="pct"/>
          </w:tcPr>
          <w:p w:rsidR="00614EF9" w:rsidRPr="00CB32B1" w:rsidRDefault="00614EF9" w:rsidP="00614EF9">
            <w:pPr>
              <w:pStyle w:val="TableTextNormal"/>
              <w:jc w:val="center"/>
              <w:cnfStyle w:val="000000000000"/>
            </w:pPr>
            <w:r w:rsidRPr="00CB32B1">
              <w:t>0.5% (low</w:t>
            </w:r>
            <w:r w:rsidR="008341BC">
              <w:t>-</w:t>
            </w:r>
            <w:r w:rsidRPr="00CB32B1">
              <w:t>risk)</w:t>
            </w:r>
          </w:p>
          <w:p w:rsidR="00614EF9" w:rsidRPr="00CB32B1" w:rsidRDefault="00614EF9" w:rsidP="008341BC">
            <w:pPr>
              <w:pStyle w:val="TableTextNormal"/>
              <w:jc w:val="center"/>
              <w:cnfStyle w:val="000000000000"/>
            </w:pPr>
            <w:r w:rsidRPr="00CB32B1">
              <w:t>0.2% (high</w:t>
            </w:r>
            <w:r w:rsidR="008341BC">
              <w:t>-</w:t>
            </w:r>
            <w:r w:rsidRPr="00CB32B1">
              <w:t>risk)</w:t>
            </w:r>
          </w:p>
        </w:tc>
        <w:tc>
          <w:tcPr>
            <w:tcW w:w="930" w:type="pct"/>
          </w:tcPr>
          <w:p w:rsidR="00614EF9" w:rsidRPr="00CB32B1" w:rsidRDefault="008341BC" w:rsidP="00614EF9">
            <w:pPr>
              <w:pStyle w:val="TableTextNormal"/>
              <w:jc w:val="center"/>
              <w:cnfStyle w:val="000000000000"/>
            </w:pPr>
            <w:r>
              <w:t>2.3% (low-</w:t>
            </w:r>
            <w:r w:rsidR="00614EF9" w:rsidRPr="00CB32B1">
              <w:t>risk)</w:t>
            </w:r>
          </w:p>
          <w:p w:rsidR="00614EF9" w:rsidRPr="00CB32B1" w:rsidRDefault="008341BC" w:rsidP="00614EF9">
            <w:pPr>
              <w:pStyle w:val="TableTextNormal"/>
              <w:jc w:val="center"/>
              <w:cnfStyle w:val="000000000000"/>
            </w:pPr>
            <w:r>
              <w:t>1.5% (high-</w:t>
            </w:r>
            <w:r w:rsidR="00614EF9" w:rsidRPr="00CB32B1">
              <w:t>risk)</w:t>
            </w:r>
          </w:p>
        </w:tc>
      </w:tr>
      <w:tr w:rsidR="00614EF9" w:rsidRPr="00CB32B1" w:rsidTr="00167C8B">
        <w:tc>
          <w:tcPr>
            <w:cnfStyle w:val="001000000000"/>
            <w:tcW w:w="677" w:type="pct"/>
            <w:vMerge/>
          </w:tcPr>
          <w:p w:rsidR="00614EF9" w:rsidRPr="00CB32B1" w:rsidRDefault="00614EF9" w:rsidP="00614EF9">
            <w:pPr>
              <w:pStyle w:val="TableTextNormal"/>
            </w:pPr>
          </w:p>
        </w:tc>
        <w:tc>
          <w:tcPr>
            <w:tcW w:w="416" w:type="pct"/>
            <w:gridSpan w:val="2"/>
            <w:vMerge/>
          </w:tcPr>
          <w:p w:rsidR="00614EF9" w:rsidRPr="00CB32B1" w:rsidRDefault="00614EF9" w:rsidP="00614EF9">
            <w:pPr>
              <w:pStyle w:val="TableTextNormal"/>
              <w:cnfStyle w:val="000000000000"/>
            </w:pPr>
          </w:p>
        </w:tc>
        <w:tc>
          <w:tcPr>
            <w:tcW w:w="607" w:type="pct"/>
            <w:vMerge/>
          </w:tcPr>
          <w:p w:rsidR="00614EF9" w:rsidRPr="00CB32B1" w:rsidRDefault="00614EF9" w:rsidP="00614EF9">
            <w:pPr>
              <w:pStyle w:val="TableTextNormal"/>
              <w:cnfStyle w:val="000000000000"/>
            </w:pPr>
          </w:p>
        </w:tc>
        <w:tc>
          <w:tcPr>
            <w:tcW w:w="1183" w:type="pct"/>
          </w:tcPr>
          <w:p w:rsidR="00614EF9" w:rsidRPr="00CB32B1" w:rsidRDefault="00614EF9" w:rsidP="00614EF9">
            <w:pPr>
              <w:pStyle w:val="TableTextNormal"/>
              <w:cnfStyle w:val="000000000000"/>
            </w:pPr>
            <w:r w:rsidRPr="00CB32B1">
              <w:t>Obstetric Unit:</w:t>
            </w:r>
          </w:p>
          <w:p w:rsidR="00614EF9" w:rsidRPr="00CB32B1" w:rsidRDefault="00614EF9" w:rsidP="00614EF9">
            <w:pPr>
              <w:pStyle w:val="TableTextNormal"/>
              <w:cnfStyle w:val="000000000000"/>
            </w:pPr>
            <w:r w:rsidRPr="00CB32B1">
              <w:t>30,000</w:t>
            </w:r>
          </w:p>
        </w:tc>
        <w:tc>
          <w:tcPr>
            <w:tcW w:w="1187" w:type="pct"/>
          </w:tcPr>
          <w:p w:rsidR="00614EF9" w:rsidRPr="00CB32B1" w:rsidRDefault="008341BC" w:rsidP="00614EF9">
            <w:pPr>
              <w:pStyle w:val="TableTextNormal"/>
              <w:jc w:val="center"/>
              <w:cnfStyle w:val="000000000000"/>
            </w:pPr>
            <w:r>
              <w:t>1.2% (low-</w:t>
            </w:r>
            <w:r w:rsidR="00614EF9" w:rsidRPr="00CB32B1">
              <w:t>risk)</w:t>
            </w:r>
          </w:p>
          <w:p w:rsidR="00614EF9" w:rsidRPr="00CB32B1" w:rsidRDefault="00614EF9" w:rsidP="008341BC">
            <w:pPr>
              <w:pStyle w:val="TableTextNormal"/>
              <w:jc w:val="center"/>
              <w:cnfStyle w:val="000000000000"/>
            </w:pPr>
            <w:r w:rsidRPr="00CB32B1">
              <w:t>2.0% (high</w:t>
            </w:r>
            <w:r w:rsidR="008341BC">
              <w:t>-</w:t>
            </w:r>
            <w:r w:rsidRPr="00CB32B1">
              <w:t>risk)</w:t>
            </w:r>
          </w:p>
        </w:tc>
        <w:tc>
          <w:tcPr>
            <w:tcW w:w="930" w:type="pct"/>
          </w:tcPr>
          <w:p w:rsidR="00614EF9" w:rsidRPr="00CB32B1" w:rsidRDefault="008341BC" w:rsidP="00614EF9">
            <w:pPr>
              <w:pStyle w:val="TableTextNormal"/>
              <w:jc w:val="center"/>
              <w:cnfStyle w:val="000000000000"/>
            </w:pPr>
            <w:r>
              <w:t>3.2% (low-</w:t>
            </w:r>
            <w:r w:rsidR="00614EF9" w:rsidRPr="00CB32B1">
              <w:t>risk)</w:t>
            </w:r>
          </w:p>
          <w:p w:rsidR="00614EF9" w:rsidRPr="00CB32B1" w:rsidRDefault="00614EF9" w:rsidP="008341BC">
            <w:pPr>
              <w:pStyle w:val="TableTextNormal"/>
              <w:jc w:val="center"/>
              <w:cnfStyle w:val="000000000000"/>
            </w:pPr>
            <w:r w:rsidRPr="00CB32B1">
              <w:t>2.8% (high</w:t>
            </w:r>
            <w:r w:rsidR="008341BC">
              <w:t>-</w:t>
            </w:r>
            <w:r w:rsidRPr="00CB32B1">
              <w:t>risk)</w:t>
            </w:r>
          </w:p>
        </w:tc>
      </w:tr>
      <w:tr w:rsidR="00614EF9" w:rsidRPr="00CB32B1" w:rsidTr="00167C8B">
        <w:tc>
          <w:tcPr>
            <w:cnfStyle w:val="001000000000"/>
            <w:tcW w:w="677" w:type="pct"/>
            <w:vMerge w:val="restart"/>
          </w:tcPr>
          <w:p w:rsidR="00614EF9" w:rsidRPr="00CB32B1" w:rsidRDefault="00614EF9" w:rsidP="00167C8B">
            <w:pPr>
              <w:pStyle w:val="TableTextNormal"/>
            </w:pPr>
            <w:r w:rsidRPr="00CB32B1">
              <w:t>Kennare</w:t>
            </w:r>
            <w:r w:rsidR="00167C8B" w:rsidRPr="00CB32B1">
              <w:t>, Keirse, Tucker &amp; Chan 2010</w:t>
            </w:r>
            <w:r w:rsidRPr="00CB32B1">
              <w:t xml:space="preserve">. </w:t>
            </w:r>
          </w:p>
        </w:tc>
        <w:tc>
          <w:tcPr>
            <w:tcW w:w="416" w:type="pct"/>
            <w:gridSpan w:val="2"/>
            <w:vMerge w:val="restart"/>
          </w:tcPr>
          <w:p w:rsidR="00614EF9" w:rsidRPr="00CB32B1" w:rsidRDefault="00614EF9" w:rsidP="00614EF9">
            <w:pPr>
              <w:pStyle w:val="TableTextNormal"/>
              <w:cnfStyle w:val="000000000000"/>
            </w:pPr>
            <w:r w:rsidRPr="00CB32B1">
              <w:t>1998</w:t>
            </w:r>
            <w:r w:rsidR="00854DEF" w:rsidRPr="00CB32B1">
              <w:t xml:space="preserve"> – </w:t>
            </w:r>
            <w:r w:rsidRPr="00CB32B1">
              <w:t>2006</w:t>
            </w:r>
          </w:p>
        </w:tc>
        <w:tc>
          <w:tcPr>
            <w:tcW w:w="607" w:type="pct"/>
            <w:vMerge w:val="restart"/>
          </w:tcPr>
          <w:p w:rsidR="00614EF9" w:rsidRPr="00CB32B1" w:rsidRDefault="00614EF9" w:rsidP="00614EF9">
            <w:pPr>
              <w:pStyle w:val="TableTextNormal"/>
              <w:cnfStyle w:val="000000000000"/>
            </w:pPr>
            <w:r w:rsidRPr="00CB32B1">
              <w:t>South Australia</w:t>
            </w:r>
          </w:p>
        </w:tc>
        <w:tc>
          <w:tcPr>
            <w:tcW w:w="1183" w:type="pct"/>
          </w:tcPr>
          <w:p w:rsidR="00614EF9" w:rsidRPr="00CB32B1" w:rsidRDefault="00614EF9" w:rsidP="00614EF9">
            <w:pPr>
              <w:pStyle w:val="TableTextNormal"/>
              <w:cnfStyle w:val="000000000000"/>
            </w:pPr>
          </w:p>
        </w:tc>
        <w:tc>
          <w:tcPr>
            <w:tcW w:w="1187" w:type="pct"/>
          </w:tcPr>
          <w:p w:rsidR="00614EF9" w:rsidRPr="00CB32B1" w:rsidRDefault="00614EF9" w:rsidP="00614EF9">
            <w:pPr>
              <w:pStyle w:val="TableTextNormal"/>
              <w:jc w:val="center"/>
              <w:cnfStyle w:val="000000000000"/>
            </w:pPr>
            <w:r w:rsidRPr="00CB32B1">
              <w:sym w:font="Wingdings" w:char="F0FC"/>
            </w:r>
            <w:r w:rsidRPr="00CB32B1">
              <w:t>*</w:t>
            </w:r>
          </w:p>
        </w:tc>
        <w:tc>
          <w:tcPr>
            <w:tcW w:w="930" w:type="pct"/>
          </w:tcPr>
          <w:p w:rsidR="00614EF9" w:rsidRPr="00CB32B1" w:rsidRDefault="00614EF9" w:rsidP="00614EF9">
            <w:pPr>
              <w:pStyle w:val="TableTextNormal"/>
              <w:jc w:val="center"/>
              <w:cnfStyle w:val="000000000000"/>
            </w:pPr>
            <w:r w:rsidRPr="00CB32B1">
              <w:sym w:font="Wingdings" w:char="F0FC"/>
            </w:r>
            <w:r w:rsidRPr="00CB32B1">
              <w:t>*</w:t>
            </w:r>
          </w:p>
        </w:tc>
      </w:tr>
      <w:tr w:rsidR="00614EF9" w:rsidRPr="00CB32B1" w:rsidTr="00167C8B">
        <w:tc>
          <w:tcPr>
            <w:cnfStyle w:val="001000000000"/>
            <w:tcW w:w="677" w:type="pct"/>
            <w:vMerge/>
          </w:tcPr>
          <w:p w:rsidR="00614EF9" w:rsidRPr="00CB32B1" w:rsidRDefault="00614EF9" w:rsidP="00614EF9">
            <w:pPr>
              <w:pStyle w:val="TableTextNormal"/>
            </w:pPr>
          </w:p>
        </w:tc>
        <w:tc>
          <w:tcPr>
            <w:tcW w:w="416" w:type="pct"/>
            <w:gridSpan w:val="2"/>
            <w:vMerge/>
          </w:tcPr>
          <w:p w:rsidR="00614EF9" w:rsidRPr="00CB32B1" w:rsidRDefault="00614EF9" w:rsidP="00614EF9">
            <w:pPr>
              <w:pStyle w:val="TableTextNormal"/>
              <w:cnfStyle w:val="000000000000"/>
            </w:pPr>
          </w:p>
        </w:tc>
        <w:tc>
          <w:tcPr>
            <w:tcW w:w="607" w:type="pct"/>
            <w:vMerge/>
          </w:tcPr>
          <w:p w:rsidR="00614EF9" w:rsidRPr="00CB32B1" w:rsidRDefault="00614EF9" w:rsidP="00614EF9">
            <w:pPr>
              <w:pStyle w:val="TableTextNormal"/>
              <w:cnfStyle w:val="000000000000"/>
            </w:pPr>
          </w:p>
        </w:tc>
        <w:tc>
          <w:tcPr>
            <w:tcW w:w="1183" w:type="pct"/>
          </w:tcPr>
          <w:p w:rsidR="00614EF9" w:rsidRPr="00CB32B1" w:rsidRDefault="00614EF9" w:rsidP="00614EF9">
            <w:pPr>
              <w:pStyle w:val="TableTextNormal"/>
              <w:cnfStyle w:val="000000000000"/>
            </w:pPr>
            <w:r w:rsidRPr="00CB32B1">
              <w:t xml:space="preserve">Planned homebirths: 1,141 </w:t>
            </w:r>
          </w:p>
        </w:tc>
        <w:tc>
          <w:tcPr>
            <w:tcW w:w="1187" w:type="pct"/>
          </w:tcPr>
          <w:p w:rsidR="00614EF9" w:rsidRPr="00CB32B1" w:rsidRDefault="00614EF9" w:rsidP="00614EF9">
            <w:pPr>
              <w:pStyle w:val="TableTextNormal"/>
              <w:jc w:val="center"/>
              <w:cnfStyle w:val="000000000000"/>
            </w:pPr>
            <w:r w:rsidRPr="00CB32B1">
              <w:t>4.4%</w:t>
            </w:r>
          </w:p>
        </w:tc>
        <w:tc>
          <w:tcPr>
            <w:tcW w:w="930" w:type="pct"/>
          </w:tcPr>
          <w:p w:rsidR="00614EF9" w:rsidRPr="00CB32B1" w:rsidRDefault="00614EF9" w:rsidP="00614EF9">
            <w:pPr>
              <w:pStyle w:val="TableTextNormal"/>
              <w:jc w:val="center"/>
              <w:cnfStyle w:val="000000000000"/>
            </w:pPr>
            <w:r w:rsidRPr="00CB32B1">
              <w:t>1.0%</w:t>
            </w:r>
          </w:p>
        </w:tc>
      </w:tr>
      <w:tr w:rsidR="00614EF9" w:rsidRPr="00CB32B1" w:rsidTr="00167C8B">
        <w:tc>
          <w:tcPr>
            <w:cnfStyle w:val="001000000000"/>
            <w:tcW w:w="677" w:type="pct"/>
            <w:vMerge/>
          </w:tcPr>
          <w:p w:rsidR="00614EF9" w:rsidRPr="00CB32B1" w:rsidRDefault="00614EF9" w:rsidP="00614EF9">
            <w:pPr>
              <w:pStyle w:val="TableTextNormal"/>
            </w:pPr>
          </w:p>
        </w:tc>
        <w:tc>
          <w:tcPr>
            <w:tcW w:w="416" w:type="pct"/>
            <w:gridSpan w:val="2"/>
            <w:vMerge/>
          </w:tcPr>
          <w:p w:rsidR="00614EF9" w:rsidRPr="00CB32B1" w:rsidRDefault="00614EF9" w:rsidP="00614EF9">
            <w:pPr>
              <w:pStyle w:val="TableTextNormal"/>
              <w:cnfStyle w:val="000000000000"/>
            </w:pPr>
          </w:p>
        </w:tc>
        <w:tc>
          <w:tcPr>
            <w:tcW w:w="607" w:type="pct"/>
            <w:vMerge/>
          </w:tcPr>
          <w:p w:rsidR="00614EF9" w:rsidRPr="00CB32B1" w:rsidRDefault="00614EF9" w:rsidP="00614EF9">
            <w:pPr>
              <w:pStyle w:val="TableTextNormal"/>
              <w:cnfStyle w:val="000000000000"/>
            </w:pPr>
          </w:p>
        </w:tc>
        <w:tc>
          <w:tcPr>
            <w:tcW w:w="1183" w:type="pct"/>
          </w:tcPr>
          <w:p w:rsidR="00614EF9" w:rsidRPr="00CB32B1" w:rsidRDefault="00614EF9" w:rsidP="00614EF9">
            <w:pPr>
              <w:pStyle w:val="TableTextNormal"/>
              <w:cnfStyle w:val="000000000000"/>
            </w:pPr>
            <w:r w:rsidRPr="00CB32B1">
              <w:t>Planned hospital birth: 295,598</w:t>
            </w:r>
          </w:p>
        </w:tc>
        <w:tc>
          <w:tcPr>
            <w:tcW w:w="1187" w:type="pct"/>
          </w:tcPr>
          <w:p w:rsidR="00614EF9" w:rsidRPr="00CB32B1" w:rsidRDefault="00614EF9" w:rsidP="00614EF9">
            <w:pPr>
              <w:pStyle w:val="TableTextNormal"/>
              <w:jc w:val="center"/>
              <w:cnfStyle w:val="000000000000"/>
            </w:pPr>
            <w:r w:rsidRPr="00CB32B1">
              <w:t>5.5%</w:t>
            </w:r>
          </w:p>
        </w:tc>
        <w:tc>
          <w:tcPr>
            <w:tcW w:w="930" w:type="pct"/>
          </w:tcPr>
          <w:p w:rsidR="00614EF9" w:rsidRPr="00CB32B1" w:rsidRDefault="00614EF9" w:rsidP="00614EF9">
            <w:pPr>
              <w:pStyle w:val="TableTextNormal"/>
              <w:jc w:val="center"/>
              <w:cnfStyle w:val="000000000000"/>
            </w:pPr>
            <w:r w:rsidRPr="00CB32B1">
              <w:t>1.8%</w:t>
            </w:r>
          </w:p>
        </w:tc>
      </w:tr>
    </w:tbl>
    <w:p w:rsidR="00167C8B" w:rsidRPr="00CB32B1" w:rsidRDefault="00167C8B" w:rsidP="00167C8B">
      <w:pPr>
        <w:pStyle w:val="Sources"/>
        <w:spacing w:after="40"/>
        <w:rPr>
          <w:b/>
        </w:rPr>
      </w:pPr>
      <w:r w:rsidRPr="00CB32B1">
        <w:rPr>
          <w:b/>
        </w:rPr>
        <w:t>*Note:</w:t>
      </w:r>
      <w:r w:rsidRPr="00CB32B1">
        <w:t xml:space="preserve"> The difference was noted as not statistically significantly different.</w:t>
      </w:r>
    </w:p>
    <w:p w:rsidR="00DF6E21" w:rsidRPr="00CB32B1" w:rsidRDefault="00167C8B" w:rsidP="00DF6E21">
      <w:pPr>
        <w:pStyle w:val="Sources"/>
      </w:pPr>
      <w:r w:rsidRPr="00CB32B1">
        <w:rPr>
          <w:b/>
        </w:rPr>
        <w:t>Sources:</w:t>
      </w:r>
      <w:r w:rsidRPr="00CB32B1">
        <w:t xml:space="preserve"> Hutton, </w:t>
      </w:r>
      <w:r w:rsidR="006959C5" w:rsidRPr="00CB32B1">
        <w:t>Rei</w:t>
      </w:r>
      <w:r w:rsidR="006959C5">
        <w:t>t</w:t>
      </w:r>
      <w:r w:rsidR="006959C5" w:rsidRPr="00CB32B1">
        <w:t>sma</w:t>
      </w:r>
      <w:r w:rsidRPr="00CB32B1">
        <w:t xml:space="preserve"> &amp; Kaufman 2009; Janssen, Saxell, Page, Klein, Liston, Lee 2009; National Institute for Health Research 2011, Kennare</w:t>
      </w:r>
      <w:r w:rsidR="00551164" w:rsidRPr="00CB32B1">
        <w:t>,</w:t>
      </w:r>
      <w:r w:rsidRPr="00CB32B1">
        <w:t xml:space="preserve"> Keirse, Tucker &amp; Chan 2010.</w:t>
      </w:r>
    </w:p>
    <w:p w:rsidR="00DF6E21" w:rsidRPr="00CB32B1" w:rsidRDefault="00DF6E21" w:rsidP="00DF6E21">
      <w:pPr>
        <w:pStyle w:val="PwCNormal"/>
      </w:pPr>
      <w:r w:rsidRPr="00CB32B1">
        <w:t>While this international evidence given by Canadian and English studies represents the activities of independent midwives who operate within different maternity service environments, it does support homebirth as a safe midwifery model, although limitations were also identified as outlined below.</w:t>
      </w:r>
    </w:p>
    <w:p w:rsidR="00DF6E21" w:rsidRPr="00CB32B1" w:rsidRDefault="00DF6E21" w:rsidP="00DF6E21">
      <w:pPr>
        <w:pStyle w:val="Majorheading"/>
      </w:pPr>
      <w:r w:rsidRPr="00CB32B1">
        <w:t>Limitations</w:t>
      </w:r>
    </w:p>
    <w:p w:rsidR="00D42B1C" w:rsidRPr="00CB32B1" w:rsidRDefault="00DF6E21" w:rsidP="00DF6E21">
      <w:pPr>
        <w:pStyle w:val="PwCNormal"/>
        <w:numPr>
          <w:ilvl w:val="0"/>
          <w:numId w:val="0"/>
        </w:numPr>
      </w:pPr>
      <w:r w:rsidRPr="00CB32B1">
        <w:t>A scan and review of literature on maternal outcomes have identified several limitations that would need to be considered if insurers were to use them as substitutes when trying to understanding the likelihood of the adverse outcomes in Australia.</w:t>
      </w:r>
    </w:p>
    <w:p w:rsidR="00DF6E21" w:rsidRPr="00CB32B1" w:rsidRDefault="00DF6E21" w:rsidP="00DF6E21">
      <w:pPr>
        <w:pStyle w:val="Minorheading"/>
        <w:tabs>
          <w:tab w:val="left" w:pos="562"/>
        </w:tabs>
        <w:ind w:left="562" w:hanging="562"/>
      </w:pPr>
      <w:r w:rsidRPr="00CB32B1">
        <w:t>1</w:t>
      </w:r>
      <w:r w:rsidRPr="00CB32B1">
        <w:tab/>
        <w:t>Lack of consistency in outcomes considered</w:t>
      </w:r>
    </w:p>
    <w:p w:rsidR="00647681" w:rsidRPr="00CB32B1" w:rsidRDefault="003E7530" w:rsidP="00647681">
      <w:pPr>
        <w:pStyle w:val="PwCNormal"/>
      </w:pPr>
      <w:r>
        <w:t xml:space="preserve">From a review of studies the outcomes </w:t>
      </w:r>
      <w:r w:rsidR="00D92F94">
        <w:t xml:space="preserve">relating to PPH and perineal tears, </w:t>
      </w:r>
      <w:r>
        <w:t>appear inconsistent. This</w:t>
      </w:r>
      <w:r w:rsidR="00346E30" w:rsidRPr="00CB32B1">
        <w:t xml:space="preserve"> appeared to be related to, for </w:t>
      </w:r>
      <w:r w:rsidR="00647681" w:rsidRPr="00CB32B1">
        <w:t>example:</w:t>
      </w:r>
    </w:p>
    <w:p w:rsidR="00647681" w:rsidRPr="00CB32B1" w:rsidRDefault="00647681" w:rsidP="00647681">
      <w:pPr>
        <w:pStyle w:val="ListBullet"/>
      </w:pPr>
      <w:r w:rsidRPr="00CB32B1">
        <w:t>Definitions for medical conditions</w:t>
      </w:r>
    </w:p>
    <w:p w:rsidR="00647681" w:rsidRPr="00CB32B1" w:rsidRDefault="00647681" w:rsidP="00647681">
      <w:pPr>
        <w:pStyle w:val="ListBullet"/>
      </w:pPr>
      <w:r w:rsidRPr="00CB32B1">
        <w:t>Practices and protocols for birth</w:t>
      </w:r>
    </w:p>
    <w:p w:rsidR="00647681" w:rsidRPr="00CB32B1" w:rsidRDefault="00647681" w:rsidP="00647681">
      <w:pPr>
        <w:pStyle w:val="ListBullet"/>
      </w:pPr>
      <w:r w:rsidRPr="00CB32B1">
        <w:t>Outcomes recorded or analysed by journals.</w:t>
      </w:r>
    </w:p>
    <w:p w:rsidR="002315C6" w:rsidRPr="00CB32B1" w:rsidRDefault="00647681" w:rsidP="00647681">
      <w:pPr>
        <w:pStyle w:val="PwCNormal"/>
      </w:pPr>
      <w:r w:rsidRPr="00CB32B1">
        <w:t xml:space="preserve">An example of this is outlined in </w:t>
      </w:r>
      <w:r w:rsidR="009129A6" w:rsidRPr="00CB32B1">
        <w:fldChar w:fldCharType="begin"/>
      </w:r>
      <w:r w:rsidR="00AA3C29" w:rsidRPr="00CB32B1">
        <w:instrText xml:space="preserve"> REF _Ref361224163 \h </w:instrText>
      </w:r>
      <w:r w:rsidR="009129A6" w:rsidRPr="00CB32B1">
        <w:fldChar w:fldCharType="separate"/>
      </w:r>
      <w:r w:rsidR="008816B4" w:rsidRPr="00CB32B1">
        <w:t xml:space="preserve">Table </w:t>
      </w:r>
      <w:r w:rsidR="008816B4">
        <w:rPr>
          <w:noProof/>
        </w:rPr>
        <w:t>39</w:t>
      </w:r>
      <w:r w:rsidR="009129A6" w:rsidRPr="00CB32B1">
        <w:fldChar w:fldCharType="end"/>
      </w:r>
      <w:r w:rsidRPr="00CB32B1">
        <w:t>. In this table we have selected four journals that provided comment on perineal tears and postpartum haemorrhage outcomes.</w:t>
      </w:r>
    </w:p>
    <w:p w:rsidR="005D6C70" w:rsidRPr="00CB32B1" w:rsidRDefault="005D6C70" w:rsidP="005D6C70">
      <w:pPr>
        <w:pStyle w:val="Caption"/>
      </w:pPr>
      <w:bookmarkStart w:id="154" w:name="_Ref361224163"/>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39</w:t>
      </w:r>
      <w:r w:rsidR="009129A6" w:rsidRPr="00CB32B1">
        <w:fldChar w:fldCharType="end"/>
      </w:r>
      <w:bookmarkEnd w:id="154"/>
      <w:r w:rsidRPr="00CB32B1">
        <w:t>: Inconsistency in outcomes seen in journals for maternal outcomes</w:t>
      </w:r>
    </w:p>
    <w:tbl>
      <w:tblPr>
        <w:tblStyle w:val="PwCTableStyle1"/>
        <w:tblW w:w="0" w:type="auto"/>
        <w:tblLook w:val="04A0"/>
      </w:tblPr>
      <w:tblGrid>
        <w:gridCol w:w="1497"/>
        <w:gridCol w:w="1495"/>
        <w:gridCol w:w="1917"/>
        <w:gridCol w:w="2629"/>
        <w:gridCol w:w="1747"/>
      </w:tblGrid>
      <w:tr w:rsidR="005D6C70" w:rsidRPr="00CB32B1" w:rsidTr="005D6C70">
        <w:trPr>
          <w:cnfStyle w:val="100000000000"/>
        </w:trPr>
        <w:tc>
          <w:tcPr>
            <w:cnfStyle w:val="001000000000"/>
            <w:tcW w:w="1497" w:type="dxa"/>
            <w:shd w:val="clear" w:color="auto" w:fill="DC6900" w:themeFill="text2"/>
          </w:tcPr>
          <w:p w:rsidR="005D6C70" w:rsidRPr="00CB32B1" w:rsidRDefault="005D6C70" w:rsidP="005D6C70">
            <w:pPr>
              <w:pStyle w:val="TableColumnHeadingNormal"/>
            </w:pPr>
            <w:r w:rsidRPr="00CB32B1">
              <w:t>Outcome</w:t>
            </w:r>
          </w:p>
        </w:tc>
        <w:tc>
          <w:tcPr>
            <w:tcW w:w="1495" w:type="dxa"/>
            <w:shd w:val="clear" w:color="auto" w:fill="DC6900" w:themeFill="text2"/>
          </w:tcPr>
          <w:p w:rsidR="005D6C70" w:rsidRPr="00CB32B1" w:rsidRDefault="005D6C70" w:rsidP="005D6C70">
            <w:pPr>
              <w:pStyle w:val="TableColumnHeadingNormal"/>
              <w:cnfStyle w:val="100000000000"/>
            </w:pPr>
            <w:r w:rsidRPr="00CB32B1">
              <w:t>SA, Australia (Kennare, Keirse, Tucker, &amp; Chan, 2010)</w:t>
            </w:r>
          </w:p>
        </w:tc>
        <w:tc>
          <w:tcPr>
            <w:tcW w:w="1918" w:type="dxa"/>
            <w:shd w:val="clear" w:color="auto" w:fill="DC6900" w:themeFill="text2"/>
          </w:tcPr>
          <w:p w:rsidR="005D6C70" w:rsidRPr="00CB32B1" w:rsidRDefault="005D6C70" w:rsidP="00842F74">
            <w:pPr>
              <w:pStyle w:val="TableColumnHeadingNormal"/>
              <w:cnfStyle w:val="100000000000"/>
            </w:pPr>
            <w:r w:rsidRPr="00CB32B1">
              <w:t>Ontario, Canada (Hutton</w:t>
            </w:r>
            <w:r w:rsidR="00842F74" w:rsidRPr="00CB32B1">
              <w:t xml:space="preserve">, </w:t>
            </w:r>
            <w:r w:rsidRPr="00CB32B1">
              <w:t>Reitsma</w:t>
            </w:r>
            <w:r w:rsidR="00842F74" w:rsidRPr="00CB32B1">
              <w:t xml:space="preserve"> &amp; Kaufman</w:t>
            </w:r>
            <w:r w:rsidRPr="00CB32B1">
              <w:t>, 2009)</w:t>
            </w:r>
          </w:p>
        </w:tc>
        <w:tc>
          <w:tcPr>
            <w:tcW w:w="2630" w:type="dxa"/>
            <w:shd w:val="clear" w:color="auto" w:fill="DC6900" w:themeFill="text2"/>
          </w:tcPr>
          <w:p w:rsidR="005D6C70" w:rsidRPr="00CB32B1" w:rsidRDefault="005D6C70" w:rsidP="005D6C70">
            <w:pPr>
              <w:pStyle w:val="TableColumnHeadingNormal"/>
              <w:cnfStyle w:val="100000000000"/>
            </w:pPr>
            <w:r w:rsidRPr="00CB32B1">
              <w:t>British Columbia, Canada (</w:t>
            </w:r>
            <w:r w:rsidR="00842F74" w:rsidRPr="00CB32B1">
              <w:t>Janssen, Saxell, Page, Klein, Liston &amp; Lee</w:t>
            </w:r>
            <w:r w:rsidRPr="00CB32B1">
              <w:t>, 2009)</w:t>
            </w:r>
          </w:p>
        </w:tc>
        <w:tc>
          <w:tcPr>
            <w:tcW w:w="1748" w:type="dxa"/>
            <w:shd w:val="clear" w:color="auto" w:fill="DC6900" w:themeFill="text2"/>
          </w:tcPr>
          <w:p w:rsidR="005D6C70" w:rsidRPr="00CB32B1" w:rsidRDefault="005D6C70" w:rsidP="005D6C70">
            <w:pPr>
              <w:pStyle w:val="TableColumnHeadingNormal"/>
              <w:cnfStyle w:val="100000000000"/>
            </w:pPr>
            <w:r w:rsidRPr="00CB32B1">
              <w:t>England</w:t>
            </w:r>
          </w:p>
          <w:p w:rsidR="005D6C70" w:rsidRPr="00CB32B1" w:rsidRDefault="00842F74" w:rsidP="005D6C70">
            <w:pPr>
              <w:pStyle w:val="TableColumnHeadingNormal"/>
              <w:cnfStyle w:val="100000000000"/>
            </w:pPr>
            <w:r w:rsidRPr="00CB32B1">
              <w:t>(</w:t>
            </w:r>
            <w:r w:rsidR="00167C8B" w:rsidRPr="00CB32B1">
              <w:t>National Institute for Health Research, 2011</w:t>
            </w:r>
            <w:r w:rsidRPr="00CB32B1">
              <w:t>)</w:t>
            </w:r>
          </w:p>
        </w:tc>
      </w:tr>
      <w:tr w:rsidR="005D6C70" w:rsidRPr="00CB32B1" w:rsidTr="005D6C70">
        <w:tc>
          <w:tcPr>
            <w:cnfStyle w:val="001000000000"/>
            <w:tcW w:w="1497" w:type="dxa"/>
          </w:tcPr>
          <w:p w:rsidR="005D6C70" w:rsidRPr="00CB32B1" w:rsidRDefault="005D6C70" w:rsidP="005D6C70">
            <w:pPr>
              <w:pStyle w:val="TableTextNormal"/>
            </w:pPr>
            <w:r w:rsidRPr="00CB32B1">
              <w:t>Perineal tears</w:t>
            </w:r>
          </w:p>
        </w:tc>
        <w:tc>
          <w:tcPr>
            <w:tcW w:w="1495" w:type="dxa"/>
          </w:tcPr>
          <w:p w:rsidR="005D6C70" w:rsidRPr="00CB32B1" w:rsidRDefault="005D6C70" w:rsidP="005D6C70">
            <w:pPr>
              <w:pStyle w:val="TableTextNormal"/>
              <w:cnfStyle w:val="000000000000"/>
            </w:pPr>
            <w:r w:rsidRPr="00CB32B1">
              <w:t>Yes, as a single category of ‘3rd and 4th degree perineal tears’</w:t>
            </w:r>
          </w:p>
        </w:tc>
        <w:tc>
          <w:tcPr>
            <w:tcW w:w="1918" w:type="dxa"/>
          </w:tcPr>
          <w:p w:rsidR="005D6C70" w:rsidRPr="00CB32B1" w:rsidRDefault="005D6C70" w:rsidP="005D6C70">
            <w:pPr>
              <w:pStyle w:val="TableTextNormal"/>
              <w:cnfStyle w:val="000000000000"/>
            </w:pPr>
            <w:r w:rsidRPr="00CB32B1">
              <w:t xml:space="preserve">Yes, 6 categories of tears assessed which included </w:t>
            </w:r>
          </w:p>
          <w:p w:rsidR="005D6C70" w:rsidRPr="00CB32B1" w:rsidRDefault="005D6C70" w:rsidP="005D6C70">
            <w:pPr>
              <w:pStyle w:val="TableBullet1Normal"/>
              <w:cnfStyle w:val="000000000000"/>
            </w:pPr>
            <w:r w:rsidRPr="00CB32B1">
              <w:t>1st degree</w:t>
            </w:r>
          </w:p>
          <w:p w:rsidR="005D6C70" w:rsidRPr="00CB32B1" w:rsidRDefault="005D6C70" w:rsidP="005D6C70">
            <w:pPr>
              <w:pStyle w:val="TableBullet1Normal"/>
              <w:cnfStyle w:val="000000000000"/>
            </w:pPr>
            <w:r w:rsidRPr="00CB32B1">
              <w:t>2nd degree</w:t>
            </w:r>
          </w:p>
          <w:p w:rsidR="005D6C70" w:rsidRPr="00CB32B1" w:rsidRDefault="005D6C70" w:rsidP="005D6C70">
            <w:pPr>
              <w:pStyle w:val="TableBullet1Normal"/>
              <w:cnfStyle w:val="000000000000"/>
            </w:pPr>
            <w:r w:rsidRPr="00CB32B1">
              <w:t>3rd degree</w:t>
            </w:r>
          </w:p>
          <w:p w:rsidR="005D6C70" w:rsidRPr="00CB32B1" w:rsidRDefault="005D6C70" w:rsidP="005D6C70">
            <w:pPr>
              <w:pStyle w:val="TableBullet1Normal"/>
              <w:cnfStyle w:val="000000000000"/>
            </w:pPr>
            <w:r w:rsidRPr="00CB32B1">
              <w:t>4th degree</w:t>
            </w:r>
          </w:p>
          <w:p w:rsidR="005D6C70" w:rsidRPr="00CB32B1" w:rsidRDefault="005D6C70" w:rsidP="005D6C70">
            <w:pPr>
              <w:pStyle w:val="TableBullet1Normal"/>
              <w:cnfStyle w:val="000000000000"/>
            </w:pPr>
            <w:r w:rsidRPr="00CB32B1">
              <w:t>Labial</w:t>
            </w:r>
          </w:p>
          <w:p w:rsidR="005D6C70" w:rsidRPr="00CB32B1" w:rsidRDefault="005D6C70" w:rsidP="005D6C70">
            <w:pPr>
              <w:pStyle w:val="TableBullet1Normal"/>
              <w:cnfStyle w:val="000000000000"/>
            </w:pPr>
            <w:r w:rsidRPr="00CB32B1">
              <w:t>Vaginal</w:t>
            </w:r>
            <w:r w:rsidR="00C35054" w:rsidRPr="00CB32B1">
              <w:t>.</w:t>
            </w:r>
          </w:p>
        </w:tc>
        <w:tc>
          <w:tcPr>
            <w:tcW w:w="2630" w:type="dxa"/>
          </w:tcPr>
          <w:p w:rsidR="005D6C70" w:rsidRPr="00CB32B1" w:rsidRDefault="005D6C70" w:rsidP="005D6C70">
            <w:pPr>
              <w:pStyle w:val="TableTextNormal"/>
              <w:cnfStyle w:val="000000000000"/>
            </w:pPr>
            <w:r w:rsidRPr="00CB32B1">
              <w:t>Yes, four categories of tears assessed which included:</w:t>
            </w:r>
          </w:p>
          <w:p w:rsidR="005D6C70" w:rsidRPr="00CB32B1" w:rsidRDefault="005D6C70" w:rsidP="005D6C70">
            <w:pPr>
              <w:pStyle w:val="TableBullet1Normal"/>
              <w:cnfStyle w:val="000000000000"/>
            </w:pPr>
            <w:r w:rsidRPr="00CB32B1">
              <w:t>None</w:t>
            </w:r>
          </w:p>
          <w:p w:rsidR="005D6C70" w:rsidRPr="00CB32B1" w:rsidRDefault="005D6C70" w:rsidP="005D6C70">
            <w:pPr>
              <w:pStyle w:val="TableBullet1Normal"/>
              <w:cnfStyle w:val="000000000000"/>
            </w:pPr>
            <w:r w:rsidRPr="00CB32B1">
              <w:t>1st or 2nd degree</w:t>
            </w:r>
          </w:p>
          <w:p w:rsidR="005D6C70" w:rsidRPr="00CB32B1" w:rsidRDefault="005D6C70" w:rsidP="005D6C70">
            <w:pPr>
              <w:pStyle w:val="TableBullet1Normal"/>
              <w:cnfStyle w:val="000000000000"/>
            </w:pPr>
            <w:r w:rsidRPr="00CB32B1">
              <w:t>3rd or 4th degree</w:t>
            </w:r>
          </w:p>
          <w:p w:rsidR="005D6C70" w:rsidRPr="00CB32B1" w:rsidRDefault="00C35054" w:rsidP="005D6C70">
            <w:pPr>
              <w:pStyle w:val="TableBullet1Normal"/>
              <w:cnfStyle w:val="000000000000"/>
            </w:pPr>
            <w:r w:rsidRPr="00CB32B1">
              <w:t>Degree or tear unknown.</w:t>
            </w:r>
          </w:p>
        </w:tc>
        <w:tc>
          <w:tcPr>
            <w:tcW w:w="1748" w:type="dxa"/>
          </w:tcPr>
          <w:p w:rsidR="005D6C70" w:rsidRPr="00CB32B1" w:rsidRDefault="005D6C70" w:rsidP="005D6C70">
            <w:pPr>
              <w:pStyle w:val="TableTextNormal"/>
              <w:cnfStyle w:val="000000000000"/>
            </w:pPr>
            <w:r w:rsidRPr="00CB32B1">
              <w:t xml:space="preserve">Yes, single category of ‘3rd and 4th degree perineal tears’ </w:t>
            </w:r>
          </w:p>
        </w:tc>
      </w:tr>
      <w:tr w:rsidR="005D6C70" w:rsidRPr="00CB32B1" w:rsidTr="005D6C70">
        <w:tc>
          <w:tcPr>
            <w:cnfStyle w:val="001000000000"/>
            <w:tcW w:w="1497" w:type="dxa"/>
          </w:tcPr>
          <w:p w:rsidR="005D6C70" w:rsidRPr="00CB32B1" w:rsidRDefault="005D6C70" w:rsidP="005D6C70">
            <w:pPr>
              <w:pStyle w:val="TableTextNormal"/>
            </w:pPr>
            <w:r w:rsidRPr="00CB32B1">
              <w:t>Postpartum haemorrhage</w:t>
            </w:r>
          </w:p>
        </w:tc>
        <w:tc>
          <w:tcPr>
            <w:tcW w:w="1495" w:type="dxa"/>
          </w:tcPr>
          <w:p w:rsidR="005D6C70" w:rsidRPr="00CB32B1" w:rsidRDefault="005D6C70" w:rsidP="005D6C70">
            <w:pPr>
              <w:pStyle w:val="TableTextNormal"/>
              <w:cnfStyle w:val="000000000000"/>
            </w:pPr>
            <w:r w:rsidRPr="00CB32B1">
              <w:t>Yes, as a single category</w:t>
            </w:r>
          </w:p>
        </w:tc>
        <w:tc>
          <w:tcPr>
            <w:tcW w:w="1918" w:type="dxa"/>
          </w:tcPr>
          <w:p w:rsidR="005D6C70" w:rsidRPr="00CB32B1" w:rsidRDefault="005D6C70" w:rsidP="005D6C70">
            <w:pPr>
              <w:pStyle w:val="TableTextNormal"/>
              <w:cnfStyle w:val="000000000000"/>
            </w:pPr>
            <w:r w:rsidRPr="00CB32B1">
              <w:t>Yes, four different categories which included:</w:t>
            </w:r>
          </w:p>
          <w:p w:rsidR="005D6C70" w:rsidRPr="00CB32B1" w:rsidRDefault="005D6C70" w:rsidP="005D6C70">
            <w:pPr>
              <w:pStyle w:val="TableBullet1Normal"/>
              <w:cnfStyle w:val="000000000000"/>
            </w:pPr>
            <w:r w:rsidRPr="00CB32B1">
              <w:t>&lt;500 mL</w:t>
            </w:r>
          </w:p>
          <w:p w:rsidR="005D6C70" w:rsidRPr="00CB32B1" w:rsidRDefault="005D6C70" w:rsidP="005D6C70">
            <w:pPr>
              <w:pStyle w:val="TableBullet1Normal"/>
              <w:cnfStyle w:val="000000000000"/>
            </w:pPr>
            <w:r w:rsidRPr="00CB32B1">
              <w:t>500-1000 mL</w:t>
            </w:r>
          </w:p>
          <w:p w:rsidR="005D6C70" w:rsidRPr="00CB32B1" w:rsidRDefault="005D6C70" w:rsidP="005D6C70">
            <w:pPr>
              <w:pStyle w:val="TableBullet1Normal"/>
              <w:cnfStyle w:val="000000000000"/>
            </w:pPr>
            <w:r w:rsidRPr="00CB32B1">
              <w:t>&gt;1000 mL</w:t>
            </w:r>
            <w:r w:rsidR="00C35054" w:rsidRPr="00CB32B1">
              <w:t>.</w:t>
            </w:r>
          </w:p>
        </w:tc>
        <w:tc>
          <w:tcPr>
            <w:tcW w:w="2630" w:type="dxa"/>
          </w:tcPr>
          <w:p w:rsidR="005D6C70" w:rsidRPr="00CB32B1" w:rsidRDefault="005D6C70" w:rsidP="005D6C70">
            <w:pPr>
              <w:pStyle w:val="TableTextNormal"/>
              <w:cnfStyle w:val="000000000000"/>
            </w:pPr>
            <w:r w:rsidRPr="00CB32B1">
              <w:t>Yes, as a single category</w:t>
            </w:r>
          </w:p>
        </w:tc>
        <w:tc>
          <w:tcPr>
            <w:tcW w:w="1748" w:type="dxa"/>
          </w:tcPr>
          <w:p w:rsidR="005D6C70" w:rsidRPr="00CB32B1" w:rsidRDefault="005D6C70" w:rsidP="005D6C70">
            <w:pPr>
              <w:pStyle w:val="TableTextNormal"/>
              <w:cnfStyle w:val="000000000000"/>
            </w:pPr>
            <w:r w:rsidRPr="00CB32B1">
              <w:t>No, but blood transfusion was a maternal outcome</w:t>
            </w:r>
          </w:p>
        </w:tc>
      </w:tr>
      <w:tr w:rsidR="005D6C70" w:rsidRPr="00CB32B1" w:rsidTr="005D6C70">
        <w:tc>
          <w:tcPr>
            <w:cnfStyle w:val="001000000000"/>
            <w:tcW w:w="1497" w:type="dxa"/>
          </w:tcPr>
          <w:p w:rsidR="005D6C70" w:rsidRPr="00CB32B1" w:rsidRDefault="005D6C70" w:rsidP="005D6C70">
            <w:pPr>
              <w:pStyle w:val="TableTextNormal"/>
            </w:pPr>
            <w:r w:rsidRPr="00CB32B1">
              <w:t>Other outcomes recorded relating to maternal morbidity</w:t>
            </w:r>
          </w:p>
        </w:tc>
        <w:tc>
          <w:tcPr>
            <w:tcW w:w="1495" w:type="dxa"/>
          </w:tcPr>
          <w:p w:rsidR="005D6C70" w:rsidRPr="00CB32B1" w:rsidRDefault="005D6C70" w:rsidP="005D6C70">
            <w:pPr>
              <w:pStyle w:val="TableTextNormal"/>
              <w:cnfStyle w:val="000000000000"/>
            </w:pPr>
            <w:r w:rsidRPr="00CB32B1">
              <w:t>None</w:t>
            </w:r>
          </w:p>
        </w:tc>
        <w:tc>
          <w:tcPr>
            <w:tcW w:w="1918" w:type="dxa"/>
          </w:tcPr>
          <w:p w:rsidR="005D6C70" w:rsidRPr="00CB32B1" w:rsidRDefault="005D6C70" w:rsidP="005D6C70">
            <w:pPr>
              <w:pStyle w:val="TableTextNormal"/>
              <w:cnfStyle w:val="000000000000"/>
            </w:pPr>
            <w:r w:rsidRPr="00CB32B1">
              <w:t>None</w:t>
            </w:r>
          </w:p>
        </w:tc>
        <w:tc>
          <w:tcPr>
            <w:tcW w:w="2630" w:type="dxa"/>
          </w:tcPr>
          <w:p w:rsidR="005D6C70" w:rsidRPr="00CB32B1" w:rsidRDefault="005D6C70" w:rsidP="005D6C70">
            <w:pPr>
              <w:pStyle w:val="TableBullet1Normal"/>
              <w:cnfStyle w:val="000000000000"/>
            </w:pPr>
            <w:r w:rsidRPr="00CB32B1">
              <w:t>Prolapsed cord</w:t>
            </w:r>
          </w:p>
          <w:p w:rsidR="005D6C70" w:rsidRPr="00CB32B1" w:rsidRDefault="005D6C70" w:rsidP="005D6C70">
            <w:pPr>
              <w:pStyle w:val="TableBullet1Normal"/>
              <w:cnfStyle w:val="000000000000"/>
            </w:pPr>
            <w:r w:rsidRPr="00CB32B1">
              <w:t>Uterine rupture</w:t>
            </w:r>
          </w:p>
          <w:p w:rsidR="005D6C70" w:rsidRPr="00CB32B1" w:rsidRDefault="005D6C70" w:rsidP="005D6C70">
            <w:pPr>
              <w:pStyle w:val="TableBullet1Normal"/>
              <w:cnfStyle w:val="000000000000"/>
            </w:pPr>
            <w:r w:rsidRPr="00CB32B1">
              <w:t>Blood transfusion</w:t>
            </w:r>
          </w:p>
          <w:p w:rsidR="005D6C70" w:rsidRPr="00CB32B1" w:rsidRDefault="005D6C70" w:rsidP="005D6C70">
            <w:pPr>
              <w:pStyle w:val="TableBullet1Normal"/>
              <w:cnfStyle w:val="000000000000"/>
            </w:pPr>
            <w:r w:rsidRPr="00CB32B1">
              <w:t>Obstetric shock</w:t>
            </w:r>
          </w:p>
          <w:p w:rsidR="005D6C70" w:rsidRPr="00CB32B1" w:rsidRDefault="005D6C70" w:rsidP="005D6C70">
            <w:pPr>
              <w:pStyle w:val="TableBullet1Normal"/>
              <w:cnfStyle w:val="000000000000"/>
            </w:pPr>
            <w:r w:rsidRPr="00CB32B1">
              <w:t>Death</w:t>
            </w:r>
          </w:p>
          <w:p w:rsidR="005D6C70" w:rsidRPr="00CB32B1" w:rsidRDefault="005D6C70" w:rsidP="005D6C70">
            <w:pPr>
              <w:pStyle w:val="TableBullet1Normal"/>
              <w:cnfStyle w:val="000000000000"/>
            </w:pPr>
            <w:r w:rsidRPr="00CB32B1">
              <w:t>Manual removal of placenta</w:t>
            </w:r>
          </w:p>
          <w:p w:rsidR="005D6C70" w:rsidRPr="00CB32B1" w:rsidRDefault="005D6C70" w:rsidP="005D6C70">
            <w:pPr>
              <w:pStyle w:val="TableBullet1Normal"/>
              <w:cnfStyle w:val="000000000000"/>
            </w:pPr>
            <w:r w:rsidRPr="00CB32B1">
              <w:t>Uterine prolapsed</w:t>
            </w:r>
          </w:p>
          <w:p w:rsidR="005D6C70" w:rsidRPr="00CB32B1" w:rsidRDefault="005D6C70" w:rsidP="005D6C70">
            <w:pPr>
              <w:pStyle w:val="TableBullet1Normal"/>
              <w:cnfStyle w:val="000000000000"/>
            </w:pPr>
            <w:r w:rsidRPr="00CB32B1">
              <w:t>Infection (4 classes</w:t>
            </w:r>
            <w:r w:rsidR="00854DEF" w:rsidRPr="00CB32B1">
              <w:t xml:space="preserve"> – </w:t>
            </w:r>
            <w:r w:rsidRPr="00CB32B1">
              <w:t>pyrexia, urinary tract, puerperal fever, wound)</w:t>
            </w:r>
          </w:p>
          <w:p w:rsidR="005D6C70" w:rsidRPr="00CB32B1" w:rsidRDefault="005D6C70" w:rsidP="005D6C70">
            <w:pPr>
              <w:pStyle w:val="TableBullet1Normal"/>
              <w:cnfStyle w:val="000000000000"/>
            </w:pPr>
            <w:r w:rsidRPr="00CB32B1">
              <w:t>Cervical tear</w:t>
            </w:r>
            <w:r w:rsidR="00C35054" w:rsidRPr="00CB32B1">
              <w:t>.</w:t>
            </w:r>
          </w:p>
        </w:tc>
        <w:tc>
          <w:tcPr>
            <w:tcW w:w="1748" w:type="dxa"/>
          </w:tcPr>
          <w:p w:rsidR="005D6C70" w:rsidRPr="00CB32B1" w:rsidRDefault="005D6C70" w:rsidP="005D6C70">
            <w:pPr>
              <w:pStyle w:val="TableTextNormal"/>
              <w:cnfStyle w:val="000000000000"/>
            </w:pPr>
            <w:r w:rsidRPr="00CB32B1">
              <w:t>Blood transfusion</w:t>
            </w:r>
          </w:p>
        </w:tc>
      </w:tr>
    </w:tbl>
    <w:p w:rsidR="00C96719" w:rsidRPr="00CB32B1" w:rsidRDefault="00C96719" w:rsidP="00C96719">
      <w:pPr>
        <w:pStyle w:val="Sources"/>
      </w:pPr>
      <w:r w:rsidRPr="00CB32B1">
        <w:rPr>
          <w:b/>
        </w:rPr>
        <w:t>Sources:</w:t>
      </w:r>
      <w:r w:rsidRPr="00CB32B1">
        <w:t xml:space="preserve"> </w:t>
      </w:r>
      <w:r w:rsidR="00167C8B" w:rsidRPr="00CB32B1">
        <w:t>Kennare</w:t>
      </w:r>
      <w:r w:rsidR="00C97690" w:rsidRPr="00CB32B1">
        <w:t>,</w:t>
      </w:r>
      <w:r w:rsidR="00167C8B" w:rsidRPr="00CB32B1">
        <w:t xml:space="preserve"> Keirse, Tucker &amp; </w:t>
      </w:r>
      <w:r w:rsidR="00C97690" w:rsidRPr="00CB32B1">
        <w:t>C</w:t>
      </w:r>
      <w:r w:rsidR="00167C8B" w:rsidRPr="00CB32B1">
        <w:t>han 2010</w:t>
      </w:r>
      <w:r w:rsidR="00842F74" w:rsidRPr="00CB32B1">
        <w:t>;</w:t>
      </w:r>
      <w:r w:rsidRPr="00CB32B1">
        <w:t xml:space="preserve"> Hutton, Reitsma </w:t>
      </w:r>
      <w:r w:rsidR="00842F74" w:rsidRPr="00CB32B1">
        <w:t>&amp; Kaufman 2009</w:t>
      </w:r>
      <w:r w:rsidRPr="00CB32B1">
        <w:t xml:space="preserve">; </w:t>
      </w:r>
      <w:r w:rsidR="00842F74" w:rsidRPr="00CB32B1">
        <w:t>Janssen, Saxell, Page, Klein, Liston &amp;Lee</w:t>
      </w:r>
      <w:r w:rsidRPr="00CB32B1">
        <w:t xml:space="preserve"> 2009</w:t>
      </w:r>
      <w:r w:rsidR="00FA152C" w:rsidRPr="00CB32B1">
        <w:t xml:space="preserve">; </w:t>
      </w:r>
      <w:r w:rsidR="00167C8B" w:rsidRPr="00CB32B1">
        <w:t>National Institute for Health Research, 2011.</w:t>
      </w:r>
    </w:p>
    <w:p w:rsidR="00D92F94" w:rsidRDefault="00C96719" w:rsidP="00C96719">
      <w:pPr>
        <w:pStyle w:val="PwCNormal"/>
        <w:numPr>
          <w:ilvl w:val="0"/>
          <w:numId w:val="0"/>
        </w:numPr>
      </w:pPr>
      <w:r w:rsidRPr="00CB32B1">
        <w:t>Reconciling outcomes across international studies was difficult due to lack of consistency in the research completed. For example, the alternative for PPH is variable across journals, as the level of blood loss considered in each study was not discernible (</w:t>
      </w:r>
      <w:r w:rsidR="00854DEF" w:rsidRPr="00CB32B1">
        <w:t>eg</w:t>
      </w:r>
      <w:r w:rsidRPr="00CB32B1">
        <w:t xml:space="preserve"> within England there was not a proxy for PPH and therefore blood transfusions has been used as a determinant instead).</w:t>
      </w:r>
    </w:p>
    <w:p w:rsidR="00D92F94" w:rsidRPr="00CB32B1" w:rsidRDefault="00D92F94" w:rsidP="00C96719">
      <w:pPr>
        <w:pStyle w:val="PwCNormal"/>
        <w:numPr>
          <w:ilvl w:val="0"/>
          <w:numId w:val="0"/>
        </w:numPr>
      </w:pPr>
      <w:r w:rsidRPr="00CB32B1">
        <w:t>Using a substitute data point within the English studies for blood transfusion may not be seen to be a good proxy for an adverse outcome, as it could be perceived to be more of an intervention in the birth. However, it should be noted that it appears that high-risk women in homebirth have the same probability of requiring a blood transfusion as those in an obstetric unit. Other</w:t>
      </w:r>
      <w:r>
        <w:t xml:space="preserve"> outcomes also noted by Janssen</w:t>
      </w:r>
      <w:r w:rsidRPr="00CB32B1">
        <w:t xml:space="preserve"> </w:t>
      </w:r>
      <w:r>
        <w:t>et al</w:t>
      </w:r>
      <w:r w:rsidRPr="00CB32B1">
        <w:t xml:space="preserve"> showed higher rates of pyrexia infection in planned midwifery-led hospital birth and obstetric units compared to homebirths. All other outcomes did not show statistical significance across practices.</w:t>
      </w:r>
    </w:p>
    <w:p w:rsidR="00647681" w:rsidRPr="00CB32B1" w:rsidRDefault="00C96719" w:rsidP="006525BB">
      <w:pPr>
        <w:pStyle w:val="Minorheading"/>
        <w:ind w:left="562" w:hanging="562"/>
      </w:pPr>
      <w:r w:rsidRPr="00CB32B1">
        <w:t>2.</w:t>
      </w:r>
      <w:r w:rsidRPr="00CB32B1">
        <w:tab/>
        <w:t>Journals and other studies have limitations which make the findings on maternal outcomes inconclu</w:t>
      </w:r>
      <w:r w:rsidR="005A16C9" w:rsidRPr="00CB32B1">
        <w:t>sive</w:t>
      </w:r>
    </w:p>
    <w:p w:rsidR="00C96719" w:rsidRPr="00CB32B1" w:rsidRDefault="00C96719" w:rsidP="0001118E">
      <w:pPr>
        <w:pStyle w:val="Caption"/>
        <w:keepNext w:val="0"/>
        <w:keepLines w:val="0"/>
        <w:tabs>
          <w:tab w:val="clear" w:pos="992"/>
        </w:tabs>
        <w:ind w:left="0" w:firstLine="0"/>
        <w:rPr>
          <w:rFonts w:ascii="Georgia" w:hAnsi="Georgia"/>
          <w:b w:val="0"/>
          <w:bCs w:val="0"/>
          <w:color w:val="auto"/>
          <w:szCs w:val="20"/>
        </w:rPr>
      </w:pPr>
      <w:r w:rsidRPr="00CB32B1">
        <w:rPr>
          <w:rFonts w:ascii="Georgia" w:hAnsi="Georgia"/>
          <w:b w:val="0"/>
          <w:bCs w:val="0"/>
          <w:color w:val="auto"/>
          <w:szCs w:val="20"/>
        </w:rPr>
        <w:t xml:space="preserve">The AIHW has recently started to record perineal status for women who give birth vaginally (total births by all settings). To demonstrate the low significance of the number of women who will one, have a vaginal birth each year in all settings, and also two, will have a 3rd or 4th degree tear, numbers have been recorded in AIHW’s </w:t>
      </w:r>
      <w:r w:rsidR="003E7530" w:rsidRPr="003E7530">
        <w:rPr>
          <w:rFonts w:ascii="Georgia" w:hAnsi="Georgia"/>
          <w:b w:val="0"/>
          <w:bCs w:val="0"/>
          <w:i/>
          <w:color w:val="auto"/>
          <w:szCs w:val="20"/>
        </w:rPr>
        <w:t xml:space="preserve">Annual </w:t>
      </w:r>
      <w:r w:rsidRPr="003E7530">
        <w:rPr>
          <w:rFonts w:ascii="Georgia" w:hAnsi="Georgia"/>
          <w:b w:val="0"/>
          <w:bCs w:val="0"/>
          <w:i/>
          <w:color w:val="auto"/>
          <w:szCs w:val="20"/>
        </w:rPr>
        <w:t xml:space="preserve">Mother and Babies </w:t>
      </w:r>
      <w:r w:rsidR="003E7530" w:rsidRPr="003E7530">
        <w:rPr>
          <w:rFonts w:ascii="Georgia" w:hAnsi="Georgia"/>
          <w:b w:val="0"/>
          <w:bCs w:val="0"/>
          <w:i/>
          <w:color w:val="auto"/>
          <w:szCs w:val="20"/>
        </w:rPr>
        <w:t>Report</w:t>
      </w:r>
      <w:r w:rsidRPr="00CB32B1">
        <w:rPr>
          <w:rFonts w:ascii="Georgia" w:hAnsi="Georgia"/>
          <w:b w:val="0"/>
          <w:bCs w:val="0"/>
          <w:color w:val="auto"/>
          <w:szCs w:val="20"/>
        </w:rPr>
        <w:t>. The number of these types of tears is low only occurring in 2,713 of births, which accounts for 1.8 per cent of all births as shown in</w:t>
      </w:r>
      <w:r w:rsidR="0001118E" w:rsidRPr="00CB32B1">
        <w:rPr>
          <w:rFonts w:ascii="Georgia" w:hAnsi="Georgia"/>
          <w:b w:val="0"/>
          <w:bCs w:val="0"/>
          <w:color w:val="auto"/>
          <w:szCs w:val="20"/>
        </w:rPr>
        <w:t xml:space="preserve"> </w:t>
      </w:r>
      <w:fldSimple w:instr=" REF _Ref361327481 \h  \* MERGEFORMAT ">
        <w:r w:rsidR="008816B4" w:rsidRPr="008816B4">
          <w:rPr>
            <w:rFonts w:ascii="Georgia" w:hAnsi="Georgia"/>
            <w:b w:val="0"/>
            <w:bCs w:val="0"/>
            <w:color w:val="auto"/>
            <w:szCs w:val="20"/>
          </w:rPr>
          <w:t>Table 40</w:t>
        </w:r>
      </w:fldSimple>
      <w:r w:rsidR="0001118E" w:rsidRPr="00CB32B1">
        <w:rPr>
          <w:rFonts w:ascii="Georgia" w:hAnsi="Georgia"/>
          <w:b w:val="0"/>
          <w:bCs w:val="0"/>
          <w:color w:val="auto"/>
          <w:szCs w:val="20"/>
        </w:rPr>
        <w:t>.</w:t>
      </w:r>
    </w:p>
    <w:p w:rsidR="00AA3C29" w:rsidRPr="00CB32B1" w:rsidRDefault="00AA3C29" w:rsidP="00AA3C29">
      <w:pPr>
        <w:pStyle w:val="Caption"/>
      </w:pPr>
      <w:bookmarkStart w:id="155" w:name="_Ref361327481"/>
      <w:r w:rsidRPr="00CB32B1">
        <w:t xml:space="preserve">Table </w:t>
      </w:r>
      <w:r w:rsidR="009129A6">
        <w:fldChar w:fldCharType="begin"/>
      </w:r>
      <w:r w:rsidR="00DF5BC2">
        <w:instrText xml:space="preserve"> SEQ Table \* ARABIC </w:instrText>
      </w:r>
      <w:r w:rsidR="009129A6">
        <w:fldChar w:fldCharType="separate"/>
      </w:r>
      <w:r w:rsidR="008816B4">
        <w:rPr>
          <w:noProof/>
        </w:rPr>
        <w:t>40</w:t>
      </w:r>
      <w:r w:rsidR="009129A6">
        <w:fldChar w:fldCharType="end"/>
      </w:r>
      <w:bookmarkEnd w:id="155"/>
      <w:r w:rsidRPr="00CB32B1">
        <w:t>: Perineal tears by status for vaginal birth across all settings in Australia 2010</w:t>
      </w:r>
    </w:p>
    <w:tbl>
      <w:tblPr>
        <w:tblStyle w:val="PwCTableStyle1"/>
        <w:tblW w:w="5000" w:type="pct"/>
        <w:tblLayout w:type="fixed"/>
        <w:tblLook w:val="04A0"/>
      </w:tblPr>
      <w:tblGrid>
        <w:gridCol w:w="2084"/>
        <w:gridCol w:w="1200"/>
        <w:gridCol w:w="1200"/>
        <w:gridCol w:w="1200"/>
        <w:gridCol w:w="1200"/>
        <w:gridCol w:w="1200"/>
        <w:gridCol w:w="1201"/>
      </w:tblGrid>
      <w:tr w:rsidR="00751ACA" w:rsidRPr="00CB32B1" w:rsidTr="00747120">
        <w:trPr>
          <w:cnfStyle w:val="100000000000"/>
          <w:trHeight w:val="300"/>
        </w:trPr>
        <w:tc>
          <w:tcPr>
            <w:cnfStyle w:val="001000000000"/>
            <w:tcW w:w="1122" w:type="pct"/>
            <w:shd w:val="clear" w:color="auto" w:fill="DC6900" w:themeFill="text2"/>
            <w:noWrap/>
            <w:vAlign w:val="center"/>
            <w:hideMark/>
          </w:tcPr>
          <w:p w:rsidR="00751ACA" w:rsidRPr="00CB32B1" w:rsidRDefault="00751ACA" w:rsidP="00747120">
            <w:pPr>
              <w:pStyle w:val="NumericTableColumnHeadingNormal"/>
              <w:jc w:val="center"/>
              <w:rPr>
                <w:rFonts w:asciiTheme="majorHAnsi" w:hAnsiTheme="majorHAnsi"/>
              </w:rPr>
            </w:pPr>
          </w:p>
        </w:tc>
        <w:tc>
          <w:tcPr>
            <w:tcW w:w="646" w:type="pct"/>
            <w:shd w:val="clear" w:color="auto" w:fill="DC6900" w:themeFill="text2"/>
            <w:noWrap/>
            <w:vAlign w:val="center"/>
            <w:hideMark/>
          </w:tcPr>
          <w:p w:rsidR="00751ACA" w:rsidRPr="00CB32B1" w:rsidRDefault="00751ACA" w:rsidP="00747120">
            <w:pPr>
              <w:pStyle w:val="NumericTableColumnHeadingNormal"/>
              <w:jc w:val="center"/>
              <w:cnfStyle w:val="100000000000"/>
              <w:rPr>
                <w:rFonts w:asciiTheme="majorHAnsi" w:hAnsiTheme="majorHAnsi"/>
              </w:rPr>
            </w:pPr>
            <w:r w:rsidRPr="00CB32B1">
              <w:rPr>
                <w:rFonts w:asciiTheme="majorHAnsi" w:hAnsiTheme="majorHAnsi"/>
              </w:rPr>
              <w:t>Intact</w:t>
            </w:r>
          </w:p>
        </w:tc>
        <w:tc>
          <w:tcPr>
            <w:tcW w:w="646" w:type="pct"/>
            <w:shd w:val="clear" w:color="auto" w:fill="DC6900" w:themeFill="text2"/>
            <w:noWrap/>
            <w:vAlign w:val="center"/>
            <w:hideMark/>
          </w:tcPr>
          <w:p w:rsidR="00751ACA" w:rsidRPr="00CB32B1" w:rsidRDefault="00751ACA" w:rsidP="00747120">
            <w:pPr>
              <w:pStyle w:val="NumericTableColumnHeadingNormal"/>
              <w:jc w:val="center"/>
              <w:cnfStyle w:val="100000000000"/>
              <w:rPr>
                <w:rFonts w:asciiTheme="majorHAnsi" w:hAnsiTheme="majorHAnsi"/>
              </w:rPr>
            </w:pPr>
            <w:r w:rsidRPr="00CB32B1">
              <w:rPr>
                <w:rFonts w:asciiTheme="majorHAnsi" w:hAnsiTheme="majorHAnsi"/>
              </w:rPr>
              <w:t>1st degree</w:t>
            </w:r>
          </w:p>
        </w:tc>
        <w:tc>
          <w:tcPr>
            <w:tcW w:w="646" w:type="pct"/>
            <w:shd w:val="clear" w:color="auto" w:fill="DC6900" w:themeFill="text2"/>
            <w:noWrap/>
            <w:vAlign w:val="center"/>
            <w:hideMark/>
          </w:tcPr>
          <w:p w:rsidR="00751ACA" w:rsidRPr="00CB32B1" w:rsidRDefault="00751ACA" w:rsidP="00747120">
            <w:pPr>
              <w:pStyle w:val="NumericTableColumnHeadingNormal"/>
              <w:jc w:val="center"/>
              <w:cnfStyle w:val="100000000000"/>
              <w:rPr>
                <w:rFonts w:asciiTheme="majorHAnsi" w:hAnsiTheme="majorHAnsi"/>
              </w:rPr>
            </w:pPr>
            <w:r w:rsidRPr="00CB32B1">
              <w:rPr>
                <w:rFonts w:asciiTheme="majorHAnsi" w:hAnsiTheme="majorHAnsi"/>
              </w:rPr>
              <w:t>2nd degree</w:t>
            </w:r>
          </w:p>
        </w:tc>
        <w:tc>
          <w:tcPr>
            <w:tcW w:w="646" w:type="pct"/>
            <w:shd w:val="clear" w:color="auto" w:fill="DC6900" w:themeFill="text2"/>
            <w:noWrap/>
            <w:vAlign w:val="center"/>
            <w:hideMark/>
          </w:tcPr>
          <w:p w:rsidR="00751ACA" w:rsidRPr="00CB32B1" w:rsidRDefault="00751ACA" w:rsidP="00747120">
            <w:pPr>
              <w:pStyle w:val="NumericTableColumnHeadingNormal"/>
              <w:jc w:val="center"/>
              <w:cnfStyle w:val="100000000000"/>
              <w:rPr>
                <w:rFonts w:asciiTheme="majorHAnsi" w:hAnsiTheme="majorHAnsi"/>
              </w:rPr>
            </w:pPr>
            <w:r w:rsidRPr="00CB32B1">
              <w:rPr>
                <w:rFonts w:asciiTheme="majorHAnsi" w:hAnsiTheme="majorHAnsi"/>
              </w:rPr>
              <w:t>3rd/4th degree</w:t>
            </w:r>
          </w:p>
        </w:tc>
        <w:tc>
          <w:tcPr>
            <w:tcW w:w="646" w:type="pct"/>
            <w:shd w:val="clear" w:color="auto" w:fill="DC6900" w:themeFill="text2"/>
            <w:noWrap/>
            <w:vAlign w:val="center"/>
            <w:hideMark/>
          </w:tcPr>
          <w:p w:rsidR="00751ACA" w:rsidRPr="00CB32B1" w:rsidRDefault="00751ACA" w:rsidP="00747120">
            <w:pPr>
              <w:pStyle w:val="NumericTableColumnHeadingNormal"/>
              <w:jc w:val="center"/>
              <w:cnfStyle w:val="100000000000"/>
              <w:rPr>
                <w:rFonts w:asciiTheme="majorHAnsi" w:hAnsiTheme="majorHAnsi"/>
              </w:rPr>
            </w:pPr>
            <w:r w:rsidRPr="00CB32B1">
              <w:rPr>
                <w:rFonts w:asciiTheme="majorHAnsi" w:hAnsiTheme="majorHAnsi"/>
              </w:rPr>
              <w:t>Other*</w:t>
            </w:r>
          </w:p>
        </w:tc>
        <w:tc>
          <w:tcPr>
            <w:tcW w:w="647" w:type="pct"/>
            <w:shd w:val="clear" w:color="auto" w:fill="DC6900" w:themeFill="text2"/>
            <w:vAlign w:val="center"/>
          </w:tcPr>
          <w:p w:rsidR="00751ACA" w:rsidRPr="00CB32B1" w:rsidRDefault="00751ACA" w:rsidP="00747120">
            <w:pPr>
              <w:pStyle w:val="NumericTableColumnHeadingNormal"/>
              <w:jc w:val="center"/>
              <w:cnfStyle w:val="100000000000"/>
              <w:rPr>
                <w:rFonts w:asciiTheme="majorHAnsi" w:hAnsiTheme="majorHAnsi"/>
              </w:rPr>
            </w:pPr>
            <w:r w:rsidRPr="00CB32B1">
              <w:rPr>
                <w:rFonts w:asciiTheme="majorHAnsi" w:hAnsiTheme="majorHAnsi"/>
              </w:rPr>
              <w:t>Total</w:t>
            </w:r>
          </w:p>
        </w:tc>
      </w:tr>
      <w:tr w:rsidR="00751ACA" w:rsidRPr="00CB32B1" w:rsidTr="003E7530">
        <w:trPr>
          <w:trHeight w:val="300"/>
        </w:trPr>
        <w:tc>
          <w:tcPr>
            <w:cnfStyle w:val="001000000000"/>
            <w:tcW w:w="1122" w:type="pct"/>
            <w:noWrap/>
            <w:hideMark/>
          </w:tcPr>
          <w:p w:rsidR="00751ACA" w:rsidRPr="00CB32B1" w:rsidRDefault="00751ACA" w:rsidP="00751ACA">
            <w:pPr>
              <w:pStyle w:val="NumericTableTextNormal"/>
              <w:rPr>
                <w:rFonts w:asciiTheme="majorHAnsi" w:hAnsiTheme="majorHAnsi"/>
              </w:rPr>
            </w:pPr>
            <w:r w:rsidRPr="00CB32B1">
              <w:rPr>
                <w:rFonts w:asciiTheme="majorHAnsi" w:hAnsiTheme="majorHAnsi"/>
              </w:rPr>
              <w:t>Number</w:t>
            </w:r>
          </w:p>
        </w:tc>
        <w:tc>
          <w:tcPr>
            <w:tcW w:w="646" w:type="pct"/>
            <w:noWrap/>
            <w:vAlign w:val="center"/>
            <w:hideMark/>
          </w:tcPr>
          <w:p w:rsidR="00751ACA" w:rsidRPr="00CB32B1" w:rsidRDefault="00751ACA" w:rsidP="003E7530">
            <w:pPr>
              <w:pStyle w:val="NumericTableTextDecimalNormal"/>
              <w:tabs>
                <w:tab w:val="clear" w:pos="1004"/>
                <w:tab w:val="decimal" w:pos="884"/>
              </w:tabs>
              <w:cnfStyle w:val="000000000000"/>
              <w:rPr>
                <w:rFonts w:asciiTheme="majorHAnsi" w:hAnsiTheme="majorHAnsi"/>
              </w:rPr>
            </w:pPr>
            <w:r w:rsidRPr="00CB32B1">
              <w:rPr>
                <w:rFonts w:asciiTheme="majorHAnsi" w:hAnsiTheme="majorHAnsi"/>
              </w:rPr>
              <w:t>42,961</w:t>
            </w:r>
          </w:p>
        </w:tc>
        <w:tc>
          <w:tcPr>
            <w:tcW w:w="646" w:type="pct"/>
            <w:noWrap/>
            <w:vAlign w:val="center"/>
            <w:hideMark/>
          </w:tcPr>
          <w:p w:rsidR="00751ACA" w:rsidRPr="00CB32B1" w:rsidRDefault="00751ACA" w:rsidP="003E7530">
            <w:pPr>
              <w:pStyle w:val="NumericTableTextDecimalNormal"/>
              <w:tabs>
                <w:tab w:val="clear" w:pos="1004"/>
                <w:tab w:val="decimal" w:pos="764"/>
              </w:tabs>
              <w:cnfStyle w:val="000000000000"/>
              <w:rPr>
                <w:rFonts w:asciiTheme="majorHAnsi" w:hAnsiTheme="majorHAnsi"/>
              </w:rPr>
            </w:pPr>
            <w:r w:rsidRPr="00CB32B1">
              <w:rPr>
                <w:rFonts w:asciiTheme="majorHAnsi" w:hAnsiTheme="majorHAnsi"/>
              </w:rPr>
              <w:t>34,974</w:t>
            </w:r>
          </w:p>
        </w:tc>
        <w:tc>
          <w:tcPr>
            <w:tcW w:w="646" w:type="pct"/>
            <w:noWrap/>
            <w:vAlign w:val="center"/>
            <w:hideMark/>
          </w:tcPr>
          <w:p w:rsidR="00751ACA" w:rsidRPr="00CB32B1" w:rsidRDefault="00751ACA" w:rsidP="003E7530">
            <w:pPr>
              <w:pStyle w:val="NumericTableTextDecimalNormal"/>
              <w:tabs>
                <w:tab w:val="clear" w:pos="1004"/>
                <w:tab w:val="decimal" w:pos="734"/>
              </w:tabs>
              <w:cnfStyle w:val="000000000000"/>
              <w:rPr>
                <w:rFonts w:asciiTheme="majorHAnsi" w:hAnsiTheme="majorHAnsi"/>
              </w:rPr>
            </w:pPr>
            <w:r w:rsidRPr="00CB32B1">
              <w:rPr>
                <w:rFonts w:asciiTheme="majorHAnsi" w:hAnsiTheme="majorHAnsi"/>
              </w:rPr>
              <w:t>39,890</w:t>
            </w:r>
          </w:p>
        </w:tc>
        <w:tc>
          <w:tcPr>
            <w:tcW w:w="646" w:type="pct"/>
            <w:noWrap/>
            <w:vAlign w:val="center"/>
            <w:hideMark/>
          </w:tcPr>
          <w:p w:rsidR="00751ACA" w:rsidRPr="00CB32B1" w:rsidRDefault="00751ACA" w:rsidP="003E7530">
            <w:pPr>
              <w:pStyle w:val="NumericTableTextDecimalNormal"/>
              <w:tabs>
                <w:tab w:val="clear" w:pos="1004"/>
                <w:tab w:val="decimal" w:pos="794"/>
              </w:tabs>
              <w:cnfStyle w:val="000000000000"/>
              <w:rPr>
                <w:rFonts w:asciiTheme="majorHAnsi" w:hAnsiTheme="majorHAnsi"/>
              </w:rPr>
            </w:pPr>
            <w:r w:rsidRPr="00CB32B1">
              <w:rPr>
                <w:rFonts w:asciiTheme="majorHAnsi" w:hAnsiTheme="majorHAnsi"/>
              </w:rPr>
              <w:t>2,713</w:t>
            </w:r>
          </w:p>
        </w:tc>
        <w:tc>
          <w:tcPr>
            <w:tcW w:w="646" w:type="pct"/>
            <w:noWrap/>
            <w:vAlign w:val="center"/>
            <w:hideMark/>
          </w:tcPr>
          <w:p w:rsidR="00751ACA" w:rsidRPr="00CB32B1" w:rsidRDefault="00751ACA" w:rsidP="003E7530">
            <w:pPr>
              <w:pStyle w:val="NumericTableTextDecimalNormal"/>
              <w:tabs>
                <w:tab w:val="clear" w:pos="1004"/>
                <w:tab w:val="decimal" w:pos="764"/>
              </w:tabs>
              <w:cnfStyle w:val="000000000000"/>
              <w:rPr>
                <w:rFonts w:asciiTheme="majorHAnsi" w:hAnsiTheme="majorHAnsi"/>
              </w:rPr>
            </w:pPr>
            <w:r w:rsidRPr="00CB32B1">
              <w:rPr>
                <w:rFonts w:asciiTheme="majorHAnsi" w:hAnsiTheme="majorHAnsi"/>
              </w:rPr>
              <w:t>31,238</w:t>
            </w:r>
          </w:p>
        </w:tc>
        <w:tc>
          <w:tcPr>
            <w:tcW w:w="647" w:type="pct"/>
            <w:vAlign w:val="center"/>
          </w:tcPr>
          <w:p w:rsidR="00751ACA" w:rsidRPr="00CB32B1" w:rsidRDefault="00751ACA" w:rsidP="003E7530">
            <w:pPr>
              <w:pStyle w:val="NumericTableTextDecimalNormal"/>
              <w:tabs>
                <w:tab w:val="clear" w:pos="1004"/>
                <w:tab w:val="decimal" w:pos="554"/>
              </w:tabs>
              <w:cnfStyle w:val="000000000000"/>
              <w:rPr>
                <w:rFonts w:asciiTheme="majorHAnsi" w:hAnsiTheme="majorHAnsi"/>
              </w:rPr>
            </w:pPr>
            <w:r w:rsidRPr="00CB32B1">
              <w:rPr>
                <w:rFonts w:asciiTheme="majorHAnsi" w:hAnsiTheme="majorHAnsi"/>
              </w:rPr>
              <w:t>151,776</w:t>
            </w:r>
          </w:p>
        </w:tc>
      </w:tr>
      <w:tr w:rsidR="00751ACA" w:rsidRPr="00CB32B1" w:rsidTr="00AA3C29">
        <w:trPr>
          <w:trHeight w:val="300"/>
        </w:trPr>
        <w:tc>
          <w:tcPr>
            <w:cnfStyle w:val="001000000000"/>
            <w:tcW w:w="1122" w:type="pct"/>
            <w:noWrap/>
            <w:hideMark/>
          </w:tcPr>
          <w:p w:rsidR="00751ACA" w:rsidRPr="00CB32B1" w:rsidRDefault="00751ACA" w:rsidP="00751ACA">
            <w:pPr>
              <w:pStyle w:val="NumericTableTextNormal"/>
              <w:rPr>
                <w:rFonts w:asciiTheme="majorHAnsi" w:hAnsiTheme="majorHAnsi"/>
              </w:rPr>
            </w:pPr>
            <w:r w:rsidRPr="00CB32B1">
              <w:rPr>
                <w:rFonts w:asciiTheme="majorHAnsi" w:hAnsiTheme="majorHAnsi"/>
              </w:rPr>
              <w:t>Per cent of vaginal births (women)</w:t>
            </w:r>
          </w:p>
        </w:tc>
        <w:tc>
          <w:tcPr>
            <w:tcW w:w="646" w:type="pct"/>
            <w:noWrap/>
            <w:hideMark/>
          </w:tcPr>
          <w:p w:rsidR="00751ACA" w:rsidRPr="00CB32B1" w:rsidRDefault="00751ACA" w:rsidP="00751ACA">
            <w:pPr>
              <w:pStyle w:val="NumericTableTextDecimalNormal"/>
              <w:tabs>
                <w:tab w:val="clear" w:pos="1004"/>
                <w:tab w:val="decimal" w:pos="704"/>
              </w:tabs>
              <w:cnfStyle w:val="000000000000"/>
              <w:rPr>
                <w:rFonts w:asciiTheme="majorHAnsi" w:hAnsiTheme="majorHAnsi"/>
              </w:rPr>
            </w:pPr>
            <w:r w:rsidRPr="00CB32B1">
              <w:rPr>
                <w:rFonts w:asciiTheme="majorHAnsi" w:hAnsiTheme="majorHAnsi"/>
              </w:rPr>
              <w:t>28.3</w:t>
            </w:r>
          </w:p>
        </w:tc>
        <w:tc>
          <w:tcPr>
            <w:tcW w:w="646" w:type="pct"/>
            <w:noWrap/>
            <w:hideMark/>
          </w:tcPr>
          <w:p w:rsidR="00751ACA" w:rsidRPr="00CB32B1" w:rsidRDefault="00751ACA" w:rsidP="00751ACA">
            <w:pPr>
              <w:pStyle w:val="NumericTableTextDecimalNormal"/>
              <w:tabs>
                <w:tab w:val="clear" w:pos="1004"/>
                <w:tab w:val="decimal" w:pos="584"/>
              </w:tabs>
              <w:cnfStyle w:val="000000000000"/>
              <w:rPr>
                <w:rFonts w:asciiTheme="majorHAnsi" w:hAnsiTheme="majorHAnsi"/>
              </w:rPr>
            </w:pPr>
            <w:r w:rsidRPr="00CB32B1">
              <w:rPr>
                <w:rFonts w:asciiTheme="majorHAnsi" w:hAnsiTheme="majorHAnsi"/>
              </w:rPr>
              <w:t>23.0</w:t>
            </w:r>
          </w:p>
        </w:tc>
        <w:tc>
          <w:tcPr>
            <w:tcW w:w="646" w:type="pct"/>
            <w:noWrap/>
            <w:hideMark/>
          </w:tcPr>
          <w:p w:rsidR="00751ACA" w:rsidRPr="00CB32B1" w:rsidRDefault="00751ACA" w:rsidP="00751ACA">
            <w:pPr>
              <w:pStyle w:val="NumericTableTextDecimalNormal"/>
              <w:tabs>
                <w:tab w:val="clear" w:pos="1004"/>
                <w:tab w:val="decimal" w:pos="554"/>
              </w:tabs>
              <w:cnfStyle w:val="000000000000"/>
              <w:rPr>
                <w:rFonts w:asciiTheme="majorHAnsi" w:hAnsiTheme="majorHAnsi"/>
              </w:rPr>
            </w:pPr>
            <w:r w:rsidRPr="00CB32B1">
              <w:rPr>
                <w:rFonts w:asciiTheme="majorHAnsi" w:hAnsiTheme="majorHAnsi"/>
              </w:rPr>
              <w:t>26.3</w:t>
            </w:r>
          </w:p>
        </w:tc>
        <w:tc>
          <w:tcPr>
            <w:tcW w:w="646" w:type="pct"/>
            <w:noWrap/>
            <w:hideMark/>
          </w:tcPr>
          <w:p w:rsidR="00751ACA" w:rsidRPr="00CB32B1" w:rsidRDefault="00751ACA" w:rsidP="00751ACA">
            <w:pPr>
              <w:pStyle w:val="NumericTableTextDecimalNormal"/>
              <w:tabs>
                <w:tab w:val="clear" w:pos="1004"/>
                <w:tab w:val="decimal" w:pos="614"/>
              </w:tabs>
              <w:cnfStyle w:val="000000000000"/>
              <w:rPr>
                <w:rFonts w:asciiTheme="majorHAnsi" w:hAnsiTheme="majorHAnsi"/>
              </w:rPr>
            </w:pPr>
            <w:r w:rsidRPr="00CB32B1">
              <w:rPr>
                <w:rFonts w:asciiTheme="majorHAnsi" w:hAnsiTheme="majorHAnsi"/>
              </w:rPr>
              <w:t>1.8</w:t>
            </w:r>
          </w:p>
        </w:tc>
        <w:tc>
          <w:tcPr>
            <w:tcW w:w="646" w:type="pct"/>
            <w:noWrap/>
            <w:hideMark/>
          </w:tcPr>
          <w:p w:rsidR="00751ACA" w:rsidRPr="00CB32B1" w:rsidRDefault="00751ACA" w:rsidP="00751ACA">
            <w:pPr>
              <w:pStyle w:val="NumericTableTextDecimalNormal"/>
              <w:tabs>
                <w:tab w:val="clear" w:pos="1004"/>
                <w:tab w:val="decimal" w:pos="584"/>
              </w:tabs>
              <w:cnfStyle w:val="000000000000"/>
              <w:rPr>
                <w:rFonts w:asciiTheme="majorHAnsi" w:hAnsiTheme="majorHAnsi"/>
              </w:rPr>
            </w:pPr>
            <w:r w:rsidRPr="00CB32B1">
              <w:rPr>
                <w:rFonts w:asciiTheme="majorHAnsi" w:hAnsiTheme="majorHAnsi"/>
              </w:rPr>
              <w:t>20.6</w:t>
            </w:r>
          </w:p>
        </w:tc>
        <w:tc>
          <w:tcPr>
            <w:tcW w:w="647" w:type="pct"/>
          </w:tcPr>
          <w:p w:rsidR="00751ACA" w:rsidRPr="00CB32B1" w:rsidRDefault="00751ACA" w:rsidP="00751ACA">
            <w:pPr>
              <w:pStyle w:val="NumericTableTextDecimalNormal"/>
              <w:tabs>
                <w:tab w:val="clear" w:pos="1004"/>
                <w:tab w:val="decimal" w:pos="554"/>
              </w:tabs>
              <w:cnfStyle w:val="000000000000"/>
              <w:rPr>
                <w:rFonts w:asciiTheme="majorHAnsi" w:hAnsiTheme="majorHAnsi"/>
              </w:rPr>
            </w:pPr>
            <w:r w:rsidRPr="00CB32B1">
              <w:rPr>
                <w:rFonts w:asciiTheme="majorHAnsi" w:hAnsiTheme="majorHAnsi"/>
              </w:rPr>
              <w:t>100.0</w:t>
            </w:r>
          </w:p>
        </w:tc>
      </w:tr>
    </w:tbl>
    <w:p w:rsidR="00C96719" w:rsidRPr="00CB32B1" w:rsidRDefault="00C96719" w:rsidP="00FA152C">
      <w:pPr>
        <w:pStyle w:val="Sources"/>
        <w:spacing w:after="40"/>
      </w:pPr>
      <w:r w:rsidRPr="00CB32B1">
        <w:rPr>
          <w:b/>
        </w:rPr>
        <w:t xml:space="preserve">Note*: </w:t>
      </w:r>
      <w:r w:rsidRPr="00CB32B1">
        <w:t xml:space="preserve">Other includes episiotomies, combined episiotomies and lacerations, other and not stated categories. </w:t>
      </w:r>
    </w:p>
    <w:p w:rsidR="00C96719" w:rsidRPr="00CB32B1" w:rsidRDefault="00C96719" w:rsidP="006525BB">
      <w:pPr>
        <w:pStyle w:val="Sources"/>
      </w:pPr>
      <w:r w:rsidRPr="00CB32B1">
        <w:rPr>
          <w:b/>
        </w:rPr>
        <w:t>Source:</w:t>
      </w:r>
      <w:r w:rsidRPr="00CB32B1">
        <w:t xml:space="preserve"> A</w:t>
      </w:r>
      <w:r w:rsidR="00842F74" w:rsidRPr="00CB32B1">
        <w:t>ustralian Institute of Health and Welfare, 200</w:t>
      </w:r>
      <w:r w:rsidR="00F94B0D">
        <w:t>4</w:t>
      </w:r>
      <w:r w:rsidR="00865724">
        <w:t>b</w:t>
      </w:r>
      <w:r w:rsidR="00F94B0D">
        <w:t>-</w:t>
      </w:r>
      <w:r w:rsidR="00842F74" w:rsidRPr="00CB32B1">
        <w:t>201</w:t>
      </w:r>
      <w:r w:rsidR="00F94B0D">
        <w:t>3</w:t>
      </w:r>
      <w:r w:rsidR="00842F74" w:rsidRPr="00CB32B1">
        <w:t>.</w:t>
      </w:r>
    </w:p>
    <w:p w:rsidR="00C96719" w:rsidRPr="00CB32B1" w:rsidRDefault="00C96719" w:rsidP="00C96719">
      <w:pPr>
        <w:pStyle w:val="PwCNormal"/>
        <w:numPr>
          <w:ilvl w:val="0"/>
          <w:numId w:val="0"/>
        </w:numPr>
      </w:pPr>
      <w:r w:rsidRPr="00CB32B1">
        <w:t>Additional specificity for maternal morbidity information recorded by AIHW is not included in this as the data is not reconcilable across states and territories: there is variability in definitions, practices and protocols used to assess conditions.</w:t>
      </w:r>
      <w:r w:rsidR="00D87CA8" w:rsidRPr="00CB32B1">
        <w:rPr>
          <w:rStyle w:val="FootnoteReference"/>
        </w:rPr>
        <w:footnoteReference w:id="334"/>
      </w:r>
      <w:r w:rsidRPr="00CB32B1">
        <w:t xml:space="preserve"> Instead, the outcomes documented in journals that were held to be benchmarks for homebirth practice were used.</w:t>
      </w:r>
    </w:p>
    <w:p w:rsidR="00767B1A" w:rsidRPr="00CB32B1" w:rsidRDefault="00767B1A" w:rsidP="00767B1A">
      <w:pPr>
        <w:pStyle w:val="Majorheading"/>
      </w:pPr>
      <w:r w:rsidRPr="00CB32B1">
        <w:t>J.4</w:t>
      </w:r>
      <w:r w:rsidRPr="00CB32B1">
        <w:tab/>
        <w:t>Perinatal outcome literature findings</w:t>
      </w:r>
    </w:p>
    <w:p w:rsidR="00767B1A" w:rsidRPr="00CB32B1" w:rsidRDefault="00767B1A" w:rsidP="00767B1A">
      <w:pPr>
        <w:pStyle w:val="PwCNormal"/>
      </w:pPr>
      <w:r w:rsidRPr="00CB32B1">
        <w:t>There is benefit from understanding the variation in perinatal outcomes between planned homebirths and other settings of care. An insurer could then look to adjust premiums according to the risk profile or practice. From research completed adverse perinatal outcomes appear to be uncommon for all births. Therefore when differences between models relating to outcomes are outlined, this should remain a central consideration.</w:t>
      </w:r>
    </w:p>
    <w:p w:rsidR="00767B1A" w:rsidRPr="00CB32B1" w:rsidRDefault="00767B1A" w:rsidP="00767B1A">
      <w:pPr>
        <w:pStyle w:val="PwCNormal"/>
      </w:pPr>
      <w:r w:rsidRPr="00CB32B1">
        <w:t xml:space="preserve">International studies, in line with Australian studies, are inconclusive </w:t>
      </w:r>
      <w:r w:rsidR="003E7530">
        <w:t>as a result of the characteristics attributed to women. International studies with the fewest limitations show the difference between settings may not be statistically significant or no worse than hospital settings</w:t>
      </w:r>
      <w:r w:rsidRPr="00CB32B1">
        <w:t>. These are outlined in further detail below.</w:t>
      </w:r>
    </w:p>
    <w:p w:rsidR="00767B1A" w:rsidRPr="00CB32B1" w:rsidRDefault="00767B1A" w:rsidP="00767B1A">
      <w:pPr>
        <w:pStyle w:val="Majorheading"/>
      </w:pPr>
      <w:r w:rsidRPr="00CB32B1">
        <w:t>Perinatal mortality</w:t>
      </w:r>
    </w:p>
    <w:p w:rsidR="00767B1A" w:rsidRPr="00CB32B1" w:rsidRDefault="00767B1A" w:rsidP="00767B1A">
      <w:pPr>
        <w:pStyle w:val="Minorheading"/>
      </w:pPr>
      <w:r w:rsidRPr="00CB32B1">
        <w:t>Australian studies</w:t>
      </w:r>
    </w:p>
    <w:p w:rsidR="00767B1A" w:rsidRPr="00CB32B1" w:rsidRDefault="00767B1A" w:rsidP="00767B1A">
      <w:pPr>
        <w:pStyle w:val="PwCNormal"/>
      </w:pPr>
      <w:r w:rsidRPr="00CB32B1">
        <w:t>From reviewing available studies, it is inconclusive whether homebirths lead to greater perinatal mortality than other birthing models of care in Australia</w:t>
      </w:r>
      <w:r w:rsidRPr="00CB32B1">
        <w:rPr>
          <w:rStyle w:val="FootnoteReference"/>
        </w:rPr>
        <w:footnoteReference w:id="335"/>
      </w:r>
      <w:r w:rsidRPr="00CB32B1">
        <w:t xml:space="preserve"> as there have been different outcomes presented; both higher rates</w:t>
      </w:r>
      <w:r w:rsidRPr="00CB32B1">
        <w:rPr>
          <w:rStyle w:val="FootnoteReference"/>
        </w:rPr>
        <w:footnoteReference w:id="336"/>
      </w:r>
      <w:r w:rsidRPr="00CB32B1">
        <w:t xml:space="preserve"> and no increase in rates.</w:t>
      </w:r>
      <w:r w:rsidR="003544DD" w:rsidRPr="00CB32B1">
        <w:rPr>
          <w:rStyle w:val="FootnoteReference"/>
        </w:rPr>
        <w:footnoteReference w:id="337"/>
      </w:r>
      <w:r w:rsidRPr="00CB32B1">
        <w:t xml:space="preserve"> These studies have data limitations, specifically in not drawing </w:t>
      </w:r>
      <w:r w:rsidR="008341BC">
        <w:t>out differences in high and low-</w:t>
      </w:r>
      <w:r w:rsidRPr="00CB32B1">
        <w:t xml:space="preserve">risk women within the study and in using old data sets (ie data from before 2000) (see </w:t>
      </w:r>
      <w:r w:rsidR="00D92F94">
        <w:t xml:space="preserve">Chapter 3, </w:t>
      </w:r>
      <w:r w:rsidRPr="00CB32B1">
        <w:t xml:space="preserve">Finding 2). </w:t>
      </w:r>
    </w:p>
    <w:p w:rsidR="00767B1A" w:rsidRPr="00CB32B1" w:rsidRDefault="003E7530" w:rsidP="00767B1A">
      <w:pPr>
        <w:pStyle w:val="PwCNormal"/>
      </w:pPr>
      <w:r>
        <w:t>C</w:t>
      </w:r>
      <w:r w:rsidR="00767B1A" w:rsidRPr="00CB32B1">
        <w:t xml:space="preserve">hallenges </w:t>
      </w:r>
      <w:r>
        <w:t xml:space="preserve">were identified </w:t>
      </w:r>
      <w:r w:rsidR="00767B1A" w:rsidRPr="00CB32B1">
        <w:t xml:space="preserve">with </w:t>
      </w:r>
      <w:r>
        <w:t xml:space="preserve">reviewing </w:t>
      </w:r>
      <w:r w:rsidR="00767B1A" w:rsidRPr="00CB32B1">
        <w:t xml:space="preserve">Australian studies given the quality of data available. </w:t>
      </w:r>
      <w:r>
        <w:t>It was</w:t>
      </w:r>
      <w:r w:rsidR="00767B1A" w:rsidRPr="00CB32B1">
        <w:t xml:space="preserve"> determined that there are several areas where data is not collated accurately and quickly enough in Australia to determine the number of perinatal deaths from PPM practice. This is due to a context where:</w:t>
      </w:r>
    </w:p>
    <w:p w:rsidR="00767B1A" w:rsidRPr="00CB32B1" w:rsidRDefault="00767B1A" w:rsidP="00767B1A">
      <w:pPr>
        <w:pStyle w:val="ListBullet"/>
      </w:pPr>
      <w:r w:rsidRPr="00CB32B1">
        <w:t>There are delays in births being registered</w:t>
      </w:r>
      <w:r w:rsidRPr="00CB32B1">
        <w:rPr>
          <w:rStyle w:val="FootnoteReference"/>
        </w:rPr>
        <w:footnoteReference w:id="338"/>
      </w:r>
    </w:p>
    <w:p w:rsidR="00767B1A" w:rsidRPr="00CB32B1" w:rsidRDefault="00767B1A" w:rsidP="00767B1A">
      <w:pPr>
        <w:pStyle w:val="ListBullet"/>
      </w:pPr>
      <w:r w:rsidRPr="00CB32B1">
        <w:t>Some deaths may not be notified to the state and territory perinatal data collections but are still registered by the parents as a live birth. This is more likely to occur in remote/regional areas than metropolitan areas</w:t>
      </w:r>
    </w:p>
    <w:p w:rsidR="00767B1A" w:rsidRPr="00CB32B1" w:rsidRDefault="00767B1A" w:rsidP="00767B1A">
      <w:pPr>
        <w:pStyle w:val="ListBullet"/>
      </w:pPr>
      <w:r w:rsidRPr="00CB32B1">
        <w:t>Births are not differentiated by health practitioner within the AIHW data</w:t>
      </w:r>
    </w:p>
    <w:p w:rsidR="00767B1A" w:rsidRPr="00CB32B1" w:rsidRDefault="00767B1A" w:rsidP="00767B1A">
      <w:pPr>
        <w:pStyle w:val="ListBullet"/>
      </w:pPr>
      <w:r w:rsidRPr="00CB32B1">
        <w:t>Data on births do not show the transfer rate to other health services when a planned homebirth requires other practitioner attention</w:t>
      </w:r>
    </w:p>
    <w:p w:rsidR="00767B1A" w:rsidRPr="00CB32B1" w:rsidRDefault="00767B1A" w:rsidP="00767B1A">
      <w:pPr>
        <w:pStyle w:val="ListBullet"/>
      </w:pPr>
      <w:r w:rsidRPr="00CB32B1">
        <w:t xml:space="preserve">There is variation in data collated across states and territories given that some states record transfer information and publicly report on it on a regular basis (eg South Australia and Western Australia). The AIHW through the </w:t>
      </w:r>
      <w:r w:rsidR="003F57AE">
        <w:t>N</w:t>
      </w:r>
      <w:r w:rsidRPr="00CB32B1">
        <w:t xml:space="preserve">PESU also collate this data. </w:t>
      </w:r>
    </w:p>
    <w:p w:rsidR="00767B1A" w:rsidRPr="00CB32B1" w:rsidRDefault="00767B1A" w:rsidP="00767B1A">
      <w:pPr>
        <w:pStyle w:val="PwCNormal"/>
      </w:pPr>
      <w:r w:rsidRPr="00CB32B1">
        <w:t>It is worth noting that a leading cause attributed in an Australian study to perinatal or intrapartum mortality is intrapartum asphyxia</w:t>
      </w:r>
      <w:r w:rsidR="003E7530">
        <w:t>.</w:t>
      </w:r>
      <w:r w:rsidR="003544DD" w:rsidRPr="00CB32B1">
        <w:rPr>
          <w:rStyle w:val="FootnoteReference"/>
        </w:rPr>
        <w:footnoteReference w:id="339"/>
      </w:r>
      <w:r w:rsidRPr="00CB32B1">
        <w:t xml:space="preserve"> Intrapartum asphyxia is the impairment of the delivery of oxygen to the brain and vital tissues during the progress of labour. However, this outcome may in part be linked to the study’s inclusion of</w:t>
      </w:r>
      <w:r w:rsidR="003E7530">
        <w:t xml:space="preserve"> a cohort of women who had high-</w:t>
      </w:r>
      <w:r w:rsidRPr="00CB32B1">
        <w:t>risk factors that developed during the birth. This finding is important for three reasons:</w:t>
      </w:r>
    </w:p>
    <w:p w:rsidR="00767B1A" w:rsidRPr="00CB32B1" w:rsidRDefault="00767B1A" w:rsidP="00767B1A">
      <w:pPr>
        <w:pStyle w:val="ListBullet"/>
      </w:pPr>
      <w:r w:rsidRPr="00CB32B1">
        <w:t>The finding links closely to significantly lower rates of fetal monitoring in homebirth compared to hospital birth</w:t>
      </w:r>
      <w:r w:rsidRPr="00CB32B1">
        <w:rPr>
          <w:rStyle w:val="FootnoteReference"/>
        </w:rPr>
        <w:footnoteReference w:id="340"/>
      </w:r>
      <w:r w:rsidRPr="00CB32B1">
        <w:rPr>
          <w:rStyle w:val="FootnoteReference"/>
        </w:rPr>
        <w:t>,</w:t>
      </w:r>
      <w:r w:rsidR="000A7B59" w:rsidRPr="00CB32B1">
        <w:t xml:space="preserve"> </w:t>
      </w:r>
      <w:r w:rsidRPr="00CB32B1">
        <w:rPr>
          <w:rStyle w:val="FootnoteReference"/>
        </w:rPr>
        <w:footnoteReference w:id="341"/>
      </w:r>
    </w:p>
    <w:p w:rsidR="00767B1A" w:rsidRPr="00CB32B1" w:rsidRDefault="00767B1A" w:rsidP="00767B1A">
      <w:pPr>
        <w:pStyle w:val="ListBullet"/>
      </w:pPr>
      <w:r w:rsidRPr="00CB32B1">
        <w:t xml:space="preserve">Intrapartum asphyxia is associated as one of the causes of cerebral palsy or encephalopathy. The largest ever payout for an obstetric case in Australia was related to cerebral palsy (see </w:t>
      </w:r>
      <w:r w:rsidRPr="00CB32B1">
        <w:rPr>
          <w:i/>
        </w:rPr>
        <w:t>Simpson v Diamond</w:t>
      </w:r>
      <w:r w:rsidRPr="00CB32B1">
        <w:t xml:space="preserve"> call out box in Chapter 2)</w:t>
      </w:r>
    </w:p>
    <w:p w:rsidR="00767B1A" w:rsidRPr="00CB32B1" w:rsidRDefault="00767B1A" w:rsidP="00767B1A">
      <w:pPr>
        <w:pStyle w:val="ListBullet"/>
      </w:pPr>
      <w:r w:rsidRPr="00CB32B1">
        <w:t>Women included in studies (eg high or low-risk) impact upon the study outcome, with the result that their study might be misleading.</w:t>
      </w:r>
    </w:p>
    <w:p w:rsidR="00767B1A" w:rsidRPr="00CB32B1" w:rsidRDefault="00767B1A" w:rsidP="00767B1A">
      <w:pPr>
        <w:pStyle w:val="Minorheading"/>
      </w:pPr>
      <w:r w:rsidRPr="00CB32B1">
        <w:t>International studies</w:t>
      </w:r>
    </w:p>
    <w:p w:rsidR="00767B1A" w:rsidRPr="00CB32B1" w:rsidRDefault="00767B1A" w:rsidP="00767B1A">
      <w:pPr>
        <w:pStyle w:val="PwCNormal"/>
      </w:pPr>
      <w:r w:rsidRPr="00CB32B1">
        <w:t xml:space="preserve">International studies reviewed were not definitive for PPMs with respect to changes in perinatal mortality rates as a result of the inclusion of nulliparous women. Recent evidence has shown perinatal mortality rates can be significantly higher if nulliparous women are analysed. Studies previously have not used nulliparous women to indicate higher risk women (including the ACM </w:t>
      </w:r>
      <w:r w:rsidRPr="00CB32B1">
        <w:rPr>
          <w:i/>
        </w:rPr>
        <w:t>Literature Review on Homebirth</w:t>
      </w:r>
      <w:r w:rsidRPr="00CB32B1">
        <w:rPr>
          <w:rStyle w:val="FootnoteReference"/>
        </w:rPr>
        <w:footnoteReference w:id="342"/>
      </w:r>
      <w:r w:rsidRPr="00CB32B1">
        <w:t xml:space="preserve"> which indicated it excluded an English study), demonstrating a limitation in comparatives between studies.</w:t>
      </w:r>
    </w:p>
    <w:p w:rsidR="00767B1A" w:rsidRPr="00CB32B1" w:rsidRDefault="00767B1A" w:rsidP="00767B1A">
      <w:pPr>
        <w:pStyle w:val="PwCNormal"/>
      </w:pPr>
      <w:r w:rsidRPr="00CB32B1">
        <w:t>Studies undertaken in the province</w:t>
      </w:r>
      <w:r w:rsidR="00D92F94">
        <w:t>s</w:t>
      </w:r>
      <w:r w:rsidRPr="00CB32B1">
        <w:t xml:space="preserve"> of Ontario,</w:t>
      </w:r>
      <w:r w:rsidRPr="00CB32B1">
        <w:rPr>
          <w:rStyle w:val="FootnoteReference"/>
        </w:rPr>
        <w:footnoteReference w:id="343"/>
      </w:r>
      <w:r w:rsidRPr="00CB32B1">
        <w:t xml:space="preserve"> </w:t>
      </w:r>
      <w:r w:rsidR="00D92F94">
        <w:t xml:space="preserve">and </w:t>
      </w:r>
      <w:r w:rsidR="00D92F94" w:rsidRPr="00CB32B1">
        <w:t>British Columbia</w:t>
      </w:r>
      <w:r w:rsidR="00D92F94" w:rsidRPr="00CB32B1">
        <w:rPr>
          <w:rStyle w:val="FootnoteReference"/>
        </w:rPr>
        <w:footnoteReference w:id="344"/>
      </w:r>
      <w:r w:rsidR="00D92F94">
        <w:t xml:space="preserve"> in Canada, </w:t>
      </w:r>
      <w:r w:rsidRPr="00CB32B1">
        <w:t>the Netherlands,</w:t>
      </w:r>
      <w:r w:rsidRPr="00CB32B1">
        <w:rPr>
          <w:rStyle w:val="FootnoteReference"/>
        </w:rPr>
        <w:footnoteReference w:id="345"/>
      </w:r>
      <w:r w:rsidRPr="00CB32B1">
        <w:t xml:space="preserve"> and Sweden</w:t>
      </w:r>
      <w:r w:rsidRPr="00CB32B1">
        <w:rPr>
          <w:rStyle w:val="FootnoteReference"/>
        </w:rPr>
        <w:footnoteReference w:id="346"/>
      </w:r>
      <w:r w:rsidRPr="00CB32B1">
        <w:t xml:space="preserve"> </w:t>
      </w:r>
      <w:r w:rsidR="00D92F94">
        <w:t xml:space="preserve">do not </w:t>
      </w:r>
      <w:r w:rsidRPr="00CB32B1">
        <w:t xml:space="preserve">demonstrate </w:t>
      </w:r>
      <w:r w:rsidR="00D92F94">
        <w:t>a</w:t>
      </w:r>
      <w:r w:rsidRPr="00CB32B1">
        <w:t xml:space="preserve">n increase in perinatal mortality rates between planned homebirth compared to planned hospital birth as shown in </w:t>
      </w:r>
      <w:r w:rsidR="009129A6" w:rsidRPr="00CB32B1">
        <w:fldChar w:fldCharType="begin"/>
      </w:r>
      <w:r w:rsidR="00AA3C29" w:rsidRPr="00CB32B1">
        <w:instrText xml:space="preserve"> REF _Ref361224208 \h </w:instrText>
      </w:r>
      <w:r w:rsidR="009129A6" w:rsidRPr="00CB32B1">
        <w:fldChar w:fldCharType="separate"/>
      </w:r>
      <w:r w:rsidR="008816B4" w:rsidRPr="00CB32B1">
        <w:t xml:space="preserve">Table </w:t>
      </w:r>
      <w:r w:rsidR="008816B4">
        <w:rPr>
          <w:noProof/>
        </w:rPr>
        <w:t>42</w:t>
      </w:r>
      <w:r w:rsidR="009129A6" w:rsidRPr="00CB32B1">
        <w:fldChar w:fldCharType="end"/>
      </w:r>
      <w:r w:rsidRPr="00CB32B1">
        <w:t>.</w:t>
      </w:r>
    </w:p>
    <w:p w:rsidR="00463352" w:rsidRPr="00CB32B1" w:rsidRDefault="00463352" w:rsidP="00767B1A">
      <w:pPr>
        <w:pStyle w:val="Caption"/>
        <w:sectPr w:rsidR="00463352" w:rsidRPr="00CB32B1" w:rsidSect="003E4E09">
          <w:pgSz w:w="11907" w:h="16840" w:code="9"/>
          <w:pgMar w:top="1699" w:right="1138" w:bottom="1699" w:left="1138" w:header="677" w:footer="677" w:gutter="562"/>
          <w:cols w:space="708"/>
          <w:titlePg/>
          <w:docGrid w:linePitch="360"/>
        </w:sectPr>
      </w:pPr>
      <w:bookmarkStart w:id="156" w:name="_Ref361224175"/>
    </w:p>
    <w:p w:rsidR="00767B1A" w:rsidRPr="00CB32B1" w:rsidRDefault="00767B1A" w:rsidP="00767B1A">
      <w:pPr>
        <w:pStyle w:val="Caption"/>
      </w:pPr>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41</w:t>
      </w:r>
      <w:r w:rsidR="009129A6" w:rsidRPr="00CB32B1">
        <w:fldChar w:fldCharType="end"/>
      </w:r>
      <w:bookmarkEnd w:id="156"/>
      <w:r w:rsidRPr="00CB32B1">
        <w:t>:</w:t>
      </w:r>
      <w:r w:rsidRPr="00CB32B1">
        <w:tab/>
        <w:t>Example of findings from international academic studies on birthing interventions</w:t>
      </w:r>
    </w:p>
    <w:tbl>
      <w:tblPr>
        <w:tblStyle w:val="PwCTableStyle1"/>
        <w:tblW w:w="5000" w:type="pct"/>
        <w:tblLook w:val="04A0"/>
      </w:tblPr>
      <w:tblGrid>
        <w:gridCol w:w="2319"/>
        <w:gridCol w:w="6966"/>
      </w:tblGrid>
      <w:tr w:rsidR="00767B1A" w:rsidRPr="00CB32B1" w:rsidTr="00747120">
        <w:trPr>
          <w:cnfStyle w:val="100000000000"/>
        </w:trPr>
        <w:tc>
          <w:tcPr>
            <w:cnfStyle w:val="001000000000"/>
            <w:tcW w:w="1249" w:type="pct"/>
            <w:shd w:val="clear" w:color="auto" w:fill="DC6900" w:themeFill="text2"/>
            <w:vAlign w:val="center"/>
          </w:tcPr>
          <w:p w:rsidR="00767B1A" w:rsidRPr="00CB32B1" w:rsidRDefault="00496AD4" w:rsidP="00747120">
            <w:pPr>
              <w:pStyle w:val="TableColumnHeadingNormal"/>
            </w:pPr>
            <w:r>
              <w:t>Jurisdiction</w:t>
            </w:r>
          </w:p>
        </w:tc>
        <w:tc>
          <w:tcPr>
            <w:tcW w:w="3751" w:type="pct"/>
            <w:shd w:val="clear" w:color="auto" w:fill="DC6900" w:themeFill="text2"/>
            <w:vAlign w:val="center"/>
          </w:tcPr>
          <w:p w:rsidR="00767B1A" w:rsidRPr="00CB32B1" w:rsidRDefault="00767B1A" w:rsidP="00747120">
            <w:pPr>
              <w:pStyle w:val="TableColumnHeadingNormal"/>
              <w:cnfStyle w:val="100000000000"/>
            </w:pPr>
            <w:r w:rsidRPr="00CB32B1">
              <w:t>Finding from homebirths</w:t>
            </w:r>
          </w:p>
        </w:tc>
      </w:tr>
      <w:tr w:rsidR="00767B1A" w:rsidRPr="00CB32B1" w:rsidTr="00767B1A">
        <w:tc>
          <w:tcPr>
            <w:cnfStyle w:val="001000000000"/>
            <w:tcW w:w="1249" w:type="pct"/>
          </w:tcPr>
          <w:p w:rsidR="00767B1A" w:rsidRPr="00CB32B1" w:rsidRDefault="00767B1A" w:rsidP="00767B1A">
            <w:pPr>
              <w:pStyle w:val="TableTextNormal"/>
            </w:pPr>
            <w:r w:rsidRPr="00CB32B1">
              <w:t>Ontario, Canada</w:t>
            </w:r>
          </w:p>
        </w:tc>
        <w:tc>
          <w:tcPr>
            <w:tcW w:w="3751" w:type="pct"/>
          </w:tcPr>
          <w:p w:rsidR="00767B1A" w:rsidRPr="00CB32B1" w:rsidRDefault="00767B1A" w:rsidP="00767B1A">
            <w:pPr>
              <w:pStyle w:val="TableTextNormal"/>
              <w:cnfStyle w:val="000000000000"/>
            </w:pPr>
            <w:r w:rsidRPr="00CB32B1">
              <w:t>No increase in rates of perinatal mortality for planned homebirths</w:t>
            </w:r>
          </w:p>
        </w:tc>
      </w:tr>
      <w:tr w:rsidR="00767B1A" w:rsidRPr="00CB32B1" w:rsidTr="00767B1A">
        <w:tc>
          <w:tcPr>
            <w:cnfStyle w:val="001000000000"/>
            <w:tcW w:w="1249" w:type="pct"/>
          </w:tcPr>
          <w:p w:rsidR="00767B1A" w:rsidRPr="00CB32B1" w:rsidRDefault="00767B1A" w:rsidP="00767B1A">
            <w:pPr>
              <w:pStyle w:val="TableTextNormal"/>
            </w:pPr>
            <w:r w:rsidRPr="00CB32B1">
              <w:t>British Columbia, Canada</w:t>
            </w:r>
          </w:p>
        </w:tc>
        <w:tc>
          <w:tcPr>
            <w:tcW w:w="3751" w:type="pct"/>
          </w:tcPr>
          <w:p w:rsidR="00767B1A" w:rsidRPr="00CB32B1" w:rsidRDefault="00767B1A" w:rsidP="00767B1A">
            <w:pPr>
              <w:pStyle w:val="TableTextNormal"/>
              <w:cnfStyle w:val="000000000000"/>
            </w:pPr>
            <w:r w:rsidRPr="00CB32B1">
              <w:t>No increase in rates of perinatal mortality for planned homebirths</w:t>
            </w:r>
          </w:p>
        </w:tc>
      </w:tr>
      <w:tr w:rsidR="00767B1A" w:rsidRPr="00CB32B1" w:rsidTr="00767B1A">
        <w:tc>
          <w:tcPr>
            <w:cnfStyle w:val="001000000000"/>
            <w:tcW w:w="1249" w:type="pct"/>
          </w:tcPr>
          <w:p w:rsidR="00767B1A" w:rsidRPr="00CB32B1" w:rsidRDefault="00767B1A" w:rsidP="00767B1A">
            <w:pPr>
              <w:pStyle w:val="TableTextNormal"/>
            </w:pPr>
            <w:r w:rsidRPr="00CB32B1">
              <w:t>The Netherlands</w:t>
            </w:r>
          </w:p>
        </w:tc>
        <w:tc>
          <w:tcPr>
            <w:tcW w:w="3751" w:type="pct"/>
          </w:tcPr>
          <w:p w:rsidR="00767B1A" w:rsidRPr="00CB32B1" w:rsidRDefault="00767B1A" w:rsidP="00767B1A">
            <w:pPr>
              <w:pStyle w:val="TableTextNormal"/>
              <w:cnfStyle w:val="000000000000"/>
            </w:pPr>
            <w:r w:rsidRPr="00CB32B1">
              <w:t>No increase in rates of perinatal mortality for planned homebirths</w:t>
            </w:r>
          </w:p>
        </w:tc>
      </w:tr>
      <w:tr w:rsidR="00767B1A" w:rsidRPr="00CB32B1" w:rsidTr="00767B1A">
        <w:tc>
          <w:tcPr>
            <w:cnfStyle w:val="001000000000"/>
            <w:tcW w:w="1249" w:type="pct"/>
          </w:tcPr>
          <w:p w:rsidR="00767B1A" w:rsidRPr="00CB32B1" w:rsidRDefault="00767B1A" w:rsidP="00767B1A">
            <w:pPr>
              <w:pStyle w:val="TableTextNormal"/>
            </w:pPr>
            <w:r w:rsidRPr="00CB32B1">
              <w:t>Sweden</w:t>
            </w:r>
          </w:p>
        </w:tc>
        <w:tc>
          <w:tcPr>
            <w:tcW w:w="3751" w:type="pct"/>
          </w:tcPr>
          <w:p w:rsidR="00767B1A" w:rsidRPr="00CB32B1" w:rsidRDefault="00767B1A" w:rsidP="00767B1A">
            <w:pPr>
              <w:pStyle w:val="TableTextNormal"/>
              <w:cnfStyle w:val="000000000000"/>
            </w:pPr>
            <w:r w:rsidRPr="00CB32B1">
              <w:t>No increase in rates of perinatal mortality for planned homebirths</w:t>
            </w:r>
          </w:p>
        </w:tc>
      </w:tr>
      <w:tr w:rsidR="00767B1A" w:rsidRPr="00CB32B1" w:rsidTr="00767B1A">
        <w:tc>
          <w:tcPr>
            <w:cnfStyle w:val="001000000000"/>
            <w:tcW w:w="1249" w:type="pct"/>
          </w:tcPr>
          <w:p w:rsidR="00767B1A" w:rsidRPr="00CB32B1" w:rsidRDefault="00767B1A" w:rsidP="00767B1A">
            <w:pPr>
              <w:pStyle w:val="TableTextNormal"/>
            </w:pPr>
            <w:r w:rsidRPr="00CB32B1">
              <w:t>England</w:t>
            </w:r>
          </w:p>
        </w:tc>
        <w:tc>
          <w:tcPr>
            <w:tcW w:w="3751" w:type="pct"/>
          </w:tcPr>
          <w:p w:rsidR="00767B1A" w:rsidRPr="00CB32B1" w:rsidRDefault="00767B1A" w:rsidP="008341BC">
            <w:pPr>
              <w:pStyle w:val="TableTextNormal"/>
              <w:cnfStyle w:val="000000000000"/>
            </w:pPr>
            <w:r w:rsidRPr="00CB32B1">
              <w:t>Higher rates for a composite of adverse perinatal outcomes only for nulliparous, low</w:t>
            </w:r>
            <w:r w:rsidR="008341BC">
              <w:t>-</w:t>
            </w:r>
            <w:r w:rsidRPr="00CB32B1">
              <w:t>risk women</w:t>
            </w:r>
          </w:p>
        </w:tc>
      </w:tr>
    </w:tbl>
    <w:p w:rsidR="00767B1A" w:rsidRPr="00CB32B1" w:rsidRDefault="00767B1A" w:rsidP="00767B1A">
      <w:pPr>
        <w:pStyle w:val="Sources"/>
      </w:pPr>
      <w:r w:rsidRPr="00CB32B1">
        <w:rPr>
          <w:b/>
        </w:rPr>
        <w:t>Source</w:t>
      </w:r>
      <w:r w:rsidR="00FA152C" w:rsidRPr="00CB32B1">
        <w:rPr>
          <w:b/>
        </w:rPr>
        <w:t>s</w:t>
      </w:r>
      <w:r w:rsidRPr="00CB32B1">
        <w:rPr>
          <w:b/>
        </w:rPr>
        <w:t>:</w:t>
      </w:r>
      <w:r w:rsidRPr="00CB32B1">
        <w:t xml:space="preserve"> Hutton</w:t>
      </w:r>
      <w:r w:rsidR="00167C8B" w:rsidRPr="00CB32B1">
        <w:t>, Reitsma &amp; Kaufman 2009;</w:t>
      </w:r>
      <w:r w:rsidR="00FA152C" w:rsidRPr="00CB32B1">
        <w:t xml:space="preserve"> </w:t>
      </w:r>
      <w:r w:rsidRPr="00CB32B1">
        <w:t>Janssen</w:t>
      </w:r>
      <w:r w:rsidR="00167C8B" w:rsidRPr="00CB32B1">
        <w:t>, Saxell, Page, Klein, Liston &amp; Lee 2009;</w:t>
      </w:r>
      <w:r w:rsidR="00FA152C" w:rsidRPr="00CB32B1">
        <w:t xml:space="preserve"> </w:t>
      </w:r>
      <w:r w:rsidR="00167C8B" w:rsidRPr="00CB32B1">
        <w:t>d</w:t>
      </w:r>
      <w:r w:rsidRPr="00CB32B1">
        <w:t>e Jonge</w:t>
      </w:r>
      <w:r w:rsidR="00167C8B" w:rsidRPr="00CB32B1">
        <w:t>, van der Goes</w:t>
      </w:r>
      <w:r w:rsidR="00C97690" w:rsidRPr="00CB32B1">
        <w:t>, Ravelli</w:t>
      </w:r>
      <w:r w:rsidR="00167C8B" w:rsidRPr="00CB32B1">
        <w:t>, Amelink-Verburg, Mol, Nijhui</w:t>
      </w:r>
      <w:r w:rsidR="00C97690" w:rsidRPr="00CB32B1">
        <w:t>s</w:t>
      </w:r>
      <w:r w:rsidR="00167C8B" w:rsidRPr="00CB32B1">
        <w:t>, Bennebroek Gravenhorst &amp; Butiendijk 2009</w:t>
      </w:r>
      <w:r w:rsidR="00FA152C" w:rsidRPr="00CB32B1">
        <w:t xml:space="preserve">; </w:t>
      </w:r>
      <w:r w:rsidRPr="00CB32B1">
        <w:t>Lindgren</w:t>
      </w:r>
      <w:r w:rsidR="00167C8B" w:rsidRPr="00CB32B1">
        <w:t>, Radestad, Christensson &amp; Hildingsson 2008</w:t>
      </w:r>
      <w:r w:rsidR="00FA152C" w:rsidRPr="00CB32B1">
        <w:t xml:space="preserve">; </w:t>
      </w:r>
      <w:r w:rsidRPr="00CB32B1">
        <w:t>National Institute for Health Research, 2011</w:t>
      </w:r>
      <w:r w:rsidR="00D40A6B" w:rsidRPr="00CB32B1">
        <w:t>.</w:t>
      </w:r>
    </w:p>
    <w:p w:rsidR="00767B1A" w:rsidRPr="00CB32B1" w:rsidRDefault="00767B1A" w:rsidP="00767B1A">
      <w:pPr>
        <w:pStyle w:val="PwCNormal"/>
      </w:pPr>
      <w:r w:rsidRPr="00CB32B1">
        <w:t>Limitations for</w:t>
      </w:r>
      <w:r w:rsidR="00D92F94">
        <w:t xml:space="preserve"> the use of</w:t>
      </w:r>
      <w:r w:rsidRPr="00CB32B1">
        <w:t xml:space="preserve"> international studies </w:t>
      </w:r>
      <w:r w:rsidR="00D92F94">
        <w:t xml:space="preserve">as applicable to the Australian context </w:t>
      </w:r>
      <w:r w:rsidRPr="00CB32B1">
        <w:t xml:space="preserve">are noted in </w:t>
      </w:r>
      <w:r w:rsidR="00D92F94">
        <w:t xml:space="preserve">Chapter 3, </w:t>
      </w:r>
      <w:r w:rsidRPr="00CB32B1">
        <w:t>Finding 2. However, it is particularly worth noting certain limitations for using perinatal mortality including:</w:t>
      </w:r>
    </w:p>
    <w:p w:rsidR="00767B1A" w:rsidRPr="00CB32B1" w:rsidRDefault="00767B1A" w:rsidP="00767B1A">
      <w:pPr>
        <w:pStyle w:val="ListBullet"/>
      </w:pPr>
      <w:r w:rsidRPr="00CB32B1">
        <w:t>There are different international definitions for perinatal death, and it can be reported as intrapartum mortality, stillbirth and neonatal death. For example, in Australia, perinatal mortality is the death of the fetus from 20 weeks of pregnancy to 28 days after birth. However, this can be classified as different time periods, based on the origin of the study undertaken. The Netherlands, for instance, uses a different definition for perinatal death</w:t>
      </w:r>
    </w:p>
    <w:p w:rsidR="00767B1A" w:rsidRPr="00CB32B1" w:rsidRDefault="00767B1A" w:rsidP="00767B1A">
      <w:pPr>
        <w:pStyle w:val="ListBullet"/>
      </w:pPr>
      <w:r w:rsidRPr="00CB32B1">
        <w:t>The cause of perinatal death is not always assessed; therefore, it is difficult to link the outcome with a complication by the woman or a fault on the midwife’s part.</w:t>
      </w:r>
    </w:p>
    <w:p w:rsidR="00767B1A" w:rsidRPr="00CB32B1" w:rsidRDefault="00767B1A" w:rsidP="00767B1A">
      <w:pPr>
        <w:pStyle w:val="Majorheading"/>
      </w:pPr>
      <w:r w:rsidRPr="00CB32B1">
        <w:t>Perinatal morbidity</w:t>
      </w:r>
    </w:p>
    <w:p w:rsidR="00767B1A" w:rsidRPr="00CB32B1" w:rsidRDefault="00767B1A" w:rsidP="00767B1A">
      <w:pPr>
        <w:pStyle w:val="Minorheading"/>
      </w:pPr>
      <w:r w:rsidRPr="00CB32B1">
        <w:t>Australian studies</w:t>
      </w:r>
    </w:p>
    <w:p w:rsidR="00767B1A" w:rsidRPr="00CB32B1" w:rsidRDefault="00767B1A" w:rsidP="00767B1A">
      <w:pPr>
        <w:pStyle w:val="PwCNormal"/>
      </w:pPr>
      <w:r w:rsidRPr="00CB32B1">
        <w:t xml:space="preserve">Perinatal morbidity is also relevant for an insurer, particularly if it leads to permanent disablement as </w:t>
      </w:r>
      <w:r w:rsidR="00D92F94">
        <w:t>this could</w:t>
      </w:r>
      <w:r w:rsidRPr="00CB32B1">
        <w:t xml:space="preserve"> lead to ongoing payments being paid by an insurer to facilitate care during the child’s life. In the case of </w:t>
      </w:r>
      <w:r w:rsidRPr="00CB32B1">
        <w:rPr>
          <w:i/>
        </w:rPr>
        <w:t>Simpson v Diamond</w:t>
      </w:r>
      <w:r w:rsidRPr="00CB32B1">
        <w:t xml:space="preserve"> (see call out box in Chapter 2), damages were awarded as a result of negligence during the birth that was found to have led to the disability.</w:t>
      </w:r>
    </w:p>
    <w:p w:rsidR="00767B1A" w:rsidRPr="00CB32B1" w:rsidRDefault="00767B1A" w:rsidP="00D44BC2">
      <w:pPr>
        <w:pStyle w:val="PwCNormal"/>
        <w:keepNext/>
        <w:keepLines/>
      </w:pPr>
      <w:r w:rsidRPr="00CB32B1">
        <w:t>Using the literature to assess the prenatal morbidity outcomes from homebirths, issues identified included that:</w:t>
      </w:r>
    </w:p>
    <w:p w:rsidR="00767B1A" w:rsidRPr="00CB32B1" w:rsidRDefault="00767B1A" w:rsidP="00D44BC2">
      <w:pPr>
        <w:pStyle w:val="ListBullet"/>
        <w:keepNext/>
        <w:keepLines/>
      </w:pPr>
      <w:r w:rsidRPr="00CB32B1">
        <w:t>AIHW data for perinatal morbidity outcomes w</w:t>
      </w:r>
      <w:r w:rsidR="00CB1BAB" w:rsidRPr="00CB32B1">
        <w:t>ere not recorded for homebirths</w:t>
      </w:r>
    </w:p>
    <w:p w:rsidR="00767B1A" w:rsidRPr="00CB32B1" w:rsidRDefault="00767B1A" w:rsidP="00767B1A">
      <w:pPr>
        <w:pStyle w:val="ListBullet"/>
      </w:pPr>
      <w:r w:rsidRPr="00CB32B1">
        <w:t>Australian studies are not representative of perinatal outcomes for PPM activity (the last study conducted was undertaken in 1994 by Woodcock, Read et al)</w:t>
      </w:r>
      <w:r w:rsidRPr="00CB32B1">
        <w:rPr>
          <w:rStyle w:val="FootnoteReference"/>
        </w:rPr>
        <w:footnoteReference w:id="347"/>
      </w:r>
      <w:r w:rsidRPr="00CB32B1">
        <w:t xml:space="preserve"> </w:t>
      </w:r>
    </w:p>
    <w:p w:rsidR="00767B1A" w:rsidRPr="00CB32B1" w:rsidRDefault="00767B1A" w:rsidP="00767B1A">
      <w:pPr>
        <w:pStyle w:val="ListBullet"/>
      </w:pPr>
      <w:r w:rsidRPr="00CB32B1">
        <w:t>Perinatal morbidity outcomes in journals do not give a full representation of all outcomes on the ACM guidelines or outcomes which an insurer may be interested in for establishing the risk profile of PPMs. The outcomes monitored are often related to APGAR scores and birth weight, or short-term complications with the birth, rather than the impact on a baby’s life. For example, a further unconsidered outcome which was identified in consultation was the possibility of a baby suffering from hyperbilirubinemia (ie jaundice) where excess bilirubin in the blood causes its thickening.</w:t>
      </w:r>
      <w:r w:rsidRPr="00CB32B1">
        <w:rPr>
          <w:rStyle w:val="FootnoteReference"/>
        </w:rPr>
        <w:footnoteReference w:id="348"/>
      </w:r>
      <w:r w:rsidRPr="00CB32B1">
        <w:t xml:space="preserve"> This adverse outcome is not reported in statistics but is held to be a serious condition as it can be hard to detect and it corrodes neurons in the brain, w</w:t>
      </w:r>
      <w:r w:rsidR="00CB1BAB" w:rsidRPr="00CB32B1">
        <w:t>hich may cause long term damage</w:t>
      </w:r>
    </w:p>
    <w:p w:rsidR="00767B1A" w:rsidRPr="00CB32B1" w:rsidRDefault="00767B1A" w:rsidP="00767B1A">
      <w:pPr>
        <w:pStyle w:val="ListBullet"/>
      </w:pPr>
      <w:r w:rsidRPr="00CB32B1">
        <w:t xml:space="preserve">Kennare et al considered specialised neonatal care; however, given that this includes high and low-risk women in the cohort studied, it provides little guidance </w:t>
      </w:r>
      <w:r w:rsidR="00D92F94">
        <w:t>on potential adverse outcomes if insurers are insuring PPMs</w:t>
      </w:r>
      <w:r w:rsidRPr="00CB32B1">
        <w:t xml:space="preserve"> following ACM guidelines.</w:t>
      </w:r>
    </w:p>
    <w:p w:rsidR="00767B1A" w:rsidRPr="00CB32B1" w:rsidRDefault="00767B1A" w:rsidP="00767B1A">
      <w:pPr>
        <w:pStyle w:val="Minorheading"/>
      </w:pPr>
      <w:r w:rsidRPr="00CB32B1">
        <w:t>International studies</w:t>
      </w:r>
    </w:p>
    <w:p w:rsidR="00767B1A" w:rsidRPr="00CB32B1" w:rsidRDefault="00767B1A" w:rsidP="00767B1A">
      <w:pPr>
        <w:pStyle w:val="PwCNormal"/>
      </w:pPr>
      <w:r w:rsidRPr="00CB32B1">
        <w:t>International studies also show similar difficulties as the Australian studies. It may be difficult for insurers to know the long term impact of a neonatal morbidity, as the results are recorded as neonatal outcomes rather than morbidities. The information recorded at birth may not give a clear picture of how much support a baby will need for the rest of their life; therefore, claims for PPMs are likely to be long tail.</w:t>
      </w:r>
    </w:p>
    <w:p w:rsidR="00767B1A" w:rsidRPr="00CB32B1" w:rsidRDefault="00D92F94" w:rsidP="00767B1A">
      <w:pPr>
        <w:pStyle w:val="PwCNormal"/>
      </w:pPr>
      <w:r>
        <w:t>F</w:t>
      </w:r>
      <w:r w:rsidR="00767B1A" w:rsidRPr="00CB32B1">
        <w:t>indings from reviewing literature are that there are lower rates of perinatal morbidity where nulliparous low</w:t>
      </w:r>
      <w:r w:rsidR="008341BC">
        <w:t>-</w:t>
      </w:r>
      <w:r w:rsidR="00767B1A" w:rsidRPr="00CB32B1">
        <w:t xml:space="preserve">risk women are excluded, see </w:t>
      </w:r>
      <w:r w:rsidR="009129A6" w:rsidRPr="00CB32B1">
        <w:fldChar w:fldCharType="begin"/>
      </w:r>
      <w:r w:rsidR="00AA3C29" w:rsidRPr="00CB32B1">
        <w:instrText xml:space="preserve"> REF _Ref361224221 \h </w:instrText>
      </w:r>
      <w:r w:rsidR="009129A6" w:rsidRPr="00CB32B1">
        <w:fldChar w:fldCharType="separate"/>
      </w:r>
      <w:r w:rsidR="008816B4" w:rsidRPr="00CB32B1">
        <w:t xml:space="preserve">Table </w:t>
      </w:r>
      <w:r w:rsidR="008816B4">
        <w:rPr>
          <w:noProof/>
        </w:rPr>
        <w:t>43</w:t>
      </w:r>
      <w:r w:rsidR="009129A6" w:rsidRPr="00CB32B1">
        <w:fldChar w:fldCharType="end"/>
      </w:r>
      <w:r w:rsidR="00767B1A" w:rsidRPr="00CB32B1">
        <w:t>.</w:t>
      </w:r>
    </w:p>
    <w:p w:rsidR="00767B1A" w:rsidRPr="00CB32B1" w:rsidRDefault="00767B1A" w:rsidP="00767B1A">
      <w:pPr>
        <w:pStyle w:val="Caption"/>
      </w:pPr>
      <w:bookmarkStart w:id="157" w:name="_Ref361224208"/>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42</w:t>
      </w:r>
      <w:r w:rsidR="009129A6" w:rsidRPr="00CB32B1">
        <w:fldChar w:fldCharType="end"/>
      </w:r>
      <w:bookmarkEnd w:id="157"/>
      <w:r w:rsidRPr="00CB32B1">
        <w:t>:</w:t>
      </w:r>
      <w:r w:rsidRPr="00CB32B1">
        <w:tab/>
        <w:t>Example of findings from international academic studies on birthing interventions</w:t>
      </w:r>
    </w:p>
    <w:tbl>
      <w:tblPr>
        <w:tblStyle w:val="PwCTableStyle1"/>
        <w:tblW w:w="5000" w:type="pct"/>
        <w:tblLook w:val="04A0"/>
      </w:tblPr>
      <w:tblGrid>
        <w:gridCol w:w="1937"/>
        <w:gridCol w:w="7348"/>
      </w:tblGrid>
      <w:tr w:rsidR="00767B1A" w:rsidRPr="00CB32B1" w:rsidTr="00747120">
        <w:trPr>
          <w:cnfStyle w:val="100000000000"/>
        </w:trPr>
        <w:tc>
          <w:tcPr>
            <w:cnfStyle w:val="001000000000"/>
            <w:tcW w:w="1043" w:type="pct"/>
            <w:shd w:val="clear" w:color="auto" w:fill="DC6900" w:themeFill="text2"/>
            <w:vAlign w:val="center"/>
          </w:tcPr>
          <w:p w:rsidR="00767B1A" w:rsidRPr="00CB32B1" w:rsidRDefault="00496AD4" w:rsidP="00747120">
            <w:pPr>
              <w:pStyle w:val="TableColumnHeadingNormal"/>
            </w:pPr>
            <w:r>
              <w:t>Jurisdiction</w:t>
            </w:r>
          </w:p>
        </w:tc>
        <w:tc>
          <w:tcPr>
            <w:tcW w:w="3957" w:type="pct"/>
            <w:shd w:val="clear" w:color="auto" w:fill="DC6900" w:themeFill="text2"/>
            <w:vAlign w:val="center"/>
          </w:tcPr>
          <w:p w:rsidR="00767B1A" w:rsidRPr="00CB32B1" w:rsidRDefault="00767B1A" w:rsidP="00747120">
            <w:pPr>
              <w:pStyle w:val="TableColumnHeadingNormal"/>
              <w:cnfStyle w:val="100000000000"/>
            </w:pPr>
            <w:r w:rsidRPr="00CB32B1">
              <w:t>Finding from homebirths</w:t>
            </w:r>
          </w:p>
        </w:tc>
      </w:tr>
      <w:tr w:rsidR="00767B1A" w:rsidRPr="00CB32B1" w:rsidTr="00767B1A">
        <w:tc>
          <w:tcPr>
            <w:cnfStyle w:val="001000000000"/>
            <w:tcW w:w="1043" w:type="pct"/>
          </w:tcPr>
          <w:p w:rsidR="00767B1A" w:rsidRPr="00CB32B1" w:rsidRDefault="00767B1A" w:rsidP="00767B1A">
            <w:pPr>
              <w:pStyle w:val="TableTextNormal"/>
            </w:pPr>
            <w:r w:rsidRPr="00CB32B1">
              <w:t>British Columbia, Canada</w:t>
            </w:r>
          </w:p>
        </w:tc>
        <w:tc>
          <w:tcPr>
            <w:tcW w:w="3957" w:type="pct"/>
          </w:tcPr>
          <w:p w:rsidR="00767B1A" w:rsidRPr="00CB32B1" w:rsidRDefault="00767B1A" w:rsidP="00767B1A">
            <w:pPr>
              <w:pStyle w:val="TableTextNormal"/>
              <w:cnfStyle w:val="000000000000"/>
            </w:pPr>
            <w:r w:rsidRPr="00CB32B1">
              <w:t>Lower rates of birth trauma from subdural or cerebral haemorrhage, fracture of clavicle, long bones or skull, facial nerve injury, Erb’s palsy or unspecified.</w:t>
            </w:r>
          </w:p>
          <w:p w:rsidR="00767B1A" w:rsidRPr="00CB32B1" w:rsidRDefault="00767B1A" w:rsidP="00767B1A">
            <w:pPr>
              <w:pStyle w:val="TableTextNormal"/>
              <w:cnfStyle w:val="000000000000"/>
            </w:pPr>
            <w:r w:rsidRPr="00CB32B1">
              <w:t>Lower rates of resuscitation at birth.</w:t>
            </w:r>
          </w:p>
        </w:tc>
      </w:tr>
      <w:tr w:rsidR="00767B1A" w:rsidRPr="00CB32B1" w:rsidTr="00767B1A">
        <w:tc>
          <w:tcPr>
            <w:cnfStyle w:val="001000000000"/>
            <w:tcW w:w="1043" w:type="pct"/>
          </w:tcPr>
          <w:p w:rsidR="00767B1A" w:rsidRPr="00CB32B1" w:rsidRDefault="00767B1A" w:rsidP="00767B1A">
            <w:pPr>
              <w:pStyle w:val="TableTextNormal"/>
            </w:pPr>
            <w:r w:rsidRPr="00CB32B1">
              <w:t>Ontario, Canada</w:t>
            </w:r>
          </w:p>
        </w:tc>
        <w:tc>
          <w:tcPr>
            <w:tcW w:w="3957" w:type="pct"/>
          </w:tcPr>
          <w:p w:rsidR="00767B1A" w:rsidRPr="00CB32B1" w:rsidRDefault="00767B1A" w:rsidP="00767B1A">
            <w:pPr>
              <w:pStyle w:val="TableTextNormal"/>
              <w:cnfStyle w:val="000000000000"/>
            </w:pPr>
            <w:r w:rsidRPr="00CB32B1">
              <w:t>No increased rate of perinatal morbidity seen for homebirths provided by Ontario midwives.</w:t>
            </w:r>
          </w:p>
        </w:tc>
      </w:tr>
      <w:tr w:rsidR="00767B1A" w:rsidRPr="00CB32B1" w:rsidTr="00767B1A">
        <w:tc>
          <w:tcPr>
            <w:cnfStyle w:val="001000000000"/>
            <w:tcW w:w="1043" w:type="pct"/>
          </w:tcPr>
          <w:p w:rsidR="00767B1A" w:rsidRPr="00CB32B1" w:rsidRDefault="00767B1A" w:rsidP="00767B1A">
            <w:pPr>
              <w:pStyle w:val="TableTextNormal"/>
            </w:pPr>
            <w:r w:rsidRPr="00CB32B1">
              <w:t>England</w:t>
            </w:r>
          </w:p>
        </w:tc>
        <w:tc>
          <w:tcPr>
            <w:tcW w:w="3957" w:type="pct"/>
          </w:tcPr>
          <w:p w:rsidR="00767B1A" w:rsidRPr="00CB32B1" w:rsidRDefault="00767B1A" w:rsidP="00767B1A">
            <w:pPr>
              <w:pStyle w:val="TableTextNormal"/>
              <w:cnfStyle w:val="000000000000"/>
            </w:pPr>
            <w:r w:rsidRPr="00CB32B1">
              <w:t>Higher rates for a composite of adverse perinatal outcomes for nulliparous, low-risk women.</w:t>
            </w:r>
          </w:p>
        </w:tc>
      </w:tr>
    </w:tbl>
    <w:p w:rsidR="00767B1A" w:rsidRPr="00CB32B1" w:rsidRDefault="00767B1A" w:rsidP="00463352">
      <w:pPr>
        <w:pStyle w:val="Sources"/>
        <w:spacing w:after="40"/>
      </w:pPr>
      <w:r w:rsidRPr="00F35E00">
        <w:rPr>
          <w:b/>
        </w:rPr>
        <w:t>Source:</w:t>
      </w:r>
      <w:r w:rsidRPr="00CB32B1">
        <w:t xml:space="preserve"> </w:t>
      </w:r>
      <w:r w:rsidR="00D40A6B" w:rsidRPr="00CB32B1">
        <w:t>Janssen, Saxell, Page, Klein, Liston &amp; Lee2009; National Institute for Health Research, 2011.</w:t>
      </w:r>
    </w:p>
    <w:p w:rsidR="00767B1A" w:rsidRPr="00CB32B1" w:rsidRDefault="00767B1A" w:rsidP="00767B1A">
      <w:pPr>
        <w:pStyle w:val="PwCNormal"/>
      </w:pPr>
      <w:r w:rsidRPr="00CB32B1">
        <w:t xml:space="preserve">Consultations indicated that there are other </w:t>
      </w:r>
      <w:r w:rsidR="003E7530">
        <w:t>jurisdictions</w:t>
      </w:r>
      <w:r w:rsidRPr="00CB32B1">
        <w:t xml:space="preserve"> that have more sophisticated databases or research approaches to obtaining information on neonatal outcomes when compared to Australia. Examples internationally where relevant databases have been successfully created are:</w:t>
      </w:r>
    </w:p>
    <w:p w:rsidR="00767B1A" w:rsidRPr="00CB32B1" w:rsidRDefault="00767B1A" w:rsidP="00767B1A">
      <w:pPr>
        <w:pStyle w:val="ListBullet"/>
      </w:pPr>
      <w:r w:rsidRPr="003E7530">
        <w:rPr>
          <w:i/>
        </w:rPr>
        <w:t>The England Birthplace Cohort study</w:t>
      </w:r>
      <w:r w:rsidRPr="00CB32B1">
        <w:t xml:space="preserve"> has provided a full picture of birth practices and outcomes from those practices in England</w:t>
      </w:r>
      <w:r w:rsidRPr="00CB32B1">
        <w:rPr>
          <w:rStyle w:val="FootnoteReference"/>
        </w:rPr>
        <w:footnoteReference w:id="349"/>
      </w:r>
      <w:r w:rsidRPr="00CB32B1">
        <w:rPr>
          <w:rStyle w:val="FootnoteReference"/>
        </w:rPr>
        <w:t xml:space="preserve"> </w:t>
      </w:r>
    </w:p>
    <w:p w:rsidR="00767B1A" w:rsidRPr="00CB32B1" w:rsidRDefault="00767B1A" w:rsidP="00767B1A">
      <w:pPr>
        <w:pStyle w:val="ListBullet"/>
      </w:pPr>
      <w:r w:rsidRPr="00CB32B1">
        <w:t>The KNOV in the Netherlands monitors approximately 1,000 indicators for midwives and therefore has a large statistical database upon which to base studies</w:t>
      </w:r>
      <w:r w:rsidRPr="00CB32B1">
        <w:rPr>
          <w:rStyle w:val="FootnoteReference"/>
        </w:rPr>
        <w:footnoteReference w:id="350"/>
      </w:r>
      <w:r w:rsidRPr="00CB32B1">
        <w:t xml:space="preserve"> </w:t>
      </w:r>
    </w:p>
    <w:p w:rsidR="00767B1A" w:rsidRPr="00CB32B1" w:rsidRDefault="00767B1A" w:rsidP="00767B1A">
      <w:pPr>
        <w:pStyle w:val="ListBullet"/>
      </w:pPr>
      <w:r w:rsidRPr="00CB32B1">
        <w:t xml:space="preserve">BORN in </w:t>
      </w:r>
      <w:r w:rsidR="000A7B59" w:rsidRPr="00CB32B1">
        <w:t xml:space="preserve">the province of </w:t>
      </w:r>
      <w:r w:rsidRPr="00CB32B1">
        <w:t>Ontario</w:t>
      </w:r>
      <w:r w:rsidR="000A7B59" w:rsidRPr="00CB32B1">
        <w:t xml:space="preserve"> </w:t>
      </w:r>
      <w:r w:rsidRPr="00CB32B1">
        <w:t>records hospital and unit data for outcomes.</w:t>
      </w:r>
      <w:r w:rsidRPr="00CB32B1">
        <w:rPr>
          <w:rStyle w:val="FootnoteReference"/>
        </w:rPr>
        <w:footnoteReference w:id="351"/>
      </w:r>
      <w:r w:rsidRPr="00CB32B1">
        <w:t xml:space="preserve"> </w:t>
      </w:r>
    </w:p>
    <w:p w:rsidR="00767B1A" w:rsidRPr="00CB32B1" w:rsidRDefault="00767B1A" w:rsidP="00767B1A">
      <w:pPr>
        <w:pStyle w:val="PwCNormal"/>
      </w:pPr>
      <w:r w:rsidRPr="00CB32B1">
        <w:t>More sophisticated database or research approaches may be something that is considered in the future to implement in Australia, not only for the purpose of risk assessment for PPM, but more broadly for maternity service outcomes.</w:t>
      </w:r>
    </w:p>
    <w:p w:rsidR="00767B1A" w:rsidRPr="00CB32B1" w:rsidRDefault="00767B1A" w:rsidP="00767B1A">
      <w:pPr>
        <w:pStyle w:val="Majorheading"/>
      </w:pPr>
      <w:r w:rsidRPr="00CB32B1">
        <w:t>J.5.</w:t>
      </w:r>
      <w:r w:rsidRPr="00CB32B1">
        <w:tab/>
        <w:t>Situational influences</w:t>
      </w:r>
    </w:p>
    <w:p w:rsidR="00767B1A" w:rsidRPr="00CB32B1" w:rsidRDefault="00767B1A" w:rsidP="00767B1A">
      <w:pPr>
        <w:pStyle w:val="PwCNormal"/>
      </w:pPr>
      <w:r w:rsidRPr="00CB32B1">
        <w:t xml:space="preserve">As outlined in </w:t>
      </w:r>
      <w:r w:rsidR="00CB151C" w:rsidRPr="00CB32B1">
        <w:t>Chapter 3</w:t>
      </w:r>
      <w:r w:rsidRPr="00CB32B1">
        <w:t>, four conditions</w:t>
      </w:r>
      <w:r w:rsidR="003E7530">
        <w:t xml:space="preserve"> were identified</w:t>
      </w:r>
      <w:r w:rsidRPr="00CB32B1">
        <w:t xml:space="preserve"> as examples of situational influences that may impact upon the incidence of adverse outcomes:</w:t>
      </w:r>
    </w:p>
    <w:p w:rsidR="00767B1A" w:rsidRPr="00CB32B1" w:rsidRDefault="00767B1A" w:rsidP="00767B1A">
      <w:pPr>
        <w:pStyle w:val="ListBullet"/>
      </w:pPr>
      <w:r w:rsidRPr="00CB32B1">
        <w:rPr>
          <w:b/>
          <w:color w:val="DC6900" w:themeColor="text2"/>
        </w:rPr>
        <w:t>Risk profile of women:</w:t>
      </w:r>
      <w:r w:rsidRPr="00CB32B1">
        <w:t xml:space="preserve"> Services provided in the home to a caseload of mixed-risk women, ie both high and low-risk women</w:t>
      </w:r>
    </w:p>
    <w:p w:rsidR="00767B1A" w:rsidRPr="00CB32B1" w:rsidRDefault="00767B1A" w:rsidP="00767B1A">
      <w:pPr>
        <w:pStyle w:val="ListBullet"/>
      </w:pPr>
      <w:r w:rsidRPr="00CB32B1">
        <w:rPr>
          <w:b/>
          <w:color w:val="DC6900" w:themeColor="text2"/>
        </w:rPr>
        <w:t>Proximity to health services:</w:t>
      </w:r>
      <w:r w:rsidRPr="00CB32B1">
        <w:t xml:space="preserve"> The location of health services relative to the woman’s place of residence</w:t>
      </w:r>
    </w:p>
    <w:p w:rsidR="00767B1A" w:rsidRPr="00CB32B1" w:rsidRDefault="00767B1A" w:rsidP="00767B1A">
      <w:pPr>
        <w:pStyle w:val="ListBullet"/>
      </w:pPr>
      <w:r w:rsidRPr="00CB32B1">
        <w:rPr>
          <w:b/>
          <w:color w:val="DC6900" w:themeColor="text2"/>
        </w:rPr>
        <w:t>Practice of midwifery during homebirths:</w:t>
      </w:r>
      <w:r w:rsidRPr="00CB32B1">
        <w:t xml:space="preserve"> The number and types of interventions which occur from PPM activity in homebirths, given that PPMs are only meant to provide services for normal vaginal births</w:t>
      </w:r>
    </w:p>
    <w:p w:rsidR="00767B1A" w:rsidRPr="00CB32B1" w:rsidRDefault="00767B1A" w:rsidP="00767B1A">
      <w:pPr>
        <w:pStyle w:val="ListBullet"/>
      </w:pPr>
      <w:r w:rsidRPr="00CB32B1">
        <w:rPr>
          <w:b/>
          <w:color w:val="DC6900" w:themeColor="text2"/>
        </w:rPr>
        <w:t>Transfers from home to hospital:</w:t>
      </w:r>
      <w:r w:rsidRPr="00CB32B1">
        <w:t xml:space="preserve"> The outcomes from transfers to hospitals and the relative number of times where transfers occur.</w:t>
      </w:r>
    </w:p>
    <w:p w:rsidR="00767B1A" w:rsidRPr="00CB32B1" w:rsidRDefault="00767B1A" w:rsidP="00767B1A">
      <w:pPr>
        <w:pStyle w:val="Majorheading"/>
      </w:pPr>
      <w:r w:rsidRPr="00CB32B1">
        <w:t>Risk profile of women</w:t>
      </w:r>
    </w:p>
    <w:p w:rsidR="00767B1A" w:rsidRPr="00CB32B1" w:rsidRDefault="00767B1A" w:rsidP="00767B1A">
      <w:pPr>
        <w:pStyle w:val="PwCNormal"/>
      </w:pPr>
      <w:r w:rsidRPr="00CB32B1">
        <w:t>Currently, data is insufficient in Australia on the risk involved in the birth, for the following reasons:</w:t>
      </w:r>
    </w:p>
    <w:p w:rsidR="00767B1A" w:rsidRPr="00CB32B1" w:rsidRDefault="00767B1A" w:rsidP="00767B1A">
      <w:pPr>
        <w:pStyle w:val="ListBullet"/>
      </w:pPr>
      <w:r w:rsidRPr="00CB32B1">
        <w:rPr>
          <w:b/>
          <w:color w:val="DC6900" w:themeColor="text2"/>
        </w:rPr>
        <w:t>Definitions:</w:t>
      </w:r>
      <w:r w:rsidRPr="00CB32B1">
        <w:t xml:space="preserve"> Definitions of high-risk were absent in Australian studies for outcomes from homebirth</w:t>
      </w:r>
    </w:p>
    <w:p w:rsidR="00767B1A" w:rsidRPr="00CB32B1" w:rsidRDefault="00767B1A" w:rsidP="00767B1A">
      <w:pPr>
        <w:pStyle w:val="ListBullet"/>
      </w:pPr>
      <w:r w:rsidRPr="00CB32B1">
        <w:rPr>
          <w:b/>
          <w:color w:val="DC6900" w:themeColor="text2"/>
        </w:rPr>
        <w:t>Availability of data:</w:t>
      </w:r>
      <w:r w:rsidRPr="00CB32B1">
        <w:t xml:space="preserve"> There is no publicly available data for outcomes from homebirth by high and low-risk women</w:t>
      </w:r>
    </w:p>
    <w:p w:rsidR="00767B1A" w:rsidRPr="00CB32B1" w:rsidRDefault="003E7530" w:rsidP="00767B1A">
      <w:pPr>
        <w:pStyle w:val="ListBullet"/>
      </w:pPr>
      <w:r>
        <w:rPr>
          <w:b/>
          <w:color w:val="DC6900" w:themeColor="text2"/>
        </w:rPr>
        <w:t>Substitutes</w:t>
      </w:r>
      <w:r w:rsidR="00767B1A" w:rsidRPr="00CB32B1">
        <w:rPr>
          <w:b/>
          <w:color w:val="DC6900" w:themeColor="text2"/>
        </w:rPr>
        <w:t>:</w:t>
      </w:r>
      <w:r w:rsidR="00767B1A" w:rsidRPr="00CB32B1">
        <w:t xml:space="preserve"> International </w:t>
      </w:r>
      <w:r>
        <w:t>data substituted in the place of Australian data, relate to</w:t>
      </w:r>
      <w:r w:rsidR="00767B1A" w:rsidRPr="00CB32B1">
        <w:t xml:space="preserve"> outcomes based in different operating environments and definitions of high-risk.</w:t>
      </w:r>
    </w:p>
    <w:p w:rsidR="00767B1A" w:rsidRPr="00CB32B1" w:rsidRDefault="00767B1A" w:rsidP="00767B1A">
      <w:pPr>
        <w:pStyle w:val="Minorheading"/>
      </w:pPr>
      <w:r w:rsidRPr="00CB32B1">
        <w:t>Definitions</w:t>
      </w:r>
    </w:p>
    <w:p w:rsidR="000A7B59" w:rsidRPr="00CB32B1" w:rsidRDefault="00767B1A" w:rsidP="00767B1A">
      <w:pPr>
        <w:pStyle w:val="PwCNormal"/>
      </w:pPr>
      <w:r w:rsidRPr="00CB32B1">
        <w:t>High-risk is defined in the Department of Health WA guidelines as</w:t>
      </w:r>
      <w:r w:rsidR="000A7B59" w:rsidRPr="00CB32B1">
        <w:t>:</w:t>
      </w:r>
    </w:p>
    <w:p w:rsidR="000A7B59" w:rsidRPr="00CB32B1" w:rsidRDefault="00767B1A" w:rsidP="00D40A6B">
      <w:pPr>
        <w:pStyle w:val="Indent1"/>
        <w:rPr>
          <w:i/>
          <w:color w:val="DC6900" w:themeColor="text2"/>
        </w:rPr>
      </w:pPr>
      <w:r w:rsidRPr="00CB32B1">
        <w:rPr>
          <w:i/>
          <w:color w:val="DC6900" w:themeColor="text2"/>
        </w:rPr>
        <w:t>“the term used by clinicians to describe women who have a history of problems in a previous pregnancy or have an existing medical condition or have some potential risk of complications that might require speedy or specialist treatment.”</w:t>
      </w:r>
      <w:r w:rsidRPr="00CB32B1">
        <w:rPr>
          <w:rStyle w:val="FootnoteReference"/>
          <w:i/>
          <w:color w:val="DC6900" w:themeColor="text2"/>
        </w:rPr>
        <w:footnoteReference w:id="352"/>
      </w:r>
    </w:p>
    <w:p w:rsidR="00767B1A" w:rsidRPr="00CB32B1" w:rsidRDefault="00767B1A" w:rsidP="00767B1A">
      <w:pPr>
        <w:pStyle w:val="PwCNormal"/>
      </w:pPr>
      <w:r w:rsidRPr="00CB32B1">
        <w:t xml:space="preserve">However, not all studies have applied this definition, or studies did not define women as of lower or higher obstetric risk for the purpose of understanding outcomes from homebirth. </w:t>
      </w:r>
    </w:p>
    <w:p w:rsidR="00767B1A" w:rsidRPr="00CB32B1" w:rsidRDefault="00767B1A" w:rsidP="00767B1A">
      <w:pPr>
        <w:pStyle w:val="Minorheading"/>
      </w:pPr>
      <w:r w:rsidRPr="00CB32B1">
        <w:t>Availability of data</w:t>
      </w:r>
    </w:p>
    <w:p w:rsidR="003E7530" w:rsidRPr="00CB32B1" w:rsidRDefault="00767B1A" w:rsidP="003E7530">
      <w:pPr>
        <w:pStyle w:val="PwCNormal"/>
      </w:pPr>
      <w:r w:rsidRPr="00CB32B1">
        <w:t xml:space="preserve">Without consistency of definitions, it </w:t>
      </w:r>
      <w:r w:rsidR="003E7530">
        <w:t>is</w:t>
      </w:r>
      <w:r w:rsidRPr="00CB32B1">
        <w:t xml:space="preserve"> difficult to assess the potential for adverse outcomes</w:t>
      </w:r>
      <w:r w:rsidR="003E7530">
        <w:t xml:space="preserve"> to result</w:t>
      </w:r>
      <w:r w:rsidRPr="00CB32B1">
        <w:t>. Currently, information on characteristics of high</w:t>
      </w:r>
      <w:r w:rsidR="00D92F94">
        <w:t>-</w:t>
      </w:r>
      <w:r w:rsidRPr="00CB32B1">
        <w:t>risk women and of adverse outcomes is not available. Given that publicly available data do not show the outcomes for PPMs providing homebirth to either low or high</w:t>
      </w:r>
      <w:r w:rsidR="000B08C8">
        <w:t>-</w:t>
      </w:r>
      <w:r w:rsidRPr="00CB32B1">
        <w:t>risk women, journals were reviewed to understand homebirth outcomes. This review found that Australian journals did not have sufficient data to assess factors that may affec</w:t>
      </w:r>
      <w:r w:rsidR="003E7530">
        <w:t xml:space="preserve">t outcomes associated with high </w:t>
      </w:r>
      <w:r w:rsidRPr="00CB32B1">
        <w:t>and low-risk women.</w:t>
      </w:r>
      <w:r w:rsidR="003E7530" w:rsidRPr="003E7530">
        <w:t xml:space="preserve"> </w:t>
      </w:r>
      <w:r w:rsidR="003E7530" w:rsidRPr="00CB32B1">
        <w:t>In the ACM report,</w:t>
      </w:r>
      <w:r w:rsidR="003E7530" w:rsidRPr="00CB32B1">
        <w:rPr>
          <w:rStyle w:val="FootnoteReference"/>
        </w:rPr>
        <w:footnoteReference w:id="353"/>
      </w:r>
      <w:r w:rsidR="003E7530" w:rsidRPr="00CB32B1">
        <w:t xml:space="preserve"> women having homebirths who were of higher obstetric risk were noted. However in this case, the data sample size was not large enough to be able to reach a conclusion, e</w:t>
      </w:r>
      <w:r w:rsidR="003E7530">
        <w:t>ven if the data were available.</w:t>
      </w:r>
    </w:p>
    <w:p w:rsidR="00767B1A" w:rsidRPr="00CB32B1" w:rsidRDefault="00767B1A" w:rsidP="00767B1A">
      <w:pPr>
        <w:pStyle w:val="Minorheading"/>
      </w:pPr>
      <w:r w:rsidRPr="00CB32B1">
        <w:t>Proxies</w:t>
      </w:r>
    </w:p>
    <w:p w:rsidR="00767B1A" w:rsidRPr="00CB32B1" w:rsidRDefault="00767B1A" w:rsidP="00767B1A">
      <w:pPr>
        <w:pStyle w:val="PwCNormal"/>
      </w:pPr>
      <w:r w:rsidRPr="00CB32B1">
        <w:t xml:space="preserve">Even when high-risk is defined by international studies, there are differences (the impact of was not tested) seen across </w:t>
      </w:r>
      <w:r w:rsidR="003E7530">
        <w:t>jurisdictions</w:t>
      </w:r>
      <w:r w:rsidRPr="00CB32B1">
        <w:t>, including:</w:t>
      </w:r>
    </w:p>
    <w:p w:rsidR="00767B1A" w:rsidRPr="00CB32B1" w:rsidRDefault="00767B1A" w:rsidP="00767B1A">
      <w:pPr>
        <w:pStyle w:val="ListBullet"/>
      </w:pPr>
      <w:r w:rsidRPr="00CB32B1">
        <w:t>Different gestational ages</w:t>
      </w:r>
    </w:p>
    <w:p w:rsidR="00767B1A" w:rsidRPr="00CB32B1" w:rsidRDefault="00767B1A" w:rsidP="00767B1A">
      <w:pPr>
        <w:pStyle w:val="ListBullet"/>
      </w:pPr>
      <w:r w:rsidRPr="00CB32B1">
        <w:t>Inclusion of women who were transferred to hospital</w:t>
      </w:r>
      <w:r w:rsidR="000B08C8">
        <w:t xml:space="preserve"> or health services</w:t>
      </w:r>
    </w:p>
    <w:p w:rsidR="00767B1A" w:rsidRPr="00CB32B1" w:rsidRDefault="00767B1A" w:rsidP="00767B1A">
      <w:pPr>
        <w:pStyle w:val="ListBullet"/>
      </w:pPr>
      <w:r w:rsidRPr="00CB32B1">
        <w:t>Potential differences between the risks associated with medical conditions or obstetric risk</w:t>
      </w:r>
    </w:p>
    <w:p w:rsidR="00767B1A" w:rsidRPr="00CB32B1" w:rsidRDefault="00767B1A" w:rsidP="00767B1A">
      <w:pPr>
        <w:pStyle w:val="ListBullet"/>
      </w:pPr>
      <w:r w:rsidRPr="00CB32B1">
        <w:t>Induction or augmentation of the labour</w:t>
      </w:r>
    </w:p>
    <w:p w:rsidR="00767B1A" w:rsidRPr="00CB32B1" w:rsidRDefault="00767B1A" w:rsidP="00767B1A">
      <w:pPr>
        <w:pStyle w:val="ListBullet"/>
      </w:pPr>
      <w:r w:rsidRPr="00CB32B1">
        <w:t>Medical conditions occurring during labour, ie prolonged rupture of membranes.</w:t>
      </w:r>
    </w:p>
    <w:p w:rsidR="00767B1A" w:rsidRPr="00CB32B1" w:rsidRDefault="00767B1A" w:rsidP="0001118E">
      <w:pPr>
        <w:kinsoku/>
        <w:overflowPunct/>
        <w:autoSpaceDE/>
        <w:autoSpaceDN/>
        <w:adjustRightInd/>
        <w:snapToGrid/>
      </w:pPr>
      <w:r w:rsidRPr="00CB32B1">
        <w:t>As an example, a comparison of definitions of low</w:t>
      </w:r>
      <w:r w:rsidR="008341BC">
        <w:t>-</w:t>
      </w:r>
      <w:r w:rsidRPr="00CB32B1">
        <w:t>risk in the province of British Columbia</w:t>
      </w:r>
      <w:r w:rsidR="000B08C8">
        <w:t xml:space="preserve"> in Canada</w:t>
      </w:r>
      <w:r w:rsidRPr="00CB32B1">
        <w:t>, and the Netherlands in a series of cohort studies</w:t>
      </w:r>
      <w:r w:rsidR="00CD76BA">
        <w:t xml:space="preserve"> was completed</w:t>
      </w:r>
      <w:r w:rsidRPr="00CB32B1">
        <w:t>, as seen in</w:t>
      </w:r>
      <w:r w:rsidR="0001118E" w:rsidRPr="00CB32B1">
        <w:t xml:space="preserve"> </w:t>
      </w:r>
      <w:r w:rsidR="009129A6" w:rsidRPr="00CB32B1">
        <w:fldChar w:fldCharType="begin"/>
      </w:r>
      <w:r w:rsidR="0001118E" w:rsidRPr="00CB32B1">
        <w:instrText xml:space="preserve"> REF _Ref361224221 \h </w:instrText>
      </w:r>
      <w:r w:rsidR="009129A6" w:rsidRPr="00CB32B1">
        <w:fldChar w:fldCharType="separate"/>
      </w:r>
      <w:r w:rsidR="008816B4" w:rsidRPr="00CB32B1">
        <w:t xml:space="preserve">Table </w:t>
      </w:r>
      <w:r w:rsidR="008816B4">
        <w:rPr>
          <w:noProof/>
        </w:rPr>
        <w:t>43</w:t>
      </w:r>
      <w:r w:rsidR="009129A6" w:rsidRPr="00CB32B1">
        <w:fldChar w:fldCharType="end"/>
      </w:r>
      <w:r w:rsidRPr="00CB32B1">
        <w:t xml:space="preserve"> below.</w:t>
      </w:r>
    </w:p>
    <w:p w:rsidR="00767B1A" w:rsidRPr="00CB32B1" w:rsidRDefault="00767B1A" w:rsidP="00767B1A">
      <w:pPr>
        <w:pStyle w:val="Caption"/>
      </w:pPr>
      <w:bookmarkStart w:id="158" w:name="_Ref361224221"/>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43</w:t>
      </w:r>
      <w:r w:rsidR="009129A6" w:rsidRPr="00CB32B1">
        <w:fldChar w:fldCharType="end"/>
      </w:r>
      <w:bookmarkEnd w:id="158"/>
      <w:r w:rsidRPr="00CB32B1">
        <w:t>:</w:t>
      </w:r>
      <w:r w:rsidRPr="00CB32B1">
        <w:tab/>
        <w:t>Academic literature definitions of low-risk women</w:t>
      </w:r>
    </w:p>
    <w:tbl>
      <w:tblPr>
        <w:tblStyle w:val="PwCTableStyle1"/>
        <w:tblW w:w="5000" w:type="pct"/>
        <w:tblLook w:val="04A0"/>
      </w:tblPr>
      <w:tblGrid>
        <w:gridCol w:w="1308"/>
        <w:gridCol w:w="4753"/>
        <w:gridCol w:w="3224"/>
      </w:tblGrid>
      <w:tr w:rsidR="00767B1A" w:rsidRPr="00CB32B1" w:rsidTr="00B97DA3">
        <w:trPr>
          <w:cnfStyle w:val="100000000000"/>
        </w:trPr>
        <w:tc>
          <w:tcPr>
            <w:cnfStyle w:val="001000000000"/>
            <w:tcW w:w="704" w:type="pct"/>
            <w:shd w:val="clear" w:color="auto" w:fill="DC6900" w:themeFill="text2"/>
            <w:vAlign w:val="bottom"/>
          </w:tcPr>
          <w:p w:rsidR="00767B1A" w:rsidRPr="00CB32B1" w:rsidRDefault="00767B1A" w:rsidP="00767B1A">
            <w:pPr>
              <w:pStyle w:val="TableColumnHeadingNormal"/>
            </w:pPr>
          </w:p>
        </w:tc>
        <w:tc>
          <w:tcPr>
            <w:tcW w:w="2560" w:type="pct"/>
            <w:shd w:val="clear" w:color="auto" w:fill="DC6900" w:themeFill="text2"/>
            <w:vAlign w:val="center"/>
          </w:tcPr>
          <w:p w:rsidR="00767B1A" w:rsidRPr="00CB32B1" w:rsidRDefault="00767B1A" w:rsidP="00747120">
            <w:pPr>
              <w:pStyle w:val="TableColumnHeadingNormal"/>
              <w:cnfStyle w:val="100000000000"/>
            </w:pPr>
            <w:r w:rsidRPr="00CB32B1">
              <w:t>Classification</w:t>
            </w:r>
          </w:p>
        </w:tc>
        <w:tc>
          <w:tcPr>
            <w:tcW w:w="1736" w:type="pct"/>
            <w:shd w:val="clear" w:color="auto" w:fill="DC6900" w:themeFill="text2"/>
            <w:vAlign w:val="center"/>
          </w:tcPr>
          <w:p w:rsidR="00767B1A" w:rsidRPr="00CB32B1" w:rsidRDefault="00767B1A" w:rsidP="00747120">
            <w:pPr>
              <w:pStyle w:val="TableColumnHeadingNormal"/>
              <w:cnfStyle w:val="100000000000"/>
            </w:pPr>
            <w:r w:rsidRPr="00CB32B1">
              <w:t>Not included in definition</w:t>
            </w:r>
          </w:p>
        </w:tc>
      </w:tr>
      <w:tr w:rsidR="00767B1A" w:rsidRPr="00CB32B1" w:rsidTr="00B97DA3">
        <w:trPr>
          <w:trHeight w:val="4469"/>
        </w:trPr>
        <w:tc>
          <w:tcPr>
            <w:cnfStyle w:val="001000000000"/>
            <w:tcW w:w="704" w:type="pct"/>
          </w:tcPr>
          <w:p w:rsidR="00767B1A" w:rsidRPr="00CB32B1" w:rsidRDefault="00767B1A" w:rsidP="00767B1A">
            <w:pPr>
              <w:pStyle w:val="TableTextNormal"/>
            </w:pPr>
            <w:r w:rsidRPr="00CB32B1">
              <w:t>British Columbia, Canada</w:t>
            </w:r>
          </w:p>
        </w:tc>
        <w:tc>
          <w:tcPr>
            <w:tcW w:w="2560" w:type="pct"/>
          </w:tcPr>
          <w:p w:rsidR="00767B1A" w:rsidRPr="00CB32B1" w:rsidRDefault="00767B1A" w:rsidP="00767B1A">
            <w:pPr>
              <w:pStyle w:val="TableBullet1Normal"/>
              <w:cnfStyle w:val="000000000000"/>
            </w:pPr>
            <w:r w:rsidRPr="00CB32B1">
              <w:t>Gestational age greater than 36 and less than 41 completed weeks of pregnancy</w:t>
            </w:r>
          </w:p>
          <w:p w:rsidR="00767B1A" w:rsidRPr="00CB32B1" w:rsidRDefault="00767B1A" w:rsidP="00767B1A">
            <w:pPr>
              <w:pStyle w:val="TableBullet1Normal"/>
              <w:cnfStyle w:val="000000000000"/>
            </w:pPr>
            <w:r w:rsidRPr="00CB32B1">
              <w:t>Absence of significant pre-existing disease, including heart disease, hypertensive chronic renal disease or type 1 diabetes</w:t>
            </w:r>
          </w:p>
          <w:p w:rsidR="00767B1A" w:rsidRPr="00CB32B1" w:rsidRDefault="00767B1A" w:rsidP="00767B1A">
            <w:pPr>
              <w:pStyle w:val="TableBullet1Normal"/>
              <w:cnfStyle w:val="000000000000"/>
            </w:pPr>
            <w:r w:rsidRPr="00CB32B1">
              <w:t xml:space="preserve">Absence of significant disease arising during pregnancy, including pregnancy-induced hypertension with proteinuria (&gt;0.3 g/L), antepartum </w:t>
            </w:r>
            <w:r w:rsidR="006959C5" w:rsidRPr="00CB32B1">
              <w:t>haemorrhage</w:t>
            </w:r>
            <w:r w:rsidRPr="00CB32B1">
              <w:t xml:space="preserve"> after 20 weeks gestation, gestational diabetes requiring insulin, active genital herpes, placenta previa or placental abruption</w:t>
            </w:r>
          </w:p>
          <w:p w:rsidR="00767B1A" w:rsidRPr="00CB32B1" w:rsidRDefault="00767B1A" w:rsidP="00767B1A">
            <w:pPr>
              <w:pStyle w:val="TableBullet1Normal"/>
              <w:cnfStyle w:val="000000000000"/>
            </w:pPr>
            <w:r w:rsidRPr="00CB32B1">
              <w:t>Singleton fetus</w:t>
            </w:r>
          </w:p>
          <w:p w:rsidR="00767B1A" w:rsidRPr="00CB32B1" w:rsidRDefault="00767B1A" w:rsidP="00767B1A">
            <w:pPr>
              <w:pStyle w:val="TableBullet1Normal"/>
              <w:cnfStyle w:val="000000000000"/>
            </w:pPr>
            <w:r w:rsidRPr="00CB32B1">
              <w:t>Cephalic presentation</w:t>
            </w:r>
          </w:p>
          <w:p w:rsidR="00767B1A" w:rsidRPr="00CB32B1" w:rsidRDefault="00CD76BA" w:rsidP="00767B1A">
            <w:pPr>
              <w:pStyle w:val="TableBullet1Normal"/>
              <w:cnfStyle w:val="000000000000"/>
            </w:pPr>
            <w:r>
              <w:t>Woman has had no more than one</w:t>
            </w:r>
            <w:r w:rsidR="00767B1A" w:rsidRPr="00CB32B1">
              <w:t xml:space="preserve"> previous caesarean section</w:t>
            </w:r>
          </w:p>
          <w:p w:rsidR="00767B1A" w:rsidRPr="00CB32B1" w:rsidRDefault="00767B1A" w:rsidP="00767B1A">
            <w:pPr>
              <w:pStyle w:val="TableBullet1Normal"/>
              <w:cnfStyle w:val="000000000000"/>
            </w:pPr>
            <w:r w:rsidRPr="00CB32B1">
              <w:t>Labour is spontaneous or induced on an outpatient basis</w:t>
            </w:r>
          </w:p>
          <w:p w:rsidR="00767B1A" w:rsidRPr="00CB32B1" w:rsidRDefault="00767B1A" w:rsidP="00CD76BA">
            <w:pPr>
              <w:pStyle w:val="TableBullet1Normal"/>
              <w:cnfStyle w:val="000000000000"/>
            </w:pPr>
            <w:r w:rsidRPr="00CB32B1">
              <w:t>Woman has not been from a referring hospital</w:t>
            </w:r>
          </w:p>
        </w:tc>
        <w:tc>
          <w:tcPr>
            <w:tcW w:w="1736" w:type="pct"/>
          </w:tcPr>
          <w:p w:rsidR="00767B1A" w:rsidRPr="00CB32B1" w:rsidRDefault="00767B1A" w:rsidP="00767B1A">
            <w:pPr>
              <w:pStyle w:val="TableBullet1Normal"/>
              <w:cnfStyle w:val="000000000000"/>
            </w:pPr>
            <w:r w:rsidRPr="00CB32B1">
              <w:t>Excluded:</w:t>
            </w:r>
          </w:p>
          <w:p w:rsidR="00767B1A" w:rsidRPr="00CB32B1" w:rsidRDefault="00767B1A" w:rsidP="00767B1A">
            <w:pPr>
              <w:pStyle w:val="TableBullet2Normal"/>
              <w:cnfStyle w:val="000000000000"/>
            </w:pPr>
            <w:r w:rsidRPr="00CB32B1">
              <w:t>Planned homebirths during which the fetal presentation was determined to be breech after the onset of labour</w:t>
            </w:r>
          </w:p>
          <w:p w:rsidR="00767B1A" w:rsidRPr="00CB32B1" w:rsidRDefault="000B08C8" w:rsidP="00767B1A">
            <w:pPr>
              <w:pStyle w:val="TableBullet1Normal"/>
              <w:cnfStyle w:val="000000000000"/>
            </w:pPr>
            <w:r>
              <w:t>Women who had had a</w:t>
            </w:r>
            <w:r w:rsidR="00767B1A" w:rsidRPr="00CB32B1">
              <w:t xml:space="preserve"> previous caesarean birth, because these women are ineligible for homebirth</w:t>
            </w:r>
          </w:p>
        </w:tc>
      </w:tr>
      <w:tr w:rsidR="00767B1A" w:rsidRPr="00CB32B1" w:rsidTr="00B97DA3">
        <w:tc>
          <w:tcPr>
            <w:cnfStyle w:val="001000000000"/>
            <w:tcW w:w="704" w:type="pct"/>
          </w:tcPr>
          <w:p w:rsidR="00767B1A" w:rsidRPr="00CB32B1" w:rsidRDefault="00767B1A" w:rsidP="00767B1A">
            <w:pPr>
              <w:pStyle w:val="TableTextNormal"/>
              <w:keepNext/>
              <w:keepLines/>
            </w:pPr>
            <w:r w:rsidRPr="00CB32B1">
              <w:t>The Netherlands</w:t>
            </w:r>
          </w:p>
        </w:tc>
        <w:tc>
          <w:tcPr>
            <w:tcW w:w="2560" w:type="pct"/>
          </w:tcPr>
          <w:p w:rsidR="00767B1A" w:rsidRPr="00CB32B1" w:rsidRDefault="00767B1A" w:rsidP="00767B1A">
            <w:pPr>
              <w:pStyle w:val="TableBullet1Normal"/>
              <w:keepNext/>
              <w:keepLines/>
              <w:cnfStyle w:val="000000000000"/>
            </w:pPr>
            <w:r w:rsidRPr="00CB32B1">
              <w:t>Women who gave birth between 37 and 42 weeks gestation to a single fetus</w:t>
            </w:r>
          </w:p>
          <w:p w:rsidR="00767B1A" w:rsidRPr="00CB32B1" w:rsidRDefault="00767B1A" w:rsidP="00767B1A">
            <w:pPr>
              <w:pStyle w:val="TableBullet1Normal"/>
              <w:keepNext/>
              <w:keepLines/>
              <w:cnfStyle w:val="000000000000"/>
            </w:pPr>
            <w:r w:rsidRPr="00CB32B1">
              <w:t>No medical or obstetric risk factors that were known before labour, such as non-cephalic presentation or a previous caesarean section</w:t>
            </w:r>
          </w:p>
          <w:p w:rsidR="00767B1A" w:rsidRPr="00CB32B1" w:rsidRDefault="00767B1A" w:rsidP="00767B1A">
            <w:pPr>
              <w:pStyle w:val="TableBullet1Normal"/>
              <w:keepNext/>
              <w:keepLines/>
              <w:cnfStyle w:val="000000000000"/>
            </w:pPr>
            <w:r w:rsidRPr="00CB32B1">
              <w:t>Women in study who planned a homebirth who may have ended up giving birth hospital</w:t>
            </w:r>
          </w:p>
        </w:tc>
        <w:tc>
          <w:tcPr>
            <w:tcW w:w="1736" w:type="pct"/>
          </w:tcPr>
          <w:p w:rsidR="00767B1A" w:rsidRPr="00CB32B1" w:rsidRDefault="00767B1A" w:rsidP="00767B1A">
            <w:pPr>
              <w:pStyle w:val="TableBullet1Normal"/>
              <w:keepNext/>
              <w:keepLines/>
              <w:cnfStyle w:val="000000000000"/>
            </w:pPr>
            <w:r w:rsidRPr="00CB32B1">
              <w:t>Women classified as medium risk, ie to be looked after by secondary care due to previous postpartum haemorrhage</w:t>
            </w:r>
          </w:p>
          <w:p w:rsidR="00767B1A" w:rsidRPr="00CB32B1" w:rsidRDefault="00767B1A" w:rsidP="00767B1A">
            <w:pPr>
              <w:pStyle w:val="TableBullet1Normal"/>
              <w:keepNext/>
              <w:keepLines/>
              <w:cnfStyle w:val="000000000000"/>
            </w:pPr>
            <w:r w:rsidRPr="00CB32B1">
              <w:t>Women who had prolonged rupture of membranes (more than 24 hours) without contractions, intrauterine death before labour started or a child with a congenital abnormality</w:t>
            </w:r>
          </w:p>
        </w:tc>
      </w:tr>
    </w:tbl>
    <w:p w:rsidR="00767B1A" w:rsidRPr="00CB32B1" w:rsidRDefault="00767B1A" w:rsidP="00767B1A">
      <w:pPr>
        <w:pStyle w:val="Sources"/>
      </w:pPr>
      <w:r w:rsidRPr="00CB32B1">
        <w:rPr>
          <w:b/>
        </w:rPr>
        <w:t>Sources:</w:t>
      </w:r>
      <w:r w:rsidRPr="00CB32B1">
        <w:t xml:space="preserve"> </w:t>
      </w:r>
      <w:r w:rsidR="00D40A6B" w:rsidRPr="00CB32B1">
        <w:t>Janssen, Saxell, Page, Klein, Liston &amp; Lee 2009; de Jonge, van der Goes, Ravelli, Amelink-Verburg, Mol</w:t>
      </w:r>
      <w:r w:rsidR="00C97690" w:rsidRPr="00CB32B1">
        <w:t>, Nijhuis</w:t>
      </w:r>
      <w:r w:rsidR="00D40A6B" w:rsidRPr="00CB32B1">
        <w:t>, Benneb</w:t>
      </w:r>
      <w:r w:rsidR="00C97690" w:rsidRPr="00CB32B1">
        <w:t>roek Gravenhorst</w:t>
      </w:r>
      <w:r w:rsidR="00D40A6B" w:rsidRPr="00CB32B1">
        <w:t xml:space="preserve"> &amp; Butiendijk 2009.</w:t>
      </w:r>
    </w:p>
    <w:p w:rsidR="00767B1A" w:rsidRPr="00CB32B1" w:rsidRDefault="00767B1A" w:rsidP="00767B1A">
      <w:pPr>
        <w:pStyle w:val="Majorheading"/>
      </w:pPr>
      <w:r w:rsidRPr="00CB32B1">
        <w:t>Proximity to health services</w:t>
      </w:r>
    </w:p>
    <w:p w:rsidR="00767B1A" w:rsidRPr="00CB32B1" w:rsidRDefault="00767B1A" w:rsidP="00767B1A">
      <w:pPr>
        <w:pStyle w:val="PwCNormal"/>
      </w:pPr>
      <w:r w:rsidRPr="00CB32B1">
        <w:t>It was indicated in consultations that geographic issues are believed to be strongly associated with the transfer time taken to transport the woman and/or child from home to hospital and the options for referral of care.</w:t>
      </w:r>
      <w:r w:rsidRPr="00CB32B1">
        <w:rPr>
          <w:rStyle w:val="FootnoteReference"/>
        </w:rPr>
        <w:footnoteReference w:id="354"/>
      </w:r>
      <w:r w:rsidRPr="00CB32B1">
        <w:t xml:space="preserve"> There was limited data identified in Australia that demonstrated the distance between services provided in the home and options for referred care (eg health services).</w:t>
      </w:r>
    </w:p>
    <w:p w:rsidR="00767B1A" w:rsidRPr="00CB32B1" w:rsidRDefault="00767B1A" w:rsidP="00767B1A">
      <w:pPr>
        <w:pStyle w:val="PwCNormal"/>
      </w:pPr>
      <w:r w:rsidRPr="00CB32B1">
        <w:t>From consultations with insurers in the Netherlands, it was identified that homebirth services delivered geographically further from care may have an increase</w:t>
      </w:r>
      <w:r w:rsidR="009C0172">
        <w:t>d</w:t>
      </w:r>
      <w:r w:rsidRPr="00CB32B1">
        <w:t xml:space="preserve"> risk profile.</w:t>
      </w:r>
      <w:r w:rsidRPr="00CB32B1">
        <w:rPr>
          <w:rStyle w:val="FootnoteReference"/>
        </w:rPr>
        <w:footnoteReference w:id="355"/>
      </w:r>
      <w:r w:rsidRPr="00CB32B1">
        <w:t xml:space="preserve"> With this in mind, data on the distance of homes to alternate referral health services, and on the associated transfer time, as well as the time associated with the birth appear to be insufficiently known for the purposes of establishing a risk profile, as the distance from place of referral is not publicly recorded in Australia.</w:t>
      </w:r>
    </w:p>
    <w:p w:rsidR="00767B1A" w:rsidRPr="00CB32B1" w:rsidRDefault="00767B1A" w:rsidP="00767B1A">
      <w:pPr>
        <w:pStyle w:val="Minorheading"/>
      </w:pPr>
      <w:r w:rsidRPr="00CB32B1">
        <w:t>Distance</w:t>
      </w:r>
    </w:p>
    <w:p w:rsidR="00767B1A" w:rsidRPr="00CB32B1" w:rsidRDefault="00767B1A" w:rsidP="00767B1A">
      <w:pPr>
        <w:pStyle w:val="PwCNormal"/>
      </w:pPr>
      <w:r w:rsidRPr="00CB32B1">
        <w:t>Homebirths currently recorded by AIHW outline the ABS remoteness area of woman’s usual residence. For the purposes of determining a risk profile, this has limitations as it does not:</w:t>
      </w:r>
    </w:p>
    <w:p w:rsidR="00767B1A" w:rsidRPr="00CB32B1" w:rsidRDefault="00767B1A" w:rsidP="00767B1A">
      <w:pPr>
        <w:pStyle w:val="ListBullet"/>
      </w:pPr>
      <w:r w:rsidRPr="00CB32B1">
        <w:t>Show how far away the woman’s residence is from referral health practitioners</w:t>
      </w:r>
    </w:p>
    <w:p w:rsidR="00767B1A" w:rsidRPr="00CB32B1" w:rsidRDefault="00767B1A" w:rsidP="00767B1A">
      <w:pPr>
        <w:pStyle w:val="ListBullet"/>
      </w:pPr>
      <w:r w:rsidRPr="00CB32B1">
        <w:t>Demonstrate how far away a PPM is trav</w:t>
      </w:r>
      <w:r w:rsidR="00CB1BAB" w:rsidRPr="00CB32B1">
        <w:t>elling to the woman’s residence</w:t>
      </w:r>
      <w:r w:rsidR="009C0172">
        <w:t>.</w:t>
      </w:r>
    </w:p>
    <w:p w:rsidR="00767B1A" w:rsidRPr="00CB32B1" w:rsidRDefault="00767B1A" w:rsidP="00767B1A">
      <w:pPr>
        <w:pStyle w:val="PwCNormal"/>
      </w:pPr>
      <w:r w:rsidRPr="00CB32B1">
        <w:t xml:space="preserve">For example, </w:t>
      </w:r>
      <w:r w:rsidR="009129A6" w:rsidRPr="00CB32B1">
        <w:fldChar w:fldCharType="begin"/>
      </w:r>
      <w:r w:rsidR="00EB2051" w:rsidRPr="00CB32B1">
        <w:instrText xml:space="preserve"> REF _Ref361223441 \h </w:instrText>
      </w:r>
      <w:r w:rsidR="009129A6" w:rsidRPr="00CB32B1">
        <w:fldChar w:fldCharType="separate"/>
      </w:r>
      <w:r w:rsidR="008816B4" w:rsidRPr="00CB32B1">
        <w:t xml:space="preserve">Figure </w:t>
      </w:r>
      <w:r w:rsidR="008816B4">
        <w:rPr>
          <w:noProof/>
        </w:rPr>
        <w:t>17</w:t>
      </w:r>
      <w:r w:rsidR="009129A6" w:rsidRPr="00CB32B1">
        <w:fldChar w:fldCharType="end"/>
      </w:r>
      <w:r w:rsidRPr="00CB32B1">
        <w:t xml:space="preserve"> contains information from the AIHW, showing that most births are in major cities and inner regional areas. </w:t>
      </w:r>
      <w:r w:rsidR="00CD76BA">
        <w:t>However,</w:t>
      </w:r>
      <w:r w:rsidRPr="00CB32B1">
        <w:t xml:space="preserve"> </w:t>
      </w:r>
      <w:r w:rsidR="009C0172">
        <w:t xml:space="preserve">this </w:t>
      </w:r>
      <w:r w:rsidRPr="00CB32B1">
        <w:t>does not indicate the timings and distances for those women to be safely transferred to a referral health service (eg health service).</w:t>
      </w:r>
    </w:p>
    <w:p w:rsidR="00767B1A" w:rsidRPr="00CB32B1" w:rsidRDefault="00767B1A" w:rsidP="00270634">
      <w:pPr>
        <w:pStyle w:val="NumericCaption"/>
      </w:pPr>
      <w:bookmarkStart w:id="159" w:name="_Ref361223441"/>
      <w:r w:rsidRPr="00CB32B1">
        <w:t xml:space="preserve">Figure </w:t>
      </w:r>
      <w:r w:rsidR="009129A6" w:rsidRPr="00CB32B1">
        <w:fldChar w:fldCharType="begin"/>
      </w:r>
      <w:r w:rsidRPr="00CB32B1">
        <w:instrText xml:space="preserve"> SEQ Figure \* ARABIC </w:instrText>
      </w:r>
      <w:r w:rsidR="009129A6" w:rsidRPr="00CB32B1">
        <w:fldChar w:fldCharType="separate"/>
      </w:r>
      <w:r w:rsidR="008816B4">
        <w:rPr>
          <w:noProof/>
        </w:rPr>
        <w:t>17</w:t>
      </w:r>
      <w:r w:rsidR="009129A6" w:rsidRPr="00CB32B1">
        <w:fldChar w:fldCharType="end"/>
      </w:r>
      <w:bookmarkEnd w:id="159"/>
      <w:r w:rsidR="00270634" w:rsidRPr="00CB32B1">
        <w:t xml:space="preserve">: </w:t>
      </w:r>
      <w:r w:rsidR="0001118E" w:rsidRPr="00CB32B1">
        <w:t>Number of homebirths by remoteness area of woman’s usual residence</w:t>
      </w:r>
    </w:p>
    <w:p w:rsidR="00767B1A" w:rsidRPr="00CB32B1" w:rsidRDefault="007B421B" w:rsidP="00A44E81">
      <w:pPr>
        <w:pStyle w:val="PwCNormal"/>
        <w:jc w:val="center"/>
      </w:pPr>
      <w:r w:rsidRPr="001E2724">
        <w:rPr>
          <w:noProof/>
          <w:lang w:val="en-US"/>
        </w:rPr>
        <w:drawing>
          <wp:inline distT="0" distB="0" distL="0" distR="0">
            <wp:extent cx="4230094" cy="2268996"/>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39503" cy="2274043"/>
                    </a:xfrm>
                    <a:prstGeom prst="rect">
                      <a:avLst/>
                    </a:prstGeom>
                    <a:noFill/>
                    <a:ln>
                      <a:noFill/>
                    </a:ln>
                  </pic:spPr>
                </pic:pic>
              </a:graphicData>
            </a:graphic>
          </wp:inline>
        </w:drawing>
      </w:r>
    </w:p>
    <w:p w:rsidR="00767B1A" w:rsidRPr="00CB32B1" w:rsidRDefault="00767B1A" w:rsidP="00767B1A">
      <w:pPr>
        <w:pStyle w:val="Sources"/>
      </w:pPr>
      <w:r w:rsidRPr="00CB32B1">
        <w:rPr>
          <w:b/>
        </w:rPr>
        <w:t>Source:</w:t>
      </w:r>
      <w:r w:rsidRPr="00CB32B1">
        <w:t xml:space="preserve"> A</w:t>
      </w:r>
      <w:r w:rsidR="00894387" w:rsidRPr="00CB32B1">
        <w:t>ustralian Institute of Health and Welfare, 200</w:t>
      </w:r>
      <w:r w:rsidR="00865724">
        <w:t>6</w:t>
      </w:r>
      <w:r w:rsidR="00F94B0D">
        <w:t>-</w:t>
      </w:r>
      <w:r w:rsidR="00894387" w:rsidRPr="00CB32B1">
        <w:t>201</w:t>
      </w:r>
      <w:r w:rsidR="00865724">
        <w:t>1</w:t>
      </w:r>
      <w:r w:rsidR="00894387" w:rsidRPr="00CB32B1">
        <w:t>.</w:t>
      </w:r>
    </w:p>
    <w:p w:rsidR="00767B1A" w:rsidRPr="00CB32B1" w:rsidRDefault="00767B1A" w:rsidP="00767B1A">
      <w:pPr>
        <w:pStyle w:val="Majorheading"/>
      </w:pPr>
      <w:r w:rsidRPr="00CB32B1">
        <w:t>Practice of midwifery during homebirths</w:t>
      </w:r>
    </w:p>
    <w:p w:rsidR="00767B1A" w:rsidRPr="00CB32B1" w:rsidRDefault="00767B1A" w:rsidP="00767B1A">
      <w:pPr>
        <w:pStyle w:val="PwCNormal"/>
      </w:pPr>
      <w:r w:rsidRPr="00CB32B1">
        <w:t>Research completed highlighted an uncertainty around the number and types of interventions in homebirth provided by PPMs in Australia. There appears to be insufficient data to understand if a PPM is operating within</w:t>
      </w:r>
      <w:r w:rsidR="00CD76BA">
        <w:t xml:space="preserve"> their</w:t>
      </w:r>
      <w:r w:rsidRPr="00CB32B1">
        <w:t xml:space="preserve"> scope of </w:t>
      </w:r>
      <w:r w:rsidR="00C97690" w:rsidRPr="00CB32B1">
        <w:t>prac</w:t>
      </w:r>
      <w:r w:rsidR="009C0172">
        <w:t>t</w:t>
      </w:r>
      <w:r w:rsidR="00C97690" w:rsidRPr="00CB32B1">
        <w:t>ice</w:t>
      </w:r>
      <w:r w:rsidRPr="00CB32B1">
        <w:t xml:space="preserve"> and to understand the causal relationship and likelihood of an incidence occurring where there are a greater number of interventions.</w:t>
      </w:r>
    </w:p>
    <w:p w:rsidR="00767B1A" w:rsidRPr="00CB32B1" w:rsidRDefault="00767B1A" w:rsidP="00767B1A">
      <w:pPr>
        <w:pStyle w:val="PwCNormal"/>
      </w:pPr>
      <w:r w:rsidRPr="00CB32B1">
        <w:t>From a review of literature and publicly available data, issues identified with the current data set include a lack of data on:</w:t>
      </w:r>
    </w:p>
    <w:p w:rsidR="00767B1A" w:rsidRPr="00CB32B1" w:rsidRDefault="00767B1A" w:rsidP="00767B1A">
      <w:pPr>
        <w:pStyle w:val="ListBullet"/>
      </w:pPr>
      <w:r w:rsidRPr="00CB32B1">
        <w:rPr>
          <w:b/>
          <w:color w:val="DC6900" w:themeColor="text2"/>
        </w:rPr>
        <w:t>Care outside practice:</w:t>
      </w:r>
      <w:r w:rsidRPr="00CB32B1">
        <w:t xml:space="preserve"> Publicly available data o</w:t>
      </w:r>
      <w:r w:rsidR="009C0172">
        <w:t>n</w:t>
      </w:r>
      <w:r w:rsidRPr="00CB32B1">
        <w:t xml:space="preserve"> the numbers of PPMs providing care outside of the practice of a normal vaginal birth or why the PPM </w:t>
      </w:r>
      <w:r w:rsidR="009C0172">
        <w:t xml:space="preserve">either </w:t>
      </w:r>
      <w:r w:rsidRPr="00CB32B1">
        <w:t>provided care in this form or intervened (if appropriate)</w:t>
      </w:r>
    </w:p>
    <w:p w:rsidR="00767B1A" w:rsidRPr="00CB32B1" w:rsidRDefault="00767B1A" w:rsidP="00767B1A">
      <w:pPr>
        <w:pStyle w:val="ListBullet"/>
      </w:pPr>
      <w:r w:rsidRPr="00CB32B1">
        <w:rPr>
          <w:b/>
          <w:color w:val="DC6900" w:themeColor="text2"/>
        </w:rPr>
        <w:t>Medication:</w:t>
      </w:r>
      <w:r w:rsidRPr="00CB32B1">
        <w:t xml:space="preserve"> Publicly available data for number of PPMs prescribing drugs to induce or for pain relief during birth.</w:t>
      </w:r>
    </w:p>
    <w:p w:rsidR="00767B1A" w:rsidRPr="00CB32B1" w:rsidRDefault="00767B1A" w:rsidP="00767B1A">
      <w:pPr>
        <w:pStyle w:val="PwCNormal"/>
      </w:pPr>
      <w:r w:rsidRPr="00CB32B1">
        <w:t xml:space="preserve">As with the other situational influences, international and national </w:t>
      </w:r>
      <w:r w:rsidR="00CD76BA">
        <w:t>sustainable data</w:t>
      </w:r>
      <w:r w:rsidRPr="00CB32B1">
        <w:t xml:space="preserve"> in this area appear insufficient and limited in being able to understand PPM activity.</w:t>
      </w:r>
    </w:p>
    <w:p w:rsidR="00767B1A" w:rsidRPr="00CB32B1" w:rsidRDefault="00767B1A" w:rsidP="00767B1A">
      <w:pPr>
        <w:pStyle w:val="Minorheading"/>
      </w:pPr>
      <w:r w:rsidRPr="00CB32B1">
        <w:t>Care outside of practice</w:t>
      </w:r>
    </w:p>
    <w:p w:rsidR="00767B1A" w:rsidRPr="00CB32B1" w:rsidRDefault="00767B1A" w:rsidP="0001118E">
      <w:pPr>
        <w:kinsoku/>
        <w:overflowPunct/>
        <w:autoSpaceDE/>
        <w:autoSpaceDN/>
        <w:adjustRightInd/>
        <w:snapToGrid/>
      </w:pPr>
      <w:r w:rsidRPr="00CB32B1">
        <w:t xml:space="preserve">Consultations highlighted that actual interventions used by PPMs are not well known, and therefore do not appear to be documented publicly. AIHW statistics on rates of interventions as shown in </w:t>
      </w:r>
      <w:r w:rsidR="009129A6" w:rsidRPr="00CB32B1">
        <w:fldChar w:fldCharType="begin"/>
      </w:r>
      <w:r w:rsidR="0001118E" w:rsidRPr="00CB32B1">
        <w:instrText xml:space="preserve"> REF _Ref361327552 \h </w:instrText>
      </w:r>
      <w:r w:rsidR="009129A6" w:rsidRPr="00CB32B1">
        <w:fldChar w:fldCharType="separate"/>
      </w:r>
      <w:r w:rsidR="008816B4" w:rsidRPr="00CB32B1">
        <w:t xml:space="preserve">Table </w:t>
      </w:r>
      <w:r w:rsidR="008816B4">
        <w:rPr>
          <w:noProof/>
        </w:rPr>
        <w:t>44</w:t>
      </w:r>
      <w:r w:rsidR="009129A6" w:rsidRPr="00CB32B1">
        <w:fldChar w:fldCharType="end"/>
      </w:r>
      <w:r w:rsidR="0001118E" w:rsidRPr="00CB32B1">
        <w:t xml:space="preserve"> </w:t>
      </w:r>
      <w:r w:rsidRPr="00CB32B1">
        <w:t>outline that for homebirths, the majority have no interventions and are normal vaginal births.</w:t>
      </w:r>
      <w:r w:rsidRPr="00CB32B1">
        <w:rPr>
          <w:rStyle w:val="FootnoteReference"/>
        </w:rPr>
        <w:footnoteReference w:id="356"/>
      </w:r>
    </w:p>
    <w:p w:rsidR="00767B1A" w:rsidRPr="00CB32B1" w:rsidRDefault="00767B1A" w:rsidP="0001118E">
      <w:pPr>
        <w:pStyle w:val="NumericCaption"/>
      </w:pPr>
      <w:bookmarkStart w:id="160" w:name="_Ref361224231"/>
      <w:bookmarkStart w:id="161" w:name="_Ref361327552"/>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44</w:t>
      </w:r>
      <w:r w:rsidR="009129A6" w:rsidRPr="00CB32B1">
        <w:fldChar w:fldCharType="end"/>
      </w:r>
      <w:bookmarkEnd w:id="160"/>
      <w:bookmarkEnd w:id="161"/>
      <w:r w:rsidRPr="00CB32B1">
        <w:t>:</w:t>
      </w:r>
      <w:r w:rsidRPr="00CB32B1">
        <w:tab/>
        <w:t>Number of normal vaginal births</w:t>
      </w:r>
    </w:p>
    <w:tbl>
      <w:tblPr>
        <w:tblStyle w:val="PwCTableStyle1"/>
        <w:tblW w:w="5127" w:type="pct"/>
        <w:tblLayout w:type="fixed"/>
        <w:tblLook w:val="04A0"/>
      </w:tblPr>
      <w:tblGrid>
        <w:gridCol w:w="1976"/>
        <w:gridCol w:w="1077"/>
        <w:gridCol w:w="1078"/>
        <w:gridCol w:w="1078"/>
        <w:gridCol w:w="1078"/>
        <w:gridCol w:w="1078"/>
        <w:gridCol w:w="1078"/>
        <w:gridCol w:w="1078"/>
      </w:tblGrid>
      <w:tr w:rsidR="00767B1A" w:rsidRPr="00CB32B1" w:rsidTr="00747120">
        <w:trPr>
          <w:cnfStyle w:val="100000000000"/>
          <w:trHeight w:val="300"/>
        </w:trPr>
        <w:tc>
          <w:tcPr>
            <w:cnfStyle w:val="001000000000"/>
            <w:tcW w:w="1038" w:type="pct"/>
            <w:shd w:val="clear" w:color="auto" w:fill="DC6900" w:themeFill="text2"/>
            <w:noWrap/>
            <w:vAlign w:val="center"/>
            <w:hideMark/>
          </w:tcPr>
          <w:p w:rsidR="00767B1A" w:rsidRPr="00CB32B1" w:rsidRDefault="00767B1A" w:rsidP="0001118E">
            <w:pPr>
              <w:pStyle w:val="NumericTableColumnHeadingNormal"/>
              <w:rPr>
                <w:rFonts w:asciiTheme="majorHAnsi" w:hAnsiTheme="majorHAnsi"/>
              </w:rPr>
            </w:pPr>
            <w:r w:rsidRPr="00CB32B1">
              <w:rPr>
                <w:rFonts w:asciiTheme="majorHAnsi" w:hAnsiTheme="majorHAnsi"/>
              </w:rPr>
              <w:t>Method of birth</w:t>
            </w:r>
          </w:p>
        </w:tc>
        <w:tc>
          <w:tcPr>
            <w:tcW w:w="566" w:type="pct"/>
            <w:shd w:val="clear" w:color="auto" w:fill="DC6900" w:themeFill="text2"/>
            <w:noWrap/>
            <w:vAlign w:val="center"/>
            <w:hideMark/>
          </w:tcPr>
          <w:p w:rsidR="00767B1A" w:rsidRPr="00CB32B1" w:rsidRDefault="00767B1A" w:rsidP="0001118E">
            <w:pPr>
              <w:pStyle w:val="NumericTableColumnHeadingNormal"/>
              <w:jc w:val="center"/>
              <w:cnfStyle w:val="100000000000"/>
              <w:rPr>
                <w:rFonts w:asciiTheme="majorHAnsi" w:hAnsiTheme="majorHAnsi"/>
              </w:rPr>
            </w:pPr>
            <w:r w:rsidRPr="00CB32B1">
              <w:rPr>
                <w:rFonts w:asciiTheme="majorHAnsi" w:hAnsiTheme="majorHAnsi"/>
              </w:rPr>
              <w:t>2004</w:t>
            </w:r>
          </w:p>
        </w:tc>
        <w:tc>
          <w:tcPr>
            <w:tcW w:w="566" w:type="pct"/>
            <w:shd w:val="clear" w:color="auto" w:fill="DC6900" w:themeFill="text2"/>
            <w:noWrap/>
            <w:vAlign w:val="center"/>
            <w:hideMark/>
          </w:tcPr>
          <w:p w:rsidR="00767B1A" w:rsidRPr="00CB32B1" w:rsidRDefault="00767B1A" w:rsidP="0001118E">
            <w:pPr>
              <w:pStyle w:val="NumericTableColumnHeadingNormal"/>
              <w:jc w:val="center"/>
              <w:cnfStyle w:val="100000000000"/>
              <w:rPr>
                <w:rFonts w:asciiTheme="majorHAnsi" w:hAnsiTheme="majorHAnsi"/>
              </w:rPr>
            </w:pPr>
            <w:r w:rsidRPr="00CB32B1">
              <w:rPr>
                <w:rFonts w:asciiTheme="majorHAnsi" w:hAnsiTheme="majorHAnsi"/>
              </w:rPr>
              <w:t>2005</w:t>
            </w:r>
          </w:p>
        </w:tc>
        <w:tc>
          <w:tcPr>
            <w:tcW w:w="566" w:type="pct"/>
            <w:shd w:val="clear" w:color="auto" w:fill="DC6900" w:themeFill="text2"/>
            <w:noWrap/>
            <w:vAlign w:val="center"/>
            <w:hideMark/>
          </w:tcPr>
          <w:p w:rsidR="00767B1A" w:rsidRPr="00CB32B1" w:rsidRDefault="00767B1A" w:rsidP="0001118E">
            <w:pPr>
              <w:pStyle w:val="NumericTableColumnHeadingNormal"/>
              <w:jc w:val="center"/>
              <w:cnfStyle w:val="100000000000"/>
              <w:rPr>
                <w:rFonts w:asciiTheme="majorHAnsi" w:hAnsiTheme="majorHAnsi"/>
              </w:rPr>
            </w:pPr>
            <w:r w:rsidRPr="00CB32B1">
              <w:rPr>
                <w:rFonts w:asciiTheme="majorHAnsi" w:hAnsiTheme="majorHAnsi"/>
              </w:rPr>
              <w:t>2006</w:t>
            </w:r>
          </w:p>
        </w:tc>
        <w:tc>
          <w:tcPr>
            <w:tcW w:w="566" w:type="pct"/>
            <w:shd w:val="clear" w:color="auto" w:fill="DC6900" w:themeFill="text2"/>
            <w:noWrap/>
            <w:vAlign w:val="center"/>
            <w:hideMark/>
          </w:tcPr>
          <w:p w:rsidR="00767B1A" w:rsidRPr="00CB32B1" w:rsidRDefault="00767B1A" w:rsidP="0001118E">
            <w:pPr>
              <w:pStyle w:val="NumericTableColumnHeadingNormal"/>
              <w:jc w:val="center"/>
              <w:cnfStyle w:val="100000000000"/>
              <w:rPr>
                <w:rFonts w:asciiTheme="majorHAnsi" w:hAnsiTheme="majorHAnsi"/>
              </w:rPr>
            </w:pPr>
            <w:r w:rsidRPr="00CB32B1">
              <w:rPr>
                <w:rFonts w:asciiTheme="majorHAnsi" w:hAnsiTheme="majorHAnsi"/>
              </w:rPr>
              <w:t>2007</w:t>
            </w:r>
          </w:p>
        </w:tc>
        <w:tc>
          <w:tcPr>
            <w:tcW w:w="566" w:type="pct"/>
            <w:shd w:val="clear" w:color="auto" w:fill="DC6900" w:themeFill="text2"/>
            <w:noWrap/>
            <w:vAlign w:val="center"/>
            <w:hideMark/>
          </w:tcPr>
          <w:p w:rsidR="00767B1A" w:rsidRPr="00CB32B1" w:rsidRDefault="00767B1A" w:rsidP="0001118E">
            <w:pPr>
              <w:pStyle w:val="NumericTableColumnHeadingNormal"/>
              <w:jc w:val="center"/>
              <w:cnfStyle w:val="100000000000"/>
              <w:rPr>
                <w:rFonts w:asciiTheme="majorHAnsi" w:hAnsiTheme="majorHAnsi"/>
              </w:rPr>
            </w:pPr>
            <w:r w:rsidRPr="00CB32B1">
              <w:rPr>
                <w:rFonts w:asciiTheme="majorHAnsi" w:hAnsiTheme="majorHAnsi"/>
              </w:rPr>
              <w:t>2008</w:t>
            </w:r>
          </w:p>
        </w:tc>
        <w:tc>
          <w:tcPr>
            <w:tcW w:w="566" w:type="pct"/>
            <w:shd w:val="clear" w:color="auto" w:fill="DC6900" w:themeFill="text2"/>
            <w:noWrap/>
            <w:vAlign w:val="center"/>
            <w:hideMark/>
          </w:tcPr>
          <w:p w:rsidR="00767B1A" w:rsidRPr="00CB32B1" w:rsidRDefault="00767B1A" w:rsidP="0001118E">
            <w:pPr>
              <w:pStyle w:val="NumericTableColumnHeadingNormal"/>
              <w:jc w:val="center"/>
              <w:cnfStyle w:val="100000000000"/>
              <w:rPr>
                <w:rFonts w:asciiTheme="majorHAnsi" w:hAnsiTheme="majorHAnsi"/>
              </w:rPr>
            </w:pPr>
            <w:r w:rsidRPr="00CB32B1">
              <w:rPr>
                <w:rFonts w:asciiTheme="majorHAnsi" w:hAnsiTheme="majorHAnsi"/>
              </w:rPr>
              <w:t>2009</w:t>
            </w:r>
          </w:p>
        </w:tc>
        <w:tc>
          <w:tcPr>
            <w:tcW w:w="566" w:type="pct"/>
            <w:shd w:val="clear" w:color="auto" w:fill="DC6900" w:themeFill="text2"/>
            <w:noWrap/>
            <w:vAlign w:val="center"/>
            <w:hideMark/>
          </w:tcPr>
          <w:p w:rsidR="00767B1A" w:rsidRPr="00CB32B1" w:rsidRDefault="00767B1A" w:rsidP="0001118E">
            <w:pPr>
              <w:pStyle w:val="NumericTableColumnHeadingNormal"/>
              <w:jc w:val="center"/>
              <w:cnfStyle w:val="100000000000"/>
              <w:rPr>
                <w:rFonts w:asciiTheme="majorHAnsi" w:hAnsiTheme="majorHAnsi"/>
              </w:rPr>
            </w:pPr>
            <w:r w:rsidRPr="00CB32B1">
              <w:rPr>
                <w:rFonts w:asciiTheme="majorHAnsi" w:hAnsiTheme="majorHAnsi"/>
              </w:rPr>
              <w:t>2010</w:t>
            </w:r>
          </w:p>
        </w:tc>
      </w:tr>
      <w:tr w:rsidR="00767B1A" w:rsidRPr="00CB32B1" w:rsidTr="00767B1A">
        <w:trPr>
          <w:trHeight w:val="300"/>
        </w:trPr>
        <w:tc>
          <w:tcPr>
            <w:cnfStyle w:val="001000000000"/>
            <w:tcW w:w="1038" w:type="pct"/>
            <w:noWrap/>
            <w:hideMark/>
          </w:tcPr>
          <w:p w:rsidR="00767B1A" w:rsidRPr="00CB32B1" w:rsidRDefault="00767B1A" w:rsidP="0001118E">
            <w:pPr>
              <w:pStyle w:val="NumericTableTextNormal"/>
              <w:keepNext/>
              <w:keepLines/>
              <w:rPr>
                <w:rFonts w:asciiTheme="majorHAnsi" w:hAnsiTheme="majorHAnsi"/>
              </w:rPr>
            </w:pPr>
            <w:r w:rsidRPr="00CB32B1">
              <w:rPr>
                <w:rFonts w:asciiTheme="majorHAnsi" w:hAnsiTheme="majorHAnsi"/>
              </w:rPr>
              <w:t>Normal vaginal birth</w:t>
            </w:r>
          </w:p>
        </w:tc>
        <w:tc>
          <w:tcPr>
            <w:tcW w:w="566" w:type="pct"/>
            <w:noWrap/>
            <w:hideMark/>
          </w:tcPr>
          <w:p w:rsidR="00767B1A" w:rsidRPr="00CB32B1" w:rsidRDefault="00767B1A" w:rsidP="0001118E">
            <w:pPr>
              <w:pStyle w:val="NumericTableTextDecimalNormal"/>
              <w:keepNext/>
              <w:keepLines/>
              <w:tabs>
                <w:tab w:val="clear" w:pos="1004"/>
                <w:tab w:val="decimal" w:pos="632"/>
              </w:tabs>
              <w:jc w:val="right"/>
              <w:cnfStyle w:val="000000000000"/>
              <w:rPr>
                <w:rFonts w:asciiTheme="majorHAnsi" w:hAnsiTheme="majorHAnsi"/>
              </w:rPr>
            </w:pPr>
            <w:r w:rsidRPr="00CB32B1">
              <w:rPr>
                <w:rFonts w:asciiTheme="majorHAnsi" w:hAnsiTheme="majorHAnsi"/>
              </w:rPr>
              <w:t>581</w:t>
            </w:r>
          </w:p>
        </w:tc>
        <w:tc>
          <w:tcPr>
            <w:tcW w:w="566" w:type="pct"/>
            <w:noWrap/>
            <w:hideMark/>
          </w:tcPr>
          <w:p w:rsidR="00767B1A" w:rsidRPr="00CB32B1" w:rsidRDefault="00767B1A" w:rsidP="0001118E">
            <w:pPr>
              <w:pStyle w:val="NumericTableTextDecimalNormal"/>
              <w:keepNext/>
              <w:keepLines/>
              <w:tabs>
                <w:tab w:val="clear" w:pos="1004"/>
                <w:tab w:val="decimal" w:pos="632"/>
              </w:tabs>
              <w:jc w:val="right"/>
              <w:cnfStyle w:val="000000000000"/>
              <w:rPr>
                <w:rFonts w:asciiTheme="majorHAnsi" w:hAnsiTheme="majorHAnsi"/>
              </w:rPr>
            </w:pPr>
            <w:r w:rsidRPr="00CB32B1">
              <w:rPr>
                <w:rFonts w:asciiTheme="majorHAnsi" w:hAnsiTheme="majorHAnsi"/>
              </w:rPr>
              <w:t>592</w:t>
            </w:r>
          </w:p>
        </w:tc>
        <w:tc>
          <w:tcPr>
            <w:tcW w:w="566" w:type="pct"/>
            <w:noWrap/>
            <w:hideMark/>
          </w:tcPr>
          <w:p w:rsidR="00767B1A" w:rsidRPr="00CB32B1" w:rsidRDefault="00767B1A" w:rsidP="0001118E">
            <w:pPr>
              <w:pStyle w:val="NumericTableTextDecimalNormal"/>
              <w:keepNext/>
              <w:keepLines/>
              <w:tabs>
                <w:tab w:val="clear" w:pos="1004"/>
                <w:tab w:val="decimal" w:pos="632"/>
              </w:tabs>
              <w:jc w:val="right"/>
              <w:cnfStyle w:val="000000000000"/>
              <w:rPr>
                <w:rFonts w:asciiTheme="majorHAnsi" w:hAnsiTheme="majorHAnsi"/>
              </w:rPr>
            </w:pPr>
            <w:r w:rsidRPr="00CB32B1">
              <w:rPr>
                <w:rFonts w:asciiTheme="majorHAnsi" w:hAnsiTheme="majorHAnsi"/>
              </w:rPr>
              <w:t>690</w:t>
            </w:r>
          </w:p>
        </w:tc>
        <w:tc>
          <w:tcPr>
            <w:tcW w:w="566" w:type="pct"/>
            <w:noWrap/>
            <w:hideMark/>
          </w:tcPr>
          <w:p w:rsidR="00767B1A" w:rsidRPr="00CB32B1" w:rsidRDefault="00767B1A" w:rsidP="0001118E">
            <w:pPr>
              <w:pStyle w:val="NumericTableTextDecimalNormal"/>
              <w:keepNext/>
              <w:keepLines/>
              <w:tabs>
                <w:tab w:val="clear" w:pos="1004"/>
                <w:tab w:val="decimal" w:pos="632"/>
              </w:tabs>
              <w:jc w:val="right"/>
              <w:cnfStyle w:val="000000000000"/>
              <w:rPr>
                <w:rFonts w:asciiTheme="majorHAnsi" w:hAnsiTheme="majorHAnsi"/>
              </w:rPr>
            </w:pPr>
            <w:r w:rsidRPr="00CB32B1">
              <w:rPr>
                <w:rFonts w:asciiTheme="majorHAnsi" w:hAnsiTheme="majorHAnsi"/>
              </w:rPr>
              <w:t>866</w:t>
            </w:r>
          </w:p>
        </w:tc>
        <w:tc>
          <w:tcPr>
            <w:tcW w:w="566" w:type="pct"/>
            <w:noWrap/>
            <w:hideMark/>
          </w:tcPr>
          <w:p w:rsidR="00767B1A" w:rsidRPr="00CB32B1" w:rsidRDefault="00767B1A" w:rsidP="0001118E">
            <w:pPr>
              <w:pStyle w:val="NumericTableTextDecimalNormal"/>
              <w:keepNext/>
              <w:keepLines/>
              <w:tabs>
                <w:tab w:val="clear" w:pos="1004"/>
                <w:tab w:val="decimal" w:pos="632"/>
              </w:tabs>
              <w:jc w:val="right"/>
              <w:cnfStyle w:val="000000000000"/>
              <w:rPr>
                <w:rFonts w:asciiTheme="majorHAnsi" w:hAnsiTheme="majorHAnsi"/>
              </w:rPr>
            </w:pPr>
            <w:r w:rsidRPr="00CB32B1">
              <w:rPr>
                <w:rFonts w:asciiTheme="majorHAnsi" w:hAnsiTheme="majorHAnsi"/>
              </w:rPr>
              <w:t>990</w:t>
            </w:r>
          </w:p>
        </w:tc>
        <w:tc>
          <w:tcPr>
            <w:tcW w:w="566" w:type="pct"/>
            <w:noWrap/>
            <w:hideMark/>
          </w:tcPr>
          <w:p w:rsidR="00767B1A" w:rsidRPr="00CB32B1" w:rsidRDefault="00767B1A" w:rsidP="0001118E">
            <w:pPr>
              <w:pStyle w:val="NumericTableTextDecimalNormal"/>
              <w:keepNext/>
              <w:keepLines/>
              <w:tabs>
                <w:tab w:val="clear" w:pos="1004"/>
                <w:tab w:val="decimal" w:pos="632"/>
              </w:tabs>
              <w:jc w:val="right"/>
              <w:cnfStyle w:val="000000000000"/>
              <w:rPr>
                <w:rFonts w:asciiTheme="majorHAnsi" w:hAnsiTheme="majorHAnsi"/>
              </w:rPr>
            </w:pPr>
            <w:r w:rsidRPr="00CB32B1">
              <w:rPr>
                <w:rFonts w:asciiTheme="majorHAnsi" w:hAnsiTheme="majorHAnsi"/>
              </w:rPr>
              <w:t>859</w:t>
            </w:r>
          </w:p>
        </w:tc>
        <w:tc>
          <w:tcPr>
            <w:tcW w:w="566" w:type="pct"/>
            <w:noWrap/>
            <w:hideMark/>
          </w:tcPr>
          <w:p w:rsidR="00767B1A" w:rsidRPr="00CB32B1" w:rsidRDefault="00767B1A" w:rsidP="0001118E">
            <w:pPr>
              <w:pStyle w:val="NumericTableTextDecimalNormal"/>
              <w:keepNext/>
              <w:keepLines/>
              <w:tabs>
                <w:tab w:val="clear" w:pos="1004"/>
                <w:tab w:val="decimal" w:pos="632"/>
              </w:tabs>
              <w:jc w:val="right"/>
              <w:cnfStyle w:val="000000000000"/>
              <w:rPr>
                <w:rFonts w:asciiTheme="majorHAnsi" w:hAnsiTheme="majorHAnsi"/>
              </w:rPr>
            </w:pPr>
            <w:r w:rsidRPr="00CB32B1">
              <w:rPr>
                <w:rFonts w:asciiTheme="majorHAnsi" w:hAnsiTheme="majorHAnsi"/>
              </w:rPr>
              <w:t>1,335</w:t>
            </w:r>
          </w:p>
        </w:tc>
      </w:tr>
      <w:tr w:rsidR="00767B1A" w:rsidRPr="00CB32B1" w:rsidTr="00747120">
        <w:trPr>
          <w:trHeight w:val="300"/>
        </w:trPr>
        <w:tc>
          <w:tcPr>
            <w:cnfStyle w:val="001000000000"/>
            <w:tcW w:w="1038" w:type="pct"/>
            <w:noWrap/>
            <w:vAlign w:val="center"/>
          </w:tcPr>
          <w:p w:rsidR="00767B1A" w:rsidRPr="00CB32B1" w:rsidRDefault="00767B1A" w:rsidP="0001118E">
            <w:pPr>
              <w:pStyle w:val="NumericTableTextNormal"/>
              <w:keepNext/>
              <w:keepLines/>
              <w:rPr>
                <w:rFonts w:asciiTheme="majorHAnsi" w:hAnsiTheme="majorHAnsi"/>
              </w:rPr>
            </w:pPr>
            <w:r w:rsidRPr="00CB32B1">
              <w:rPr>
                <w:rFonts w:asciiTheme="majorHAnsi" w:hAnsiTheme="majorHAnsi"/>
              </w:rPr>
              <w:t>Other</w:t>
            </w:r>
          </w:p>
        </w:tc>
        <w:tc>
          <w:tcPr>
            <w:tcW w:w="566" w:type="pct"/>
            <w:noWrap/>
          </w:tcPr>
          <w:p w:rsidR="00767B1A" w:rsidRPr="00CB32B1" w:rsidRDefault="00767B1A" w:rsidP="0001118E">
            <w:pPr>
              <w:pStyle w:val="NumericTableTextDecimalNormal"/>
              <w:keepNext/>
              <w:keepLines/>
              <w:tabs>
                <w:tab w:val="clear" w:pos="1004"/>
                <w:tab w:val="decimal" w:pos="632"/>
              </w:tabs>
              <w:jc w:val="right"/>
              <w:cnfStyle w:val="000000000000"/>
              <w:rPr>
                <w:rFonts w:asciiTheme="majorHAnsi" w:hAnsiTheme="majorHAnsi"/>
              </w:rPr>
            </w:pPr>
            <w:r w:rsidRPr="00CB32B1">
              <w:rPr>
                <w:rFonts w:asciiTheme="majorHAnsi" w:hAnsiTheme="majorHAnsi"/>
              </w:rPr>
              <w:t>8</w:t>
            </w:r>
          </w:p>
        </w:tc>
        <w:tc>
          <w:tcPr>
            <w:tcW w:w="566" w:type="pct"/>
            <w:noWrap/>
          </w:tcPr>
          <w:p w:rsidR="00767B1A" w:rsidRPr="00CB32B1" w:rsidRDefault="00767B1A" w:rsidP="0001118E">
            <w:pPr>
              <w:pStyle w:val="NumericTableTextDecimalNormal"/>
              <w:keepNext/>
              <w:keepLines/>
              <w:tabs>
                <w:tab w:val="clear" w:pos="1004"/>
                <w:tab w:val="decimal" w:pos="632"/>
              </w:tabs>
              <w:jc w:val="right"/>
              <w:cnfStyle w:val="000000000000"/>
              <w:rPr>
                <w:rFonts w:asciiTheme="majorHAnsi" w:hAnsiTheme="majorHAnsi"/>
              </w:rPr>
            </w:pPr>
            <w:r w:rsidRPr="00CB32B1">
              <w:rPr>
                <w:rFonts w:asciiTheme="majorHAnsi" w:hAnsiTheme="majorHAnsi"/>
              </w:rPr>
              <w:t>9</w:t>
            </w:r>
          </w:p>
        </w:tc>
        <w:tc>
          <w:tcPr>
            <w:tcW w:w="566" w:type="pct"/>
            <w:noWrap/>
          </w:tcPr>
          <w:p w:rsidR="00767B1A" w:rsidRPr="00CB32B1" w:rsidRDefault="00767B1A" w:rsidP="0001118E">
            <w:pPr>
              <w:pStyle w:val="NumericTableTextDecimalNormal"/>
              <w:keepNext/>
              <w:keepLines/>
              <w:tabs>
                <w:tab w:val="clear" w:pos="1004"/>
                <w:tab w:val="decimal" w:pos="632"/>
              </w:tabs>
              <w:jc w:val="right"/>
              <w:cnfStyle w:val="000000000000"/>
              <w:rPr>
                <w:rFonts w:asciiTheme="majorHAnsi" w:hAnsiTheme="majorHAnsi"/>
              </w:rPr>
            </w:pPr>
            <w:r w:rsidRPr="00CB32B1">
              <w:rPr>
                <w:rFonts w:asciiTheme="majorHAnsi" w:hAnsiTheme="majorHAnsi"/>
              </w:rPr>
              <w:t>10</w:t>
            </w:r>
          </w:p>
        </w:tc>
        <w:tc>
          <w:tcPr>
            <w:tcW w:w="566" w:type="pct"/>
            <w:noWrap/>
          </w:tcPr>
          <w:p w:rsidR="00767B1A" w:rsidRPr="00CB32B1" w:rsidRDefault="00767B1A" w:rsidP="0001118E">
            <w:pPr>
              <w:pStyle w:val="NumericTableTextDecimalNormal"/>
              <w:keepNext/>
              <w:keepLines/>
              <w:tabs>
                <w:tab w:val="clear" w:pos="1004"/>
                <w:tab w:val="decimal" w:pos="632"/>
              </w:tabs>
              <w:jc w:val="right"/>
              <w:cnfStyle w:val="000000000000"/>
              <w:rPr>
                <w:rFonts w:asciiTheme="majorHAnsi" w:hAnsiTheme="majorHAnsi"/>
              </w:rPr>
            </w:pPr>
            <w:r w:rsidRPr="00CB32B1">
              <w:rPr>
                <w:rFonts w:asciiTheme="majorHAnsi" w:hAnsiTheme="majorHAnsi"/>
              </w:rPr>
              <w:t>1</w:t>
            </w:r>
          </w:p>
        </w:tc>
        <w:tc>
          <w:tcPr>
            <w:tcW w:w="566" w:type="pct"/>
            <w:noWrap/>
          </w:tcPr>
          <w:p w:rsidR="00767B1A" w:rsidRPr="00CB32B1" w:rsidRDefault="00767B1A" w:rsidP="0001118E">
            <w:pPr>
              <w:pStyle w:val="NumericTableTextDecimalNormal"/>
              <w:keepNext/>
              <w:keepLines/>
              <w:tabs>
                <w:tab w:val="clear" w:pos="1004"/>
                <w:tab w:val="decimal" w:pos="632"/>
              </w:tabs>
              <w:jc w:val="right"/>
              <w:cnfStyle w:val="000000000000"/>
              <w:rPr>
                <w:rFonts w:asciiTheme="majorHAnsi" w:hAnsiTheme="majorHAnsi"/>
              </w:rPr>
            </w:pPr>
            <w:r w:rsidRPr="00CB32B1">
              <w:rPr>
                <w:rFonts w:asciiTheme="majorHAnsi" w:hAnsiTheme="majorHAnsi"/>
              </w:rPr>
              <w:t>10</w:t>
            </w:r>
          </w:p>
        </w:tc>
        <w:tc>
          <w:tcPr>
            <w:tcW w:w="566" w:type="pct"/>
            <w:noWrap/>
          </w:tcPr>
          <w:p w:rsidR="00767B1A" w:rsidRPr="00CB32B1" w:rsidRDefault="00767B1A" w:rsidP="0001118E">
            <w:pPr>
              <w:pStyle w:val="NumericTableTextDecimalNormal"/>
              <w:keepNext/>
              <w:keepLines/>
              <w:tabs>
                <w:tab w:val="clear" w:pos="1004"/>
                <w:tab w:val="decimal" w:pos="632"/>
              </w:tabs>
              <w:jc w:val="right"/>
              <w:cnfStyle w:val="000000000000"/>
              <w:rPr>
                <w:rFonts w:asciiTheme="majorHAnsi" w:hAnsiTheme="majorHAnsi"/>
              </w:rPr>
            </w:pPr>
            <w:r w:rsidRPr="00CB32B1">
              <w:rPr>
                <w:rFonts w:asciiTheme="majorHAnsi" w:hAnsiTheme="majorHAnsi"/>
              </w:rPr>
              <w:t>4</w:t>
            </w:r>
          </w:p>
        </w:tc>
        <w:tc>
          <w:tcPr>
            <w:tcW w:w="566" w:type="pct"/>
            <w:noWrap/>
          </w:tcPr>
          <w:p w:rsidR="00767B1A" w:rsidRPr="00CB32B1" w:rsidRDefault="00767B1A" w:rsidP="0001118E">
            <w:pPr>
              <w:pStyle w:val="NumericTableTextDecimalNormal"/>
              <w:keepNext/>
              <w:keepLines/>
              <w:tabs>
                <w:tab w:val="clear" w:pos="1004"/>
                <w:tab w:val="decimal" w:pos="632"/>
              </w:tabs>
              <w:jc w:val="right"/>
              <w:cnfStyle w:val="000000000000"/>
              <w:rPr>
                <w:rFonts w:asciiTheme="majorHAnsi" w:hAnsiTheme="majorHAnsi"/>
              </w:rPr>
            </w:pPr>
            <w:r w:rsidRPr="00CB32B1">
              <w:rPr>
                <w:rFonts w:asciiTheme="majorHAnsi" w:hAnsiTheme="majorHAnsi"/>
              </w:rPr>
              <w:t>4</w:t>
            </w:r>
          </w:p>
        </w:tc>
      </w:tr>
      <w:tr w:rsidR="00767B1A" w:rsidRPr="00CB32B1" w:rsidTr="00767B1A">
        <w:trPr>
          <w:trHeight w:val="300"/>
        </w:trPr>
        <w:tc>
          <w:tcPr>
            <w:cnfStyle w:val="001000000000"/>
            <w:tcW w:w="1038" w:type="pct"/>
            <w:noWrap/>
          </w:tcPr>
          <w:p w:rsidR="00767B1A" w:rsidRPr="00CB32B1" w:rsidRDefault="00767B1A" w:rsidP="0001118E">
            <w:pPr>
              <w:pStyle w:val="NumericTableTextNormal"/>
              <w:keepNext/>
              <w:keepLines/>
              <w:rPr>
                <w:rFonts w:asciiTheme="majorHAnsi" w:hAnsiTheme="majorHAnsi"/>
                <w:b/>
                <w:color w:val="DC6900" w:themeColor="text2"/>
              </w:rPr>
            </w:pPr>
            <w:r w:rsidRPr="00CB32B1">
              <w:rPr>
                <w:rFonts w:asciiTheme="majorHAnsi" w:hAnsiTheme="majorHAnsi"/>
                <w:b/>
                <w:color w:val="DC6900" w:themeColor="text2"/>
              </w:rPr>
              <w:t>Total</w:t>
            </w:r>
          </w:p>
        </w:tc>
        <w:tc>
          <w:tcPr>
            <w:tcW w:w="566" w:type="pct"/>
            <w:noWrap/>
          </w:tcPr>
          <w:p w:rsidR="00767B1A" w:rsidRPr="00CB32B1" w:rsidRDefault="00767B1A" w:rsidP="0001118E">
            <w:pPr>
              <w:pStyle w:val="NumericTableTextDecimalNormal"/>
              <w:keepNext/>
              <w:keepLines/>
              <w:tabs>
                <w:tab w:val="clear" w:pos="1004"/>
                <w:tab w:val="decimal" w:pos="632"/>
              </w:tabs>
              <w:jc w:val="right"/>
              <w:cnfStyle w:val="000000000000"/>
              <w:rPr>
                <w:rFonts w:asciiTheme="majorHAnsi" w:hAnsiTheme="majorHAnsi"/>
                <w:b/>
                <w:color w:val="DC6900" w:themeColor="text2"/>
              </w:rPr>
            </w:pPr>
            <w:r w:rsidRPr="00CB32B1">
              <w:rPr>
                <w:rFonts w:asciiTheme="majorHAnsi" w:hAnsiTheme="majorHAnsi"/>
                <w:b/>
                <w:color w:val="DC6900" w:themeColor="text2"/>
              </w:rPr>
              <w:t>589</w:t>
            </w:r>
          </w:p>
        </w:tc>
        <w:tc>
          <w:tcPr>
            <w:tcW w:w="566" w:type="pct"/>
            <w:noWrap/>
          </w:tcPr>
          <w:p w:rsidR="00767B1A" w:rsidRPr="00CB32B1" w:rsidRDefault="00767B1A" w:rsidP="0001118E">
            <w:pPr>
              <w:pStyle w:val="NumericTableTextDecimalNormal"/>
              <w:keepNext/>
              <w:keepLines/>
              <w:tabs>
                <w:tab w:val="clear" w:pos="1004"/>
                <w:tab w:val="decimal" w:pos="632"/>
              </w:tabs>
              <w:jc w:val="right"/>
              <w:cnfStyle w:val="000000000000"/>
              <w:rPr>
                <w:rFonts w:asciiTheme="majorHAnsi" w:hAnsiTheme="majorHAnsi"/>
                <w:b/>
                <w:color w:val="DC6900" w:themeColor="text2"/>
              </w:rPr>
            </w:pPr>
            <w:r w:rsidRPr="00CB32B1">
              <w:rPr>
                <w:rFonts w:asciiTheme="majorHAnsi" w:hAnsiTheme="majorHAnsi"/>
                <w:b/>
                <w:color w:val="DC6900" w:themeColor="text2"/>
              </w:rPr>
              <w:t>601</w:t>
            </w:r>
          </w:p>
        </w:tc>
        <w:tc>
          <w:tcPr>
            <w:tcW w:w="566" w:type="pct"/>
            <w:noWrap/>
          </w:tcPr>
          <w:p w:rsidR="00767B1A" w:rsidRPr="00CB32B1" w:rsidRDefault="00767B1A" w:rsidP="0001118E">
            <w:pPr>
              <w:pStyle w:val="NumericTableTextDecimalNormal"/>
              <w:keepNext/>
              <w:keepLines/>
              <w:tabs>
                <w:tab w:val="clear" w:pos="1004"/>
                <w:tab w:val="decimal" w:pos="632"/>
              </w:tabs>
              <w:jc w:val="right"/>
              <w:cnfStyle w:val="000000000000"/>
              <w:rPr>
                <w:rFonts w:asciiTheme="majorHAnsi" w:hAnsiTheme="majorHAnsi"/>
                <w:b/>
                <w:color w:val="DC6900" w:themeColor="text2"/>
              </w:rPr>
            </w:pPr>
            <w:r w:rsidRPr="00CB32B1">
              <w:rPr>
                <w:rFonts w:asciiTheme="majorHAnsi" w:hAnsiTheme="majorHAnsi"/>
                <w:b/>
                <w:color w:val="DC6900" w:themeColor="text2"/>
              </w:rPr>
              <w:t>700</w:t>
            </w:r>
          </w:p>
        </w:tc>
        <w:tc>
          <w:tcPr>
            <w:tcW w:w="566" w:type="pct"/>
            <w:noWrap/>
          </w:tcPr>
          <w:p w:rsidR="00767B1A" w:rsidRPr="00CB32B1" w:rsidRDefault="00767B1A" w:rsidP="0001118E">
            <w:pPr>
              <w:pStyle w:val="NumericTableTextDecimalNormal"/>
              <w:keepNext/>
              <w:keepLines/>
              <w:tabs>
                <w:tab w:val="clear" w:pos="1004"/>
                <w:tab w:val="decimal" w:pos="632"/>
              </w:tabs>
              <w:jc w:val="right"/>
              <w:cnfStyle w:val="000000000000"/>
              <w:rPr>
                <w:rFonts w:asciiTheme="majorHAnsi" w:hAnsiTheme="majorHAnsi"/>
                <w:b/>
                <w:color w:val="DC6900" w:themeColor="text2"/>
              </w:rPr>
            </w:pPr>
            <w:r w:rsidRPr="00CB32B1">
              <w:rPr>
                <w:rFonts w:asciiTheme="majorHAnsi" w:hAnsiTheme="majorHAnsi"/>
                <w:b/>
                <w:color w:val="DC6900" w:themeColor="text2"/>
              </w:rPr>
              <w:t>867</w:t>
            </w:r>
          </w:p>
        </w:tc>
        <w:tc>
          <w:tcPr>
            <w:tcW w:w="566" w:type="pct"/>
            <w:noWrap/>
          </w:tcPr>
          <w:p w:rsidR="00767B1A" w:rsidRPr="00CB32B1" w:rsidRDefault="00767B1A" w:rsidP="0001118E">
            <w:pPr>
              <w:pStyle w:val="NumericTableTextDecimalNormal"/>
              <w:keepNext/>
              <w:keepLines/>
              <w:tabs>
                <w:tab w:val="clear" w:pos="1004"/>
                <w:tab w:val="decimal" w:pos="632"/>
              </w:tabs>
              <w:jc w:val="right"/>
              <w:cnfStyle w:val="000000000000"/>
              <w:rPr>
                <w:rFonts w:asciiTheme="majorHAnsi" w:hAnsiTheme="majorHAnsi"/>
                <w:b/>
                <w:color w:val="DC6900" w:themeColor="text2"/>
              </w:rPr>
            </w:pPr>
            <w:r w:rsidRPr="00CB32B1">
              <w:rPr>
                <w:rFonts w:asciiTheme="majorHAnsi" w:hAnsiTheme="majorHAnsi"/>
                <w:b/>
                <w:color w:val="DC6900" w:themeColor="text2"/>
              </w:rPr>
              <w:t>1,000</w:t>
            </w:r>
          </w:p>
        </w:tc>
        <w:tc>
          <w:tcPr>
            <w:tcW w:w="566" w:type="pct"/>
            <w:noWrap/>
          </w:tcPr>
          <w:p w:rsidR="00767B1A" w:rsidRPr="00CB32B1" w:rsidRDefault="00767B1A" w:rsidP="0001118E">
            <w:pPr>
              <w:pStyle w:val="NumericTableTextDecimalNormal"/>
              <w:keepNext/>
              <w:keepLines/>
              <w:tabs>
                <w:tab w:val="clear" w:pos="1004"/>
                <w:tab w:val="decimal" w:pos="632"/>
              </w:tabs>
              <w:jc w:val="right"/>
              <w:cnfStyle w:val="000000000000"/>
              <w:rPr>
                <w:rFonts w:asciiTheme="majorHAnsi" w:hAnsiTheme="majorHAnsi"/>
                <w:b/>
                <w:color w:val="DC6900" w:themeColor="text2"/>
              </w:rPr>
            </w:pPr>
            <w:r w:rsidRPr="00CB32B1">
              <w:rPr>
                <w:rFonts w:asciiTheme="majorHAnsi" w:hAnsiTheme="majorHAnsi"/>
                <w:b/>
                <w:color w:val="DC6900" w:themeColor="text2"/>
              </w:rPr>
              <w:t>863</w:t>
            </w:r>
          </w:p>
        </w:tc>
        <w:tc>
          <w:tcPr>
            <w:tcW w:w="566" w:type="pct"/>
            <w:noWrap/>
          </w:tcPr>
          <w:p w:rsidR="00767B1A" w:rsidRPr="00CB32B1" w:rsidRDefault="00767B1A" w:rsidP="0001118E">
            <w:pPr>
              <w:pStyle w:val="NumericTableTextDecimalNormal"/>
              <w:keepNext/>
              <w:keepLines/>
              <w:tabs>
                <w:tab w:val="clear" w:pos="1004"/>
                <w:tab w:val="decimal" w:pos="632"/>
              </w:tabs>
              <w:jc w:val="right"/>
              <w:cnfStyle w:val="000000000000"/>
              <w:rPr>
                <w:rFonts w:asciiTheme="majorHAnsi" w:hAnsiTheme="majorHAnsi"/>
                <w:b/>
                <w:color w:val="DC6900" w:themeColor="text2"/>
              </w:rPr>
            </w:pPr>
            <w:r w:rsidRPr="00CB32B1">
              <w:rPr>
                <w:rFonts w:asciiTheme="majorHAnsi" w:hAnsiTheme="majorHAnsi"/>
                <w:b/>
                <w:color w:val="DC6900" w:themeColor="text2"/>
              </w:rPr>
              <w:t>1,339</w:t>
            </w:r>
          </w:p>
        </w:tc>
      </w:tr>
    </w:tbl>
    <w:p w:rsidR="00767B1A" w:rsidRPr="00CB32B1" w:rsidRDefault="00767B1A" w:rsidP="0001118E">
      <w:pPr>
        <w:pStyle w:val="Sources"/>
        <w:keepNext/>
        <w:keepLines/>
      </w:pPr>
      <w:r w:rsidRPr="00CB32B1">
        <w:rPr>
          <w:b/>
        </w:rPr>
        <w:t>Source:</w:t>
      </w:r>
      <w:r w:rsidRPr="00CB32B1">
        <w:t xml:space="preserve"> </w:t>
      </w:r>
      <w:r w:rsidR="00894387" w:rsidRPr="00CB32B1">
        <w:t>Australian Institute of Health and Welfare, 200</w:t>
      </w:r>
      <w:r w:rsidR="00865724">
        <w:t>6</w:t>
      </w:r>
      <w:r w:rsidR="00F94B0D">
        <w:t>-</w:t>
      </w:r>
      <w:r w:rsidR="00894387" w:rsidRPr="00CB32B1">
        <w:t>201</w:t>
      </w:r>
      <w:r w:rsidR="00865724">
        <w:t>2</w:t>
      </w:r>
      <w:r w:rsidR="00894387" w:rsidRPr="00CB32B1">
        <w:t>.</w:t>
      </w:r>
    </w:p>
    <w:p w:rsidR="00767B1A" w:rsidRPr="00CB32B1" w:rsidRDefault="00767B1A" w:rsidP="00767B1A">
      <w:pPr>
        <w:pStyle w:val="PwCNormal"/>
      </w:pPr>
      <w:r w:rsidRPr="00CB32B1">
        <w:t>However, using this AIHW data has its limitations. It is not known for example:</w:t>
      </w:r>
    </w:p>
    <w:p w:rsidR="00767B1A" w:rsidRPr="00CB32B1" w:rsidRDefault="00767B1A" w:rsidP="00767B1A">
      <w:pPr>
        <w:pStyle w:val="ListBullet"/>
      </w:pPr>
      <w:r w:rsidRPr="00CB32B1">
        <w:t>The number of PPMs practising or the number of homebirths supported by PPMs; it is possible that the interventions in homebirths were not performed by PPMs</w:t>
      </w:r>
    </w:p>
    <w:p w:rsidR="00767B1A" w:rsidRPr="00CB32B1" w:rsidRDefault="00767B1A" w:rsidP="00767B1A">
      <w:pPr>
        <w:pStyle w:val="ListBullet"/>
      </w:pPr>
      <w:r w:rsidRPr="00CB32B1">
        <w:t>Why there are still a small proportion of homebirths which do have interventions</w:t>
      </w:r>
    </w:p>
    <w:p w:rsidR="00767B1A" w:rsidRPr="00CB32B1" w:rsidRDefault="00767B1A" w:rsidP="00767B1A">
      <w:pPr>
        <w:pStyle w:val="ListBullet"/>
      </w:pPr>
      <w:r w:rsidRPr="00CB32B1">
        <w:t>The maternal characteristics of the data set in terms of risk</w:t>
      </w:r>
    </w:p>
    <w:p w:rsidR="00767B1A" w:rsidRPr="00CB32B1" w:rsidRDefault="00767B1A" w:rsidP="00767B1A">
      <w:pPr>
        <w:pStyle w:val="ListBullet"/>
      </w:pPr>
      <w:r w:rsidRPr="00CB32B1">
        <w:t>Whether an intervention was intended for the homebirth</w:t>
      </w:r>
    </w:p>
    <w:p w:rsidR="00767B1A" w:rsidRPr="00CB32B1" w:rsidRDefault="00767B1A" w:rsidP="00767B1A">
      <w:pPr>
        <w:pStyle w:val="ListBullet"/>
      </w:pPr>
      <w:r w:rsidRPr="00CB32B1">
        <w:t>Whether the woman refused a transfer to a referred health setting by the PPM.</w:t>
      </w:r>
    </w:p>
    <w:p w:rsidR="00767B1A" w:rsidRPr="00CB32B1" w:rsidRDefault="00767B1A" w:rsidP="00767B1A">
      <w:pPr>
        <w:pStyle w:val="Minorheading"/>
      </w:pPr>
      <w:r w:rsidRPr="00CB32B1">
        <w:t>Literature findings</w:t>
      </w:r>
    </w:p>
    <w:p w:rsidR="00767B1A" w:rsidRPr="00CB32B1" w:rsidRDefault="00767B1A" w:rsidP="00767B1A">
      <w:pPr>
        <w:pStyle w:val="PwCNormal"/>
      </w:pPr>
      <w:r w:rsidRPr="00CB32B1">
        <w:t xml:space="preserve">In line with consultations held, findings from homebirth studies show that there are lower intervention rates for homebirth (see </w:t>
      </w:r>
      <w:r w:rsidR="009129A6" w:rsidRPr="00CB32B1">
        <w:fldChar w:fldCharType="begin"/>
      </w:r>
      <w:r w:rsidR="00AE740F" w:rsidRPr="00CB32B1">
        <w:instrText xml:space="preserve"> REF _Ref361224537 \h </w:instrText>
      </w:r>
      <w:r w:rsidR="009129A6" w:rsidRPr="00CB32B1">
        <w:fldChar w:fldCharType="separate"/>
      </w:r>
      <w:r w:rsidR="008816B4" w:rsidRPr="00CB32B1">
        <w:t xml:space="preserve">Table </w:t>
      </w:r>
      <w:r w:rsidR="008816B4">
        <w:rPr>
          <w:noProof/>
        </w:rPr>
        <w:t>45</w:t>
      </w:r>
      <w:r w:rsidR="009129A6" w:rsidRPr="00CB32B1">
        <w:fldChar w:fldCharType="end"/>
      </w:r>
      <w:r w:rsidRPr="00CB32B1">
        <w:t>). Consultations identified that homebirths should be provided to women who are low-risk and therefore should require on average, less intervention than high-risk women.</w:t>
      </w:r>
      <w:r w:rsidRPr="00CB32B1">
        <w:rPr>
          <w:rStyle w:val="FootnoteReference"/>
        </w:rPr>
        <w:footnoteReference w:id="357"/>
      </w:r>
      <w:r w:rsidRPr="00CB32B1">
        <w:t xml:space="preserve"> </w:t>
      </w:r>
    </w:p>
    <w:p w:rsidR="00767B1A" w:rsidRPr="00CB32B1" w:rsidRDefault="00767B1A" w:rsidP="00767B1A">
      <w:pPr>
        <w:pStyle w:val="PwCNormal"/>
      </w:pPr>
      <w:r w:rsidRPr="00CB32B1">
        <w:t xml:space="preserve">Literature findings are useful as a guide but again, they are limited in their application as there is no cause provided in relation to interventions made. For example, Kennare et al is the most recent Australian study that has compared intervention rates. The study saw lower rates of caesarean section, instrumental delivery and episiotomy during homebirths. Similarly, the Department of Health, WA assessed the intervention rates found in several international journals and found that rates were lower for homebirth. The findings of the international studies findings for intervention rates are summarised in </w:t>
      </w:r>
      <w:r w:rsidR="009129A6" w:rsidRPr="00CB32B1">
        <w:fldChar w:fldCharType="begin"/>
      </w:r>
      <w:r w:rsidR="00AE740F" w:rsidRPr="00CB32B1">
        <w:instrText xml:space="preserve"> REF _Ref361224537 \h </w:instrText>
      </w:r>
      <w:r w:rsidR="009129A6" w:rsidRPr="00CB32B1">
        <w:fldChar w:fldCharType="separate"/>
      </w:r>
      <w:r w:rsidR="008816B4" w:rsidRPr="00CB32B1">
        <w:t xml:space="preserve">Table </w:t>
      </w:r>
      <w:r w:rsidR="008816B4">
        <w:rPr>
          <w:noProof/>
        </w:rPr>
        <w:t>45</w:t>
      </w:r>
      <w:r w:rsidR="009129A6" w:rsidRPr="00CB32B1">
        <w:fldChar w:fldCharType="end"/>
      </w:r>
      <w:r w:rsidRPr="00CB32B1">
        <w:t>.</w:t>
      </w:r>
    </w:p>
    <w:p w:rsidR="00767B1A" w:rsidRPr="00CB32B1" w:rsidRDefault="00767B1A" w:rsidP="00767B1A">
      <w:pPr>
        <w:pStyle w:val="Caption"/>
      </w:pPr>
      <w:bookmarkStart w:id="162" w:name="_Ref361224537"/>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45</w:t>
      </w:r>
      <w:r w:rsidR="009129A6" w:rsidRPr="00CB32B1">
        <w:fldChar w:fldCharType="end"/>
      </w:r>
      <w:bookmarkEnd w:id="162"/>
      <w:r w:rsidRPr="00CB32B1">
        <w:t>:</w:t>
      </w:r>
      <w:r w:rsidRPr="00CB32B1">
        <w:tab/>
        <w:t xml:space="preserve">Example </w:t>
      </w:r>
      <w:r w:rsidR="00463352" w:rsidRPr="00CB32B1">
        <w:t xml:space="preserve">findings from international </w:t>
      </w:r>
      <w:r w:rsidRPr="00CB32B1">
        <w:t>studies on birthing interventions</w:t>
      </w:r>
    </w:p>
    <w:tbl>
      <w:tblPr>
        <w:tblStyle w:val="PwCTableStyle1"/>
        <w:tblW w:w="5000" w:type="pct"/>
        <w:tblLook w:val="04A0"/>
      </w:tblPr>
      <w:tblGrid>
        <w:gridCol w:w="392"/>
        <w:gridCol w:w="2126"/>
        <w:gridCol w:w="6767"/>
      </w:tblGrid>
      <w:tr w:rsidR="00767B1A" w:rsidRPr="00CB32B1" w:rsidTr="00463352">
        <w:trPr>
          <w:cnfStyle w:val="100000000000"/>
        </w:trPr>
        <w:tc>
          <w:tcPr>
            <w:cnfStyle w:val="001000000000"/>
            <w:tcW w:w="211" w:type="pct"/>
            <w:shd w:val="clear" w:color="auto" w:fill="DC6900" w:themeFill="text2"/>
            <w:vAlign w:val="center"/>
          </w:tcPr>
          <w:p w:rsidR="00767B1A" w:rsidRPr="00CB32B1" w:rsidRDefault="00767B1A" w:rsidP="00747120">
            <w:pPr>
              <w:pStyle w:val="TableColumnHeadingNormal"/>
            </w:pPr>
          </w:p>
        </w:tc>
        <w:tc>
          <w:tcPr>
            <w:tcW w:w="1145" w:type="pct"/>
            <w:shd w:val="clear" w:color="auto" w:fill="DC6900" w:themeFill="text2"/>
            <w:vAlign w:val="center"/>
          </w:tcPr>
          <w:p w:rsidR="00767B1A" w:rsidRPr="00CB32B1" w:rsidRDefault="00767B1A" w:rsidP="00747120">
            <w:pPr>
              <w:pStyle w:val="TableColumnHeadingNormal"/>
              <w:jc w:val="center"/>
              <w:cnfStyle w:val="100000000000"/>
            </w:pPr>
            <w:r w:rsidRPr="00CB32B1">
              <w:t>Jurisdiction</w:t>
            </w:r>
          </w:p>
        </w:tc>
        <w:tc>
          <w:tcPr>
            <w:tcW w:w="3644" w:type="pct"/>
            <w:shd w:val="clear" w:color="auto" w:fill="DC6900" w:themeFill="text2"/>
            <w:vAlign w:val="center"/>
          </w:tcPr>
          <w:p w:rsidR="00767B1A" w:rsidRPr="00CB32B1" w:rsidRDefault="00767B1A" w:rsidP="00747120">
            <w:pPr>
              <w:pStyle w:val="TableColumnHeadingNormal"/>
              <w:jc w:val="center"/>
              <w:cnfStyle w:val="100000000000"/>
            </w:pPr>
            <w:r w:rsidRPr="00CB32B1">
              <w:t>Finding from homebirths</w:t>
            </w:r>
          </w:p>
        </w:tc>
      </w:tr>
      <w:tr w:rsidR="00767B1A" w:rsidRPr="00CB32B1" w:rsidTr="00463352">
        <w:tc>
          <w:tcPr>
            <w:cnfStyle w:val="001000000000"/>
            <w:tcW w:w="211" w:type="pct"/>
          </w:tcPr>
          <w:p w:rsidR="00767B1A" w:rsidRPr="00CB32B1" w:rsidRDefault="00767B1A" w:rsidP="00767B1A">
            <w:pPr>
              <w:pStyle w:val="TableTextNormal"/>
            </w:pPr>
            <w:r w:rsidRPr="00CB32B1">
              <w:t>1</w:t>
            </w:r>
          </w:p>
        </w:tc>
        <w:tc>
          <w:tcPr>
            <w:tcW w:w="1145" w:type="pct"/>
          </w:tcPr>
          <w:p w:rsidR="00767B1A" w:rsidRPr="00CB32B1" w:rsidRDefault="00767B1A" w:rsidP="00767B1A">
            <w:pPr>
              <w:pStyle w:val="TableTextNormal"/>
              <w:cnfStyle w:val="000000000000"/>
            </w:pPr>
            <w:r w:rsidRPr="00CB32B1">
              <w:t>Canada</w:t>
            </w:r>
          </w:p>
        </w:tc>
        <w:tc>
          <w:tcPr>
            <w:tcW w:w="3644" w:type="pct"/>
          </w:tcPr>
          <w:p w:rsidR="00767B1A" w:rsidRPr="00CB32B1" w:rsidRDefault="00767B1A" w:rsidP="00767B1A">
            <w:pPr>
              <w:pStyle w:val="TableTextNormal"/>
              <w:cnfStyle w:val="000000000000"/>
            </w:pPr>
            <w:r w:rsidRPr="00CB32B1">
              <w:t>Lower rates of augmentation in terms of artificial ruptured membranes and use of oxytocin</w:t>
            </w:r>
          </w:p>
        </w:tc>
      </w:tr>
      <w:tr w:rsidR="00767B1A" w:rsidRPr="00CB32B1" w:rsidTr="00463352">
        <w:tc>
          <w:tcPr>
            <w:cnfStyle w:val="001000000000"/>
            <w:tcW w:w="211" w:type="pct"/>
          </w:tcPr>
          <w:p w:rsidR="00767B1A" w:rsidRPr="00CB32B1" w:rsidRDefault="00767B1A" w:rsidP="00767B1A">
            <w:pPr>
              <w:pStyle w:val="TableTextNormal"/>
            </w:pPr>
            <w:r w:rsidRPr="00CB32B1">
              <w:t>2</w:t>
            </w:r>
          </w:p>
        </w:tc>
        <w:tc>
          <w:tcPr>
            <w:tcW w:w="1145" w:type="pct"/>
          </w:tcPr>
          <w:p w:rsidR="00767B1A" w:rsidRPr="00CB32B1" w:rsidRDefault="00767B1A" w:rsidP="00767B1A">
            <w:pPr>
              <w:pStyle w:val="TableTextNormal"/>
              <w:cnfStyle w:val="000000000000"/>
            </w:pPr>
            <w:r w:rsidRPr="00CB32B1">
              <w:t>Canada</w:t>
            </w:r>
          </w:p>
        </w:tc>
        <w:tc>
          <w:tcPr>
            <w:tcW w:w="3644" w:type="pct"/>
          </w:tcPr>
          <w:p w:rsidR="00767B1A" w:rsidRPr="00CB32B1" w:rsidRDefault="00767B1A" w:rsidP="00463352">
            <w:pPr>
              <w:pStyle w:val="TableTextNormal"/>
              <w:cnfStyle w:val="000000000000"/>
            </w:pPr>
            <w:r w:rsidRPr="00CB32B1">
              <w:t>Lower rates of analgesia in terms of nitrous oxide, narcotics and epidurals</w:t>
            </w:r>
          </w:p>
        </w:tc>
      </w:tr>
      <w:tr w:rsidR="00767B1A" w:rsidRPr="00CB32B1" w:rsidTr="00463352">
        <w:tc>
          <w:tcPr>
            <w:cnfStyle w:val="001000000000"/>
            <w:tcW w:w="211" w:type="pct"/>
          </w:tcPr>
          <w:p w:rsidR="00767B1A" w:rsidRPr="00CB32B1" w:rsidRDefault="00767B1A" w:rsidP="00767B1A">
            <w:pPr>
              <w:pStyle w:val="TableTextNormal"/>
            </w:pPr>
            <w:r w:rsidRPr="00CB32B1">
              <w:t>3</w:t>
            </w:r>
          </w:p>
        </w:tc>
        <w:tc>
          <w:tcPr>
            <w:tcW w:w="1145" w:type="pct"/>
          </w:tcPr>
          <w:p w:rsidR="00767B1A" w:rsidRPr="00CB32B1" w:rsidRDefault="00767B1A" w:rsidP="00463352">
            <w:pPr>
              <w:pStyle w:val="TableTextNormal"/>
              <w:cnfStyle w:val="000000000000"/>
            </w:pPr>
            <w:r w:rsidRPr="00CB32B1">
              <w:t>Canada, Sweden, U</w:t>
            </w:r>
            <w:r w:rsidR="00463352" w:rsidRPr="00CB32B1">
              <w:t>S</w:t>
            </w:r>
          </w:p>
        </w:tc>
        <w:tc>
          <w:tcPr>
            <w:tcW w:w="3644" w:type="pct"/>
          </w:tcPr>
          <w:p w:rsidR="00767B1A" w:rsidRPr="00CB32B1" w:rsidRDefault="00767B1A" w:rsidP="00767B1A">
            <w:pPr>
              <w:pStyle w:val="TableTextNormal"/>
              <w:cnfStyle w:val="000000000000"/>
            </w:pPr>
            <w:r w:rsidRPr="00CB32B1">
              <w:t>Lower rates of episiotomies, assisted vaginal deliveries and caesarean sections</w:t>
            </w:r>
          </w:p>
        </w:tc>
      </w:tr>
    </w:tbl>
    <w:p w:rsidR="00767B1A" w:rsidRPr="00CB32B1" w:rsidRDefault="009129A6" w:rsidP="00767B1A">
      <w:pPr>
        <w:pStyle w:val="PwCNormal"/>
      </w:pPr>
      <w:r w:rsidRPr="00CB32B1">
        <w:fldChar w:fldCharType="begin"/>
      </w:r>
      <w:r w:rsidR="00D44BC2" w:rsidRPr="00CB32B1">
        <w:instrText xml:space="preserve"> REF _Ref361224443 \h </w:instrText>
      </w:r>
      <w:r w:rsidRPr="00CB32B1">
        <w:fldChar w:fldCharType="separate"/>
      </w:r>
      <w:r w:rsidR="008816B4" w:rsidRPr="00CB32B1">
        <w:t xml:space="preserve">Table </w:t>
      </w:r>
      <w:r w:rsidR="008816B4">
        <w:rPr>
          <w:noProof/>
        </w:rPr>
        <w:t>46</w:t>
      </w:r>
      <w:r w:rsidRPr="00CB32B1">
        <w:fldChar w:fldCharType="end"/>
      </w:r>
      <w:r w:rsidR="00D44BC2" w:rsidRPr="00CB32B1">
        <w:t xml:space="preserve"> </w:t>
      </w:r>
      <w:r w:rsidR="00767B1A" w:rsidRPr="00CB32B1">
        <w:t>shows that lower rates of augmentation have been documented in Canada for both Artificial Rupture of Membranes and Oxytocin.</w:t>
      </w:r>
    </w:p>
    <w:p w:rsidR="00767B1A" w:rsidRPr="00CB32B1" w:rsidRDefault="00767B1A" w:rsidP="00767B1A">
      <w:pPr>
        <w:pStyle w:val="NumericCaption"/>
      </w:pPr>
      <w:bookmarkStart w:id="163" w:name="_Ref361224443"/>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46</w:t>
      </w:r>
      <w:r w:rsidR="009129A6" w:rsidRPr="00CB32B1">
        <w:fldChar w:fldCharType="end"/>
      </w:r>
      <w:bookmarkEnd w:id="163"/>
      <w:r w:rsidRPr="00CB32B1">
        <w:t>:</w:t>
      </w:r>
      <w:r w:rsidRPr="00CB32B1">
        <w:tab/>
        <w:t>Rates of augmentation</w:t>
      </w:r>
    </w:p>
    <w:tbl>
      <w:tblPr>
        <w:tblStyle w:val="PwCTableStyle1"/>
        <w:tblW w:w="5000" w:type="pct"/>
        <w:tblLook w:val="04A0"/>
      </w:tblPr>
      <w:tblGrid>
        <w:gridCol w:w="1237"/>
        <w:gridCol w:w="897"/>
        <w:gridCol w:w="1473"/>
        <w:gridCol w:w="2674"/>
        <w:gridCol w:w="1502"/>
        <w:gridCol w:w="1502"/>
      </w:tblGrid>
      <w:tr w:rsidR="00767B1A" w:rsidRPr="00CB32B1" w:rsidTr="00C97690">
        <w:trPr>
          <w:cnfStyle w:val="100000000000"/>
          <w:trHeight w:val="338"/>
        </w:trPr>
        <w:tc>
          <w:tcPr>
            <w:cnfStyle w:val="001000000000"/>
            <w:tcW w:w="666" w:type="pct"/>
            <w:vMerge w:val="restart"/>
            <w:tcBorders>
              <w:bottom w:val="single" w:sz="6" w:space="0" w:color="FFFFFF" w:themeColor="background1"/>
            </w:tcBorders>
            <w:shd w:val="clear" w:color="auto" w:fill="DC6900" w:themeFill="text2"/>
            <w:vAlign w:val="center"/>
          </w:tcPr>
          <w:p w:rsidR="00767B1A" w:rsidRPr="00CB32B1" w:rsidRDefault="00767B1A" w:rsidP="00747120">
            <w:pPr>
              <w:pStyle w:val="NumericTableColumnHeadingNormal"/>
              <w:rPr>
                <w:rFonts w:asciiTheme="majorHAnsi" w:hAnsiTheme="majorHAnsi"/>
              </w:rPr>
            </w:pPr>
            <w:r w:rsidRPr="00CB32B1">
              <w:rPr>
                <w:rFonts w:asciiTheme="majorHAnsi" w:hAnsiTheme="majorHAnsi"/>
              </w:rPr>
              <w:t>Author, date published</w:t>
            </w:r>
          </w:p>
        </w:tc>
        <w:tc>
          <w:tcPr>
            <w:tcW w:w="483" w:type="pct"/>
            <w:vMerge w:val="restart"/>
            <w:tcBorders>
              <w:bottom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Data period</w:t>
            </w:r>
          </w:p>
        </w:tc>
        <w:tc>
          <w:tcPr>
            <w:tcW w:w="793" w:type="pct"/>
            <w:vMerge w:val="restart"/>
            <w:tcBorders>
              <w:bottom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Jurisdiction</w:t>
            </w:r>
          </w:p>
        </w:tc>
        <w:tc>
          <w:tcPr>
            <w:tcW w:w="1440" w:type="pct"/>
            <w:vMerge w:val="restart"/>
            <w:tcBorders>
              <w:bottom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Settings of birth</w:t>
            </w:r>
          </w:p>
        </w:tc>
        <w:tc>
          <w:tcPr>
            <w:tcW w:w="1618" w:type="pct"/>
            <w:gridSpan w:val="2"/>
            <w:tcBorders>
              <w:bottom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Lower rates of type of augmentation seen in homebirth (</w:t>
            </w:r>
            <w:r w:rsidRPr="00CB32B1">
              <w:rPr>
                <w:rFonts w:asciiTheme="majorHAnsi" w:hAnsiTheme="majorHAnsi"/>
              </w:rPr>
              <w:sym w:font="Wingdings" w:char="F0FC"/>
            </w:r>
            <w:r w:rsidRPr="00CB32B1">
              <w:rPr>
                <w:rFonts w:asciiTheme="majorHAnsi" w:hAnsiTheme="majorHAnsi"/>
              </w:rPr>
              <w:t>/×)</w:t>
            </w:r>
          </w:p>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 in study</w:t>
            </w:r>
          </w:p>
        </w:tc>
      </w:tr>
      <w:tr w:rsidR="00767B1A" w:rsidRPr="00CB32B1" w:rsidTr="00C97690">
        <w:trPr>
          <w:trHeight w:val="337"/>
        </w:trPr>
        <w:tc>
          <w:tcPr>
            <w:cnfStyle w:val="001000000000"/>
            <w:tcW w:w="666" w:type="pct"/>
            <w:vMerge/>
            <w:tcBorders>
              <w:top w:val="single" w:sz="6" w:space="0" w:color="FFFFFF" w:themeColor="background1"/>
              <w:right w:val="single" w:sz="6" w:space="0" w:color="FFFFFF" w:themeColor="background1"/>
            </w:tcBorders>
            <w:shd w:val="clear" w:color="auto" w:fill="DC6900" w:themeFill="text2"/>
            <w:vAlign w:val="bottom"/>
          </w:tcPr>
          <w:p w:rsidR="00767B1A" w:rsidRPr="00CB32B1" w:rsidRDefault="00767B1A" w:rsidP="00767B1A">
            <w:pPr>
              <w:pStyle w:val="NumericTableColumnHeadingNormal"/>
              <w:rPr>
                <w:rFonts w:asciiTheme="majorHAnsi" w:hAnsiTheme="majorHAnsi"/>
              </w:rPr>
            </w:pPr>
          </w:p>
        </w:tc>
        <w:tc>
          <w:tcPr>
            <w:tcW w:w="483" w:type="pct"/>
            <w:vMerge/>
            <w:tcBorders>
              <w:top w:val="single" w:sz="6" w:space="0" w:color="FFFFFF" w:themeColor="background1"/>
              <w:left w:val="single" w:sz="6" w:space="0" w:color="FFFFFF" w:themeColor="background1"/>
              <w:right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000000000000"/>
              <w:rPr>
                <w:rFonts w:asciiTheme="majorHAnsi" w:hAnsiTheme="majorHAnsi"/>
              </w:rPr>
            </w:pPr>
          </w:p>
        </w:tc>
        <w:tc>
          <w:tcPr>
            <w:tcW w:w="793" w:type="pct"/>
            <w:vMerge/>
            <w:tcBorders>
              <w:top w:val="single" w:sz="6" w:space="0" w:color="FFFFFF" w:themeColor="background1"/>
              <w:left w:val="single" w:sz="6" w:space="0" w:color="FFFFFF" w:themeColor="background1"/>
              <w:right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000000000000"/>
              <w:rPr>
                <w:rFonts w:asciiTheme="majorHAnsi" w:hAnsiTheme="majorHAnsi"/>
              </w:rPr>
            </w:pPr>
          </w:p>
        </w:tc>
        <w:tc>
          <w:tcPr>
            <w:tcW w:w="1440" w:type="pct"/>
            <w:vMerge/>
            <w:tcBorders>
              <w:top w:val="single" w:sz="6" w:space="0" w:color="FFFFFF" w:themeColor="background1"/>
              <w:left w:val="single" w:sz="6" w:space="0" w:color="FFFFFF" w:themeColor="background1"/>
              <w:right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000000000000"/>
              <w:rPr>
                <w:rFonts w:asciiTheme="majorHAnsi" w:hAnsiTheme="majorHAnsi"/>
              </w:rPr>
            </w:pPr>
          </w:p>
        </w:tc>
        <w:tc>
          <w:tcPr>
            <w:tcW w:w="809" w:type="pct"/>
            <w:tcBorders>
              <w:top w:val="single" w:sz="6" w:space="0" w:color="FFFFFF" w:themeColor="background1"/>
              <w:left w:val="single" w:sz="6" w:space="0" w:color="FFFFFF" w:themeColor="background1"/>
              <w:right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000000000000"/>
              <w:rPr>
                <w:rFonts w:asciiTheme="majorHAnsi" w:hAnsiTheme="majorHAnsi"/>
              </w:rPr>
            </w:pPr>
            <w:r w:rsidRPr="00CB32B1">
              <w:rPr>
                <w:rFonts w:asciiTheme="majorHAnsi" w:hAnsiTheme="majorHAnsi"/>
              </w:rPr>
              <w:t>Artificial Rupture of Membranes (ARM)</w:t>
            </w:r>
          </w:p>
        </w:tc>
        <w:tc>
          <w:tcPr>
            <w:tcW w:w="809" w:type="pct"/>
            <w:tcBorders>
              <w:top w:val="single" w:sz="6" w:space="0" w:color="FFFFFF" w:themeColor="background1"/>
              <w:left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000000000000"/>
              <w:rPr>
                <w:rFonts w:asciiTheme="majorHAnsi" w:hAnsiTheme="majorHAnsi"/>
              </w:rPr>
            </w:pPr>
            <w:r w:rsidRPr="00CB32B1">
              <w:rPr>
                <w:rFonts w:asciiTheme="majorHAnsi" w:hAnsiTheme="majorHAnsi"/>
              </w:rPr>
              <w:t>Oxytocin</w:t>
            </w:r>
          </w:p>
        </w:tc>
      </w:tr>
      <w:tr w:rsidR="00767B1A" w:rsidRPr="00CB32B1" w:rsidTr="00C97690">
        <w:tc>
          <w:tcPr>
            <w:cnfStyle w:val="001000000000"/>
            <w:tcW w:w="666" w:type="pct"/>
            <w:vMerge w:val="restart"/>
          </w:tcPr>
          <w:p w:rsidR="00767B1A" w:rsidRPr="00CB32B1" w:rsidRDefault="00767B1A" w:rsidP="00894387">
            <w:pPr>
              <w:pStyle w:val="NumericTableTextNormal"/>
              <w:rPr>
                <w:rFonts w:asciiTheme="majorHAnsi" w:hAnsiTheme="majorHAnsi"/>
              </w:rPr>
            </w:pPr>
            <w:r w:rsidRPr="00CB32B1">
              <w:rPr>
                <w:rFonts w:asciiTheme="majorHAnsi" w:hAnsiTheme="majorHAnsi"/>
              </w:rPr>
              <w:t>Hutton, Reitsma</w:t>
            </w:r>
            <w:r w:rsidR="0089258A" w:rsidRPr="00CB32B1">
              <w:rPr>
                <w:rFonts w:asciiTheme="majorHAnsi" w:hAnsiTheme="majorHAnsi"/>
              </w:rPr>
              <w:t xml:space="preserve"> &amp;</w:t>
            </w:r>
            <w:r w:rsidR="00894387" w:rsidRPr="00CB32B1">
              <w:rPr>
                <w:rFonts w:asciiTheme="majorHAnsi" w:hAnsiTheme="majorHAnsi"/>
              </w:rPr>
              <w:t xml:space="preserve"> Kaufman</w:t>
            </w:r>
            <w:r w:rsidRPr="00CB32B1">
              <w:rPr>
                <w:rFonts w:asciiTheme="majorHAnsi" w:hAnsiTheme="majorHAnsi"/>
              </w:rPr>
              <w:t xml:space="preserve"> 2009</w:t>
            </w:r>
          </w:p>
        </w:tc>
        <w:tc>
          <w:tcPr>
            <w:tcW w:w="483" w:type="pct"/>
            <w:vMerge w:val="restar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2003 –2006</w:t>
            </w:r>
          </w:p>
        </w:tc>
        <w:tc>
          <w:tcPr>
            <w:tcW w:w="793" w:type="pct"/>
            <w:vMerge w:val="restar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Ontario, Canada</w:t>
            </w:r>
          </w:p>
        </w:tc>
        <w:tc>
          <w:tcPr>
            <w:tcW w:w="1440" w:type="pct"/>
          </w:tcPr>
          <w:p w:rsidR="00767B1A" w:rsidRPr="00CB32B1" w:rsidRDefault="00767B1A" w:rsidP="00767B1A">
            <w:pPr>
              <w:pStyle w:val="NumericTableTextNormal"/>
              <w:cnfStyle w:val="000000000000"/>
              <w:rPr>
                <w:rFonts w:asciiTheme="majorHAnsi" w:hAnsiTheme="majorHAnsi"/>
              </w:rPr>
            </w:pPr>
          </w:p>
        </w:tc>
        <w:tc>
          <w:tcPr>
            <w:tcW w:w="809" w:type="pct"/>
          </w:tcPr>
          <w:p w:rsidR="00767B1A" w:rsidRPr="00CB32B1" w:rsidRDefault="00767B1A" w:rsidP="00767B1A">
            <w:pPr>
              <w:pStyle w:val="NumericTableTextDecimalNormal"/>
              <w:tabs>
                <w:tab w:val="clear" w:pos="1004"/>
                <w:tab w:val="decimal" w:pos="756"/>
              </w:tabs>
              <w:cnfStyle w:val="000000000000"/>
              <w:rPr>
                <w:rFonts w:asciiTheme="majorHAnsi" w:hAnsiTheme="majorHAnsi"/>
              </w:rPr>
            </w:pPr>
            <w:r w:rsidRPr="00CB32B1">
              <w:rPr>
                <w:rFonts w:asciiTheme="majorHAnsi" w:hAnsiTheme="majorHAnsi"/>
              </w:rPr>
              <w:sym w:font="Wingdings" w:char="F0FC"/>
            </w:r>
          </w:p>
        </w:tc>
        <w:tc>
          <w:tcPr>
            <w:tcW w:w="809" w:type="pct"/>
          </w:tcPr>
          <w:p w:rsidR="00767B1A" w:rsidRPr="00CB32B1" w:rsidRDefault="00767B1A" w:rsidP="00767B1A">
            <w:pPr>
              <w:pStyle w:val="NumericTableTextDecimalNormal"/>
              <w:tabs>
                <w:tab w:val="clear" w:pos="1004"/>
                <w:tab w:val="decimal" w:pos="756"/>
              </w:tabs>
              <w:cnfStyle w:val="000000000000"/>
              <w:rPr>
                <w:rFonts w:asciiTheme="majorHAnsi" w:hAnsiTheme="majorHAnsi"/>
              </w:rPr>
            </w:pPr>
            <w:r w:rsidRPr="00CB32B1">
              <w:rPr>
                <w:rFonts w:asciiTheme="majorHAnsi" w:hAnsiTheme="majorHAnsi"/>
              </w:rPr>
              <w:sym w:font="Wingdings" w:char="F0FC"/>
            </w:r>
          </w:p>
        </w:tc>
      </w:tr>
      <w:tr w:rsidR="00767B1A" w:rsidRPr="00CB32B1" w:rsidTr="00C97690">
        <w:tc>
          <w:tcPr>
            <w:cnfStyle w:val="001000000000"/>
            <w:tcW w:w="666" w:type="pct"/>
            <w:vMerge/>
          </w:tcPr>
          <w:p w:rsidR="00767B1A" w:rsidRPr="00CB32B1" w:rsidRDefault="00767B1A" w:rsidP="00767B1A">
            <w:pPr>
              <w:pStyle w:val="NumericTableTextNormal"/>
              <w:rPr>
                <w:rFonts w:asciiTheme="majorHAnsi" w:hAnsiTheme="majorHAnsi"/>
              </w:rPr>
            </w:pPr>
          </w:p>
        </w:tc>
        <w:tc>
          <w:tcPr>
            <w:tcW w:w="483" w:type="pct"/>
            <w:vMerge/>
          </w:tcPr>
          <w:p w:rsidR="00767B1A" w:rsidRPr="00CB32B1" w:rsidRDefault="00767B1A" w:rsidP="00767B1A">
            <w:pPr>
              <w:pStyle w:val="NumericTableTextNormal"/>
              <w:cnfStyle w:val="000000000000"/>
              <w:rPr>
                <w:rFonts w:asciiTheme="majorHAnsi" w:hAnsiTheme="majorHAnsi"/>
              </w:rPr>
            </w:pPr>
          </w:p>
        </w:tc>
        <w:tc>
          <w:tcPr>
            <w:tcW w:w="793" w:type="pct"/>
            <w:vMerge/>
          </w:tcPr>
          <w:p w:rsidR="00767B1A" w:rsidRPr="00CB32B1" w:rsidRDefault="00767B1A" w:rsidP="00767B1A">
            <w:pPr>
              <w:pStyle w:val="NumericTableTextNormal"/>
              <w:cnfStyle w:val="000000000000"/>
              <w:rPr>
                <w:rFonts w:asciiTheme="majorHAnsi" w:hAnsiTheme="majorHAnsi"/>
              </w:rPr>
            </w:pPr>
          </w:p>
        </w:tc>
        <w:tc>
          <w:tcPr>
            <w:tcW w:w="1440" w:type="pc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Planned homebirth: 6,692</w:t>
            </w:r>
          </w:p>
        </w:tc>
        <w:tc>
          <w:tcPr>
            <w:tcW w:w="809" w:type="pct"/>
          </w:tcPr>
          <w:p w:rsidR="00767B1A" w:rsidRPr="00CB32B1" w:rsidRDefault="00767B1A" w:rsidP="00767B1A">
            <w:pPr>
              <w:pStyle w:val="NumericTableTextDecimalNormal"/>
              <w:tabs>
                <w:tab w:val="clear" w:pos="1004"/>
                <w:tab w:val="decimal" w:pos="756"/>
              </w:tabs>
              <w:cnfStyle w:val="000000000000"/>
              <w:rPr>
                <w:rFonts w:asciiTheme="majorHAnsi" w:hAnsiTheme="majorHAnsi"/>
              </w:rPr>
            </w:pPr>
            <w:r w:rsidRPr="00CB32B1">
              <w:rPr>
                <w:rFonts w:asciiTheme="majorHAnsi" w:hAnsiTheme="majorHAnsi"/>
              </w:rPr>
              <w:t>22.4%</w:t>
            </w:r>
          </w:p>
        </w:tc>
        <w:tc>
          <w:tcPr>
            <w:tcW w:w="809" w:type="pct"/>
          </w:tcPr>
          <w:p w:rsidR="00767B1A" w:rsidRPr="00CB32B1" w:rsidRDefault="00767B1A" w:rsidP="00767B1A">
            <w:pPr>
              <w:pStyle w:val="NumericTableTextDecimalNormal"/>
              <w:tabs>
                <w:tab w:val="clear" w:pos="1004"/>
                <w:tab w:val="decimal" w:pos="756"/>
              </w:tabs>
              <w:cnfStyle w:val="000000000000"/>
              <w:rPr>
                <w:rFonts w:asciiTheme="majorHAnsi" w:hAnsiTheme="majorHAnsi"/>
              </w:rPr>
            </w:pPr>
            <w:r w:rsidRPr="00CB32B1">
              <w:rPr>
                <w:rFonts w:asciiTheme="majorHAnsi" w:hAnsiTheme="majorHAnsi"/>
              </w:rPr>
              <w:t>8.2%</w:t>
            </w:r>
          </w:p>
        </w:tc>
      </w:tr>
      <w:tr w:rsidR="00767B1A" w:rsidRPr="00CB32B1" w:rsidTr="00C97690">
        <w:tc>
          <w:tcPr>
            <w:cnfStyle w:val="001000000000"/>
            <w:tcW w:w="666" w:type="pct"/>
            <w:vMerge/>
          </w:tcPr>
          <w:p w:rsidR="00767B1A" w:rsidRPr="00CB32B1" w:rsidRDefault="00767B1A" w:rsidP="00767B1A">
            <w:pPr>
              <w:pStyle w:val="NumericTableTextNormal"/>
              <w:rPr>
                <w:rFonts w:asciiTheme="majorHAnsi" w:hAnsiTheme="majorHAnsi"/>
              </w:rPr>
            </w:pPr>
          </w:p>
        </w:tc>
        <w:tc>
          <w:tcPr>
            <w:tcW w:w="483" w:type="pct"/>
            <w:vMerge/>
          </w:tcPr>
          <w:p w:rsidR="00767B1A" w:rsidRPr="00CB32B1" w:rsidRDefault="00767B1A" w:rsidP="00767B1A">
            <w:pPr>
              <w:pStyle w:val="NumericTableTextNormal"/>
              <w:cnfStyle w:val="000000000000"/>
              <w:rPr>
                <w:rFonts w:asciiTheme="majorHAnsi" w:hAnsiTheme="majorHAnsi"/>
              </w:rPr>
            </w:pPr>
          </w:p>
        </w:tc>
        <w:tc>
          <w:tcPr>
            <w:tcW w:w="793" w:type="pct"/>
            <w:vMerge/>
          </w:tcPr>
          <w:p w:rsidR="00767B1A" w:rsidRPr="00CB32B1" w:rsidRDefault="00767B1A" w:rsidP="00767B1A">
            <w:pPr>
              <w:pStyle w:val="NumericTableTextNormal"/>
              <w:cnfStyle w:val="000000000000"/>
              <w:rPr>
                <w:rFonts w:asciiTheme="majorHAnsi" w:hAnsiTheme="majorHAnsi"/>
              </w:rPr>
            </w:pPr>
          </w:p>
        </w:tc>
        <w:tc>
          <w:tcPr>
            <w:tcW w:w="1440" w:type="pc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Planned hospital birth: 6,692</w:t>
            </w:r>
          </w:p>
        </w:tc>
        <w:tc>
          <w:tcPr>
            <w:tcW w:w="809" w:type="pct"/>
          </w:tcPr>
          <w:p w:rsidR="00767B1A" w:rsidRPr="00CB32B1" w:rsidRDefault="00767B1A" w:rsidP="00767B1A">
            <w:pPr>
              <w:pStyle w:val="NumericTableTextDecimalNormal"/>
              <w:tabs>
                <w:tab w:val="clear" w:pos="1004"/>
                <w:tab w:val="decimal" w:pos="756"/>
              </w:tabs>
              <w:cnfStyle w:val="000000000000"/>
              <w:rPr>
                <w:rFonts w:asciiTheme="majorHAnsi" w:hAnsiTheme="majorHAnsi"/>
              </w:rPr>
            </w:pPr>
            <w:r w:rsidRPr="00CB32B1">
              <w:rPr>
                <w:rFonts w:asciiTheme="majorHAnsi" w:hAnsiTheme="majorHAnsi"/>
              </w:rPr>
              <w:t>28.2%</w:t>
            </w:r>
          </w:p>
        </w:tc>
        <w:tc>
          <w:tcPr>
            <w:tcW w:w="809" w:type="pct"/>
          </w:tcPr>
          <w:p w:rsidR="00767B1A" w:rsidRPr="00CB32B1" w:rsidRDefault="00767B1A" w:rsidP="00767B1A">
            <w:pPr>
              <w:pStyle w:val="NumericTableTextDecimalNormal"/>
              <w:tabs>
                <w:tab w:val="clear" w:pos="1004"/>
                <w:tab w:val="decimal" w:pos="756"/>
              </w:tabs>
              <w:cnfStyle w:val="000000000000"/>
              <w:rPr>
                <w:rFonts w:asciiTheme="majorHAnsi" w:hAnsiTheme="majorHAnsi"/>
              </w:rPr>
            </w:pPr>
            <w:r w:rsidRPr="00CB32B1">
              <w:rPr>
                <w:rFonts w:asciiTheme="majorHAnsi" w:hAnsiTheme="majorHAnsi"/>
              </w:rPr>
              <w:t>13.1%</w:t>
            </w:r>
          </w:p>
        </w:tc>
      </w:tr>
      <w:tr w:rsidR="00767B1A" w:rsidRPr="00CB32B1" w:rsidTr="00C97690">
        <w:trPr>
          <w:trHeight w:val="65"/>
        </w:trPr>
        <w:tc>
          <w:tcPr>
            <w:cnfStyle w:val="001000000000"/>
            <w:tcW w:w="666" w:type="pct"/>
            <w:vMerge w:val="restart"/>
          </w:tcPr>
          <w:p w:rsidR="00767B1A" w:rsidRPr="00CB32B1" w:rsidRDefault="0089258A" w:rsidP="00C97690">
            <w:pPr>
              <w:pStyle w:val="NumericTableTextNormal"/>
              <w:rPr>
                <w:rFonts w:asciiTheme="majorHAnsi" w:hAnsiTheme="majorHAnsi"/>
              </w:rPr>
            </w:pPr>
            <w:r w:rsidRPr="00CB32B1">
              <w:rPr>
                <w:rFonts w:asciiTheme="majorHAnsi" w:hAnsiTheme="majorHAnsi"/>
              </w:rPr>
              <w:t>Janssen, Saxell, Page, Klein, Liston</w:t>
            </w:r>
            <w:r w:rsidR="00C97690" w:rsidRPr="00CB32B1">
              <w:rPr>
                <w:rFonts w:asciiTheme="majorHAnsi" w:hAnsiTheme="majorHAnsi"/>
              </w:rPr>
              <w:t xml:space="preserve"> &amp; Lee </w:t>
            </w:r>
            <w:r w:rsidRPr="00CB32B1">
              <w:rPr>
                <w:rFonts w:asciiTheme="majorHAnsi" w:hAnsiTheme="majorHAnsi"/>
              </w:rPr>
              <w:t>2009</w:t>
            </w:r>
          </w:p>
        </w:tc>
        <w:tc>
          <w:tcPr>
            <w:tcW w:w="483" w:type="pct"/>
            <w:vMerge w:val="restar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2000 –2004</w:t>
            </w:r>
          </w:p>
        </w:tc>
        <w:tc>
          <w:tcPr>
            <w:tcW w:w="793" w:type="pct"/>
            <w:vMerge w:val="restar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British Columbia, Canada</w:t>
            </w:r>
          </w:p>
        </w:tc>
        <w:tc>
          <w:tcPr>
            <w:tcW w:w="1440" w:type="pct"/>
          </w:tcPr>
          <w:p w:rsidR="00767B1A" w:rsidRPr="00CB32B1" w:rsidRDefault="00767B1A" w:rsidP="00767B1A">
            <w:pPr>
              <w:pStyle w:val="NumericTableTextNormal"/>
              <w:cnfStyle w:val="000000000000"/>
              <w:rPr>
                <w:rFonts w:asciiTheme="majorHAnsi" w:hAnsiTheme="majorHAnsi"/>
              </w:rPr>
            </w:pPr>
          </w:p>
        </w:tc>
        <w:tc>
          <w:tcPr>
            <w:tcW w:w="809" w:type="pct"/>
          </w:tcPr>
          <w:p w:rsidR="00767B1A" w:rsidRPr="00CB32B1" w:rsidRDefault="00767B1A" w:rsidP="00767B1A">
            <w:pPr>
              <w:pStyle w:val="NumericTableTextDecimalNormal"/>
              <w:tabs>
                <w:tab w:val="clear" w:pos="1004"/>
                <w:tab w:val="decimal" w:pos="756"/>
              </w:tabs>
              <w:cnfStyle w:val="000000000000"/>
              <w:rPr>
                <w:rFonts w:asciiTheme="majorHAnsi" w:hAnsiTheme="majorHAnsi"/>
              </w:rPr>
            </w:pPr>
            <w:r w:rsidRPr="00CB32B1">
              <w:rPr>
                <w:rFonts w:asciiTheme="majorHAnsi" w:hAnsiTheme="majorHAnsi"/>
              </w:rPr>
              <w:sym w:font="Wingdings" w:char="F0FC"/>
            </w:r>
          </w:p>
        </w:tc>
        <w:tc>
          <w:tcPr>
            <w:tcW w:w="809" w:type="pct"/>
          </w:tcPr>
          <w:p w:rsidR="00767B1A" w:rsidRPr="00CB32B1" w:rsidRDefault="00767B1A" w:rsidP="00767B1A">
            <w:pPr>
              <w:pStyle w:val="NumericTableTextDecimalNormal"/>
              <w:tabs>
                <w:tab w:val="clear" w:pos="1004"/>
                <w:tab w:val="decimal" w:pos="756"/>
              </w:tabs>
              <w:cnfStyle w:val="000000000000"/>
              <w:rPr>
                <w:rFonts w:asciiTheme="majorHAnsi" w:hAnsiTheme="majorHAnsi"/>
              </w:rPr>
            </w:pPr>
            <w:r w:rsidRPr="00CB32B1">
              <w:rPr>
                <w:rFonts w:asciiTheme="majorHAnsi" w:hAnsiTheme="majorHAnsi"/>
              </w:rPr>
              <w:sym w:font="Wingdings" w:char="F0FC"/>
            </w:r>
          </w:p>
        </w:tc>
      </w:tr>
      <w:tr w:rsidR="00767B1A" w:rsidRPr="00CB32B1" w:rsidTr="00C97690">
        <w:tc>
          <w:tcPr>
            <w:cnfStyle w:val="001000000000"/>
            <w:tcW w:w="666" w:type="pct"/>
            <w:vMerge/>
          </w:tcPr>
          <w:p w:rsidR="00767B1A" w:rsidRPr="00CB32B1" w:rsidRDefault="00767B1A" w:rsidP="00767B1A">
            <w:pPr>
              <w:pStyle w:val="NumericTableTextNormal"/>
              <w:rPr>
                <w:rFonts w:asciiTheme="majorHAnsi" w:hAnsiTheme="majorHAnsi"/>
              </w:rPr>
            </w:pPr>
          </w:p>
        </w:tc>
        <w:tc>
          <w:tcPr>
            <w:tcW w:w="483" w:type="pct"/>
            <w:vMerge/>
          </w:tcPr>
          <w:p w:rsidR="00767B1A" w:rsidRPr="00CB32B1" w:rsidRDefault="00767B1A" w:rsidP="00767B1A">
            <w:pPr>
              <w:pStyle w:val="NumericTableTextNormal"/>
              <w:cnfStyle w:val="000000000000"/>
              <w:rPr>
                <w:rFonts w:asciiTheme="majorHAnsi" w:hAnsiTheme="majorHAnsi"/>
              </w:rPr>
            </w:pPr>
          </w:p>
        </w:tc>
        <w:tc>
          <w:tcPr>
            <w:tcW w:w="793" w:type="pct"/>
            <w:vMerge/>
          </w:tcPr>
          <w:p w:rsidR="00767B1A" w:rsidRPr="00CB32B1" w:rsidRDefault="00767B1A" w:rsidP="00767B1A">
            <w:pPr>
              <w:pStyle w:val="NumericTableTextNormal"/>
              <w:cnfStyle w:val="000000000000"/>
              <w:rPr>
                <w:rFonts w:asciiTheme="majorHAnsi" w:hAnsiTheme="majorHAnsi"/>
              </w:rPr>
            </w:pPr>
          </w:p>
        </w:tc>
        <w:tc>
          <w:tcPr>
            <w:tcW w:w="1440" w:type="pc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 xml:space="preserve">Planned homebirth: 2,889 </w:t>
            </w:r>
          </w:p>
        </w:tc>
        <w:tc>
          <w:tcPr>
            <w:tcW w:w="809" w:type="pct"/>
          </w:tcPr>
          <w:p w:rsidR="00767B1A" w:rsidRPr="00CB32B1" w:rsidRDefault="00767B1A" w:rsidP="00767B1A">
            <w:pPr>
              <w:pStyle w:val="NumericTableTextDecimalNormal"/>
              <w:tabs>
                <w:tab w:val="clear" w:pos="1004"/>
                <w:tab w:val="decimal" w:pos="756"/>
              </w:tabs>
              <w:cnfStyle w:val="000000000000"/>
              <w:rPr>
                <w:rFonts w:asciiTheme="majorHAnsi" w:hAnsiTheme="majorHAnsi"/>
              </w:rPr>
            </w:pPr>
            <w:r w:rsidRPr="00CB32B1">
              <w:rPr>
                <w:rFonts w:asciiTheme="majorHAnsi" w:hAnsiTheme="majorHAnsi"/>
              </w:rPr>
              <w:t>19.3%</w:t>
            </w:r>
          </w:p>
        </w:tc>
        <w:tc>
          <w:tcPr>
            <w:tcW w:w="809" w:type="pct"/>
          </w:tcPr>
          <w:p w:rsidR="00767B1A" w:rsidRPr="00CB32B1" w:rsidRDefault="00767B1A" w:rsidP="00767B1A">
            <w:pPr>
              <w:pStyle w:val="NumericTableTextDecimalNormal"/>
              <w:tabs>
                <w:tab w:val="clear" w:pos="1004"/>
                <w:tab w:val="decimal" w:pos="756"/>
              </w:tabs>
              <w:cnfStyle w:val="000000000000"/>
              <w:rPr>
                <w:rFonts w:asciiTheme="majorHAnsi" w:hAnsiTheme="majorHAnsi"/>
              </w:rPr>
            </w:pPr>
            <w:r w:rsidRPr="00CB32B1">
              <w:rPr>
                <w:rFonts w:asciiTheme="majorHAnsi" w:hAnsiTheme="majorHAnsi"/>
              </w:rPr>
              <w:t>5.9%</w:t>
            </w:r>
          </w:p>
        </w:tc>
      </w:tr>
      <w:tr w:rsidR="00767B1A" w:rsidRPr="00CB32B1" w:rsidTr="00C97690">
        <w:tc>
          <w:tcPr>
            <w:cnfStyle w:val="001000000000"/>
            <w:tcW w:w="666" w:type="pct"/>
            <w:vMerge/>
          </w:tcPr>
          <w:p w:rsidR="00767B1A" w:rsidRPr="00CB32B1" w:rsidRDefault="00767B1A" w:rsidP="00767B1A">
            <w:pPr>
              <w:pStyle w:val="NumericTableTextNormal"/>
              <w:rPr>
                <w:rFonts w:asciiTheme="majorHAnsi" w:hAnsiTheme="majorHAnsi"/>
              </w:rPr>
            </w:pPr>
          </w:p>
        </w:tc>
        <w:tc>
          <w:tcPr>
            <w:tcW w:w="483" w:type="pct"/>
            <w:vMerge/>
          </w:tcPr>
          <w:p w:rsidR="00767B1A" w:rsidRPr="00CB32B1" w:rsidRDefault="00767B1A" w:rsidP="00767B1A">
            <w:pPr>
              <w:pStyle w:val="NumericTableTextNormal"/>
              <w:cnfStyle w:val="000000000000"/>
              <w:rPr>
                <w:rFonts w:asciiTheme="majorHAnsi" w:hAnsiTheme="majorHAnsi"/>
              </w:rPr>
            </w:pPr>
          </w:p>
        </w:tc>
        <w:tc>
          <w:tcPr>
            <w:tcW w:w="793" w:type="pct"/>
            <w:vMerge/>
          </w:tcPr>
          <w:p w:rsidR="00767B1A" w:rsidRPr="00CB32B1" w:rsidRDefault="00767B1A" w:rsidP="00767B1A">
            <w:pPr>
              <w:pStyle w:val="NumericTableTextNormal"/>
              <w:cnfStyle w:val="000000000000"/>
              <w:rPr>
                <w:rFonts w:asciiTheme="majorHAnsi" w:hAnsiTheme="majorHAnsi"/>
              </w:rPr>
            </w:pPr>
          </w:p>
        </w:tc>
        <w:tc>
          <w:tcPr>
            <w:tcW w:w="1440" w:type="pc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 xml:space="preserve">Planned midwife-led hospital birth: 4,752 </w:t>
            </w:r>
          </w:p>
        </w:tc>
        <w:tc>
          <w:tcPr>
            <w:tcW w:w="809" w:type="pct"/>
          </w:tcPr>
          <w:p w:rsidR="00767B1A" w:rsidRPr="00CB32B1" w:rsidRDefault="00767B1A" w:rsidP="00767B1A">
            <w:pPr>
              <w:pStyle w:val="NumericTableTextDecimalNormal"/>
              <w:tabs>
                <w:tab w:val="clear" w:pos="1004"/>
                <w:tab w:val="decimal" w:pos="756"/>
              </w:tabs>
              <w:cnfStyle w:val="000000000000"/>
              <w:rPr>
                <w:rFonts w:asciiTheme="majorHAnsi" w:hAnsiTheme="majorHAnsi"/>
              </w:rPr>
            </w:pPr>
            <w:r w:rsidRPr="00CB32B1">
              <w:rPr>
                <w:rFonts w:asciiTheme="majorHAnsi" w:hAnsiTheme="majorHAnsi"/>
              </w:rPr>
              <w:t>31.9%</w:t>
            </w:r>
          </w:p>
        </w:tc>
        <w:tc>
          <w:tcPr>
            <w:tcW w:w="809" w:type="pct"/>
          </w:tcPr>
          <w:p w:rsidR="00767B1A" w:rsidRPr="00CB32B1" w:rsidRDefault="00767B1A" w:rsidP="00767B1A">
            <w:pPr>
              <w:pStyle w:val="NumericTableTextDecimalNormal"/>
              <w:tabs>
                <w:tab w:val="clear" w:pos="1004"/>
                <w:tab w:val="decimal" w:pos="756"/>
              </w:tabs>
              <w:cnfStyle w:val="000000000000"/>
              <w:rPr>
                <w:rFonts w:asciiTheme="majorHAnsi" w:hAnsiTheme="majorHAnsi"/>
              </w:rPr>
            </w:pPr>
            <w:r w:rsidRPr="00CB32B1">
              <w:rPr>
                <w:rFonts w:asciiTheme="majorHAnsi" w:hAnsiTheme="majorHAnsi"/>
              </w:rPr>
              <w:t>12.7%</w:t>
            </w:r>
          </w:p>
        </w:tc>
      </w:tr>
      <w:tr w:rsidR="00767B1A" w:rsidRPr="00CB32B1" w:rsidTr="00C97690">
        <w:tc>
          <w:tcPr>
            <w:cnfStyle w:val="001000000000"/>
            <w:tcW w:w="666" w:type="pct"/>
            <w:vMerge/>
          </w:tcPr>
          <w:p w:rsidR="00767B1A" w:rsidRPr="00CB32B1" w:rsidRDefault="00767B1A" w:rsidP="00767B1A">
            <w:pPr>
              <w:pStyle w:val="NumericTableTextNormal"/>
              <w:rPr>
                <w:rFonts w:asciiTheme="majorHAnsi" w:hAnsiTheme="majorHAnsi"/>
              </w:rPr>
            </w:pPr>
          </w:p>
        </w:tc>
        <w:tc>
          <w:tcPr>
            <w:tcW w:w="483" w:type="pct"/>
            <w:vMerge/>
          </w:tcPr>
          <w:p w:rsidR="00767B1A" w:rsidRPr="00CB32B1" w:rsidRDefault="00767B1A" w:rsidP="00767B1A">
            <w:pPr>
              <w:pStyle w:val="NumericTableTextNormal"/>
              <w:cnfStyle w:val="000000000000"/>
              <w:rPr>
                <w:rFonts w:asciiTheme="majorHAnsi" w:hAnsiTheme="majorHAnsi"/>
              </w:rPr>
            </w:pPr>
          </w:p>
        </w:tc>
        <w:tc>
          <w:tcPr>
            <w:tcW w:w="793" w:type="pct"/>
            <w:vMerge/>
          </w:tcPr>
          <w:p w:rsidR="00767B1A" w:rsidRPr="00CB32B1" w:rsidRDefault="00767B1A" w:rsidP="00767B1A">
            <w:pPr>
              <w:pStyle w:val="NumericTableTextNormal"/>
              <w:cnfStyle w:val="000000000000"/>
              <w:rPr>
                <w:rFonts w:asciiTheme="majorHAnsi" w:hAnsiTheme="majorHAnsi"/>
              </w:rPr>
            </w:pPr>
          </w:p>
        </w:tc>
        <w:tc>
          <w:tcPr>
            <w:tcW w:w="1440" w:type="pc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Planned physician-led hospital birth: 5,331</w:t>
            </w:r>
          </w:p>
        </w:tc>
        <w:tc>
          <w:tcPr>
            <w:tcW w:w="809" w:type="pct"/>
          </w:tcPr>
          <w:p w:rsidR="00767B1A" w:rsidRPr="00CB32B1" w:rsidRDefault="00767B1A" w:rsidP="00767B1A">
            <w:pPr>
              <w:pStyle w:val="NumericTableTextDecimalNormal"/>
              <w:tabs>
                <w:tab w:val="clear" w:pos="1004"/>
                <w:tab w:val="decimal" w:pos="756"/>
              </w:tabs>
              <w:cnfStyle w:val="000000000000"/>
              <w:rPr>
                <w:rFonts w:asciiTheme="majorHAnsi" w:hAnsiTheme="majorHAnsi"/>
              </w:rPr>
            </w:pPr>
            <w:r w:rsidRPr="00CB32B1">
              <w:rPr>
                <w:rFonts w:asciiTheme="majorHAnsi" w:hAnsiTheme="majorHAnsi"/>
              </w:rPr>
              <w:t>39.6%</w:t>
            </w:r>
          </w:p>
        </w:tc>
        <w:tc>
          <w:tcPr>
            <w:tcW w:w="809" w:type="pct"/>
          </w:tcPr>
          <w:p w:rsidR="00767B1A" w:rsidRPr="00CB32B1" w:rsidRDefault="00767B1A" w:rsidP="00767B1A">
            <w:pPr>
              <w:pStyle w:val="NumericTableTextDecimalNormal"/>
              <w:tabs>
                <w:tab w:val="clear" w:pos="1004"/>
                <w:tab w:val="decimal" w:pos="756"/>
              </w:tabs>
              <w:cnfStyle w:val="000000000000"/>
              <w:rPr>
                <w:rFonts w:asciiTheme="majorHAnsi" w:hAnsiTheme="majorHAnsi"/>
              </w:rPr>
            </w:pPr>
            <w:r w:rsidRPr="00CB32B1">
              <w:rPr>
                <w:rFonts w:asciiTheme="majorHAnsi" w:hAnsiTheme="majorHAnsi"/>
              </w:rPr>
              <w:t>18.4%</w:t>
            </w:r>
          </w:p>
        </w:tc>
      </w:tr>
    </w:tbl>
    <w:p w:rsidR="00C97690" w:rsidRPr="00CB32B1" w:rsidRDefault="00C97690" w:rsidP="00C97690">
      <w:pPr>
        <w:pStyle w:val="PwCNormal"/>
        <w:rPr>
          <w:color w:val="DC6900" w:themeColor="text2"/>
          <w:sz w:val="16"/>
        </w:rPr>
      </w:pPr>
      <w:r w:rsidRPr="00CB32B1">
        <w:rPr>
          <w:b/>
          <w:color w:val="DC6900" w:themeColor="text2"/>
          <w:sz w:val="16"/>
        </w:rPr>
        <w:t>Sources:</w:t>
      </w:r>
      <w:r w:rsidRPr="00CB32B1">
        <w:rPr>
          <w:color w:val="DC6900" w:themeColor="text2"/>
          <w:sz w:val="16"/>
        </w:rPr>
        <w:t xml:space="preserve"> Hutton, Reitsma &amp; Kaufman 2009; Janssen, Saxell, Page, Klein, Liston &amp; Lee 2009.</w:t>
      </w:r>
    </w:p>
    <w:p w:rsidR="00767B1A" w:rsidRPr="00CB32B1" w:rsidRDefault="009129A6" w:rsidP="00AE740F">
      <w:pPr>
        <w:pStyle w:val="PwCNormal"/>
        <w:keepNext/>
        <w:keepLines/>
        <w:spacing w:before="120"/>
      </w:pPr>
      <w:r w:rsidRPr="00CB32B1">
        <w:fldChar w:fldCharType="begin"/>
      </w:r>
      <w:r w:rsidR="00AE740F" w:rsidRPr="00CB32B1">
        <w:instrText xml:space="preserve"> REF _Ref361224578 \h </w:instrText>
      </w:r>
      <w:r w:rsidRPr="00CB32B1">
        <w:fldChar w:fldCharType="separate"/>
      </w:r>
      <w:r w:rsidR="008816B4" w:rsidRPr="00CB32B1">
        <w:t xml:space="preserve">Table </w:t>
      </w:r>
      <w:r w:rsidR="008816B4">
        <w:rPr>
          <w:noProof/>
        </w:rPr>
        <w:t>47</w:t>
      </w:r>
      <w:r w:rsidRPr="00CB32B1">
        <w:fldChar w:fldCharType="end"/>
      </w:r>
      <w:r w:rsidR="00767B1A" w:rsidRPr="00CB32B1">
        <w:t xml:space="preserve"> shows that lower rates of analgesia have been documented in Canada.</w:t>
      </w:r>
    </w:p>
    <w:p w:rsidR="00767B1A" w:rsidRPr="00CB32B1" w:rsidRDefault="00767B1A" w:rsidP="00AE740F">
      <w:pPr>
        <w:pStyle w:val="NumericCaption"/>
      </w:pPr>
      <w:bookmarkStart w:id="164" w:name="_Ref361224578"/>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47</w:t>
      </w:r>
      <w:r w:rsidR="009129A6" w:rsidRPr="00CB32B1">
        <w:fldChar w:fldCharType="end"/>
      </w:r>
      <w:bookmarkEnd w:id="164"/>
      <w:r w:rsidRPr="00CB32B1">
        <w:t>:</w:t>
      </w:r>
      <w:r w:rsidRPr="00CB32B1">
        <w:tab/>
        <w:t>Rates of pharmaceutical pain relief</w:t>
      </w:r>
    </w:p>
    <w:tbl>
      <w:tblPr>
        <w:tblStyle w:val="PwCTableStyle1"/>
        <w:tblW w:w="5000" w:type="pct"/>
        <w:tblLook w:val="04A0"/>
      </w:tblPr>
      <w:tblGrid>
        <w:gridCol w:w="1238"/>
        <w:gridCol w:w="897"/>
        <w:gridCol w:w="1473"/>
        <w:gridCol w:w="1320"/>
        <w:gridCol w:w="1361"/>
        <w:gridCol w:w="1497"/>
        <w:gridCol w:w="1499"/>
      </w:tblGrid>
      <w:tr w:rsidR="00767B1A" w:rsidRPr="00CB32B1" w:rsidTr="00865724">
        <w:trPr>
          <w:cnfStyle w:val="100000000000"/>
        </w:trPr>
        <w:tc>
          <w:tcPr>
            <w:cnfStyle w:val="001000000000"/>
            <w:tcW w:w="666" w:type="pct"/>
            <w:vMerge w:val="restart"/>
            <w:tcBorders>
              <w:bottom w:val="single" w:sz="6" w:space="0" w:color="FFFFFF" w:themeColor="background1"/>
            </w:tcBorders>
            <w:shd w:val="clear" w:color="auto" w:fill="DC6900" w:themeFill="text2"/>
            <w:vAlign w:val="center"/>
          </w:tcPr>
          <w:p w:rsidR="00767B1A" w:rsidRPr="00CB32B1" w:rsidRDefault="00767B1A" w:rsidP="00747120">
            <w:pPr>
              <w:pStyle w:val="NumericTableColumnHeadingNormal"/>
              <w:rPr>
                <w:rFonts w:asciiTheme="majorHAnsi" w:hAnsiTheme="majorHAnsi"/>
              </w:rPr>
            </w:pPr>
            <w:r w:rsidRPr="00CB32B1">
              <w:rPr>
                <w:rFonts w:asciiTheme="majorHAnsi" w:hAnsiTheme="majorHAnsi"/>
              </w:rPr>
              <w:t>Author, date published</w:t>
            </w:r>
          </w:p>
        </w:tc>
        <w:tc>
          <w:tcPr>
            <w:tcW w:w="483" w:type="pct"/>
            <w:vMerge w:val="restart"/>
            <w:tcBorders>
              <w:bottom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Data period</w:t>
            </w:r>
          </w:p>
        </w:tc>
        <w:tc>
          <w:tcPr>
            <w:tcW w:w="793" w:type="pct"/>
            <w:vMerge w:val="restart"/>
            <w:tcBorders>
              <w:bottom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Jurisdiction</w:t>
            </w:r>
          </w:p>
        </w:tc>
        <w:tc>
          <w:tcPr>
            <w:tcW w:w="711" w:type="pct"/>
            <w:vMerge w:val="restart"/>
            <w:tcBorders>
              <w:bottom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Settings of birth</w:t>
            </w:r>
          </w:p>
        </w:tc>
        <w:tc>
          <w:tcPr>
            <w:tcW w:w="2346" w:type="pct"/>
            <w:gridSpan w:val="3"/>
            <w:tcBorders>
              <w:bottom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Lower rates of type of analgesia seen in homebirth (</w:t>
            </w:r>
            <w:r w:rsidRPr="00CB32B1">
              <w:rPr>
                <w:rFonts w:asciiTheme="majorHAnsi" w:hAnsiTheme="majorHAnsi"/>
              </w:rPr>
              <w:sym w:font="Wingdings" w:char="F0FC"/>
            </w:r>
            <w:r w:rsidRPr="00CB32B1">
              <w:rPr>
                <w:rFonts w:asciiTheme="majorHAnsi" w:hAnsiTheme="majorHAnsi"/>
              </w:rPr>
              <w:t>/×)</w:t>
            </w:r>
          </w:p>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 in study</w:t>
            </w:r>
          </w:p>
        </w:tc>
      </w:tr>
      <w:tr w:rsidR="00767B1A" w:rsidRPr="00CB32B1" w:rsidTr="00865724">
        <w:tc>
          <w:tcPr>
            <w:cnfStyle w:val="001000000000"/>
            <w:tcW w:w="666" w:type="pct"/>
            <w:vMerge/>
            <w:tcBorders>
              <w:top w:val="single" w:sz="6" w:space="0" w:color="FFFFFF" w:themeColor="background1"/>
              <w:right w:val="single" w:sz="6" w:space="0" w:color="FFFFFF" w:themeColor="background1"/>
            </w:tcBorders>
            <w:shd w:val="clear" w:color="auto" w:fill="DC6900" w:themeFill="text2"/>
            <w:vAlign w:val="bottom"/>
          </w:tcPr>
          <w:p w:rsidR="00767B1A" w:rsidRPr="00CB32B1" w:rsidRDefault="00767B1A" w:rsidP="00767B1A">
            <w:pPr>
              <w:pStyle w:val="NumericTableColumnHeadingNormal"/>
              <w:rPr>
                <w:rFonts w:asciiTheme="majorHAnsi" w:hAnsiTheme="majorHAnsi"/>
              </w:rPr>
            </w:pPr>
          </w:p>
        </w:tc>
        <w:tc>
          <w:tcPr>
            <w:tcW w:w="483" w:type="pct"/>
            <w:vMerge/>
            <w:tcBorders>
              <w:top w:val="single" w:sz="6" w:space="0" w:color="FFFFFF" w:themeColor="background1"/>
              <w:left w:val="single" w:sz="6" w:space="0" w:color="FFFFFF" w:themeColor="background1"/>
              <w:right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000000000000"/>
              <w:rPr>
                <w:rFonts w:asciiTheme="majorHAnsi" w:hAnsiTheme="majorHAnsi"/>
              </w:rPr>
            </w:pPr>
          </w:p>
        </w:tc>
        <w:tc>
          <w:tcPr>
            <w:tcW w:w="793" w:type="pct"/>
            <w:vMerge/>
            <w:tcBorders>
              <w:top w:val="single" w:sz="6" w:space="0" w:color="FFFFFF" w:themeColor="background1"/>
              <w:left w:val="single" w:sz="6" w:space="0" w:color="FFFFFF" w:themeColor="background1"/>
              <w:right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000000000000"/>
              <w:rPr>
                <w:rFonts w:asciiTheme="majorHAnsi" w:hAnsiTheme="majorHAnsi"/>
              </w:rPr>
            </w:pPr>
          </w:p>
        </w:tc>
        <w:tc>
          <w:tcPr>
            <w:tcW w:w="711" w:type="pct"/>
            <w:vMerge/>
            <w:tcBorders>
              <w:top w:val="single" w:sz="6" w:space="0" w:color="FFFFFF" w:themeColor="background1"/>
              <w:left w:val="single" w:sz="6" w:space="0" w:color="FFFFFF" w:themeColor="background1"/>
              <w:right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000000000000"/>
              <w:rPr>
                <w:rFonts w:asciiTheme="majorHAnsi" w:hAnsiTheme="majorHAnsi"/>
              </w:rPr>
            </w:pPr>
          </w:p>
        </w:tc>
        <w:tc>
          <w:tcPr>
            <w:tcW w:w="733" w:type="pct"/>
            <w:tcBorders>
              <w:top w:val="single" w:sz="6" w:space="0" w:color="FFFFFF" w:themeColor="background1"/>
              <w:left w:val="single" w:sz="6" w:space="0" w:color="FFFFFF" w:themeColor="background1"/>
              <w:right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000000000000"/>
              <w:rPr>
                <w:rFonts w:asciiTheme="majorHAnsi" w:hAnsiTheme="majorHAnsi"/>
              </w:rPr>
            </w:pPr>
            <w:r w:rsidRPr="00CB32B1">
              <w:rPr>
                <w:rFonts w:asciiTheme="majorHAnsi" w:hAnsiTheme="majorHAnsi"/>
              </w:rPr>
              <w:t>Nitrous Oxide</w:t>
            </w:r>
          </w:p>
        </w:tc>
        <w:tc>
          <w:tcPr>
            <w:tcW w:w="806" w:type="pct"/>
            <w:tcBorders>
              <w:top w:val="single" w:sz="6" w:space="0" w:color="FFFFFF" w:themeColor="background1"/>
              <w:left w:val="single" w:sz="6" w:space="0" w:color="FFFFFF" w:themeColor="background1"/>
              <w:right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000000000000"/>
              <w:rPr>
                <w:rFonts w:asciiTheme="majorHAnsi" w:hAnsiTheme="majorHAnsi"/>
              </w:rPr>
            </w:pPr>
            <w:r w:rsidRPr="00CB32B1">
              <w:rPr>
                <w:rFonts w:asciiTheme="majorHAnsi" w:hAnsiTheme="majorHAnsi"/>
              </w:rPr>
              <w:t>Narcotic</w:t>
            </w:r>
          </w:p>
        </w:tc>
        <w:tc>
          <w:tcPr>
            <w:tcW w:w="807" w:type="pct"/>
            <w:tcBorders>
              <w:top w:val="single" w:sz="6" w:space="0" w:color="FFFFFF" w:themeColor="background1"/>
              <w:left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000000000000"/>
              <w:rPr>
                <w:rFonts w:asciiTheme="majorHAnsi" w:hAnsiTheme="majorHAnsi"/>
              </w:rPr>
            </w:pPr>
            <w:r w:rsidRPr="00CB32B1">
              <w:rPr>
                <w:rFonts w:asciiTheme="majorHAnsi" w:hAnsiTheme="majorHAnsi"/>
              </w:rPr>
              <w:t>Epidural</w:t>
            </w:r>
          </w:p>
        </w:tc>
      </w:tr>
      <w:tr w:rsidR="00767B1A" w:rsidRPr="00CB32B1" w:rsidTr="00865724">
        <w:tc>
          <w:tcPr>
            <w:cnfStyle w:val="001000000000"/>
            <w:tcW w:w="666" w:type="pct"/>
            <w:vMerge w:val="restart"/>
          </w:tcPr>
          <w:p w:rsidR="00767B1A" w:rsidRPr="00CB32B1" w:rsidRDefault="00894387" w:rsidP="0089258A">
            <w:pPr>
              <w:pStyle w:val="NumericTableTextNormal"/>
              <w:rPr>
                <w:rFonts w:asciiTheme="majorHAnsi" w:hAnsiTheme="majorHAnsi"/>
              </w:rPr>
            </w:pPr>
            <w:r w:rsidRPr="00CB32B1">
              <w:rPr>
                <w:rFonts w:asciiTheme="majorHAnsi" w:hAnsiTheme="majorHAnsi"/>
              </w:rPr>
              <w:t>Hutton, Reitsma</w:t>
            </w:r>
            <w:r w:rsidR="0089258A" w:rsidRPr="00CB32B1">
              <w:rPr>
                <w:rFonts w:asciiTheme="majorHAnsi" w:hAnsiTheme="majorHAnsi"/>
              </w:rPr>
              <w:t xml:space="preserve"> &amp;</w:t>
            </w:r>
            <w:r w:rsidRPr="00CB32B1">
              <w:rPr>
                <w:rFonts w:asciiTheme="majorHAnsi" w:hAnsiTheme="majorHAnsi"/>
              </w:rPr>
              <w:t xml:space="preserve"> Kaufman </w:t>
            </w:r>
            <w:r w:rsidR="00767B1A" w:rsidRPr="00CB32B1">
              <w:rPr>
                <w:rFonts w:asciiTheme="majorHAnsi" w:hAnsiTheme="majorHAnsi"/>
              </w:rPr>
              <w:t>2009</w:t>
            </w:r>
          </w:p>
        </w:tc>
        <w:tc>
          <w:tcPr>
            <w:tcW w:w="483" w:type="pct"/>
            <w:vMerge w:val="restar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2003 –2006</w:t>
            </w:r>
          </w:p>
        </w:tc>
        <w:tc>
          <w:tcPr>
            <w:tcW w:w="793" w:type="pct"/>
            <w:vMerge w:val="restar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Ontario, Canada</w:t>
            </w:r>
          </w:p>
        </w:tc>
        <w:tc>
          <w:tcPr>
            <w:tcW w:w="711" w:type="pct"/>
          </w:tcPr>
          <w:p w:rsidR="00767B1A" w:rsidRPr="00CB32B1" w:rsidRDefault="00767B1A" w:rsidP="00767B1A">
            <w:pPr>
              <w:pStyle w:val="NumericTableTextNormal"/>
              <w:cnfStyle w:val="000000000000"/>
              <w:rPr>
                <w:rFonts w:asciiTheme="majorHAnsi" w:hAnsiTheme="majorHAnsi"/>
              </w:rPr>
            </w:pPr>
          </w:p>
        </w:tc>
        <w:tc>
          <w:tcPr>
            <w:tcW w:w="733" w:type="pct"/>
          </w:tcPr>
          <w:p w:rsidR="00767B1A" w:rsidRPr="00CB32B1" w:rsidRDefault="00767B1A" w:rsidP="00767B1A">
            <w:pPr>
              <w:pStyle w:val="NumericTableTextDecimalNormal"/>
              <w:tabs>
                <w:tab w:val="clear" w:pos="1004"/>
                <w:tab w:val="decimal" w:pos="718"/>
              </w:tabs>
              <w:cnfStyle w:val="000000000000"/>
              <w:rPr>
                <w:rFonts w:asciiTheme="majorHAnsi" w:hAnsiTheme="majorHAnsi"/>
              </w:rPr>
            </w:pPr>
            <w:r w:rsidRPr="00CB32B1">
              <w:rPr>
                <w:rFonts w:asciiTheme="majorHAnsi" w:hAnsiTheme="majorHAnsi"/>
              </w:rPr>
              <w:sym w:font="Wingdings" w:char="F0FC"/>
            </w:r>
          </w:p>
        </w:tc>
        <w:tc>
          <w:tcPr>
            <w:tcW w:w="806" w:type="pct"/>
          </w:tcPr>
          <w:p w:rsidR="00767B1A" w:rsidRPr="00CB32B1" w:rsidRDefault="00767B1A" w:rsidP="00767B1A">
            <w:pPr>
              <w:pStyle w:val="NumericTableTextDecimalNormal"/>
              <w:tabs>
                <w:tab w:val="clear" w:pos="1004"/>
                <w:tab w:val="decimal" w:pos="718"/>
              </w:tabs>
              <w:cnfStyle w:val="000000000000"/>
              <w:rPr>
                <w:rFonts w:asciiTheme="majorHAnsi" w:hAnsiTheme="majorHAnsi"/>
              </w:rPr>
            </w:pPr>
            <w:r w:rsidRPr="00CB32B1">
              <w:rPr>
                <w:rFonts w:asciiTheme="majorHAnsi" w:hAnsiTheme="majorHAnsi"/>
              </w:rPr>
              <w:sym w:font="Wingdings" w:char="F0FC"/>
            </w:r>
          </w:p>
        </w:tc>
        <w:tc>
          <w:tcPr>
            <w:tcW w:w="807" w:type="pct"/>
          </w:tcPr>
          <w:p w:rsidR="00767B1A" w:rsidRPr="00CB32B1" w:rsidRDefault="00767B1A" w:rsidP="00767B1A">
            <w:pPr>
              <w:pStyle w:val="NumericTableTextDecimalNormal"/>
              <w:tabs>
                <w:tab w:val="clear" w:pos="1004"/>
                <w:tab w:val="decimal" w:pos="718"/>
              </w:tabs>
              <w:cnfStyle w:val="000000000000"/>
              <w:rPr>
                <w:rFonts w:asciiTheme="majorHAnsi" w:hAnsiTheme="majorHAnsi"/>
              </w:rPr>
            </w:pPr>
            <w:r w:rsidRPr="00CB32B1">
              <w:rPr>
                <w:rFonts w:asciiTheme="majorHAnsi" w:hAnsiTheme="majorHAnsi"/>
              </w:rPr>
              <w:sym w:font="Wingdings" w:char="F0FC"/>
            </w:r>
          </w:p>
        </w:tc>
      </w:tr>
      <w:tr w:rsidR="00767B1A" w:rsidRPr="00CB32B1" w:rsidTr="00865724">
        <w:tc>
          <w:tcPr>
            <w:cnfStyle w:val="001000000000"/>
            <w:tcW w:w="666" w:type="pct"/>
            <w:vMerge/>
          </w:tcPr>
          <w:p w:rsidR="00767B1A" w:rsidRPr="00CB32B1" w:rsidRDefault="00767B1A" w:rsidP="00767B1A">
            <w:pPr>
              <w:pStyle w:val="NumericTableTextNormal"/>
              <w:rPr>
                <w:rFonts w:asciiTheme="majorHAnsi" w:hAnsiTheme="majorHAnsi"/>
              </w:rPr>
            </w:pPr>
          </w:p>
        </w:tc>
        <w:tc>
          <w:tcPr>
            <w:tcW w:w="483" w:type="pct"/>
            <w:vMerge/>
          </w:tcPr>
          <w:p w:rsidR="00767B1A" w:rsidRPr="00CB32B1" w:rsidRDefault="00767B1A" w:rsidP="00767B1A">
            <w:pPr>
              <w:pStyle w:val="NumericTableTextNormal"/>
              <w:cnfStyle w:val="000000000000"/>
              <w:rPr>
                <w:rFonts w:asciiTheme="majorHAnsi" w:hAnsiTheme="majorHAnsi"/>
              </w:rPr>
            </w:pPr>
          </w:p>
        </w:tc>
        <w:tc>
          <w:tcPr>
            <w:tcW w:w="793" w:type="pct"/>
            <w:vMerge/>
          </w:tcPr>
          <w:p w:rsidR="00767B1A" w:rsidRPr="00CB32B1" w:rsidRDefault="00767B1A" w:rsidP="00767B1A">
            <w:pPr>
              <w:pStyle w:val="NumericTableTextNormal"/>
              <w:cnfStyle w:val="000000000000"/>
              <w:rPr>
                <w:rFonts w:asciiTheme="majorHAnsi" w:hAnsiTheme="majorHAnsi"/>
              </w:rPr>
            </w:pPr>
          </w:p>
        </w:tc>
        <w:tc>
          <w:tcPr>
            <w:tcW w:w="711" w:type="pc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Planned homebirth: 6,692</w:t>
            </w:r>
          </w:p>
        </w:tc>
        <w:tc>
          <w:tcPr>
            <w:tcW w:w="733" w:type="pct"/>
          </w:tcPr>
          <w:p w:rsidR="00767B1A" w:rsidRPr="00CB32B1" w:rsidRDefault="00767B1A" w:rsidP="00767B1A">
            <w:pPr>
              <w:pStyle w:val="NumericTableTextDecimalNormal"/>
              <w:tabs>
                <w:tab w:val="clear" w:pos="1004"/>
                <w:tab w:val="decimal" w:pos="718"/>
              </w:tabs>
              <w:cnfStyle w:val="000000000000"/>
              <w:rPr>
                <w:rFonts w:asciiTheme="majorHAnsi" w:hAnsiTheme="majorHAnsi"/>
              </w:rPr>
            </w:pPr>
            <w:r w:rsidRPr="00CB32B1">
              <w:rPr>
                <w:rFonts w:asciiTheme="majorHAnsi" w:hAnsiTheme="majorHAnsi"/>
              </w:rPr>
              <w:t>3.3%</w:t>
            </w:r>
          </w:p>
        </w:tc>
        <w:tc>
          <w:tcPr>
            <w:tcW w:w="806" w:type="pct"/>
          </w:tcPr>
          <w:p w:rsidR="00767B1A" w:rsidRPr="00CB32B1" w:rsidRDefault="00767B1A" w:rsidP="00767B1A">
            <w:pPr>
              <w:pStyle w:val="NumericTableTextDecimalNormal"/>
              <w:tabs>
                <w:tab w:val="clear" w:pos="1004"/>
                <w:tab w:val="decimal" w:pos="718"/>
              </w:tabs>
              <w:cnfStyle w:val="000000000000"/>
              <w:rPr>
                <w:rFonts w:asciiTheme="majorHAnsi" w:hAnsiTheme="majorHAnsi"/>
              </w:rPr>
            </w:pPr>
            <w:r w:rsidRPr="00CB32B1">
              <w:rPr>
                <w:rFonts w:asciiTheme="majorHAnsi" w:hAnsiTheme="majorHAnsi"/>
              </w:rPr>
              <w:t>1.7%</w:t>
            </w:r>
          </w:p>
        </w:tc>
        <w:tc>
          <w:tcPr>
            <w:tcW w:w="807" w:type="pct"/>
          </w:tcPr>
          <w:p w:rsidR="00767B1A" w:rsidRPr="00CB32B1" w:rsidRDefault="00767B1A" w:rsidP="00767B1A">
            <w:pPr>
              <w:pStyle w:val="NumericTableTextDecimalNormal"/>
              <w:tabs>
                <w:tab w:val="clear" w:pos="1004"/>
                <w:tab w:val="decimal" w:pos="718"/>
              </w:tabs>
              <w:cnfStyle w:val="000000000000"/>
              <w:rPr>
                <w:rFonts w:asciiTheme="majorHAnsi" w:hAnsiTheme="majorHAnsi"/>
              </w:rPr>
            </w:pPr>
            <w:r w:rsidRPr="00CB32B1">
              <w:rPr>
                <w:rFonts w:asciiTheme="majorHAnsi" w:hAnsiTheme="majorHAnsi"/>
              </w:rPr>
              <w:t>9.8%</w:t>
            </w:r>
          </w:p>
        </w:tc>
      </w:tr>
      <w:tr w:rsidR="00767B1A" w:rsidRPr="00CB32B1" w:rsidTr="00865724">
        <w:tc>
          <w:tcPr>
            <w:cnfStyle w:val="001000000000"/>
            <w:tcW w:w="666" w:type="pct"/>
            <w:vMerge/>
          </w:tcPr>
          <w:p w:rsidR="00767B1A" w:rsidRPr="00CB32B1" w:rsidRDefault="00767B1A" w:rsidP="00767B1A">
            <w:pPr>
              <w:pStyle w:val="NumericTableTextNormal"/>
              <w:rPr>
                <w:rFonts w:asciiTheme="majorHAnsi" w:hAnsiTheme="majorHAnsi"/>
              </w:rPr>
            </w:pPr>
          </w:p>
        </w:tc>
        <w:tc>
          <w:tcPr>
            <w:tcW w:w="483" w:type="pct"/>
            <w:vMerge/>
          </w:tcPr>
          <w:p w:rsidR="00767B1A" w:rsidRPr="00CB32B1" w:rsidRDefault="00767B1A" w:rsidP="00767B1A">
            <w:pPr>
              <w:pStyle w:val="NumericTableTextNormal"/>
              <w:cnfStyle w:val="000000000000"/>
              <w:rPr>
                <w:rFonts w:asciiTheme="majorHAnsi" w:hAnsiTheme="majorHAnsi"/>
              </w:rPr>
            </w:pPr>
          </w:p>
        </w:tc>
        <w:tc>
          <w:tcPr>
            <w:tcW w:w="793" w:type="pct"/>
            <w:vMerge/>
          </w:tcPr>
          <w:p w:rsidR="00767B1A" w:rsidRPr="00CB32B1" w:rsidRDefault="00767B1A" w:rsidP="00767B1A">
            <w:pPr>
              <w:pStyle w:val="NumericTableTextNormal"/>
              <w:cnfStyle w:val="000000000000"/>
              <w:rPr>
                <w:rFonts w:asciiTheme="majorHAnsi" w:hAnsiTheme="majorHAnsi"/>
              </w:rPr>
            </w:pPr>
          </w:p>
        </w:tc>
        <w:tc>
          <w:tcPr>
            <w:tcW w:w="711" w:type="pc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Planned hospital birth: 6,692</w:t>
            </w:r>
          </w:p>
        </w:tc>
        <w:tc>
          <w:tcPr>
            <w:tcW w:w="733" w:type="pct"/>
          </w:tcPr>
          <w:p w:rsidR="00767B1A" w:rsidRPr="00CB32B1" w:rsidRDefault="00767B1A" w:rsidP="00767B1A">
            <w:pPr>
              <w:pStyle w:val="NumericTableTextDecimalNormal"/>
              <w:tabs>
                <w:tab w:val="clear" w:pos="1004"/>
                <w:tab w:val="decimal" w:pos="718"/>
              </w:tabs>
              <w:cnfStyle w:val="000000000000"/>
              <w:rPr>
                <w:rFonts w:asciiTheme="majorHAnsi" w:hAnsiTheme="majorHAnsi"/>
              </w:rPr>
            </w:pPr>
            <w:r w:rsidRPr="00CB32B1">
              <w:rPr>
                <w:rFonts w:asciiTheme="majorHAnsi" w:hAnsiTheme="majorHAnsi"/>
              </w:rPr>
              <w:t>18.0%</w:t>
            </w:r>
          </w:p>
        </w:tc>
        <w:tc>
          <w:tcPr>
            <w:tcW w:w="806" w:type="pct"/>
          </w:tcPr>
          <w:p w:rsidR="00767B1A" w:rsidRPr="00CB32B1" w:rsidRDefault="00767B1A" w:rsidP="00767B1A">
            <w:pPr>
              <w:pStyle w:val="NumericTableTextDecimalNormal"/>
              <w:tabs>
                <w:tab w:val="clear" w:pos="1004"/>
                <w:tab w:val="decimal" w:pos="718"/>
              </w:tabs>
              <w:cnfStyle w:val="000000000000"/>
              <w:rPr>
                <w:rFonts w:asciiTheme="majorHAnsi" w:hAnsiTheme="majorHAnsi"/>
              </w:rPr>
            </w:pPr>
            <w:r w:rsidRPr="00CB32B1">
              <w:rPr>
                <w:rFonts w:asciiTheme="majorHAnsi" w:hAnsiTheme="majorHAnsi"/>
              </w:rPr>
              <w:t>6.3%</w:t>
            </w:r>
          </w:p>
        </w:tc>
        <w:tc>
          <w:tcPr>
            <w:tcW w:w="807" w:type="pct"/>
          </w:tcPr>
          <w:p w:rsidR="00767B1A" w:rsidRPr="00CB32B1" w:rsidRDefault="00767B1A" w:rsidP="00767B1A">
            <w:pPr>
              <w:pStyle w:val="NumericTableTextDecimalNormal"/>
              <w:tabs>
                <w:tab w:val="clear" w:pos="1004"/>
                <w:tab w:val="decimal" w:pos="718"/>
              </w:tabs>
              <w:cnfStyle w:val="000000000000"/>
              <w:rPr>
                <w:rFonts w:asciiTheme="majorHAnsi" w:hAnsiTheme="majorHAnsi"/>
              </w:rPr>
            </w:pPr>
            <w:r w:rsidRPr="00CB32B1">
              <w:rPr>
                <w:rFonts w:asciiTheme="majorHAnsi" w:hAnsiTheme="majorHAnsi"/>
              </w:rPr>
              <w:t>21.0%</w:t>
            </w:r>
          </w:p>
        </w:tc>
      </w:tr>
    </w:tbl>
    <w:p w:rsidR="00AE740F" w:rsidRPr="00CB32B1" w:rsidRDefault="00C97690" w:rsidP="00767B1A">
      <w:pPr>
        <w:pStyle w:val="PwCNormal"/>
      </w:pPr>
      <w:r w:rsidRPr="00CB32B1">
        <w:rPr>
          <w:b/>
          <w:color w:val="DC6900" w:themeColor="text2"/>
          <w:sz w:val="16"/>
        </w:rPr>
        <w:t>Sources:</w:t>
      </w:r>
      <w:r w:rsidRPr="00CB32B1">
        <w:rPr>
          <w:color w:val="DC6900" w:themeColor="text2"/>
          <w:sz w:val="16"/>
        </w:rPr>
        <w:t xml:space="preserve"> Hutton, Reitsma &amp; Kaufman 2009.</w:t>
      </w:r>
    </w:p>
    <w:p w:rsidR="00767B1A" w:rsidRPr="00CB32B1" w:rsidRDefault="009129A6" w:rsidP="00767B1A">
      <w:pPr>
        <w:pStyle w:val="PwCNormal"/>
      </w:pPr>
      <w:r w:rsidRPr="00CB32B1">
        <w:fldChar w:fldCharType="begin"/>
      </w:r>
      <w:r w:rsidR="00AE740F" w:rsidRPr="00CB32B1">
        <w:instrText xml:space="preserve"> REF _Ref361224563 \h </w:instrText>
      </w:r>
      <w:r w:rsidRPr="00CB32B1">
        <w:fldChar w:fldCharType="separate"/>
      </w:r>
      <w:r w:rsidR="008816B4" w:rsidRPr="00CB32B1">
        <w:t xml:space="preserve">Table </w:t>
      </w:r>
      <w:r w:rsidR="008816B4">
        <w:rPr>
          <w:noProof/>
        </w:rPr>
        <w:t>48</w:t>
      </w:r>
      <w:r w:rsidRPr="00CB32B1">
        <w:fldChar w:fldCharType="end"/>
      </w:r>
      <w:r w:rsidR="00767B1A" w:rsidRPr="00CB32B1">
        <w:t xml:space="preserve"> shows that lower rates of episiotomies, assisted vaginal deliveries and caesarean sections.</w:t>
      </w:r>
    </w:p>
    <w:p w:rsidR="00767B1A" w:rsidRPr="00CB32B1" w:rsidRDefault="00767B1A" w:rsidP="00767B1A">
      <w:pPr>
        <w:pStyle w:val="NumericCaption"/>
      </w:pPr>
      <w:bookmarkStart w:id="165" w:name="_Ref361224563"/>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48</w:t>
      </w:r>
      <w:r w:rsidR="009129A6" w:rsidRPr="00CB32B1">
        <w:fldChar w:fldCharType="end"/>
      </w:r>
      <w:bookmarkEnd w:id="165"/>
      <w:r w:rsidRPr="00CB32B1">
        <w:t>:</w:t>
      </w:r>
      <w:r w:rsidRPr="00CB32B1">
        <w:tab/>
        <w:t>Rates of episiotomies, assisted vaginal deliveries and caesarean sections</w:t>
      </w:r>
    </w:p>
    <w:tbl>
      <w:tblPr>
        <w:tblStyle w:val="PwCTableStyle1"/>
        <w:tblW w:w="5000" w:type="pct"/>
        <w:tblLook w:val="04A0"/>
      </w:tblPr>
      <w:tblGrid>
        <w:gridCol w:w="1371"/>
        <w:gridCol w:w="897"/>
        <w:gridCol w:w="1473"/>
        <w:gridCol w:w="1471"/>
        <w:gridCol w:w="1561"/>
        <w:gridCol w:w="1222"/>
        <w:gridCol w:w="1290"/>
      </w:tblGrid>
      <w:tr w:rsidR="00865724" w:rsidRPr="00CB32B1" w:rsidTr="00865724">
        <w:trPr>
          <w:cnfStyle w:val="100000000000"/>
          <w:trHeight w:val="338"/>
        </w:trPr>
        <w:tc>
          <w:tcPr>
            <w:cnfStyle w:val="001000000000"/>
            <w:tcW w:w="738" w:type="pct"/>
            <w:vMerge w:val="restart"/>
            <w:tcBorders>
              <w:bottom w:val="single" w:sz="6" w:space="0" w:color="FFFFFF" w:themeColor="background1"/>
            </w:tcBorders>
            <w:shd w:val="clear" w:color="auto" w:fill="DC6900" w:themeFill="text2"/>
            <w:vAlign w:val="center"/>
          </w:tcPr>
          <w:p w:rsidR="00767B1A" w:rsidRPr="00CB32B1" w:rsidRDefault="00767B1A" w:rsidP="00747120">
            <w:pPr>
              <w:pStyle w:val="NumericTableColumnHeadingNormal"/>
              <w:rPr>
                <w:rFonts w:asciiTheme="majorHAnsi" w:hAnsiTheme="majorHAnsi"/>
              </w:rPr>
            </w:pPr>
            <w:r w:rsidRPr="00CB32B1">
              <w:rPr>
                <w:rFonts w:asciiTheme="majorHAnsi" w:hAnsiTheme="majorHAnsi"/>
              </w:rPr>
              <w:t>Author, date published</w:t>
            </w:r>
          </w:p>
        </w:tc>
        <w:tc>
          <w:tcPr>
            <w:tcW w:w="483" w:type="pct"/>
            <w:vMerge w:val="restart"/>
            <w:tcBorders>
              <w:bottom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Data period</w:t>
            </w:r>
          </w:p>
        </w:tc>
        <w:tc>
          <w:tcPr>
            <w:tcW w:w="793" w:type="pct"/>
            <w:vMerge w:val="restart"/>
            <w:tcBorders>
              <w:bottom w:val="single" w:sz="6" w:space="0" w:color="FFFFFF" w:themeColor="background1"/>
            </w:tcBorders>
            <w:shd w:val="clear" w:color="auto" w:fill="DC6900" w:themeFill="text2"/>
            <w:vAlign w:val="center"/>
          </w:tcPr>
          <w:p w:rsidR="00767B1A" w:rsidRPr="00CB32B1" w:rsidRDefault="00496AD4" w:rsidP="00747120">
            <w:pPr>
              <w:pStyle w:val="NumericTableColumnHeadingNormal"/>
              <w:jc w:val="center"/>
              <w:cnfStyle w:val="100000000000"/>
              <w:rPr>
                <w:rFonts w:asciiTheme="majorHAnsi" w:hAnsiTheme="majorHAnsi"/>
              </w:rPr>
            </w:pPr>
            <w:r>
              <w:rPr>
                <w:rFonts w:asciiTheme="majorHAnsi" w:hAnsiTheme="majorHAnsi"/>
              </w:rPr>
              <w:t>Jurisdiction</w:t>
            </w:r>
          </w:p>
        </w:tc>
        <w:tc>
          <w:tcPr>
            <w:tcW w:w="945" w:type="pct"/>
            <w:vMerge w:val="restart"/>
            <w:tcBorders>
              <w:bottom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Settings of birth</w:t>
            </w:r>
          </w:p>
        </w:tc>
        <w:tc>
          <w:tcPr>
            <w:tcW w:w="2041" w:type="pct"/>
            <w:gridSpan w:val="3"/>
            <w:tcBorders>
              <w:bottom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Lower rates of type of intervention seen in homebirth (</w:t>
            </w:r>
            <w:r w:rsidRPr="00CB32B1">
              <w:rPr>
                <w:rFonts w:asciiTheme="majorHAnsi" w:hAnsiTheme="majorHAnsi"/>
              </w:rPr>
              <w:sym w:font="Wingdings" w:char="F0FC"/>
            </w:r>
            <w:r w:rsidRPr="00CB32B1">
              <w:rPr>
                <w:rFonts w:asciiTheme="majorHAnsi" w:hAnsiTheme="majorHAnsi"/>
              </w:rPr>
              <w:t>/×)</w:t>
            </w:r>
          </w:p>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 in study</w:t>
            </w:r>
          </w:p>
        </w:tc>
      </w:tr>
      <w:tr w:rsidR="00865724" w:rsidRPr="00CB32B1" w:rsidTr="00865724">
        <w:trPr>
          <w:trHeight w:val="337"/>
        </w:trPr>
        <w:tc>
          <w:tcPr>
            <w:cnfStyle w:val="001000000000"/>
            <w:tcW w:w="738" w:type="pct"/>
            <w:vMerge/>
            <w:tcBorders>
              <w:top w:val="single" w:sz="6" w:space="0" w:color="FFFFFF" w:themeColor="background1"/>
              <w:right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rPr>
                <w:rFonts w:asciiTheme="majorHAnsi" w:hAnsiTheme="majorHAnsi"/>
              </w:rPr>
            </w:pPr>
          </w:p>
        </w:tc>
        <w:tc>
          <w:tcPr>
            <w:tcW w:w="483" w:type="pct"/>
            <w:vMerge/>
            <w:tcBorders>
              <w:top w:val="single" w:sz="6" w:space="0" w:color="FFFFFF" w:themeColor="background1"/>
              <w:left w:val="single" w:sz="6" w:space="0" w:color="FFFFFF" w:themeColor="background1"/>
              <w:right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000000000000"/>
              <w:rPr>
                <w:rFonts w:asciiTheme="majorHAnsi" w:hAnsiTheme="majorHAnsi"/>
              </w:rPr>
            </w:pPr>
          </w:p>
        </w:tc>
        <w:tc>
          <w:tcPr>
            <w:tcW w:w="793" w:type="pct"/>
            <w:vMerge/>
            <w:tcBorders>
              <w:top w:val="single" w:sz="6" w:space="0" w:color="FFFFFF" w:themeColor="background1"/>
              <w:left w:val="single" w:sz="6" w:space="0" w:color="FFFFFF" w:themeColor="background1"/>
              <w:right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000000000000"/>
              <w:rPr>
                <w:rFonts w:asciiTheme="majorHAnsi" w:hAnsiTheme="majorHAnsi"/>
              </w:rPr>
            </w:pPr>
          </w:p>
        </w:tc>
        <w:tc>
          <w:tcPr>
            <w:tcW w:w="945" w:type="pct"/>
            <w:vMerge/>
            <w:tcBorders>
              <w:top w:val="single" w:sz="6" w:space="0" w:color="FFFFFF" w:themeColor="background1"/>
              <w:left w:val="single" w:sz="6" w:space="0" w:color="FFFFFF" w:themeColor="background1"/>
              <w:right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000000000000"/>
              <w:rPr>
                <w:rFonts w:asciiTheme="majorHAnsi" w:hAnsiTheme="majorHAnsi"/>
              </w:rPr>
            </w:pPr>
          </w:p>
        </w:tc>
        <w:tc>
          <w:tcPr>
            <w:tcW w:w="688" w:type="pct"/>
            <w:tcBorders>
              <w:top w:val="single" w:sz="6" w:space="0" w:color="FFFFFF" w:themeColor="background1"/>
              <w:left w:val="single" w:sz="6" w:space="0" w:color="FFFFFF" w:themeColor="background1"/>
              <w:right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000000000000"/>
              <w:rPr>
                <w:rFonts w:asciiTheme="majorHAnsi" w:hAnsiTheme="majorHAnsi"/>
              </w:rPr>
            </w:pPr>
            <w:r w:rsidRPr="00CB32B1">
              <w:rPr>
                <w:rFonts w:asciiTheme="majorHAnsi" w:hAnsiTheme="majorHAnsi"/>
              </w:rPr>
              <w:t>Episiotomies</w:t>
            </w:r>
          </w:p>
        </w:tc>
        <w:tc>
          <w:tcPr>
            <w:tcW w:w="658" w:type="pct"/>
            <w:tcBorders>
              <w:top w:val="single" w:sz="6" w:space="0" w:color="FFFFFF" w:themeColor="background1"/>
              <w:left w:val="single" w:sz="6" w:space="0" w:color="FFFFFF" w:themeColor="background1"/>
              <w:right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000000000000"/>
              <w:rPr>
                <w:rFonts w:asciiTheme="majorHAnsi" w:hAnsiTheme="majorHAnsi"/>
              </w:rPr>
            </w:pPr>
            <w:r w:rsidRPr="00CB32B1">
              <w:rPr>
                <w:rFonts w:asciiTheme="majorHAnsi" w:hAnsiTheme="majorHAnsi"/>
              </w:rPr>
              <w:t>Assisted vaginal deliveries</w:t>
            </w:r>
          </w:p>
        </w:tc>
        <w:tc>
          <w:tcPr>
            <w:tcW w:w="695" w:type="pct"/>
            <w:tcBorders>
              <w:top w:val="single" w:sz="6" w:space="0" w:color="FFFFFF" w:themeColor="background1"/>
              <w:left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000000000000"/>
              <w:rPr>
                <w:rFonts w:asciiTheme="majorHAnsi" w:hAnsiTheme="majorHAnsi"/>
              </w:rPr>
            </w:pPr>
            <w:r w:rsidRPr="00CB32B1">
              <w:rPr>
                <w:rFonts w:asciiTheme="majorHAnsi" w:hAnsiTheme="majorHAnsi"/>
              </w:rPr>
              <w:t>Caesarean sections</w:t>
            </w:r>
          </w:p>
        </w:tc>
      </w:tr>
      <w:tr w:rsidR="00865724" w:rsidRPr="00CB32B1" w:rsidTr="00865724">
        <w:tc>
          <w:tcPr>
            <w:cnfStyle w:val="001000000000"/>
            <w:tcW w:w="738" w:type="pct"/>
            <w:vMerge w:val="restart"/>
          </w:tcPr>
          <w:p w:rsidR="00767B1A" w:rsidRPr="00CB32B1" w:rsidRDefault="00894387" w:rsidP="0089258A">
            <w:pPr>
              <w:pStyle w:val="NumericTableTextNormal"/>
              <w:rPr>
                <w:rFonts w:asciiTheme="majorHAnsi" w:hAnsiTheme="majorHAnsi"/>
              </w:rPr>
            </w:pPr>
            <w:r w:rsidRPr="00CB32B1">
              <w:rPr>
                <w:rFonts w:asciiTheme="majorHAnsi" w:hAnsiTheme="majorHAnsi"/>
              </w:rPr>
              <w:t>Hutton, Reitsma</w:t>
            </w:r>
            <w:r w:rsidR="0089258A" w:rsidRPr="00CB32B1">
              <w:rPr>
                <w:rFonts w:asciiTheme="majorHAnsi" w:hAnsiTheme="majorHAnsi"/>
              </w:rPr>
              <w:t xml:space="preserve"> &amp;</w:t>
            </w:r>
            <w:r w:rsidRPr="00CB32B1">
              <w:rPr>
                <w:rFonts w:asciiTheme="majorHAnsi" w:hAnsiTheme="majorHAnsi"/>
              </w:rPr>
              <w:t xml:space="preserve"> Kaufman </w:t>
            </w:r>
            <w:r w:rsidR="00767B1A" w:rsidRPr="00CB32B1">
              <w:rPr>
                <w:rFonts w:asciiTheme="majorHAnsi" w:hAnsiTheme="majorHAnsi"/>
              </w:rPr>
              <w:t>2009</w:t>
            </w:r>
          </w:p>
        </w:tc>
        <w:tc>
          <w:tcPr>
            <w:tcW w:w="483" w:type="pct"/>
            <w:vMerge w:val="restar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2003 –2006</w:t>
            </w:r>
          </w:p>
        </w:tc>
        <w:tc>
          <w:tcPr>
            <w:tcW w:w="793" w:type="pct"/>
            <w:vMerge w:val="restar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Ontario, Canada</w:t>
            </w:r>
          </w:p>
        </w:tc>
        <w:tc>
          <w:tcPr>
            <w:tcW w:w="945" w:type="pct"/>
          </w:tcPr>
          <w:p w:rsidR="00767B1A" w:rsidRPr="00CB32B1" w:rsidRDefault="00767B1A" w:rsidP="00767B1A">
            <w:pPr>
              <w:pStyle w:val="NumericTableTextNormal"/>
              <w:cnfStyle w:val="000000000000"/>
              <w:rPr>
                <w:rFonts w:asciiTheme="majorHAnsi" w:hAnsiTheme="majorHAnsi"/>
              </w:rPr>
            </w:pPr>
          </w:p>
        </w:tc>
        <w:tc>
          <w:tcPr>
            <w:tcW w:w="688"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sym w:font="Wingdings" w:char="F0FC"/>
            </w:r>
          </w:p>
        </w:tc>
        <w:tc>
          <w:tcPr>
            <w:tcW w:w="658"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sym w:font="Wingdings" w:char="F0FC"/>
            </w:r>
          </w:p>
        </w:tc>
        <w:tc>
          <w:tcPr>
            <w:tcW w:w="695"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sym w:font="Wingdings" w:char="F0FC"/>
            </w:r>
          </w:p>
        </w:tc>
      </w:tr>
      <w:tr w:rsidR="00865724" w:rsidRPr="00CB32B1" w:rsidTr="00865724">
        <w:tc>
          <w:tcPr>
            <w:cnfStyle w:val="001000000000"/>
            <w:tcW w:w="738" w:type="pct"/>
            <w:vMerge/>
          </w:tcPr>
          <w:p w:rsidR="00767B1A" w:rsidRPr="00CB32B1" w:rsidRDefault="00767B1A" w:rsidP="00767B1A">
            <w:pPr>
              <w:pStyle w:val="NumericTableTextNormal"/>
              <w:rPr>
                <w:rFonts w:asciiTheme="majorHAnsi" w:hAnsiTheme="majorHAnsi"/>
              </w:rPr>
            </w:pPr>
          </w:p>
        </w:tc>
        <w:tc>
          <w:tcPr>
            <w:tcW w:w="483" w:type="pct"/>
            <w:vMerge/>
          </w:tcPr>
          <w:p w:rsidR="00767B1A" w:rsidRPr="00CB32B1" w:rsidRDefault="00767B1A" w:rsidP="00767B1A">
            <w:pPr>
              <w:pStyle w:val="NumericTableTextNormal"/>
              <w:cnfStyle w:val="000000000000"/>
              <w:rPr>
                <w:rFonts w:asciiTheme="majorHAnsi" w:hAnsiTheme="majorHAnsi"/>
              </w:rPr>
            </w:pPr>
          </w:p>
        </w:tc>
        <w:tc>
          <w:tcPr>
            <w:tcW w:w="793" w:type="pct"/>
            <w:vMerge/>
          </w:tcPr>
          <w:p w:rsidR="00767B1A" w:rsidRPr="00CB32B1" w:rsidRDefault="00767B1A" w:rsidP="00767B1A">
            <w:pPr>
              <w:pStyle w:val="NumericTableTextNormal"/>
              <w:cnfStyle w:val="000000000000"/>
              <w:rPr>
                <w:rFonts w:asciiTheme="majorHAnsi" w:hAnsiTheme="majorHAnsi"/>
              </w:rPr>
            </w:pPr>
          </w:p>
        </w:tc>
        <w:tc>
          <w:tcPr>
            <w:tcW w:w="945" w:type="pc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Planned homebirth: 6,692</w:t>
            </w:r>
          </w:p>
        </w:tc>
        <w:tc>
          <w:tcPr>
            <w:tcW w:w="688"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t>4.3%</w:t>
            </w:r>
          </w:p>
        </w:tc>
        <w:tc>
          <w:tcPr>
            <w:tcW w:w="658"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t>2.9%</w:t>
            </w:r>
          </w:p>
        </w:tc>
        <w:tc>
          <w:tcPr>
            <w:tcW w:w="695"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t>5.2%</w:t>
            </w:r>
          </w:p>
        </w:tc>
      </w:tr>
      <w:tr w:rsidR="00865724" w:rsidRPr="00CB32B1" w:rsidTr="00865724">
        <w:tc>
          <w:tcPr>
            <w:cnfStyle w:val="001000000000"/>
            <w:tcW w:w="738" w:type="pct"/>
            <w:vMerge/>
          </w:tcPr>
          <w:p w:rsidR="00767B1A" w:rsidRPr="00CB32B1" w:rsidRDefault="00767B1A" w:rsidP="00767B1A">
            <w:pPr>
              <w:pStyle w:val="NumericTableTextNormal"/>
              <w:rPr>
                <w:rFonts w:asciiTheme="majorHAnsi" w:hAnsiTheme="majorHAnsi"/>
              </w:rPr>
            </w:pPr>
          </w:p>
        </w:tc>
        <w:tc>
          <w:tcPr>
            <w:tcW w:w="483" w:type="pct"/>
            <w:vMerge/>
          </w:tcPr>
          <w:p w:rsidR="00767B1A" w:rsidRPr="00CB32B1" w:rsidRDefault="00767B1A" w:rsidP="00767B1A">
            <w:pPr>
              <w:pStyle w:val="NumericTableTextNormal"/>
              <w:cnfStyle w:val="000000000000"/>
              <w:rPr>
                <w:rFonts w:asciiTheme="majorHAnsi" w:hAnsiTheme="majorHAnsi"/>
              </w:rPr>
            </w:pPr>
          </w:p>
        </w:tc>
        <w:tc>
          <w:tcPr>
            <w:tcW w:w="793" w:type="pct"/>
            <w:vMerge/>
          </w:tcPr>
          <w:p w:rsidR="00767B1A" w:rsidRPr="00CB32B1" w:rsidRDefault="00767B1A" w:rsidP="00767B1A">
            <w:pPr>
              <w:pStyle w:val="NumericTableTextNormal"/>
              <w:cnfStyle w:val="000000000000"/>
              <w:rPr>
                <w:rFonts w:asciiTheme="majorHAnsi" w:hAnsiTheme="majorHAnsi"/>
              </w:rPr>
            </w:pPr>
          </w:p>
        </w:tc>
        <w:tc>
          <w:tcPr>
            <w:tcW w:w="945" w:type="pct"/>
          </w:tcPr>
          <w:p w:rsidR="00767B1A" w:rsidRPr="00CB32B1" w:rsidRDefault="00767B1A" w:rsidP="00767B1A">
            <w:pPr>
              <w:pStyle w:val="NumericTableTextNormal"/>
              <w:cnfStyle w:val="000000000000"/>
              <w:rPr>
                <w:rFonts w:asciiTheme="majorHAnsi" w:hAnsiTheme="majorHAnsi"/>
                <w:b/>
                <w:bCs/>
                <w:i/>
                <w:szCs w:val="28"/>
              </w:rPr>
            </w:pPr>
            <w:r w:rsidRPr="00CB32B1">
              <w:rPr>
                <w:rFonts w:asciiTheme="majorHAnsi" w:hAnsiTheme="majorHAnsi"/>
              </w:rPr>
              <w:t>Planned hospital birth: 6,692</w:t>
            </w:r>
          </w:p>
        </w:tc>
        <w:tc>
          <w:tcPr>
            <w:tcW w:w="688"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t>5.9%</w:t>
            </w:r>
          </w:p>
        </w:tc>
        <w:tc>
          <w:tcPr>
            <w:tcW w:w="658"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t>4.4%</w:t>
            </w:r>
          </w:p>
        </w:tc>
        <w:tc>
          <w:tcPr>
            <w:tcW w:w="695"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t>8.1%</w:t>
            </w:r>
          </w:p>
        </w:tc>
      </w:tr>
      <w:tr w:rsidR="00865724" w:rsidRPr="00CB32B1" w:rsidTr="00865724">
        <w:tc>
          <w:tcPr>
            <w:cnfStyle w:val="001000000000"/>
            <w:tcW w:w="738" w:type="pct"/>
            <w:vMerge w:val="restart"/>
          </w:tcPr>
          <w:p w:rsidR="00767B1A" w:rsidRPr="00CB32B1" w:rsidRDefault="0089258A" w:rsidP="0089258A">
            <w:pPr>
              <w:pStyle w:val="NumericTableTextNormal"/>
              <w:rPr>
                <w:rFonts w:asciiTheme="majorHAnsi" w:hAnsiTheme="majorHAnsi"/>
              </w:rPr>
            </w:pPr>
            <w:r w:rsidRPr="00CB32B1">
              <w:rPr>
                <w:rFonts w:asciiTheme="majorHAnsi" w:hAnsiTheme="majorHAnsi"/>
              </w:rPr>
              <w:t xml:space="preserve">Janssen, Saxell, Page, Klein, Liston &amp; Lee </w:t>
            </w:r>
            <w:r w:rsidR="00EF7664" w:rsidRPr="00CB32B1">
              <w:rPr>
                <w:rFonts w:asciiTheme="majorHAnsi" w:hAnsiTheme="majorHAnsi"/>
              </w:rPr>
              <w:t>2009</w:t>
            </w:r>
            <w:r w:rsidR="00767B1A" w:rsidRPr="00CB32B1">
              <w:rPr>
                <w:rFonts w:asciiTheme="majorHAnsi" w:hAnsiTheme="majorHAnsi"/>
              </w:rPr>
              <w:t xml:space="preserve">* </w:t>
            </w:r>
          </w:p>
        </w:tc>
        <w:tc>
          <w:tcPr>
            <w:tcW w:w="483" w:type="pct"/>
            <w:vMerge w:val="restar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2000 –2004</w:t>
            </w:r>
          </w:p>
        </w:tc>
        <w:tc>
          <w:tcPr>
            <w:tcW w:w="793" w:type="pct"/>
            <w:vMerge w:val="restar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British Columbia, Canada</w:t>
            </w:r>
          </w:p>
        </w:tc>
        <w:tc>
          <w:tcPr>
            <w:tcW w:w="945" w:type="pct"/>
          </w:tcPr>
          <w:p w:rsidR="00767B1A" w:rsidRPr="00CB32B1" w:rsidRDefault="00767B1A" w:rsidP="00767B1A">
            <w:pPr>
              <w:pStyle w:val="NumericTableTextNormal"/>
              <w:cnfStyle w:val="000000000000"/>
              <w:rPr>
                <w:rFonts w:asciiTheme="majorHAnsi" w:hAnsiTheme="majorHAnsi"/>
              </w:rPr>
            </w:pPr>
          </w:p>
        </w:tc>
        <w:tc>
          <w:tcPr>
            <w:tcW w:w="688"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sym w:font="Wingdings" w:char="F0FC"/>
            </w:r>
          </w:p>
        </w:tc>
        <w:tc>
          <w:tcPr>
            <w:tcW w:w="658"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sym w:font="Wingdings" w:char="F0FC"/>
            </w:r>
          </w:p>
        </w:tc>
        <w:tc>
          <w:tcPr>
            <w:tcW w:w="695"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sym w:font="Wingdings" w:char="F0FC"/>
            </w:r>
          </w:p>
        </w:tc>
      </w:tr>
      <w:tr w:rsidR="00865724" w:rsidRPr="00CB32B1" w:rsidTr="00865724">
        <w:tc>
          <w:tcPr>
            <w:cnfStyle w:val="001000000000"/>
            <w:tcW w:w="738" w:type="pct"/>
            <w:vMerge/>
          </w:tcPr>
          <w:p w:rsidR="00767B1A" w:rsidRPr="00CB32B1" w:rsidRDefault="00767B1A" w:rsidP="00767B1A">
            <w:pPr>
              <w:pStyle w:val="NumericTableTextNormal"/>
              <w:rPr>
                <w:rFonts w:asciiTheme="majorHAnsi" w:hAnsiTheme="majorHAnsi"/>
              </w:rPr>
            </w:pPr>
          </w:p>
        </w:tc>
        <w:tc>
          <w:tcPr>
            <w:tcW w:w="483" w:type="pct"/>
            <w:vMerge/>
          </w:tcPr>
          <w:p w:rsidR="00767B1A" w:rsidRPr="00CB32B1" w:rsidRDefault="00767B1A" w:rsidP="00767B1A">
            <w:pPr>
              <w:pStyle w:val="NumericTableTextNormal"/>
              <w:cnfStyle w:val="000000000000"/>
              <w:rPr>
                <w:rFonts w:asciiTheme="majorHAnsi" w:hAnsiTheme="majorHAnsi"/>
              </w:rPr>
            </w:pPr>
          </w:p>
        </w:tc>
        <w:tc>
          <w:tcPr>
            <w:tcW w:w="793" w:type="pct"/>
            <w:vMerge/>
          </w:tcPr>
          <w:p w:rsidR="00767B1A" w:rsidRPr="00CB32B1" w:rsidRDefault="00767B1A" w:rsidP="00767B1A">
            <w:pPr>
              <w:pStyle w:val="NumericTableTextNormal"/>
              <w:cnfStyle w:val="000000000000"/>
              <w:rPr>
                <w:rFonts w:asciiTheme="majorHAnsi" w:hAnsiTheme="majorHAnsi"/>
              </w:rPr>
            </w:pPr>
          </w:p>
        </w:tc>
        <w:tc>
          <w:tcPr>
            <w:tcW w:w="945" w:type="pc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Planned homebirth: 2,889</w:t>
            </w:r>
          </w:p>
        </w:tc>
        <w:tc>
          <w:tcPr>
            <w:tcW w:w="688"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t>3.1%</w:t>
            </w:r>
          </w:p>
        </w:tc>
        <w:tc>
          <w:tcPr>
            <w:tcW w:w="658"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t>3.0%</w:t>
            </w:r>
          </w:p>
        </w:tc>
        <w:tc>
          <w:tcPr>
            <w:tcW w:w="695"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t>7.2%</w:t>
            </w:r>
          </w:p>
        </w:tc>
      </w:tr>
      <w:tr w:rsidR="00865724" w:rsidRPr="00CB32B1" w:rsidTr="00865724">
        <w:tc>
          <w:tcPr>
            <w:cnfStyle w:val="001000000000"/>
            <w:tcW w:w="738" w:type="pct"/>
            <w:vMerge/>
          </w:tcPr>
          <w:p w:rsidR="00767B1A" w:rsidRPr="00CB32B1" w:rsidRDefault="00767B1A" w:rsidP="00767B1A">
            <w:pPr>
              <w:pStyle w:val="NumericTableTextNormal"/>
              <w:rPr>
                <w:rFonts w:asciiTheme="majorHAnsi" w:hAnsiTheme="majorHAnsi"/>
              </w:rPr>
            </w:pPr>
          </w:p>
        </w:tc>
        <w:tc>
          <w:tcPr>
            <w:tcW w:w="483" w:type="pct"/>
            <w:vMerge/>
          </w:tcPr>
          <w:p w:rsidR="00767B1A" w:rsidRPr="00CB32B1" w:rsidRDefault="00767B1A" w:rsidP="00767B1A">
            <w:pPr>
              <w:pStyle w:val="NumericTableTextNormal"/>
              <w:cnfStyle w:val="000000000000"/>
              <w:rPr>
                <w:rFonts w:asciiTheme="majorHAnsi" w:hAnsiTheme="majorHAnsi"/>
              </w:rPr>
            </w:pPr>
          </w:p>
        </w:tc>
        <w:tc>
          <w:tcPr>
            <w:tcW w:w="793" w:type="pct"/>
            <w:vMerge/>
          </w:tcPr>
          <w:p w:rsidR="00767B1A" w:rsidRPr="00CB32B1" w:rsidRDefault="00767B1A" w:rsidP="00767B1A">
            <w:pPr>
              <w:pStyle w:val="NumericTableTextNormal"/>
              <w:cnfStyle w:val="000000000000"/>
              <w:rPr>
                <w:rFonts w:asciiTheme="majorHAnsi" w:hAnsiTheme="majorHAnsi"/>
              </w:rPr>
            </w:pPr>
          </w:p>
        </w:tc>
        <w:tc>
          <w:tcPr>
            <w:tcW w:w="945" w:type="pc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Planned midwife-led hospital birth: 4,752</w:t>
            </w:r>
          </w:p>
        </w:tc>
        <w:tc>
          <w:tcPr>
            <w:tcW w:w="688"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t>6.8%</w:t>
            </w:r>
          </w:p>
        </w:tc>
        <w:tc>
          <w:tcPr>
            <w:tcW w:w="658"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t>7.2%</w:t>
            </w:r>
          </w:p>
        </w:tc>
        <w:tc>
          <w:tcPr>
            <w:tcW w:w="695"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t>10.5%</w:t>
            </w:r>
          </w:p>
        </w:tc>
      </w:tr>
      <w:tr w:rsidR="00865724" w:rsidRPr="00CB32B1" w:rsidTr="00865724">
        <w:tc>
          <w:tcPr>
            <w:cnfStyle w:val="001000000000"/>
            <w:tcW w:w="738" w:type="pct"/>
            <w:vMerge/>
          </w:tcPr>
          <w:p w:rsidR="00767B1A" w:rsidRPr="00CB32B1" w:rsidRDefault="00767B1A" w:rsidP="00767B1A">
            <w:pPr>
              <w:pStyle w:val="NumericTableTextNormal"/>
              <w:rPr>
                <w:rFonts w:asciiTheme="majorHAnsi" w:hAnsiTheme="majorHAnsi"/>
              </w:rPr>
            </w:pPr>
          </w:p>
        </w:tc>
        <w:tc>
          <w:tcPr>
            <w:tcW w:w="483" w:type="pct"/>
            <w:vMerge/>
          </w:tcPr>
          <w:p w:rsidR="00767B1A" w:rsidRPr="00CB32B1" w:rsidRDefault="00767B1A" w:rsidP="00767B1A">
            <w:pPr>
              <w:pStyle w:val="NumericTableTextNormal"/>
              <w:cnfStyle w:val="000000000000"/>
              <w:rPr>
                <w:rFonts w:asciiTheme="majorHAnsi" w:hAnsiTheme="majorHAnsi"/>
              </w:rPr>
            </w:pPr>
          </w:p>
        </w:tc>
        <w:tc>
          <w:tcPr>
            <w:tcW w:w="793" w:type="pct"/>
            <w:vMerge/>
          </w:tcPr>
          <w:p w:rsidR="00767B1A" w:rsidRPr="00CB32B1" w:rsidRDefault="00767B1A" w:rsidP="00767B1A">
            <w:pPr>
              <w:pStyle w:val="NumericTableTextNormal"/>
              <w:cnfStyle w:val="000000000000"/>
              <w:rPr>
                <w:rFonts w:asciiTheme="majorHAnsi" w:hAnsiTheme="majorHAnsi"/>
              </w:rPr>
            </w:pPr>
          </w:p>
        </w:tc>
        <w:tc>
          <w:tcPr>
            <w:tcW w:w="945" w:type="pc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Planned physician-led hospital birth: 5,331</w:t>
            </w:r>
          </w:p>
        </w:tc>
        <w:tc>
          <w:tcPr>
            <w:tcW w:w="688"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t>16.9%</w:t>
            </w:r>
          </w:p>
        </w:tc>
        <w:tc>
          <w:tcPr>
            <w:tcW w:w="658"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t>13.8%</w:t>
            </w:r>
          </w:p>
        </w:tc>
        <w:tc>
          <w:tcPr>
            <w:tcW w:w="695"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t>11.0%</w:t>
            </w:r>
          </w:p>
        </w:tc>
      </w:tr>
      <w:tr w:rsidR="00865724" w:rsidRPr="00CB32B1" w:rsidTr="00865724">
        <w:tc>
          <w:tcPr>
            <w:cnfStyle w:val="001000000000"/>
            <w:tcW w:w="738" w:type="pct"/>
            <w:vMerge w:val="restart"/>
          </w:tcPr>
          <w:p w:rsidR="00767B1A" w:rsidRPr="00CB32B1" w:rsidRDefault="00767B1A" w:rsidP="0089258A">
            <w:pPr>
              <w:pStyle w:val="NumericTableTextNormal"/>
              <w:keepNext/>
              <w:keepLines/>
              <w:rPr>
                <w:rFonts w:asciiTheme="majorHAnsi" w:hAnsiTheme="majorHAnsi"/>
              </w:rPr>
            </w:pPr>
            <w:r w:rsidRPr="00CB32B1">
              <w:rPr>
                <w:rFonts w:asciiTheme="majorHAnsi" w:hAnsiTheme="majorHAnsi"/>
              </w:rPr>
              <w:t xml:space="preserve">Lindgren, </w:t>
            </w:r>
            <w:r w:rsidR="0089258A" w:rsidRPr="00CB32B1">
              <w:rPr>
                <w:rFonts w:asciiTheme="majorHAnsi" w:hAnsiTheme="majorHAnsi"/>
              </w:rPr>
              <w:t xml:space="preserve">Radestad, Christensson &amp; Hildingsson, </w:t>
            </w:r>
            <w:r w:rsidRPr="00CB32B1">
              <w:rPr>
                <w:rFonts w:asciiTheme="majorHAnsi" w:hAnsiTheme="majorHAnsi"/>
              </w:rPr>
              <w:t>2008</w:t>
            </w:r>
          </w:p>
        </w:tc>
        <w:tc>
          <w:tcPr>
            <w:tcW w:w="483" w:type="pct"/>
            <w:vMerge w:val="restart"/>
          </w:tcPr>
          <w:p w:rsidR="00767B1A" w:rsidRPr="00CB32B1" w:rsidRDefault="00767B1A" w:rsidP="00AE740F">
            <w:pPr>
              <w:pStyle w:val="NumericTableTextNormal"/>
              <w:keepNext/>
              <w:keepLines/>
              <w:cnfStyle w:val="000000000000"/>
              <w:rPr>
                <w:rFonts w:asciiTheme="majorHAnsi" w:hAnsiTheme="majorHAnsi"/>
              </w:rPr>
            </w:pPr>
            <w:r w:rsidRPr="00CB32B1">
              <w:rPr>
                <w:rFonts w:asciiTheme="majorHAnsi" w:hAnsiTheme="majorHAnsi"/>
              </w:rPr>
              <w:t>1992 –2004</w:t>
            </w:r>
          </w:p>
        </w:tc>
        <w:tc>
          <w:tcPr>
            <w:tcW w:w="793" w:type="pct"/>
            <w:vMerge w:val="restart"/>
          </w:tcPr>
          <w:p w:rsidR="00767B1A" w:rsidRPr="00CB32B1" w:rsidRDefault="00767B1A" w:rsidP="00AE740F">
            <w:pPr>
              <w:pStyle w:val="NumericTableTextNormal"/>
              <w:keepNext/>
              <w:keepLines/>
              <w:cnfStyle w:val="000000000000"/>
              <w:rPr>
                <w:rFonts w:asciiTheme="majorHAnsi" w:hAnsiTheme="majorHAnsi"/>
              </w:rPr>
            </w:pPr>
            <w:r w:rsidRPr="00CB32B1">
              <w:rPr>
                <w:rFonts w:asciiTheme="majorHAnsi" w:hAnsiTheme="majorHAnsi"/>
              </w:rPr>
              <w:t>Sweden</w:t>
            </w:r>
          </w:p>
        </w:tc>
        <w:tc>
          <w:tcPr>
            <w:tcW w:w="945" w:type="pct"/>
          </w:tcPr>
          <w:p w:rsidR="00767B1A" w:rsidRPr="00CB32B1" w:rsidRDefault="00767B1A" w:rsidP="00AE740F">
            <w:pPr>
              <w:pStyle w:val="NumericTableTextNormal"/>
              <w:keepNext/>
              <w:keepLines/>
              <w:cnfStyle w:val="000000000000"/>
              <w:rPr>
                <w:rFonts w:asciiTheme="majorHAnsi" w:hAnsiTheme="majorHAnsi"/>
              </w:rPr>
            </w:pPr>
          </w:p>
        </w:tc>
        <w:tc>
          <w:tcPr>
            <w:tcW w:w="688" w:type="pct"/>
          </w:tcPr>
          <w:p w:rsidR="00767B1A" w:rsidRPr="00CB32B1" w:rsidRDefault="00767B1A" w:rsidP="00AE740F">
            <w:pPr>
              <w:pStyle w:val="NumericTableTextDecimalNormal"/>
              <w:keepNext/>
              <w:keepLines/>
              <w:tabs>
                <w:tab w:val="clear" w:pos="1004"/>
                <w:tab w:val="decimal" w:pos="627"/>
              </w:tabs>
              <w:cnfStyle w:val="000000000000"/>
              <w:rPr>
                <w:rFonts w:asciiTheme="majorHAnsi" w:hAnsiTheme="majorHAnsi"/>
              </w:rPr>
            </w:pPr>
            <w:r w:rsidRPr="00CB32B1">
              <w:rPr>
                <w:rFonts w:asciiTheme="majorHAnsi" w:hAnsiTheme="majorHAnsi"/>
              </w:rPr>
              <w:sym w:font="Wingdings" w:char="F0FC"/>
            </w:r>
          </w:p>
        </w:tc>
        <w:tc>
          <w:tcPr>
            <w:tcW w:w="658" w:type="pct"/>
          </w:tcPr>
          <w:p w:rsidR="00767B1A" w:rsidRPr="00CB32B1" w:rsidRDefault="00767B1A" w:rsidP="00AE740F">
            <w:pPr>
              <w:pStyle w:val="NumericTableTextDecimalNormal"/>
              <w:keepNext/>
              <w:keepLines/>
              <w:tabs>
                <w:tab w:val="clear" w:pos="1004"/>
                <w:tab w:val="decimal" w:pos="627"/>
              </w:tabs>
              <w:cnfStyle w:val="000000000000"/>
              <w:rPr>
                <w:rFonts w:asciiTheme="majorHAnsi" w:hAnsiTheme="majorHAnsi"/>
              </w:rPr>
            </w:pPr>
            <w:r w:rsidRPr="00CB32B1">
              <w:rPr>
                <w:rFonts w:asciiTheme="majorHAnsi" w:hAnsiTheme="majorHAnsi"/>
              </w:rPr>
              <w:sym w:font="Wingdings" w:char="F0FC"/>
            </w:r>
          </w:p>
        </w:tc>
        <w:tc>
          <w:tcPr>
            <w:tcW w:w="695" w:type="pct"/>
          </w:tcPr>
          <w:p w:rsidR="00767B1A" w:rsidRPr="00CB32B1" w:rsidRDefault="00767B1A" w:rsidP="00AE740F">
            <w:pPr>
              <w:pStyle w:val="NumericTableTextDecimalNormal"/>
              <w:keepNext/>
              <w:keepLines/>
              <w:tabs>
                <w:tab w:val="clear" w:pos="1004"/>
                <w:tab w:val="decimal" w:pos="627"/>
              </w:tabs>
              <w:cnfStyle w:val="000000000000"/>
              <w:rPr>
                <w:rFonts w:asciiTheme="majorHAnsi" w:hAnsiTheme="majorHAnsi"/>
              </w:rPr>
            </w:pPr>
            <w:r w:rsidRPr="00CB32B1">
              <w:rPr>
                <w:rFonts w:asciiTheme="majorHAnsi" w:hAnsiTheme="majorHAnsi"/>
              </w:rPr>
              <w:sym w:font="Wingdings" w:char="F0FC"/>
            </w:r>
          </w:p>
        </w:tc>
      </w:tr>
      <w:tr w:rsidR="00865724" w:rsidRPr="00CB32B1" w:rsidTr="00865724">
        <w:tc>
          <w:tcPr>
            <w:cnfStyle w:val="001000000000"/>
            <w:tcW w:w="738" w:type="pct"/>
            <w:vMerge/>
          </w:tcPr>
          <w:p w:rsidR="00767B1A" w:rsidRPr="00CB32B1" w:rsidRDefault="00767B1A" w:rsidP="00AE740F">
            <w:pPr>
              <w:pStyle w:val="NumericTableTextNormal"/>
              <w:keepNext/>
              <w:keepLines/>
              <w:rPr>
                <w:rFonts w:asciiTheme="majorHAnsi" w:hAnsiTheme="majorHAnsi"/>
              </w:rPr>
            </w:pPr>
          </w:p>
        </w:tc>
        <w:tc>
          <w:tcPr>
            <w:tcW w:w="483" w:type="pct"/>
            <w:vMerge/>
          </w:tcPr>
          <w:p w:rsidR="00767B1A" w:rsidRPr="00CB32B1" w:rsidRDefault="00767B1A" w:rsidP="00AE740F">
            <w:pPr>
              <w:pStyle w:val="NumericTableTextNormal"/>
              <w:keepNext/>
              <w:keepLines/>
              <w:cnfStyle w:val="000000000000"/>
              <w:rPr>
                <w:rFonts w:asciiTheme="majorHAnsi" w:hAnsiTheme="majorHAnsi"/>
              </w:rPr>
            </w:pPr>
          </w:p>
        </w:tc>
        <w:tc>
          <w:tcPr>
            <w:tcW w:w="793" w:type="pct"/>
            <w:vMerge/>
          </w:tcPr>
          <w:p w:rsidR="00767B1A" w:rsidRPr="00CB32B1" w:rsidRDefault="00767B1A" w:rsidP="00AE740F">
            <w:pPr>
              <w:pStyle w:val="NumericTableTextNormal"/>
              <w:keepNext/>
              <w:keepLines/>
              <w:cnfStyle w:val="000000000000"/>
              <w:rPr>
                <w:rFonts w:asciiTheme="majorHAnsi" w:hAnsiTheme="majorHAnsi"/>
              </w:rPr>
            </w:pPr>
          </w:p>
        </w:tc>
        <w:tc>
          <w:tcPr>
            <w:tcW w:w="945" w:type="pct"/>
          </w:tcPr>
          <w:p w:rsidR="00767B1A" w:rsidRPr="00CB32B1" w:rsidRDefault="00767B1A" w:rsidP="00AE740F">
            <w:pPr>
              <w:pStyle w:val="NumericTableTextNormal"/>
              <w:keepNext/>
              <w:keepLines/>
              <w:cnfStyle w:val="000000000000"/>
              <w:rPr>
                <w:rFonts w:asciiTheme="majorHAnsi" w:hAnsiTheme="majorHAnsi"/>
              </w:rPr>
            </w:pPr>
            <w:r w:rsidRPr="00CB32B1">
              <w:rPr>
                <w:rFonts w:asciiTheme="majorHAnsi" w:hAnsiTheme="majorHAnsi"/>
              </w:rPr>
              <w:t xml:space="preserve">Planned homebirth: 897 </w:t>
            </w:r>
          </w:p>
        </w:tc>
        <w:tc>
          <w:tcPr>
            <w:tcW w:w="688" w:type="pct"/>
          </w:tcPr>
          <w:p w:rsidR="00767B1A" w:rsidRPr="00CB32B1" w:rsidRDefault="00767B1A" w:rsidP="00AE740F">
            <w:pPr>
              <w:pStyle w:val="NumericTableTextDecimalNormal"/>
              <w:keepNext/>
              <w:keepLines/>
              <w:tabs>
                <w:tab w:val="clear" w:pos="1004"/>
                <w:tab w:val="decimal" w:pos="627"/>
              </w:tabs>
              <w:cnfStyle w:val="000000000000"/>
              <w:rPr>
                <w:rFonts w:asciiTheme="majorHAnsi" w:hAnsiTheme="majorHAnsi"/>
              </w:rPr>
            </w:pPr>
            <w:r w:rsidRPr="00CB32B1">
              <w:rPr>
                <w:rFonts w:asciiTheme="majorHAnsi" w:hAnsiTheme="majorHAnsi"/>
              </w:rPr>
              <w:t>0.8%</w:t>
            </w:r>
          </w:p>
        </w:tc>
        <w:tc>
          <w:tcPr>
            <w:tcW w:w="658" w:type="pct"/>
          </w:tcPr>
          <w:p w:rsidR="00767B1A" w:rsidRPr="00CB32B1" w:rsidRDefault="00767B1A" w:rsidP="00AE740F">
            <w:pPr>
              <w:pStyle w:val="NumericTableTextDecimalNormal"/>
              <w:keepNext/>
              <w:keepLines/>
              <w:tabs>
                <w:tab w:val="clear" w:pos="1004"/>
                <w:tab w:val="decimal" w:pos="627"/>
              </w:tabs>
              <w:cnfStyle w:val="000000000000"/>
              <w:rPr>
                <w:rFonts w:asciiTheme="majorHAnsi" w:hAnsiTheme="majorHAnsi"/>
              </w:rPr>
            </w:pPr>
            <w:r w:rsidRPr="00CB32B1">
              <w:rPr>
                <w:rFonts w:asciiTheme="majorHAnsi" w:hAnsiTheme="majorHAnsi"/>
              </w:rPr>
              <w:t>2.2%</w:t>
            </w:r>
          </w:p>
        </w:tc>
        <w:tc>
          <w:tcPr>
            <w:tcW w:w="695" w:type="pct"/>
          </w:tcPr>
          <w:p w:rsidR="00767B1A" w:rsidRPr="00CB32B1" w:rsidRDefault="00767B1A" w:rsidP="00AE740F">
            <w:pPr>
              <w:pStyle w:val="NumericTableTextDecimalNormal"/>
              <w:keepNext/>
              <w:keepLines/>
              <w:tabs>
                <w:tab w:val="clear" w:pos="1004"/>
                <w:tab w:val="decimal" w:pos="627"/>
              </w:tabs>
              <w:cnfStyle w:val="000000000000"/>
              <w:rPr>
                <w:rFonts w:asciiTheme="majorHAnsi" w:hAnsiTheme="majorHAnsi"/>
              </w:rPr>
            </w:pPr>
            <w:r w:rsidRPr="00CB32B1">
              <w:rPr>
                <w:rFonts w:asciiTheme="majorHAnsi" w:hAnsiTheme="majorHAnsi"/>
              </w:rPr>
              <w:t>2.4%</w:t>
            </w:r>
          </w:p>
        </w:tc>
      </w:tr>
      <w:tr w:rsidR="00865724" w:rsidRPr="00CB32B1" w:rsidTr="00865724">
        <w:tc>
          <w:tcPr>
            <w:cnfStyle w:val="001000000000"/>
            <w:tcW w:w="738" w:type="pct"/>
            <w:vMerge/>
          </w:tcPr>
          <w:p w:rsidR="00767B1A" w:rsidRPr="00CB32B1" w:rsidRDefault="00767B1A" w:rsidP="00AE740F">
            <w:pPr>
              <w:pStyle w:val="NumericTableTextNormal"/>
              <w:keepNext/>
              <w:keepLines/>
              <w:rPr>
                <w:rFonts w:asciiTheme="majorHAnsi" w:hAnsiTheme="majorHAnsi"/>
              </w:rPr>
            </w:pPr>
          </w:p>
        </w:tc>
        <w:tc>
          <w:tcPr>
            <w:tcW w:w="483" w:type="pct"/>
            <w:vMerge/>
          </w:tcPr>
          <w:p w:rsidR="00767B1A" w:rsidRPr="00CB32B1" w:rsidRDefault="00767B1A" w:rsidP="00AE740F">
            <w:pPr>
              <w:pStyle w:val="NumericTableTextNormal"/>
              <w:keepNext/>
              <w:keepLines/>
              <w:cnfStyle w:val="000000000000"/>
              <w:rPr>
                <w:rFonts w:asciiTheme="majorHAnsi" w:hAnsiTheme="majorHAnsi"/>
              </w:rPr>
            </w:pPr>
          </w:p>
        </w:tc>
        <w:tc>
          <w:tcPr>
            <w:tcW w:w="793" w:type="pct"/>
            <w:vMerge/>
          </w:tcPr>
          <w:p w:rsidR="00767B1A" w:rsidRPr="00CB32B1" w:rsidRDefault="00767B1A" w:rsidP="00AE740F">
            <w:pPr>
              <w:pStyle w:val="NumericTableTextNormal"/>
              <w:keepNext/>
              <w:keepLines/>
              <w:cnfStyle w:val="000000000000"/>
              <w:rPr>
                <w:rFonts w:asciiTheme="majorHAnsi" w:hAnsiTheme="majorHAnsi"/>
              </w:rPr>
            </w:pPr>
          </w:p>
        </w:tc>
        <w:tc>
          <w:tcPr>
            <w:tcW w:w="945" w:type="pct"/>
          </w:tcPr>
          <w:p w:rsidR="00767B1A" w:rsidRPr="00CB32B1" w:rsidRDefault="00767B1A" w:rsidP="00AE740F">
            <w:pPr>
              <w:pStyle w:val="NumericTableTextNormal"/>
              <w:keepNext/>
              <w:keepLines/>
              <w:cnfStyle w:val="000000000000"/>
              <w:rPr>
                <w:rFonts w:asciiTheme="majorHAnsi" w:hAnsiTheme="majorHAnsi"/>
              </w:rPr>
            </w:pPr>
            <w:r w:rsidRPr="00CB32B1">
              <w:rPr>
                <w:rFonts w:asciiTheme="majorHAnsi" w:hAnsiTheme="majorHAnsi"/>
              </w:rPr>
              <w:t>Planned hospital birth: 11,341</w:t>
            </w:r>
          </w:p>
        </w:tc>
        <w:tc>
          <w:tcPr>
            <w:tcW w:w="688" w:type="pct"/>
          </w:tcPr>
          <w:p w:rsidR="00767B1A" w:rsidRPr="00CB32B1" w:rsidRDefault="00767B1A" w:rsidP="00AE740F">
            <w:pPr>
              <w:pStyle w:val="NumericTableTextDecimalNormal"/>
              <w:keepNext/>
              <w:keepLines/>
              <w:tabs>
                <w:tab w:val="clear" w:pos="1004"/>
                <w:tab w:val="decimal" w:pos="627"/>
              </w:tabs>
              <w:cnfStyle w:val="000000000000"/>
              <w:rPr>
                <w:rFonts w:asciiTheme="majorHAnsi" w:hAnsiTheme="majorHAnsi"/>
              </w:rPr>
            </w:pPr>
            <w:r w:rsidRPr="00CB32B1">
              <w:rPr>
                <w:rFonts w:asciiTheme="majorHAnsi" w:hAnsiTheme="majorHAnsi"/>
              </w:rPr>
              <w:t>7.2%</w:t>
            </w:r>
          </w:p>
        </w:tc>
        <w:tc>
          <w:tcPr>
            <w:tcW w:w="658" w:type="pct"/>
          </w:tcPr>
          <w:p w:rsidR="00767B1A" w:rsidRPr="00CB32B1" w:rsidRDefault="00767B1A" w:rsidP="00AE740F">
            <w:pPr>
              <w:pStyle w:val="NumericTableTextDecimalNormal"/>
              <w:keepNext/>
              <w:keepLines/>
              <w:tabs>
                <w:tab w:val="clear" w:pos="1004"/>
                <w:tab w:val="decimal" w:pos="627"/>
              </w:tabs>
              <w:cnfStyle w:val="000000000000"/>
              <w:rPr>
                <w:rFonts w:asciiTheme="majorHAnsi" w:hAnsiTheme="majorHAnsi"/>
              </w:rPr>
            </w:pPr>
            <w:r w:rsidRPr="00CB32B1">
              <w:rPr>
                <w:rFonts w:asciiTheme="majorHAnsi" w:hAnsiTheme="majorHAnsi"/>
              </w:rPr>
              <w:t>9.6%</w:t>
            </w:r>
          </w:p>
        </w:tc>
        <w:tc>
          <w:tcPr>
            <w:tcW w:w="695" w:type="pct"/>
          </w:tcPr>
          <w:p w:rsidR="00767B1A" w:rsidRPr="00CB32B1" w:rsidRDefault="00767B1A" w:rsidP="00AE740F">
            <w:pPr>
              <w:pStyle w:val="NumericTableTextDecimalNormal"/>
              <w:keepNext/>
              <w:keepLines/>
              <w:tabs>
                <w:tab w:val="clear" w:pos="1004"/>
                <w:tab w:val="decimal" w:pos="627"/>
              </w:tabs>
              <w:cnfStyle w:val="000000000000"/>
              <w:rPr>
                <w:rFonts w:asciiTheme="majorHAnsi" w:hAnsiTheme="majorHAnsi"/>
              </w:rPr>
            </w:pPr>
            <w:r w:rsidRPr="00CB32B1">
              <w:rPr>
                <w:rFonts w:asciiTheme="majorHAnsi" w:hAnsiTheme="majorHAnsi"/>
              </w:rPr>
              <w:t>6.8%</w:t>
            </w:r>
          </w:p>
        </w:tc>
      </w:tr>
      <w:tr w:rsidR="00865724" w:rsidRPr="00CB32B1" w:rsidTr="00865724">
        <w:tc>
          <w:tcPr>
            <w:cnfStyle w:val="001000000000"/>
            <w:tcW w:w="738" w:type="pct"/>
            <w:vMerge w:val="restart"/>
          </w:tcPr>
          <w:p w:rsidR="00767B1A" w:rsidRPr="00CB32B1" w:rsidRDefault="00767B1A" w:rsidP="00767B1A">
            <w:pPr>
              <w:pStyle w:val="NumericTableTextNormal"/>
              <w:rPr>
                <w:rFonts w:asciiTheme="majorHAnsi" w:hAnsiTheme="majorHAnsi"/>
              </w:rPr>
            </w:pPr>
            <w:r w:rsidRPr="00CB32B1">
              <w:rPr>
                <w:rFonts w:asciiTheme="majorHAnsi" w:hAnsiTheme="majorHAnsi"/>
              </w:rPr>
              <w:t>Johnson &amp; Davi</w:t>
            </w:r>
            <w:r w:rsidR="00C97690" w:rsidRPr="00CB32B1">
              <w:rPr>
                <w:rFonts w:asciiTheme="majorHAnsi" w:hAnsiTheme="majorHAnsi"/>
              </w:rPr>
              <w:t>s</w:t>
            </w:r>
            <w:r w:rsidRPr="00CB32B1">
              <w:rPr>
                <w:rFonts w:asciiTheme="majorHAnsi" w:hAnsiTheme="majorHAnsi"/>
              </w:rPr>
              <w:t xml:space="preserve">s 2005 </w:t>
            </w:r>
          </w:p>
        </w:tc>
        <w:tc>
          <w:tcPr>
            <w:tcW w:w="483" w:type="pct"/>
            <w:vMerge w:val="restar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 xml:space="preserve">2000 </w:t>
            </w:r>
          </w:p>
        </w:tc>
        <w:tc>
          <w:tcPr>
            <w:tcW w:w="793" w:type="pct"/>
            <w:vMerge w:val="restar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USA and Canada</w:t>
            </w:r>
          </w:p>
        </w:tc>
        <w:tc>
          <w:tcPr>
            <w:tcW w:w="945" w:type="pct"/>
          </w:tcPr>
          <w:p w:rsidR="00767B1A" w:rsidRPr="00CB32B1" w:rsidRDefault="00767B1A" w:rsidP="00767B1A">
            <w:pPr>
              <w:pStyle w:val="NumericTableTextNormal"/>
              <w:cnfStyle w:val="000000000000"/>
              <w:rPr>
                <w:rFonts w:asciiTheme="majorHAnsi" w:hAnsiTheme="majorHAnsi"/>
              </w:rPr>
            </w:pPr>
          </w:p>
        </w:tc>
        <w:tc>
          <w:tcPr>
            <w:tcW w:w="2041" w:type="pct"/>
            <w:gridSpan w:val="3"/>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t>Not recorded</w:t>
            </w:r>
          </w:p>
        </w:tc>
      </w:tr>
      <w:tr w:rsidR="00865724" w:rsidRPr="00CB32B1" w:rsidTr="00865724">
        <w:tc>
          <w:tcPr>
            <w:cnfStyle w:val="001000000000"/>
            <w:tcW w:w="738" w:type="pct"/>
            <w:vMerge/>
          </w:tcPr>
          <w:p w:rsidR="00767B1A" w:rsidRPr="00CB32B1" w:rsidRDefault="00767B1A" w:rsidP="00767B1A">
            <w:pPr>
              <w:pStyle w:val="NumericTableTextNormal"/>
              <w:rPr>
                <w:rFonts w:asciiTheme="majorHAnsi" w:hAnsiTheme="majorHAnsi"/>
              </w:rPr>
            </w:pPr>
          </w:p>
        </w:tc>
        <w:tc>
          <w:tcPr>
            <w:tcW w:w="483" w:type="pct"/>
            <w:vMerge/>
          </w:tcPr>
          <w:p w:rsidR="00767B1A" w:rsidRPr="00CB32B1" w:rsidRDefault="00767B1A" w:rsidP="00767B1A">
            <w:pPr>
              <w:pStyle w:val="NumericTableTextNormal"/>
              <w:cnfStyle w:val="000000000000"/>
              <w:rPr>
                <w:rFonts w:asciiTheme="majorHAnsi" w:hAnsiTheme="majorHAnsi"/>
              </w:rPr>
            </w:pPr>
          </w:p>
        </w:tc>
        <w:tc>
          <w:tcPr>
            <w:tcW w:w="793" w:type="pct"/>
            <w:vMerge/>
          </w:tcPr>
          <w:p w:rsidR="00767B1A" w:rsidRPr="00CB32B1" w:rsidRDefault="00767B1A" w:rsidP="00767B1A">
            <w:pPr>
              <w:pStyle w:val="NumericTableTextNormal"/>
              <w:cnfStyle w:val="000000000000"/>
              <w:rPr>
                <w:rFonts w:asciiTheme="majorHAnsi" w:hAnsiTheme="majorHAnsi"/>
              </w:rPr>
            </w:pPr>
          </w:p>
        </w:tc>
        <w:tc>
          <w:tcPr>
            <w:tcW w:w="945" w:type="pct"/>
          </w:tcPr>
          <w:p w:rsidR="00767B1A" w:rsidRPr="00CB32B1" w:rsidRDefault="00767B1A" w:rsidP="00767B1A">
            <w:pPr>
              <w:pStyle w:val="NumericTableTextNormal"/>
              <w:cnfStyle w:val="000000000000"/>
              <w:rPr>
                <w:rFonts w:asciiTheme="majorHAnsi" w:hAnsiTheme="majorHAnsi"/>
              </w:rPr>
            </w:pPr>
            <w:r w:rsidRPr="00CB32B1">
              <w:rPr>
                <w:rFonts w:asciiTheme="majorHAnsi" w:hAnsiTheme="majorHAnsi"/>
              </w:rPr>
              <w:t>Planned homebirth: 5,418</w:t>
            </w:r>
          </w:p>
        </w:tc>
        <w:tc>
          <w:tcPr>
            <w:tcW w:w="688"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t>2.1%</w:t>
            </w:r>
          </w:p>
        </w:tc>
        <w:tc>
          <w:tcPr>
            <w:tcW w:w="658"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p>
        </w:tc>
        <w:tc>
          <w:tcPr>
            <w:tcW w:w="695" w:type="pct"/>
          </w:tcPr>
          <w:p w:rsidR="00767B1A" w:rsidRPr="00CB32B1" w:rsidRDefault="00767B1A" w:rsidP="00767B1A">
            <w:pPr>
              <w:pStyle w:val="NumericTableTextDecimalNormal"/>
              <w:tabs>
                <w:tab w:val="clear" w:pos="1004"/>
                <w:tab w:val="decimal" w:pos="627"/>
              </w:tabs>
              <w:cnfStyle w:val="000000000000"/>
              <w:rPr>
                <w:rFonts w:asciiTheme="majorHAnsi" w:hAnsiTheme="majorHAnsi"/>
              </w:rPr>
            </w:pPr>
            <w:r w:rsidRPr="00CB32B1">
              <w:rPr>
                <w:rFonts w:asciiTheme="majorHAnsi" w:hAnsiTheme="majorHAnsi"/>
              </w:rPr>
              <w:t>3.7%</w:t>
            </w:r>
          </w:p>
        </w:tc>
      </w:tr>
    </w:tbl>
    <w:p w:rsidR="00767B1A" w:rsidRPr="00CB32B1" w:rsidRDefault="00767B1A" w:rsidP="00F40E8A">
      <w:pPr>
        <w:pStyle w:val="Sources"/>
        <w:spacing w:after="40"/>
      </w:pPr>
      <w:r w:rsidRPr="00CB32B1">
        <w:rPr>
          <w:b/>
        </w:rPr>
        <w:t>Note*:</w:t>
      </w:r>
      <w:r w:rsidRPr="00CB32B1">
        <w:t xml:space="preserve"> Janssen, Saxell</w:t>
      </w:r>
      <w:r w:rsidR="00C97690" w:rsidRPr="00CB32B1">
        <w:t>, Page, Klein, Liston &amp; Lee</w:t>
      </w:r>
      <w:r w:rsidRPr="00CB32B1">
        <w:t xml:space="preserve"> also compared caesarean sections for nulliparous women (13.0% vs. 18.7% vs. 21.8%) with multiparous women (3.0% vs. 1.9% vs. 3.4%).</w:t>
      </w:r>
    </w:p>
    <w:p w:rsidR="00F40E8A" w:rsidRPr="00CB32B1" w:rsidRDefault="00F40E8A" w:rsidP="00F40E8A">
      <w:pPr>
        <w:pStyle w:val="PwCNormal"/>
        <w:rPr>
          <w:color w:val="DC6900" w:themeColor="text2"/>
          <w:sz w:val="16"/>
        </w:rPr>
      </w:pPr>
      <w:r w:rsidRPr="00CB32B1">
        <w:rPr>
          <w:b/>
          <w:color w:val="DC6900" w:themeColor="text2"/>
          <w:sz w:val="16"/>
        </w:rPr>
        <w:t>Sources:</w:t>
      </w:r>
      <w:r w:rsidRPr="00CB32B1">
        <w:rPr>
          <w:color w:val="DC6900" w:themeColor="text2"/>
          <w:sz w:val="16"/>
        </w:rPr>
        <w:t xml:space="preserve"> Hutton, Reitsma &amp; Kaufman 2009; Janssen, Saxell, Page, Klein, Liston &amp; Lee 2009; Lindgren, Radestad, Christensson &amp; Hildingsson 2008; Johnson &amp; Daviss 2005.</w:t>
      </w:r>
    </w:p>
    <w:p w:rsidR="00767B1A" w:rsidRPr="00CB32B1" w:rsidRDefault="00767B1A" w:rsidP="00767B1A">
      <w:pPr>
        <w:kinsoku/>
        <w:overflowPunct/>
        <w:autoSpaceDE/>
        <w:autoSpaceDN/>
        <w:adjustRightInd/>
        <w:snapToGrid/>
      </w:pPr>
      <w:r w:rsidRPr="00CB32B1">
        <w:t>Again, it must be noted that in part, similar statistical challenges as seen in Australian studies reviewed were identified</w:t>
      </w:r>
      <w:r w:rsidR="00865724">
        <w:t xml:space="preserve"> and that the outcomes should be considered in light of the environment.</w:t>
      </w:r>
    </w:p>
    <w:p w:rsidR="00767B1A" w:rsidRPr="00CB32B1" w:rsidRDefault="00767B1A" w:rsidP="00767B1A">
      <w:pPr>
        <w:pStyle w:val="Majorheading"/>
      </w:pPr>
      <w:r w:rsidRPr="00CB32B1">
        <w:t>Transfers from home to hospitals</w:t>
      </w:r>
    </w:p>
    <w:p w:rsidR="00767B1A" w:rsidRPr="00CB32B1" w:rsidRDefault="00767B1A" w:rsidP="00767B1A">
      <w:pPr>
        <w:pStyle w:val="PwCNormal"/>
      </w:pPr>
      <w:r w:rsidRPr="00CB32B1">
        <w:t xml:space="preserve">Transfer data on how many </w:t>
      </w:r>
      <w:r w:rsidR="00CD76BA">
        <w:t>mothers</w:t>
      </w:r>
      <w:r w:rsidRPr="00CB32B1">
        <w:t xml:space="preserve"> and babies are referred from PPMs to other practitioners, and the time taken to transfer from a PPM to a different practitioner, could provide insurers with insight on:</w:t>
      </w:r>
    </w:p>
    <w:p w:rsidR="00767B1A" w:rsidRPr="00CB32B1" w:rsidRDefault="00767B1A" w:rsidP="00767B1A">
      <w:pPr>
        <w:pStyle w:val="ListBullet"/>
      </w:pPr>
      <w:r w:rsidRPr="00CB32B1">
        <w:t>The operating environment in which PPMs practice</w:t>
      </w:r>
    </w:p>
    <w:p w:rsidR="00767B1A" w:rsidRPr="00CB32B1" w:rsidRDefault="00767B1A" w:rsidP="00767B1A">
      <w:pPr>
        <w:pStyle w:val="ListBullet"/>
      </w:pPr>
      <w:r w:rsidRPr="00CB32B1">
        <w:t xml:space="preserve">The amount of risk taken on by a PPM. </w:t>
      </w:r>
    </w:p>
    <w:p w:rsidR="00767B1A" w:rsidRPr="00CB32B1" w:rsidRDefault="00767B1A" w:rsidP="00767B1A">
      <w:pPr>
        <w:pStyle w:val="PwCNormal"/>
      </w:pPr>
      <w:r w:rsidRPr="00CB32B1">
        <w:t>It was identified that data for transfers may be insufficient for insurers to use as:</w:t>
      </w:r>
    </w:p>
    <w:p w:rsidR="00767B1A" w:rsidRPr="00CB32B1" w:rsidRDefault="00767B1A" w:rsidP="00767B1A">
      <w:pPr>
        <w:pStyle w:val="ListBullet"/>
      </w:pPr>
      <w:r w:rsidRPr="00CB32B1">
        <w:rPr>
          <w:b/>
          <w:color w:val="DC6900" w:themeColor="text2"/>
        </w:rPr>
        <w:t>Number of transfers:</w:t>
      </w:r>
      <w:r w:rsidRPr="00CB32B1">
        <w:t xml:space="preserve"> Data for the number of transfers completed from home to </w:t>
      </w:r>
      <w:r w:rsidR="00CD76BA">
        <w:t>health services</w:t>
      </w:r>
      <w:r w:rsidRPr="00CB32B1">
        <w:t xml:space="preserve"> are not publicly available</w:t>
      </w:r>
    </w:p>
    <w:p w:rsidR="00767B1A" w:rsidRPr="00CB32B1" w:rsidRDefault="00767B1A" w:rsidP="00767B1A">
      <w:pPr>
        <w:pStyle w:val="ListBullet"/>
      </w:pPr>
      <w:r w:rsidRPr="00CB32B1">
        <w:rPr>
          <w:b/>
          <w:color w:val="DC6900" w:themeColor="text2"/>
        </w:rPr>
        <w:t>Time taken for transfers:</w:t>
      </w:r>
      <w:r w:rsidRPr="00CB32B1">
        <w:t xml:space="preserve"> Data for the time taken for transfer are not recorded</w:t>
      </w:r>
    </w:p>
    <w:p w:rsidR="00767B1A" w:rsidRPr="00CB32B1" w:rsidRDefault="00767B1A" w:rsidP="00767B1A">
      <w:pPr>
        <w:pStyle w:val="ListBullet"/>
      </w:pPr>
      <w:r w:rsidRPr="00CB32B1">
        <w:rPr>
          <w:b/>
          <w:color w:val="DC6900" w:themeColor="text2"/>
        </w:rPr>
        <w:t>Persons transferred:</w:t>
      </w:r>
      <w:r w:rsidRPr="00CB32B1">
        <w:t xml:space="preserve"> Data for who is transferred are not recorded ie </w:t>
      </w:r>
      <w:r w:rsidR="00CD76BA">
        <w:t>mother</w:t>
      </w:r>
      <w:r w:rsidRPr="00CB32B1">
        <w:t>, baby or both</w:t>
      </w:r>
    </w:p>
    <w:p w:rsidR="00767B1A" w:rsidRPr="00CB32B1" w:rsidRDefault="00767B1A" w:rsidP="00767B1A">
      <w:pPr>
        <w:pStyle w:val="ListBullet"/>
      </w:pPr>
      <w:r w:rsidRPr="00CB32B1">
        <w:rPr>
          <w:b/>
          <w:color w:val="DC6900" w:themeColor="text2"/>
        </w:rPr>
        <w:t>Meaning of transfers in terms of outcomes:</w:t>
      </w:r>
      <w:r w:rsidRPr="00CB32B1">
        <w:t xml:space="preserve"> Data for reasons for referral are not recorded</w:t>
      </w:r>
    </w:p>
    <w:p w:rsidR="00767B1A" w:rsidRPr="00CB32B1" w:rsidRDefault="00767B1A" w:rsidP="00767B1A">
      <w:pPr>
        <w:pStyle w:val="ListBullet"/>
      </w:pPr>
      <w:r w:rsidRPr="00CB32B1">
        <w:rPr>
          <w:b/>
          <w:color w:val="DC6900" w:themeColor="text2"/>
        </w:rPr>
        <w:t>Access arrangements and transfers:</w:t>
      </w:r>
      <w:r w:rsidRPr="00CB32B1">
        <w:t xml:space="preserve"> Data on transfer to hospital of choice are not recorded</w:t>
      </w:r>
    </w:p>
    <w:p w:rsidR="00767B1A" w:rsidRPr="00CB32B1" w:rsidRDefault="00767B1A" w:rsidP="00767B1A">
      <w:pPr>
        <w:pStyle w:val="ListBullet"/>
      </w:pPr>
      <w:r w:rsidRPr="00CB32B1">
        <w:rPr>
          <w:b/>
          <w:color w:val="DC6900" w:themeColor="text2"/>
        </w:rPr>
        <w:t>Proxies for transfers:</w:t>
      </w:r>
      <w:r w:rsidRPr="00CB32B1">
        <w:t xml:space="preserve"> Proxies for transfers are not always sufficient.</w:t>
      </w:r>
    </w:p>
    <w:p w:rsidR="00767B1A" w:rsidRPr="00CB32B1" w:rsidRDefault="00767B1A" w:rsidP="00767B1A">
      <w:pPr>
        <w:pStyle w:val="Minorheading"/>
      </w:pPr>
      <w:r w:rsidRPr="00CB32B1">
        <w:t>Number of transfers</w:t>
      </w:r>
    </w:p>
    <w:p w:rsidR="00767B1A" w:rsidRPr="00CB32B1" w:rsidRDefault="00767B1A" w:rsidP="00767B1A">
      <w:pPr>
        <w:pStyle w:val="PwCNormal"/>
      </w:pPr>
      <w:r w:rsidRPr="00CB32B1">
        <w:t>Publicly available information on the number of transfers could only be obtained through comparing the difference between the AIHW statistics (</w:t>
      </w:r>
      <w:r w:rsidR="009129A6" w:rsidRPr="00CB32B1">
        <w:fldChar w:fldCharType="begin"/>
      </w:r>
      <w:r w:rsidR="00D44BC2" w:rsidRPr="00CB32B1">
        <w:instrText xml:space="preserve"> REF _Ref361224642 \h </w:instrText>
      </w:r>
      <w:r w:rsidR="009129A6" w:rsidRPr="00CB32B1">
        <w:fldChar w:fldCharType="separate"/>
      </w:r>
      <w:r w:rsidR="008816B4" w:rsidRPr="00CB32B1">
        <w:t xml:space="preserve">Table </w:t>
      </w:r>
      <w:r w:rsidR="008816B4">
        <w:rPr>
          <w:noProof/>
        </w:rPr>
        <w:t>49</w:t>
      </w:r>
      <w:r w:rsidR="009129A6" w:rsidRPr="00CB32B1">
        <w:fldChar w:fldCharType="end"/>
      </w:r>
      <w:r w:rsidRPr="00CB32B1">
        <w:t>) to those who:</w:t>
      </w:r>
    </w:p>
    <w:p w:rsidR="00767B1A" w:rsidRPr="00CB32B1" w:rsidRDefault="00767B1A" w:rsidP="00767B1A">
      <w:pPr>
        <w:pStyle w:val="ListBullet"/>
      </w:pPr>
      <w:r w:rsidRPr="00CB32B1">
        <w:t>Intended to give birth at home</w:t>
      </w:r>
    </w:p>
    <w:p w:rsidR="00767B1A" w:rsidRPr="00CB32B1" w:rsidRDefault="00767B1A" w:rsidP="00767B1A">
      <w:pPr>
        <w:pStyle w:val="ListBullet"/>
      </w:pPr>
      <w:r w:rsidRPr="00CB32B1">
        <w:t>Those who actually gave birth at home.</w:t>
      </w:r>
    </w:p>
    <w:p w:rsidR="00767B1A" w:rsidRPr="00CB32B1" w:rsidRDefault="00767B1A" w:rsidP="00767B1A">
      <w:pPr>
        <w:pStyle w:val="NumericCaption"/>
      </w:pPr>
      <w:bookmarkStart w:id="166" w:name="_Ref361224642"/>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49</w:t>
      </w:r>
      <w:r w:rsidR="009129A6" w:rsidRPr="00CB32B1">
        <w:fldChar w:fldCharType="end"/>
      </w:r>
      <w:bookmarkEnd w:id="166"/>
      <w:r w:rsidRPr="00CB32B1">
        <w:t>:</w:t>
      </w:r>
      <w:r w:rsidRPr="00CB32B1">
        <w:tab/>
        <w:t>Number of actual and intended homebirths in Australia</w:t>
      </w:r>
    </w:p>
    <w:tbl>
      <w:tblPr>
        <w:tblStyle w:val="PwCTableStyle1"/>
        <w:tblW w:w="5000" w:type="pct"/>
        <w:tblLayout w:type="fixed"/>
        <w:tblLook w:val="04A0"/>
      </w:tblPr>
      <w:tblGrid>
        <w:gridCol w:w="1639"/>
        <w:gridCol w:w="763"/>
        <w:gridCol w:w="765"/>
        <w:gridCol w:w="765"/>
        <w:gridCol w:w="765"/>
        <w:gridCol w:w="765"/>
        <w:gridCol w:w="765"/>
        <w:gridCol w:w="765"/>
        <w:gridCol w:w="765"/>
        <w:gridCol w:w="765"/>
        <w:gridCol w:w="763"/>
      </w:tblGrid>
      <w:tr w:rsidR="00767B1A" w:rsidRPr="00CB32B1" w:rsidTr="00747120">
        <w:trPr>
          <w:cnfStyle w:val="100000000000"/>
          <w:trHeight w:val="300"/>
        </w:trPr>
        <w:tc>
          <w:tcPr>
            <w:cnfStyle w:val="001000000000"/>
            <w:tcW w:w="882" w:type="pct"/>
            <w:shd w:val="clear" w:color="auto" w:fill="DC6900" w:themeFill="text2"/>
            <w:noWrap/>
            <w:hideMark/>
          </w:tcPr>
          <w:p w:rsidR="00767B1A" w:rsidRPr="00CB32B1" w:rsidRDefault="00767B1A" w:rsidP="00767B1A">
            <w:pPr>
              <w:pStyle w:val="NumericTableColumnHeadingNormal"/>
              <w:rPr>
                <w:rFonts w:asciiTheme="majorHAnsi" w:hAnsiTheme="majorHAnsi"/>
              </w:rPr>
            </w:pPr>
          </w:p>
        </w:tc>
        <w:tc>
          <w:tcPr>
            <w:tcW w:w="411" w:type="pct"/>
            <w:shd w:val="clear" w:color="auto" w:fill="DC6900" w:themeFill="text2"/>
            <w:noWrap/>
            <w:vAlign w:val="center"/>
            <w:hideMark/>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2001</w:t>
            </w:r>
          </w:p>
        </w:tc>
        <w:tc>
          <w:tcPr>
            <w:tcW w:w="412" w:type="pct"/>
            <w:shd w:val="clear" w:color="auto" w:fill="DC6900" w:themeFill="text2"/>
            <w:noWrap/>
            <w:vAlign w:val="center"/>
            <w:hideMark/>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2002</w:t>
            </w:r>
          </w:p>
        </w:tc>
        <w:tc>
          <w:tcPr>
            <w:tcW w:w="412" w:type="pct"/>
            <w:shd w:val="clear" w:color="auto" w:fill="DC6900" w:themeFill="text2"/>
            <w:noWrap/>
            <w:vAlign w:val="center"/>
            <w:hideMark/>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2003</w:t>
            </w:r>
          </w:p>
        </w:tc>
        <w:tc>
          <w:tcPr>
            <w:tcW w:w="412" w:type="pct"/>
            <w:shd w:val="clear" w:color="auto" w:fill="DC6900" w:themeFill="text2"/>
            <w:noWrap/>
            <w:vAlign w:val="center"/>
            <w:hideMark/>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2004</w:t>
            </w:r>
          </w:p>
        </w:tc>
        <w:tc>
          <w:tcPr>
            <w:tcW w:w="412" w:type="pct"/>
            <w:shd w:val="clear" w:color="auto" w:fill="DC6900" w:themeFill="text2"/>
            <w:noWrap/>
            <w:vAlign w:val="center"/>
            <w:hideMark/>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2005</w:t>
            </w:r>
          </w:p>
        </w:tc>
        <w:tc>
          <w:tcPr>
            <w:tcW w:w="412" w:type="pct"/>
            <w:shd w:val="clear" w:color="auto" w:fill="DC6900" w:themeFill="text2"/>
            <w:noWrap/>
            <w:vAlign w:val="center"/>
            <w:hideMark/>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2006</w:t>
            </w:r>
          </w:p>
        </w:tc>
        <w:tc>
          <w:tcPr>
            <w:tcW w:w="412" w:type="pct"/>
            <w:shd w:val="clear" w:color="auto" w:fill="DC6900" w:themeFill="text2"/>
            <w:noWrap/>
            <w:vAlign w:val="center"/>
            <w:hideMark/>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2007</w:t>
            </w:r>
          </w:p>
        </w:tc>
        <w:tc>
          <w:tcPr>
            <w:tcW w:w="412" w:type="pct"/>
            <w:shd w:val="clear" w:color="auto" w:fill="DC6900" w:themeFill="text2"/>
            <w:noWrap/>
            <w:vAlign w:val="center"/>
            <w:hideMark/>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2008</w:t>
            </w:r>
          </w:p>
        </w:tc>
        <w:tc>
          <w:tcPr>
            <w:tcW w:w="412" w:type="pct"/>
            <w:shd w:val="clear" w:color="auto" w:fill="DC6900" w:themeFill="text2"/>
            <w:noWrap/>
            <w:vAlign w:val="center"/>
            <w:hideMark/>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2009</w:t>
            </w:r>
          </w:p>
        </w:tc>
        <w:tc>
          <w:tcPr>
            <w:tcW w:w="411" w:type="pct"/>
            <w:shd w:val="clear" w:color="auto" w:fill="DC6900" w:themeFill="text2"/>
            <w:noWrap/>
            <w:vAlign w:val="center"/>
            <w:hideMark/>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2010</w:t>
            </w:r>
          </w:p>
        </w:tc>
      </w:tr>
      <w:tr w:rsidR="00767B1A" w:rsidRPr="00CB32B1" w:rsidTr="00767B1A">
        <w:trPr>
          <w:trHeight w:val="300"/>
        </w:trPr>
        <w:tc>
          <w:tcPr>
            <w:cnfStyle w:val="001000000000"/>
            <w:tcW w:w="882" w:type="pct"/>
            <w:noWrap/>
            <w:hideMark/>
          </w:tcPr>
          <w:p w:rsidR="00767B1A" w:rsidRPr="00CB32B1" w:rsidRDefault="00767B1A" w:rsidP="00767B1A">
            <w:pPr>
              <w:pStyle w:val="NumericTableTextNormal"/>
              <w:rPr>
                <w:rFonts w:asciiTheme="majorHAnsi" w:hAnsiTheme="majorHAnsi"/>
              </w:rPr>
            </w:pPr>
            <w:r w:rsidRPr="00CB32B1">
              <w:rPr>
                <w:rFonts w:asciiTheme="majorHAnsi" w:hAnsiTheme="majorHAnsi"/>
              </w:rPr>
              <w:t xml:space="preserve">Number of actual homebirths (women) </w:t>
            </w:r>
          </w:p>
        </w:tc>
        <w:tc>
          <w:tcPr>
            <w:tcW w:w="411" w:type="pct"/>
            <w:noWrap/>
            <w:hideMark/>
          </w:tcPr>
          <w:p w:rsidR="00767B1A" w:rsidRPr="00CB32B1" w:rsidRDefault="00767B1A" w:rsidP="00767B1A">
            <w:pPr>
              <w:pStyle w:val="NumericTableTextDecimalNormal"/>
              <w:tabs>
                <w:tab w:val="clear" w:pos="1004"/>
                <w:tab w:val="decimal" w:pos="449"/>
              </w:tabs>
              <w:cnfStyle w:val="000000000000"/>
              <w:rPr>
                <w:rFonts w:asciiTheme="majorHAnsi" w:hAnsiTheme="majorHAnsi"/>
                <w:szCs w:val="28"/>
              </w:rPr>
            </w:pPr>
            <w:r w:rsidRPr="00CB32B1">
              <w:rPr>
                <w:rFonts w:asciiTheme="majorHAnsi" w:hAnsiTheme="majorHAnsi"/>
              </w:rPr>
              <w:t>699</w:t>
            </w:r>
          </w:p>
        </w:tc>
        <w:tc>
          <w:tcPr>
            <w:tcW w:w="412" w:type="pct"/>
            <w:noWrap/>
            <w:hideMark/>
          </w:tcPr>
          <w:p w:rsidR="00767B1A" w:rsidRPr="00CB32B1" w:rsidRDefault="00767B1A" w:rsidP="00767B1A">
            <w:pPr>
              <w:pStyle w:val="NumericTableTextDecimalNormal"/>
              <w:tabs>
                <w:tab w:val="clear" w:pos="1004"/>
                <w:tab w:val="decimal" w:pos="449"/>
              </w:tabs>
              <w:cnfStyle w:val="000000000000"/>
              <w:rPr>
                <w:rFonts w:asciiTheme="majorHAnsi" w:hAnsiTheme="majorHAnsi"/>
              </w:rPr>
            </w:pPr>
            <w:r w:rsidRPr="00CB32B1">
              <w:rPr>
                <w:rFonts w:asciiTheme="majorHAnsi" w:hAnsiTheme="majorHAnsi"/>
              </w:rPr>
              <w:t>637</w:t>
            </w:r>
          </w:p>
        </w:tc>
        <w:tc>
          <w:tcPr>
            <w:tcW w:w="412" w:type="pct"/>
            <w:noWrap/>
            <w:hideMark/>
          </w:tcPr>
          <w:p w:rsidR="00767B1A" w:rsidRPr="00CB32B1" w:rsidRDefault="00767B1A" w:rsidP="00767B1A">
            <w:pPr>
              <w:pStyle w:val="NumericTableTextDecimalNormal"/>
              <w:tabs>
                <w:tab w:val="clear" w:pos="1004"/>
                <w:tab w:val="decimal" w:pos="449"/>
              </w:tabs>
              <w:cnfStyle w:val="000000000000"/>
              <w:rPr>
                <w:rFonts w:asciiTheme="majorHAnsi" w:hAnsiTheme="majorHAnsi"/>
              </w:rPr>
            </w:pPr>
            <w:r w:rsidRPr="00CB32B1">
              <w:rPr>
                <w:rFonts w:asciiTheme="majorHAnsi" w:hAnsiTheme="majorHAnsi"/>
              </w:rPr>
              <w:t xml:space="preserve">576 </w:t>
            </w:r>
          </w:p>
        </w:tc>
        <w:tc>
          <w:tcPr>
            <w:tcW w:w="412" w:type="pct"/>
            <w:noWrap/>
            <w:hideMark/>
          </w:tcPr>
          <w:p w:rsidR="00767B1A" w:rsidRPr="00CB32B1" w:rsidRDefault="00767B1A" w:rsidP="00767B1A">
            <w:pPr>
              <w:pStyle w:val="NumericTableTextDecimalNormal"/>
              <w:tabs>
                <w:tab w:val="clear" w:pos="1004"/>
                <w:tab w:val="decimal" w:pos="449"/>
              </w:tabs>
              <w:cnfStyle w:val="000000000000"/>
              <w:rPr>
                <w:rFonts w:asciiTheme="majorHAnsi" w:hAnsiTheme="majorHAnsi"/>
              </w:rPr>
            </w:pPr>
            <w:r w:rsidRPr="00CB32B1">
              <w:rPr>
                <w:rFonts w:asciiTheme="majorHAnsi" w:hAnsiTheme="majorHAnsi"/>
              </w:rPr>
              <w:t>589</w:t>
            </w:r>
          </w:p>
        </w:tc>
        <w:tc>
          <w:tcPr>
            <w:tcW w:w="412" w:type="pct"/>
            <w:noWrap/>
            <w:hideMark/>
          </w:tcPr>
          <w:p w:rsidR="00767B1A" w:rsidRPr="00CB32B1" w:rsidRDefault="00767B1A" w:rsidP="00767B1A">
            <w:pPr>
              <w:pStyle w:val="NumericTableTextDecimalNormal"/>
              <w:tabs>
                <w:tab w:val="clear" w:pos="1004"/>
                <w:tab w:val="decimal" w:pos="449"/>
              </w:tabs>
              <w:cnfStyle w:val="000000000000"/>
              <w:rPr>
                <w:rFonts w:asciiTheme="majorHAnsi" w:hAnsiTheme="majorHAnsi"/>
              </w:rPr>
            </w:pPr>
            <w:r w:rsidRPr="00CB32B1">
              <w:rPr>
                <w:rFonts w:asciiTheme="majorHAnsi" w:hAnsiTheme="majorHAnsi"/>
              </w:rPr>
              <w:t xml:space="preserve">601 </w:t>
            </w:r>
          </w:p>
        </w:tc>
        <w:tc>
          <w:tcPr>
            <w:tcW w:w="412" w:type="pct"/>
            <w:noWrap/>
            <w:hideMark/>
          </w:tcPr>
          <w:p w:rsidR="00767B1A" w:rsidRPr="00CB32B1" w:rsidRDefault="00767B1A" w:rsidP="00767B1A">
            <w:pPr>
              <w:pStyle w:val="NumericTableTextDecimalNormal"/>
              <w:tabs>
                <w:tab w:val="clear" w:pos="1004"/>
                <w:tab w:val="decimal" w:pos="449"/>
              </w:tabs>
              <w:cnfStyle w:val="000000000000"/>
              <w:rPr>
                <w:rFonts w:asciiTheme="majorHAnsi" w:hAnsiTheme="majorHAnsi"/>
              </w:rPr>
            </w:pPr>
            <w:r w:rsidRPr="00CB32B1">
              <w:rPr>
                <w:rFonts w:asciiTheme="majorHAnsi" w:hAnsiTheme="majorHAnsi"/>
              </w:rPr>
              <w:t>708</w:t>
            </w:r>
          </w:p>
        </w:tc>
        <w:tc>
          <w:tcPr>
            <w:tcW w:w="412" w:type="pct"/>
            <w:noWrap/>
            <w:hideMark/>
          </w:tcPr>
          <w:p w:rsidR="00767B1A" w:rsidRPr="00CB32B1" w:rsidRDefault="00767B1A" w:rsidP="00767B1A">
            <w:pPr>
              <w:pStyle w:val="NumericTableTextDecimalNormal"/>
              <w:tabs>
                <w:tab w:val="clear" w:pos="1004"/>
                <w:tab w:val="decimal" w:pos="449"/>
              </w:tabs>
              <w:cnfStyle w:val="000000000000"/>
              <w:rPr>
                <w:rFonts w:asciiTheme="majorHAnsi" w:hAnsiTheme="majorHAnsi"/>
              </w:rPr>
            </w:pPr>
            <w:r w:rsidRPr="00CB32B1">
              <w:rPr>
                <w:rFonts w:asciiTheme="majorHAnsi" w:hAnsiTheme="majorHAnsi"/>
              </w:rPr>
              <w:t>870</w:t>
            </w:r>
          </w:p>
        </w:tc>
        <w:tc>
          <w:tcPr>
            <w:tcW w:w="412" w:type="pct"/>
            <w:noWrap/>
            <w:hideMark/>
          </w:tcPr>
          <w:p w:rsidR="00767B1A" w:rsidRPr="00CB32B1" w:rsidRDefault="00767B1A" w:rsidP="00767B1A">
            <w:pPr>
              <w:pStyle w:val="NumericTableTextDecimalNormal"/>
              <w:tabs>
                <w:tab w:val="clear" w:pos="1004"/>
                <w:tab w:val="decimal" w:pos="449"/>
              </w:tabs>
              <w:cnfStyle w:val="000000000000"/>
              <w:rPr>
                <w:rFonts w:asciiTheme="majorHAnsi" w:hAnsiTheme="majorHAnsi"/>
              </w:rPr>
            </w:pPr>
            <w:r w:rsidRPr="00CB32B1">
              <w:rPr>
                <w:rFonts w:asciiTheme="majorHAnsi" w:hAnsiTheme="majorHAnsi"/>
              </w:rPr>
              <w:t>1,000</w:t>
            </w:r>
          </w:p>
        </w:tc>
        <w:tc>
          <w:tcPr>
            <w:tcW w:w="412" w:type="pct"/>
            <w:noWrap/>
            <w:hideMark/>
          </w:tcPr>
          <w:p w:rsidR="00767B1A" w:rsidRPr="00CB32B1" w:rsidRDefault="00767B1A" w:rsidP="00767B1A">
            <w:pPr>
              <w:pStyle w:val="NumericTableTextDecimalNormal"/>
              <w:tabs>
                <w:tab w:val="clear" w:pos="1004"/>
                <w:tab w:val="decimal" w:pos="449"/>
              </w:tabs>
              <w:cnfStyle w:val="000000000000"/>
              <w:rPr>
                <w:rFonts w:asciiTheme="majorHAnsi" w:hAnsiTheme="majorHAnsi"/>
              </w:rPr>
            </w:pPr>
            <w:r w:rsidRPr="00CB32B1">
              <w:rPr>
                <w:rFonts w:asciiTheme="majorHAnsi" w:hAnsiTheme="majorHAnsi"/>
              </w:rPr>
              <w:t>863</w:t>
            </w:r>
          </w:p>
        </w:tc>
        <w:tc>
          <w:tcPr>
            <w:tcW w:w="411" w:type="pct"/>
            <w:noWrap/>
            <w:hideMark/>
          </w:tcPr>
          <w:p w:rsidR="00767B1A" w:rsidRPr="00CB32B1" w:rsidRDefault="00767B1A" w:rsidP="00767B1A">
            <w:pPr>
              <w:pStyle w:val="NumericTableTextDecimalNormal"/>
              <w:tabs>
                <w:tab w:val="clear" w:pos="1004"/>
                <w:tab w:val="decimal" w:pos="449"/>
              </w:tabs>
              <w:cnfStyle w:val="000000000000"/>
              <w:rPr>
                <w:rFonts w:asciiTheme="majorHAnsi" w:hAnsiTheme="majorHAnsi"/>
              </w:rPr>
            </w:pPr>
            <w:r w:rsidRPr="00CB32B1">
              <w:rPr>
                <w:rFonts w:asciiTheme="majorHAnsi" w:hAnsiTheme="majorHAnsi"/>
              </w:rPr>
              <w:t>949</w:t>
            </w:r>
          </w:p>
        </w:tc>
      </w:tr>
      <w:tr w:rsidR="00767B1A" w:rsidRPr="00CB32B1" w:rsidTr="00767B1A">
        <w:trPr>
          <w:trHeight w:val="300"/>
        </w:trPr>
        <w:tc>
          <w:tcPr>
            <w:cnfStyle w:val="001000000000"/>
            <w:tcW w:w="882" w:type="pct"/>
            <w:noWrap/>
          </w:tcPr>
          <w:p w:rsidR="00767B1A" w:rsidRPr="00CB32B1" w:rsidRDefault="00767B1A" w:rsidP="00767B1A">
            <w:pPr>
              <w:pStyle w:val="NumericTableTextNormal"/>
              <w:rPr>
                <w:rFonts w:asciiTheme="majorHAnsi" w:hAnsiTheme="majorHAnsi"/>
              </w:rPr>
            </w:pPr>
            <w:r w:rsidRPr="00CB32B1">
              <w:rPr>
                <w:rFonts w:asciiTheme="majorHAnsi" w:hAnsiTheme="majorHAnsi"/>
              </w:rPr>
              <w:t>Number of intended homebirths in Australia</w:t>
            </w:r>
          </w:p>
        </w:tc>
        <w:tc>
          <w:tcPr>
            <w:tcW w:w="411" w:type="pct"/>
            <w:noWrap/>
          </w:tcPr>
          <w:p w:rsidR="00767B1A" w:rsidRPr="00CB32B1" w:rsidRDefault="00767B1A" w:rsidP="00767B1A">
            <w:pPr>
              <w:pStyle w:val="NumericTableTextDecimalNormal"/>
              <w:tabs>
                <w:tab w:val="clear" w:pos="1004"/>
                <w:tab w:val="decimal" w:pos="449"/>
              </w:tabs>
              <w:cnfStyle w:val="000000000000"/>
              <w:rPr>
                <w:rFonts w:asciiTheme="majorHAnsi" w:hAnsiTheme="majorHAnsi"/>
              </w:rPr>
            </w:pPr>
            <w:r w:rsidRPr="00CB32B1">
              <w:rPr>
                <w:rFonts w:asciiTheme="majorHAnsi" w:hAnsiTheme="majorHAnsi"/>
              </w:rPr>
              <w:t>-</w:t>
            </w:r>
          </w:p>
        </w:tc>
        <w:tc>
          <w:tcPr>
            <w:tcW w:w="412" w:type="pct"/>
            <w:noWrap/>
          </w:tcPr>
          <w:p w:rsidR="00767B1A" w:rsidRPr="00CB32B1" w:rsidRDefault="00767B1A" w:rsidP="00767B1A">
            <w:pPr>
              <w:pStyle w:val="NumericTableTextDecimalNormal"/>
              <w:tabs>
                <w:tab w:val="clear" w:pos="1004"/>
                <w:tab w:val="decimal" w:pos="449"/>
              </w:tabs>
              <w:cnfStyle w:val="000000000000"/>
              <w:rPr>
                <w:rFonts w:asciiTheme="majorHAnsi" w:hAnsiTheme="majorHAnsi"/>
              </w:rPr>
            </w:pPr>
            <w:r w:rsidRPr="00CB32B1">
              <w:rPr>
                <w:rFonts w:asciiTheme="majorHAnsi" w:hAnsiTheme="majorHAnsi"/>
              </w:rPr>
              <w:t>-</w:t>
            </w:r>
          </w:p>
        </w:tc>
        <w:tc>
          <w:tcPr>
            <w:tcW w:w="412" w:type="pct"/>
            <w:noWrap/>
          </w:tcPr>
          <w:p w:rsidR="00767B1A" w:rsidRPr="00CB32B1" w:rsidRDefault="00767B1A" w:rsidP="00767B1A">
            <w:pPr>
              <w:pStyle w:val="NumericTableTextDecimalNormal"/>
              <w:tabs>
                <w:tab w:val="clear" w:pos="1004"/>
                <w:tab w:val="decimal" w:pos="449"/>
              </w:tabs>
              <w:cnfStyle w:val="000000000000"/>
              <w:rPr>
                <w:rFonts w:asciiTheme="majorHAnsi" w:hAnsiTheme="majorHAnsi"/>
              </w:rPr>
            </w:pPr>
            <w:r w:rsidRPr="00CB32B1">
              <w:rPr>
                <w:rFonts w:asciiTheme="majorHAnsi" w:hAnsiTheme="majorHAnsi"/>
              </w:rPr>
              <w:t>707</w:t>
            </w:r>
          </w:p>
        </w:tc>
        <w:tc>
          <w:tcPr>
            <w:tcW w:w="412" w:type="pct"/>
            <w:noWrap/>
          </w:tcPr>
          <w:p w:rsidR="00767B1A" w:rsidRPr="00CB32B1" w:rsidRDefault="00767B1A" w:rsidP="00767B1A">
            <w:pPr>
              <w:pStyle w:val="NumericTableTextDecimalNormal"/>
              <w:tabs>
                <w:tab w:val="clear" w:pos="1004"/>
                <w:tab w:val="decimal" w:pos="449"/>
              </w:tabs>
              <w:cnfStyle w:val="000000000000"/>
              <w:rPr>
                <w:rFonts w:asciiTheme="majorHAnsi" w:hAnsiTheme="majorHAnsi"/>
              </w:rPr>
            </w:pPr>
            <w:r w:rsidRPr="00CB32B1">
              <w:rPr>
                <w:rFonts w:asciiTheme="majorHAnsi" w:hAnsiTheme="majorHAnsi"/>
              </w:rPr>
              <w:t>733</w:t>
            </w:r>
          </w:p>
        </w:tc>
        <w:tc>
          <w:tcPr>
            <w:tcW w:w="412" w:type="pct"/>
            <w:noWrap/>
          </w:tcPr>
          <w:p w:rsidR="00767B1A" w:rsidRPr="00CB32B1" w:rsidRDefault="00767B1A" w:rsidP="00767B1A">
            <w:pPr>
              <w:pStyle w:val="NumericTableTextDecimalNormal"/>
              <w:tabs>
                <w:tab w:val="clear" w:pos="1004"/>
                <w:tab w:val="decimal" w:pos="449"/>
              </w:tabs>
              <w:cnfStyle w:val="000000000000"/>
              <w:rPr>
                <w:rFonts w:asciiTheme="majorHAnsi" w:hAnsiTheme="majorHAnsi"/>
              </w:rPr>
            </w:pPr>
            <w:r w:rsidRPr="00CB32B1">
              <w:rPr>
                <w:rFonts w:asciiTheme="majorHAnsi" w:hAnsiTheme="majorHAnsi"/>
              </w:rPr>
              <w:t>744</w:t>
            </w:r>
          </w:p>
        </w:tc>
        <w:tc>
          <w:tcPr>
            <w:tcW w:w="412" w:type="pct"/>
            <w:noWrap/>
          </w:tcPr>
          <w:p w:rsidR="00767B1A" w:rsidRPr="00CB32B1" w:rsidRDefault="00767B1A" w:rsidP="00767B1A">
            <w:pPr>
              <w:pStyle w:val="NumericTableTextDecimalNormal"/>
              <w:tabs>
                <w:tab w:val="clear" w:pos="1004"/>
                <w:tab w:val="decimal" w:pos="449"/>
              </w:tabs>
              <w:cnfStyle w:val="000000000000"/>
              <w:rPr>
                <w:rFonts w:asciiTheme="majorHAnsi" w:hAnsiTheme="majorHAnsi"/>
              </w:rPr>
            </w:pPr>
            <w:r w:rsidRPr="00CB32B1">
              <w:rPr>
                <w:rFonts w:asciiTheme="majorHAnsi" w:hAnsiTheme="majorHAnsi"/>
              </w:rPr>
              <w:t>886</w:t>
            </w:r>
          </w:p>
        </w:tc>
        <w:tc>
          <w:tcPr>
            <w:tcW w:w="412" w:type="pct"/>
            <w:noWrap/>
          </w:tcPr>
          <w:p w:rsidR="00767B1A" w:rsidRPr="00CB32B1" w:rsidRDefault="00767B1A" w:rsidP="00767B1A">
            <w:pPr>
              <w:pStyle w:val="NumericTableTextDecimalNormal"/>
              <w:tabs>
                <w:tab w:val="clear" w:pos="1004"/>
                <w:tab w:val="decimal" w:pos="449"/>
              </w:tabs>
              <w:cnfStyle w:val="000000000000"/>
              <w:rPr>
                <w:rFonts w:asciiTheme="majorHAnsi" w:hAnsiTheme="majorHAnsi"/>
              </w:rPr>
            </w:pPr>
            <w:r w:rsidRPr="00CB32B1">
              <w:rPr>
                <w:rFonts w:asciiTheme="majorHAnsi" w:hAnsiTheme="majorHAnsi"/>
              </w:rPr>
              <w:t>1,044</w:t>
            </w:r>
          </w:p>
        </w:tc>
        <w:tc>
          <w:tcPr>
            <w:tcW w:w="412" w:type="pct"/>
            <w:noWrap/>
          </w:tcPr>
          <w:p w:rsidR="00767B1A" w:rsidRPr="00CB32B1" w:rsidRDefault="00767B1A" w:rsidP="00767B1A">
            <w:pPr>
              <w:pStyle w:val="NumericTableTextDecimalNormal"/>
              <w:tabs>
                <w:tab w:val="clear" w:pos="1004"/>
                <w:tab w:val="decimal" w:pos="449"/>
              </w:tabs>
              <w:cnfStyle w:val="000000000000"/>
              <w:rPr>
                <w:rFonts w:asciiTheme="majorHAnsi" w:hAnsiTheme="majorHAnsi"/>
              </w:rPr>
            </w:pPr>
            <w:r w:rsidRPr="00CB32B1">
              <w:rPr>
                <w:rFonts w:asciiTheme="majorHAnsi" w:hAnsiTheme="majorHAnsi"/>
              </w:rPr>
              <w:t>1,212</w:t>
            </w:r>
          </w:p>
        </w:tc>
        <w:tc>
          <w:tcPr>
            <w:tcW w:w="412" w:type="pct"/>
            <w:noWrap/>
          </w:tcPr>
          <w:p w:rsidR="00767B1A" w:rsidRPr="00CB32B1" w:rsidRDefault="00767B1A" w:rsidP="00767B1A">
            <w:pPr>
              <w:pStyle w:val="NumericTableTextDecimalNormal"/>
              <w:tabs>
                <w:tab w:val="clear" w:pos="1004"/>
                <w:tab w:val="decimal" w:pos="449"/>
              </w:tabs>
              <w:cnfStyle w:val="000000000000"/>
              <w:rPr>
                <w:rFonts w:asciiTheme="majorHAnsi" w:hAnsiTheme="majorHAnsi"/>
              </w:rPr>
            </w:pPr>
            <w:r w:rsidRPr="00CB32B1">
              <w:rPr>
                <w:rFonts w:asciiTheme="majorHAnsi" w:hAnsiTheme="majorHAnsi"/>
              </w:rPr>
              <w:t>1,031</w:t>
            </w:r>
          </w:p>
        </w:tc>
        <w:tc>
          <w:tcPr>
            <w:tcW w:w="411" w:type="pct"/>
            <w:noWrap/>
          </w:tcPr>
          <w:p w:rsidR="00767B1A" w:rsidRPr="00CB32B1" w:rsidRDefault="00767B1A" w:rsidP="00767B1A">
            <w:pPr>
              <w:pStyle w:val="NumericTableTextDecimalNormal"/>
              <w:tabs>
                <w:tab w:val="clear" w:pos="1004"/>
                <w:tab w:val="decimal" w:pos="449"/>
              </w:tabs>
              <w:cnfStyle w:val="000000000000"/>
              <w:rPr>
                <w:rFonts w:asciiTheme="majorHAnsi" w:hAnsiTheme="majorHAnsi"/>
              </w:rPr>
            </w:pPr>
            <w:r w:rsidRPr="00CB32B1">
              <w:rPr>
                <w:rFonts w:asciiTheme="majorHAnsi" w:hAnsiTheme="majorHAnsi"/>
              </w:rPr>
              <w:t>1,345</w:t>
            </w:r>
          </w:p>
        </w:tc>
      </w:tr>
    </w:tbl>
    <w:p w:rsidR="00767B1A" w:rsidRPr="00CB32B1" w:rsidRDefault="00767B1A" w:rsidP="00767B1A">
      <w:pPr>
        <w:pStyle w:val="Sources"/>
      </w:pPr>
      <w:r w:rsidRPr="00CB32B1">
        <w:rPr>
          <w:b/>
        </w:rPr>
        <w:t>Source:</w:t>
      </w:r>
      <w:r w:rsidRPr="00CB32B1">
        <w:t xml:space="preserve"> A</w:t>
      </w:r>
      <w:r w:rsidR="00F40E8A" w:rsidRPr="00CB32B1">
        <w:t>ustralian Institute of Health and Welfare, 200</w:t>
      </w:r>
      <w:r w:rsidR="00F94B0D">
        <w:t>4</w:t>
      </w:r>
      <w:r w:rsidR="00865724">
        <w:t>b</w:t>
      </w:r>
      <w:r w:rsidR="00F94B0D">
        <w:t>-</w:t>
      </w:r>
      <w:r w:rsidR="00F40E8A" w:rsidRPr="00CB32B1">
        <w:t>201</w:t>
      </w:r>
      <w:r w:rsidR="00F94B0D">
        <w:t>3</w:t>
      </w:r>
      <w:r w:rsidR="00F40E8A" w:rsidRPr="00CB32B1">
        <w:t>.</w:t>
      </w:r>
    </w:p>
    <w:p w:rsidR="00767B1A" w:rsidRPr="00CB32B1" w:rsidRDefault="00767B1A" w:rsidP="00767B1A">
      <w:pPr>
        <w:pStyle w:val="PwCNormal"/>
      </w:pPr>
      <w:r w:rsidRPr="00CB32B1">
        <w:t xml:space="preserve">The AIHW data is limited in that jurisdictions collect the intended place of birth at different times during the pregnancy. As an example, Victoria, </w:t>
      </w:r>
      <w:r w:rsidR="00CD76BA">
        <w:t>South Australia</w:t>
      </w:r>
      <w:r w:rsidRPr="00CB32B1">
        <w:t xml:space="preserve"> and Tasmania determine the ‘intent’ of a homebirth at the time of booking the birth location, while the remaining states and territories collect the intended place of birth at the onset of labour.</w:t>
      </w:r>
    </w:p>
    <w:p w:rsidR="00767B1A" w:rsidRPr="00CB32B1" w:rsidRDefault="00767B1A" w:rsidP="00767B1A">
      <w:pPr>
        <w:pStyle w:val="PwCNormal"/>
        <w:numPr>
          <w:ilvl w:val="0"/>
          <w:numId w:val="0"/>
        </w:numPr>
      </w:pPr>
      <w:r w:rsidRPr="00CB32B1">
        <w:t xml:space="preserve">As shown in </w:t>
      </w:r>
      <w:r w:rsidR="009129A6" w:rsidRPr="00CB32B1">
        <w:fldChar w:fldCharType="begin"/>
      </w:r>
      <w:r w:rsidR="00EB2051" w:rsidRPr="00CB32B1">
        <w:instrText xml:space="preserve"> REF _Ref361223465 \h </w:instrText>
      </w:r>
      <w:r w:rsidR="009129A6" w:rsidRPr="00CB32B1">
        <w:fldChar w:fldCharType="separate"/>
      </w:r>
      <w:r w:rsidR="008816B4" w:rsidRPr="00CB32B1">
        <w:t xml:space="preserve">Figure </w:t>
      </w:r>
      <w:r w:rsidR="008816B4">
        <w:rPr>
          <w:noProof/>
        </w:rPr>
        <w:t>18</w:t>
      </w:r>
      <w:r w:rsidR="009129A6" w:rsidRPr="00CB32B1">
        <w:fldChar w:fldCharType="end"/>
      </w:r>
      <w:r w:rsidRPr="00CB32B1">
        <w:t>, the divergence between these two data trends show that marginally more women intend to give birth at home than the number who actually give birth at home.</w:t>
      </w:r>
    </w:p>
    <w:p w:rsidR="00767B1A" w:rsidRPr="00CB32B1" w:rsidRDefault="00767B1A" w:rsidP="00270634">
      <w:pPr>
        <w:pStyle w:val="NumericCaption"/>
      </w:pPr>
      <w:bookmarkStart w:id="167" w:name="_Ref361223465"/>
      <w:r w:rsidRPr="00CB32B1">
        <w:t xml:space="preserve">Figure </w:t>
      </w:r>
      <w:r w:rsidR="009129A6" w:rsidRPr="00CB32B1">
        <w:fldChar w:fldCharType="begin"/>
      </w:r>
      <w:r w:rsidRPr="00CB32B1">
        <w:instrText xml:space="preserve"> SEQ Figure \* ARABIC </w:instrText>
      </w:r>
      <w:r w:rsidR="009129A6" w:rsidRPr="00CB32B1">
        <w:fldChar w:fldCharType="separate"/>
      </w:r>
      <w:r w:rsidR="008816B4">
        <w:rPr>
          <w:noProof/>
        </w:rPr>
        <w:t>18</w:t>
      </w:r>
      <w:r w:rsidR="009129A6" w:rsidRPr="00CB32B1">
        <w:fldChar w:fldCharType="end"/>
      </w:r>
      <w:bookmarkEnd w:id="167"/>
      <w:r w:rsidR="00270634" w:rsidRPr="00CB32B1">
        <w:t>:</w:t>
      </w:r>
      <w:r w:rsidR="00A44E81" w:rsidRPr="00CB32B1">
        <w:t xml:space="preserve"> </w:t>
      </w:r>
      <w:r w:rsidRPr="00CB32B1">
        <w:t>Proportion of births intended to be at home compared</w:t>
      </w:r>
      <w:r w:rsidR="00270634" w:rsidRPr="00CB32B1">
        <w:t xml:space="preserve"> with those which took place at </w:t>
      </w:r>
      <w:r w:rsidRPr="00CB32B1">
        <w:t>home</w:t>
      </w:r>
    </w:p>
    <w:p w:rsidR="00767B1A" w:rsidRPr="00CB32B1" w:rsidRDefault="001E2724" w:rsidP="001E7832">
      <w:pPr>
        <w:pStyle w:val="PwCNormal"/>
        <w:numPr>
          <w:ilvl w:val="0"/>
          <w:numId w:val="0"/>
        </w:numPr>
        <w:jc w:val="center"/>
      </w:pPr>
      <w:r w:rsidRPr="001E2724">
        <w:rPr>
          <w:noProof/>
          <w:lang w:val="en-US"/>
        </w:rPr>
        <w:drawing>
          <wp:inline distT="0" distB="0" distL="0" distR="0">
            <wp:extent cx="4261899" cy="2328266"/>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64843" cy="2329874"/>
                    </a:xfrm>
                    <a:prstGeom prst="rect">
                      <a:avLst/>
                    </a:prstGeom>
                    <a:noFill/>
                    <a:ln>
                      <a:noFill/>
                    </a:ln>
                  </pic:spPr>
                </pic:pic>
              </a:graphicData>
            </a:graphic>
          </wp:inline>
        </w:drawing>
      </w:r>
    </w:p>
    <w:p w:rsidR="00767B1A" w:rsidRPr="00CB32B1" w:rsidRDefault="00767B1A" w:rsidP="00767B1A">
      <w:pPr>
        <w:pStyle w:val="Sources"/>
      </w:pPr>
      <w:r w:rsidRPr="00CB32B1">
        <w:rPr>
          <w:b/>
        </w:rPr>
        <w:t>Source</w:t>
      </w:r>
      <w:r w:rsidR="000A7B59" w:rsidRPr="00CB32B1">
        <w:rPr>
          <w:b/>
        </w:rPr>
        <w:t>s</w:t>
      </w:r>
      <w:r w:rsidRPr="00CB32B1">
        <w:rPr>
          <w:b/>
        </w:rPr>
        <w:t>:</w:t>
      </w:r>
      <w:r w:rsidRPr="00CB32B1">
        <w:t xml:space="preserve"> AIHW, Mother and Babies publications, 2003–2009; </w:t>
      </w:r>
      <w:r w:rsidR="00C405B3" w:rsidRPr="00CB32B1">
        <w:t>Australian Bureau of Statistics</w:t>
      </w:r>
      <w:r w:rsidRPr="00CB32B1">
        <w:t xml:space="preserve"> 2011.</w:t>
      </w:r>
    </w:p>
    <w:p w:rsidR="00767B1A" w:rsidRPr="00CB32B1" w:rsidRDefault="00767B1A" w:rsidP="00767B1A">
      <w:pPr>
        <w:pStyle w:val="PwCNormal"/>
      </w:pPr>
      <w:r w:rsidRPr="00CB32B1">
        <w:t>However, using the difference between these trends to account for transfer rates should be completed with caution. The collection methods used for each data set do not give a clear understanding of when the transfer occurred. For instance, the transfer may have occurred at different stages in the pregnancy.</w:t>
      </w:r>
    </w:p>
    <w:p w:rsidR="00767B1A" w:rsidRPr="00CB32B1" w:rsidRDefault="00767B1A" w:rsidP="00767B1A">
      <w:pPr>
        <w:pStyle w:val="PwCNormal"/>
      </w:pPr>
      <w:r w:rsidRPr="00CB32B1">
        <w:t>In addition, there is little indication from the statistics available of those who actually gave birth at home who actually intended to give birth there. Further, while they provide a proxy, these statistics relate to all homebirths, not those supported by PPMs only.</w:t>
      </w:r>
    </w:p>
    <w:p w:rsidR="00767B1A" w:rsidRPr="00CB32B1" w:rsidRDefault="00767B1A" w:rsidP="00767B1A">
      <w:pPr>
        <w:pStyle w:val="Minorheading"/>
      </w:pPr>
      <w:r w:rsidRPr="00CB32B1">
        <w:t>Time of transfer</w:t>
      </w:r>
    </w:p>
    <w:p w:rsidR="00767B1A" w:rsidRPr="00CB32B1" w:rsidRDefault="00767B1A" w:rsidP="00767B1A">
      <w:pPr>
        <w:pStyle w:val="PwCNormal"/>
      </w:pPr>
      <w:r w:rsidRPr="00CB32B1">
        <w:t>Information available that relates to the time of transfer to a health service in the provision of maternity services may show that transfer rates are not indicative of adverse outcomes. Instead, the time of transfer could be indicative of transfer being used as a precautionary measure and is appropriate. A recent Australian study by McMu</w:t>
      </w:r>
      <w:r w:rsidR="00CD76BA">
        <w:t>rtie</w:t>
      </w:r>
      <w:r w:rsidRPr="00CB32B1">
        <w:t xml:space="preserve"> et al</w:t>
      </w:r>
      <w:r w:rsidR="006959C5">
        <w:t xml:space="preserve"> (2009)</w:t>
      </w:r>
      <w:r w:rsidRPr="00CB32B1">
        <w:t xml:space="preserve"> saw that the highest proportion of transfers for women planning a birth occurred in the antenatal period. This can be seen in </w:t>
      </w:r>
      <w:r w:rsidR="009129A6" w:rsidRPr="00CB32B1">
        <w:fldChar w:fldCharType="begin"/>
      </w:r>
      <w:r w:rsidR="00D44BC2" w:rsidRPr="00CB32B1">
        <w:instrText xml:space="preserve"> REF _Ref361224847 \h </w:instrText>
      </w:r>
      <w:r w:rsidR="009129A6" w:rsidRPr="00CB32B1">
        <w:fldChar w:fldCharType="separate"/>
      </w:r>
      <w:r w:rsidR="008816B4" w:rsidRPr="00CB32B1">
        <w:t xml:space="preserve">Table </w:t>
      </w:r>
      <w:r w:rsidR="008816B4">
        <w:rPr>
          <w:noProof/>
        </w:rPr>
        <w:t>50</w:t>
      </w:r>
      <w:r w:rsidR="009129A6" w:rsidRPr="00CB32B1">
        <w:fldChar w:fldCharType="end"/>
      </w:r>
      <w:r w:rsidRPr="00CB32B1">
        <w:t>.</w:t>
      </w:r>
    </w:p>
    <w:p w:rsidR="00767B1A" w:rsidRPr="00CB32B1" w:rsidRDefault="00767B1A" w:rsidP="00767B1A">
      <w:pPr>
        <w:pStyle w:val="NumericCaption"/>
      </w:pPr>
      <w:bookmarkStart w:id="168" w:name="_Ref361224847"/>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50</w:t>
      </w:r>
      <w:r w:rsidR="009129A6" w:rsidRPr="00CB32B1">
        <w:fldChar w:fldCharType="end"/>
      </w:r>
      <w:bookmarkEnd w:id="168"/>
      <w:r w:rsidRPr="00CB32B1">
        <w:t>:</w:t>
      </w:r>
      <w:r w:rsidRPr="00CB32B1">
        <w:tab/>
        <w:t>Transfer rates to hospitals</w:t>
      </w:r>
    </w:p>
    <w:tbl>
      <w:tblPr>
        <w:tblStyle w:val="PwCTableStyle1"/>
        <w:tblW w:w="5000" w:type="pct"/>
        <w:tblLook w:val="04A0"/>
      </w:tblPr>
      <w:tblGrid>
        <w:gridCol w:w="2096"/>
        <w:gridCol w:w="2396"/>
        <w:gridCol w:w="2396"/>
        <w:gridCol w:w="2397"/>
      </w:tblGrid>
      <w:tr w:rsidR="00767B1A" w:rsidRPr="00CB32B1" w:rsidTr="00747120">
        <w:trPr>
          <w:cnfStyle w:val="100000000000"/>
          <w:trHeight w:val="338"/>
        </w:trPr>
        <w:tc>
          <w:tcPr>
            <w:cnfStyle w:val="001000000000"/>
            <w:tcW w:w="1129" w:type="pct"/>
            <w:vMerge w:val="restart"/>
            <w:tcBorders>
              <w:bottom w:val="single" w:sz="6" w:space="0" w:color="FFFFFF" w:themeColor="background1"/>
            </w:tcBorders>
            <w:shd w:val="clear" w:color="auto" w:fill="DC6900" w:themeFill="text2"/>
            <w:vAlign w:val="bottom"/>
          </w:tcPr>
          <w:p w:rsidR="00767B1A" w:rsidRPr="00CB32B1" w:rsidRDefault="00767B1A" w:rsidP="00767B1A">
            <w:pPr>
              <w:pStyle w:val="NumericTableColumnHeadingNormal"/>
              <w:rPr>
                <w:rFonts w:asciiTheme="majorHAnsi" w:hAnsiTheme="majorHAnsi"/>
              </w:rPr>
            </w:pPr>
            <w:r w:rsidRPr="00CB32B1">
              <w:rPr>
                <w:rFonts w:asciiTheme="majorHAnsi" w:hAnsiTheme="majorHAnsi"/>
              </w:rPr>
              <w:t>Time of transfer</w:t>
            </w:r>
          </w:p>
        </w:tc>
        <w:tc>
          <w:tcPr>
            <w:tcW w:w="3871" w:type="pct"/>
            <w:gridSpan w:val="3"/>
            <w:tcBorders>
              <w:bottom w:val="single" w:sz="6" w:space="0" w:color="FFFFFF" w:themeColor="background1"/>
            </w:tcBorders>
            <w:shd w:val="clear" w:color="auto" w:fill="DC6900" w:themeFill="text2"/>
            <w:vAlign w:val="center"/>
          </w:tcPr>
          <w:p w:rsidR="00767B1A" w:rsidRPr="00CB32B1" w:rsidRDefault="00767B1A" w:rsidP="00496AD4">
            <w:pPr>
              <w:pStyle w:val="NumericTableColumnHeadingNormal"/>
              <w:jc w:val="center"/>
              <w:cnfStyle w:val="100000000000"/>
              <w:rPr>
                <w:rFonts w:asciiTheme="majorHAnsi" w:hAnsiTheme="majorHAnsi"/>
              </w:rPr>
            </w:pPr>
            <w:r w:rsidRPr="00CB32B1">
              <w:rPr>
                <w:rFonts w:asciiTheme="majorHAnsi" w:hAnsiTheme="majorHAnsi"/>
              </w:rPr>
              <w:t xml:space="preserve">Rates of transfer per </w:t>
            </w:r>
            <w:r w:rsidR="00496AD4">
              <w:rPr>
                <w:rFonts w:asciiTheme="majorHAnsi" w:hAnsiTheme="majorHAnsi"/>
              </w:rPr>
              <w:t>jurisdiction</w:t>
            </w:r>
          </w:p>
        </w:tc>
      </w:tr>
      <w:tr w:rsidR="00767B1A" w:rsidRPr="00CB32B1" w:rsidTr="00F35E00">
        <w:trPr>
          <w:trHeight w:val="337"/>
        </w:trPr>
        <w:tc>
          <w:tcPr>
            <w:cnfStyle w:val="001000000000"/>
            <w:tcW w:w="1129" w:type="pct"/>
            <w:vMerge/>
            <w:tcBorders>
              <w:top w:val="single" w:sz="6" w:space="0" w:color="FFFFFF" w:themeColor="background1"/>
              <w:right w:val="single" w:sz="6" w:space="0" w:color="FFFFFF" w:themeColor="background1"/>
            </w:tcBorders>
            <w:shd w:val="clear" w:color="auto" w:fill="DC6900" w:themeFill="text2"/>
          </w:tcPr>
          <w:p w:rsidR="00767B1A" w:rsidRPr="00CB32B1" w:rsidRDefault="00767B1A" w:rsidP="00767B1A">
            <w:pPr>
              <w:pStyle w:val="NumericTableColumnHeadingNormal"/>
              <w:rPr>
                <w:rFonts w:asciiTheme="majorHAnsi" w:hAnsiTheme="majorHAnsi"/>
              </w:rPr>
            </w:pPr>
          </w:p>
        </w:tc>
        <w:tc>
          <w:tcPr>
            <w:tcW w:w="1290" w:type="pct"/>
            <w:tcBorders>
              <w:top w:val="single" w:sz="6" w:space="0" w:color="FFFFFF" w:themeColor="background1"/>
              <w:left w:val="single" w:sz="6" w:space="0" w:color="FFFFFF" w:themeColor="background1"/>
              <w:right w:val="single" w:sz="6" w:space="0" w:color="FFFFFF" w:themeColor="background1"/>
            </w:tcBorders>
            <w:shd w:val="clear" w:color="auto" w:fill="DC6900" w:themeFill="text2"/>
            <w:vAlign w:val="bottom"/>
          </w:tcPr>
          <w:p w:rsidR="00767B1A" w:rsidRPr="00CB32B1" w:rsidRDefault="00767B1A" w:rsidP="00767B1A">
            <w:pPr>
              <w:pStyle w:val="NumericTableColumnHeadingNormal"/>
              <w:jc w:val="center"/>
              <w:cnfStyle w:val="000000000000"/>
              <w:rPr>
                <w:rFonts w:asciiTheme="majorHAnsi" w:hAnsiTheme="majorHAnsi"/>
              </w:rPr>
            </w:pPr>
            <w:r w:rsidRPr="00CB32B1">
              <w:rPr>
                <w:rFonts w:asciiTheme="majorHAnsi" w:hAnsiTheme="majorHAnsi"/>
              </w:rPr>
              <w:t>Australia</w:t>
            </w:r>
          </w:p>
        </w:tc>
        <w:tc>
          <w:tcPr>
            <w:tcW w:w="1290" w:type="pct"/>
            <w:tcBorders>
              <w:top w:val="single" w:sz="6" w:space="0" w:color="FFFFFF" w:themeColor="background1"/>
              <w:left w:val="single" w:sz="6" w:space="0" w:color="FFFFFF" w:themeColor="background1"/>
              <w:right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000000000000"/>
              <w:rPr>
                <w:rFonts w:asciiTheme="majorHAnsi" w:hAnsiTheme="majorHAnsi"/>
              </w:rPr>
            </w:pPr>
            <w:r w:rsidRPr="00CB32B1">
              <w:rPr>
                <w:rFonts w:asciiTheme="majorHAnsi" w:hAnsiTheme="majorHAnsi"/>
              </w:rPr>
              <w:t>USA and Canada</w:t>
            </w:r>
          </w:p>
        </w:tc>
        <w:tc>
          <w:tcPr>
            <w:tcW w:w="1291" w:type="pct"/>
            <w:tcBorders>
              <w:top w:val="single" w:sz="6" w:space="0" w:color="FFFFFF" w:themeColor="background1"/>
              <w:left w:val="single" w:sz="6" w:space="0" w:color="FFFFFF" w:themeColor="background1"/>
            </w:tcBorders>
            <w:shd w:val="clear" w:color="auto" w:fill="DC6900" w:themeFill="text2"/>
            <w:vAlign w:val="center"/>
          </w:tcPr>
          <w:p w:rsidR="00767B1A" w:rsidRPr="00CB32B1" w:rsidRDefault="00767B1A" w:rsidP="00747120">
            <w:pPr>
              <w:pStyle w:val="NumericTableColumnHeadingNormal"/>
              <w:jc w:val="center"/>
              <w:cnfStyle w:val="000000000000"/>
              <w:rPr>
                <w:rFonts w:asciiTheme="majorHAnsi" w:hAnsiTheme="majorHAnsi"/>
              </w:rPr>
            </w:pPr>
            <w:r w:rsidRPr="00CB32B1">
              <w:rPr>
                <w:rFonts w:asciiTheme="majorHAnsi" w:hAnsiTheme="majorHAnsi"/>
              </w:rPr>
              <w:t>UK</w:t>
            </w:r>
          </w:p>
        </w:tc>
      </w:tr>
      <w:tr w:rsidR="00767B1A" w:rsidRPr="00CB32B1" w:rsidTr="00F35E00">
        <w:trPr>
          <w:trHeight w:val="337"/>
        </w:trPr>
        <w:tc>
          <w:tcPr>
            <w:cnfStyle w:val="001000000000"/>
            <w:tcW w:w="1129" w:type="pct"/>
          </w:tcPr>
          <w:p w:rsidR="00767B1A" w:rsidRPr="00CB32B1" w:rsidRDefault="00767B1A" w:rsidP="00767B1A">
            <w:pPr>
              <w:pStyle w:val="NumericTableTextNormal"/>
              <w:rPr>
                <w:rFonts w:asciiTheme="majorHAnsi" w:hAnsiTheme="majorHAnsi"/>
              </w:rPr>
            </w:pPr>
            <w:r w:rsidRPr="00CB32B1">
              <w:rPr>
                <w:rFonts w:asciiTheme="majorHAnsi" w:hAnsiTheme="majorHAnsi"/>
              </w:rPr>
              <w:t>Antenatal</w:t>
            </w:r>
          </w:p>
        </w:tc>
        <w:tc>
          <w:tcPr>
            <w:tcW w:w="1290" w:type="pct"/>
          </w:tcPr>
          <w:p w:rsidR="00767B1A" w:rsidRPr="00CB32B1" w:rsidRDefault="00767B1A" w:rsidP="00767B1A">
            <w:pPr>
              <w:pStyle w:val="NumericTableTextDecimalNormal"/>
              <w:tabs>
                <w:tab w:val="clear" w:pos="1004"/>
                <w:tab w:val="decimal" w:pos="1230"/>
              </w:tabs>
              <w:cnfStyle w:val="000000000000"/>
              <w:rPr>
                <w:rFonts w:asciiTheme="majorHAnsi" w:hAnsiTheme="majorHAnsi"/>
              </w:rPr>
            </w:pPr>
            <w:r w:rsidRPr="00CB32B1">
              <w:rPr>
                <w:rFonts w:asciiTheme="majorHAnsi" w:hAnsiTheme="majorHAnsi"/>
              </w:rPr>
              <w:t>30%</w:t>
            </w:r>
          </w:p>
        </w:tc>
        <w:tc>
          <w:tcPr>
            <w:tcW w:w="1290" w:type="pct"/>
          </w:tcPr>
          <w:p w:rsidR="00767B1A" w:rsidRPr="00CB32B1" w:rsidRDefault="009C0172" w:rsidP="00767B1A">
            <w:pPr>
              <w:pStyle w:val="NumericTableTextDecimalNormal"/>
              <w:tabs>
                <w:tab w:val="clear" w:pos="1004"/>
                <w:tab w:val="decimal" w:pos="1390"/>
              </w:tabs>
              <w:cnfStyle w:val="000000000000"/>
              <w:rPr>
                <w:rFonts w:asciiTheme="majorHAnsi" w:hAnsiTheme="majorHAnsi"/>
              </w:rPr>
            </w:pPr>
            <w:r>
              <w:rPr>
                <w:rFonts w:asciiTheme="majorHAnsi" w:hAnsiTheme="majorHAnsi"/>
              </w:rPr>
              <w:t>n</w:t>
            </w:r>
            <w:r w:rsidR="00767B1A" w:rsidRPr="00CB32B1">
              <w:rPr>
                <w:rFonts w:asciiTheme="majorHAnsi" w:hAnsiTheme="majorHAnsi"/>
              </w:rPr>
              <w:t>r*</w:t>
            </w:r>
          </w:p>
        </w:tc>
        <w:tc>
          <w:tcPr>
            <w:tcW w:w="1291" w:type="pct"/>
          </w:tcPr>
          <w:p w:rsidR="00767B1A" w:rsidRPr="00CB32B1" w:rsidRDefault="00767B1A" w:rsidP="00767B1A">
            <w:pPr>
              <w:pStyle w:val="NumericTableTextDecimalNormal"/>
              <w:tabs>
                <w:tab w:val="clear" w:pos="1004"/>
                <w:tab w:val="decimal" w:pos="1230"/>
              </w:tabs>
              <w:cnfStyle w:val="000000000000"/>
              <w:rPr>
                <w:rFonts w:asciiTheme="majorHAnsi" w:hAnsiTheme="majorHAnsi"/>
              </w:rPr>
            </w:pPr>
            <w:r w:rsidRPr="00CB32B1">
              <w:rPr>
                <w:rFonts w:asciiTheme="majorHAnsi" w:hAnsiTheme="majorHAnsi"/>
              </w:rPr>
              <w:t>35.9%</w:t>
            </w:r>
          </w:p>
        </w:tc>
      </w:tr>
      <w:tr w:rsidR="00767B1A" w:rsidRPr="00CB32B1" w:rsidTr="00F35E00">
        <w:trPr>
          <w:trHeight w:val="337"/>
        </w:trPr>
        <w:tc>
          <w:tcPr>
            <w:cnfStyle w:val="001000000000"/>
            <w:tcW w:w="1129" w:type="pct"/>
          </w:tcPr>
          <w:p w:rsidR="00767B1A" w:rsidRPr="00CB32B1" w:rsidRDefault="00767B1A" w:rsidP="00767B1A">
            <w:pPr>
              <w:pStyle w:val="NumericTableTextNormal"/>
              <w:rPr>
                <w:rFonts w:asciiTheme="majorHAnsi" w:hAnsiTheme="majorHAnsi"/>
              </w:rPr>
            </w:pPr>
            <w:r w:rsidRPr="00CB32B1">
              <w:rPr>
                <w:rFonts w:asciiTheme="majorHAnsi" w:hAnsiTheme="majorHAnsi"/>
              </w:rPr>
              <w:t>Intrapartum</w:t>
            </w:r>
          </w:p>
        </w:tc>
        <w:tc>
          <w:tcPr>
            <w:tcW w:w="1290" w:type="pct"/>
          </w:tcPr>
          <w:p w:rsidR="00767B1A" w:rsidRPr="00CB32B1" w:rsidRDefault="00767B1A" w:rsidP="00767B1A">
            <w:pPr>
              <w:pStyle w:val="NumericTableTextDecimalNormal"/>
              <w:tabs>
                <w:tab w:val="clear" w:pos="1004"/>
                <w:tab w:val="decimal" w:pos="1230"/>
              </w:tabs>
              <w:cnfStyle w:val="000000000000"/>
              <w:rPr>
                <w:rFonts w:asciiTheme="majorHAnsi" w:hAnsiTheme="majorHAnsi"/>
              </w:rPr>
            </w:pPr>
            <w:r w:rsidRPr="00CB32B1">
              <w:rPr>
                <w:rFonts w:asciiTheme="majorHAnsi" w:hAnsiTheme="majorHAnsi"/>
              </w:rPr>
              <w:t>10.0%</w:t>
            </w:r>
          </w:p>
        </w:tc>
        <w:tc>
          <w:tcPr>
            <w:tcW w:w="1290" w:type="pct"/>
          </w:tcPr>
          <w:p w:rsidR="00767B1A" w:rsidRPr="00CB32B1" w:rsidRDefault="00767B1A" w:rsidP="00767B1A">
            <w:pPr>
              <w:pStyle w:val="NumericTableTextDecimalNormal"/>
              <w:tabs>
                <w:tab w:val="clear" w:pos="1004"/>
                <w:tab w:val="decimal" w:pos="1230"/>
              </w:tabs>
              <w:cnfStyle w:val="000000000000"/>
              <w:rPr>
                <w:rFonts w:asciiTheme="majorHAnsi" w:hAnsiTheme="majorHAnsi"/>
              </w:rPr>
            </w:pPr>
            <w:r w:rsidRPr="00CB32B1">
              <w:rPr>
                <w:rFonts w:asciiTheme="majorHAnsi" w:hAnsiTheme="majorHAnsi"/>
              </w:rPr>
              <w:t>10.1%</w:t>
            </w:r>
          </w:p>
        </w:tc>
        <w:tc>
          <w:tcPr>
            <w:tcW w:w="1291" w:type="pct"/>
          </w:tcPr>
          <w:p w:rsidR="00767B1A" w:rsidRPr="00CB32B1" w:rsidRDefault="00767B1A" w:rsidP="00767B1A">
            <w:pPr>
              <w:pStyle w:val="NumericTableTextDecimalNormal"/>
              <w:tabs>
                <w:tab w:val="clear" w:pos="1004"/>
                <w:tab w:val="decimal" w:pos="1230"/>
              </w:tabs>
              <w:cnfStyle w:val="000000000000"/>
              <w:rPr>
                <w:rFonts w:asciiTheme="majorHAnsi" w:hAnsiTheme="majorHAnsi"/>
              </w:rPr>
            </w:pPr>
            <w:r w:rsidRPr="00CB32B1">
              <w:rPr>
                <w:rFonts w:asciiTheme="majorHAnsi" w:hAnsiTheme="majorHAnsi"/>
              </w:rPr>
              <w:t>9.1%</w:t>
            </w:r>
          </w:p>
        </w:tc>
      </w:tr>
      <w:tr w:rsidR="00767B1A" w:rsidRPr="00CB32B1" w:rsidTr="00F35E00">
        <w:trPr>
          <w:trHeight w:val="337"/>
        </w:trPr>
        <w:tc>
          <w:tcPr>
            <w:cnfStyle w:val="001000000000"/>
            <w:tcW w:w="1129" w:type="pct"/>
          </w:tcPr>
          <w:p w:rsidR="00767B1A" w:rsidRPr="00CB32B1" w:rsidRDefault="00767B1A" w:rsidP="00767B1A">
            <w:pPr>
              <w:pStyle w:val="NumericTableTextNormal"/>
              <w:rPr>
                <w:rFonts w:asciiTheme="majorHAnsi" w:hAnsiTheme="majorHAnsi"/>
              </w:rPr>
            </w:pPr>
            <w:r w:rsidRPr="00CB32B1">
              <w:rPr>
                <w:rFonts w:asciiTheme="majorHAnsi" w:hAnsiTheme="majorHAnsi"/>
              </w:rPr>
              <w:t>Maternal transfer after birth</w:t>
            </w:r>
          </w:p>
        </w:tc>
        <w:tc>
          <w:tcPr>
            <w:tcW w:w="1290" w:type="pct"/>
          </w:tcPr>
          <w:p w:rsidR="00767B1A" w:rsidRPr="00CB32B1" w:rsidRDefault="00767B1A" w:rsidP="00767B1A">
            <w:pPr>
              <w:pStyle w:val="NumericTableTextDecimalNormal"/>
              <w:tabs>
                <w:tab w:val="clear" w:pos="1004"/>
                <w:tab w:val="decimal" w:pos="1230"/>
              </w:tabs>
              <w:cnfStyle w:val="000000000000"/>
              <w:rPr>
                <w:rFonts w:asciiTheme="majorHAnsi" w:hAnsiTheme="majorHAnsi"/>
              </w:rPr>
            </w:pPr>
            <w:r w:rsidRPr="00CB32B1">
              <w:rPr>
                <w:rFonts w:asciiTheme="majorHAnsi" w:hAnsiTheme="majorHAnsi"/>
              </w:rPr>
              <w:t>2.9%</w:t>
            </w:r>
          </w:p>
        </w:tc>
        <w:tc>
          <w:tcPr>
            <w:tcW w:w="1290" w:type="pct"/>
          </w:tcPr>
          <w:p w:rsidR="00767B1A" w:rsidRPr="00CB32B1" w:rsidRDefault="00767B1A" w:rsidP="00767B1A">
            <w:pPr>
              <w:pStyle w:val="NumericTableTextDecimalNormal"/>
              <w:tabs>
                <w:tab w:val="clear" w:pos="1004"/>
                <w:tab w:val="decimal" w:pos="1230"/>
              </w:tabs>
              <w:cnfStyle w:val="000000000000"/>
              <w:rPr>
                <w:rFonts w:asciiTheme="majorHAnsi" w:hAnsiTheme="majorHAnsi"/>
              </w:rPr>
            </w:pPr>
            <w:r w:rsidRPr="00CB32B1">
              <w:rPr>
                <w:rFonts w:asciiTheme="majorHAnsi" w:hAnsiTheme="majorHAnsi"/>
              </w:rPr>
              <w:t>1.3%</w:t>
            </w:r>
          </w:p>
        </w:tc>
        <w:tc>
          <w:tcPr>
            <w:tcW w:w="1291" w:type="pct"/>
          </w:tcPr>
          <w:p w:rsidR="00767B1A" w:rsidRPr="00CB32B1" w:rsidRDefault="00767B1A" w:rsidP="00767B1A">
            <w:pPr>
              <w:pStyle w:val="NumericTableTextDecimalNormal"/>
              <w:tabs>
                <w:tab w:val="clear" w:pos="1004"/>
                <w:tab w:val="decimal" w:pos="785"/>
              </w:tabs>
              <w:jc w:val="center"/>
              <w:cnfStyle w:val="000000000000"/>
              <w:rPr>
                <w:rFonts w:asciiTheme="majorHAnsi" w:hAnsiTheme="majorHAnsi"/>
              </w:rPr>
            </w:pPr>
            <w:r w:rsidRPr="00CB32B1">
              <w:rPr>
                <w:rFonts w:asciiTheme="majorHAnsi" w:hAnsiTheme="majorHAnsi"/>
              </w:rPr>
              <w:t>Nr*</w:t>
            </w:r>
          </w:p>
        </w:tc>
      </w:tr>
      <w:tr w:rsidR="00767B1A" w:rsidRPr="00CB32B1" w:rsidTr="00F35E00">
        <w:trPr>
          <w:trHeight w:val="337"/>
        </w:trPr>
        <w:tc>
          <w:tcPr>
            <w:cnfStyle w:val="001000000000"/>
            <w:tcW w:w="1129" w:type="pct"/>
          </w:tcPr>
          <w:p w:rsidR="00767B1A" w:rsidRPr="00CB32B1" w:rsidRDefault="00767B1A" w:rsidP="00767B1A">
            <w:pPr>
              <w:pStyle w:val="NumericTableTextNormal"/>
              <w:rPr>
                <w:rFonts w:asciiTheme="majorHAnsi" w:hAnsiTheme="majorHAnsi"/>
              </w:rPr>
            </w:pPr>
            <w:r w:rsidRPr="00CB32B1">
              <w:rPr>
                <w:rFonts w:asciiTheme="majorHAnsi" w:hAnsiTheme="majorHAnsi"/>
              </w:rPr>
              <w:t>Neonatal</w:t>
            </w:r>
          </w:p>
        </w:tc>
        <w:tc>
          <w:tcPr>
            <w:tcW w:w="1290" w:type="pct"/>
          </w:tcPr>
          <w:p w:rsidR="00767B1A" w:rsidRPr="00CB32B1" w:rsidRDefault="00767B1A" w:rsidP="00767B1A">
            <w:pPr>
              <w:pStyle w:val="NumericTableTextDecimalNormal"/>
              <w:tabs>
                <w:tab w:val="clear" w:pos="1004"/>
                <w:tab w:val="decimal" w:pos="1230"/>
              </w:tabs>
              <w:cnfStyle w:val="000000000000"/>
              <w:rPr>
                <w:rFonts w:asciiTheme="majorHAnsi" w:hAnsiTheme="majorHAnsi"/>
              </w:rPr>
            </w:pPr>
            <w:r w:rsidRPr="00CB32B1">
              <w:rPr>
                <w:rFonts w:asciiTheme="majorHAnsi" w:hAnsiTheme="majorHAnsi"/>
              </w:rPr>
              <w:t>1.4%</w:t>
            </w:r>
          </w:p>
        </w:tc>
        <w:tc>
          <w:tcPr>
            <w:tcW w:w="1290" w:type="pct"/>
          </w:tcPr>
          <w:p w:rsidR="00767B1A" w:rsidRPr="00CB32B1" w:rsidRDefault="00767B1A" w:rsidP="00767B1A">
            <w:pPr>
              <w:pStyle w:val="NumericTableTextDecimalNormal"/>
              <w:tabs>
                <w:tab w:val="clear" w:pos="1004"/>
                <w:tab w:val="decimal" w:pos="1230"/>
              </w:tabs>
              <w:cnfStyle w:val="000000000000"/>
              <w:rPr>
                <w:rFonts w:asciiTheme="majorHAnsi" w:hAnsiTheme="majorHAnsi"/>
              </w:rPr>
            </w:pPr>
            <w:r w:rsidRPr="00CB32B1">
              <w:rPr>
                <w:rFonts w:asciiTheme="majorHAnsi" w:hAnsiTheme="majorHAnsi"/>
              </w:rPr>
              <w:t>0.7%</w:t>
            </w:r>
          </w:p>
        </w:tc>
        <w:tc>
          <w:tcPr>
            <w:tcW w:w="1291" w:type="pct"/>
          </w:tcPr>
          <w:p w:rsidR="00767B1A" w:rsidRPr="00CB32B1" w:rsidRDefault="00767B1A" w:rsidP="00767B1A">
            <w:pPr>
              <w:pStyle w:val="NumericTableTextDecimalNormal"/>
              <w:tabs>
                <w:tab w:val="clear" w:pos="1004"/>
                <w:tab w:val="decimal" w:pos="785"/>
              </w:tabs>
              <w:jc w:val="center"/>
              <w:cnfStyle w:val="000000000000"/>
              <w:rPr>
                <w:rFonts w:asciiTheme="majorHAnsi" w:hAnsiTheme="majorHAnsi"/>
              </w:rPr>
            </w:pPr>
            <w:r w:rsidRPr="00CB32B1">
              <w:rPr>
                <w:rFonts w:asciiTheme="majorHAnsi" w:hAnsiTheme="majorHAnsi"/>
              </w:rPr>
              <w:t>Nr*</w:t>
            </w:r>
          </w:p>
        </w:tc>
      </w:tr>
    </w:tbl>
    <w:p w:rsidR="00F35E00" w:rsidRPr="00CB32B1" w:rsidRDefault="00F35E00" w:rsidP="00F35E00">
      <w:pPr>
        <w:pStyle w:val="Sources"/>
        <w:keepNext/>
        <w:keepLines/>
        <w:spacing w:after="40"/>
      </w:pPr>
      <w:r w:rsidRPr="00CB32B1">
        <w:rPr>
          <w:b/>
        </w:rPr>
        <w:t>Key:</w:t>
      </w:r>
      <w:r w:rsidRPr="00CB32B1">
        <w:t xml:space="preserve"> ‘nr*’ – Not reported. </w:t>
      </w:r>
    </w:p>
    <w:p w:rsidR="00767B1A" w:rsidRPr="00CB32B1" w:rsidRDefault="00767B1A" w:rsidP="00767B1A">
      <w:pPr>
        <w:pStyle w:val="Sources"/>
      </w:pPr>
      <w:r w:rsidRPr="00CB32B1">
        <w:rPr>
          <w:b/>
        </w:rPr>
        <w:t>Source</w:t>
      </w:r>
      <w:r w:rsidR="000A7B59" w:rsidRPr="00CB32B1">
        <w:rPr>
          <w:b/>
        </w:rPr>
        <w:t>s</w:t>
      </w:r>
      <w:r w:rsidRPr="00CB32B1">
        <w:rPr>
          <w:b/>
        </w:rPr>
        <w:t>:</w:t>
      </w:r>
      <w:r w:rsidRPr="00CB32B1">
        <w:t xml:space="preserve"> McMurtrie, Catling-Paull</w:t>
      </w:r>
      <w:r w:rsidR="00F40E8A" w:rsidRPr="00CB32B1">
        <w:t>, Teate, Caplice, Chapman &amp; Homer</w:t>
      </w:r>
      <w:r w:rsidRPr="00CB32B1">
        <w:t xml:space="preserve"> 2009; Johnson &amp; Davis 2005; National Institute of Health 2011.</w:t>
      </w:r>
    </w:p>
    <w:p w:rsidR="00767B1A" w:rsidRPr="00CB32B1" w:rsidRDefault="00767B1A" w:rsidP="00767B1A">
      <w:pPr>
        <w:pStyle w:val="PwCNormal"/>
      </w:pPr>
      <w:r w:rsidRPr="00CB32B1">
        <w:t>A further difficulty identified in the data relates to its completeness, and whether data is representative of all transfers undertaken by homebirths</w:t>
      </w:r>
      <w:r w:rsidR="009C0172">
        <w:t>.</w:t>
      </w:r>
    </w:p>
    <w:p w:rsidR="00767B1A" w:rsidRPr="00CB32B1" w:rsidRDefault="00767B1A" w:rsidP="00767B1A">
      <w:pPr>
        <w:pStyle w:val="Minorheading"/>
      </w:pPr>
      <w:r w:rsidRPr="00CB32B1">
        <w:t>Meaning of transfers in terms of outcomes</w:t>
      </w:r>
    </w:p>
    <w:p w:rsidR="00767B1A" w:rsidRPr="00CB32B1" w:rsidRDefault="00CD76BA" w:rsidP="00767B1A">
      <w:pPr>
        <w:pStyle w:val="PwCNormal"/>
      </w:pPr>
      <w:r>
        <w:t>Studies</w:t>
      </w:r>
      <w:r w:rsidR="00767B1A" w:rsidRPr="00CB32B1">
        <w:t xml:space="preserve"> demonstrate that transfer</w:t>
      </w:r>
      <w:r w:rsidR="009C0172">
        <w:t>s</w:t>
      </w:r>
      <w:r w:rsidR="00767B1A" w:rsidRPr="00CB32B1">
        <w:t xml:space="preserve"> will need to occur for some women planning to give birth at home. However, this is not unexpected, given that birth is a natural process and complications can occur. A PPM providing the care does not have the scope of practice to provide care for some complications in labour and the </w:t>
      </w:r>
      <w:r>
        <w:t>mother</w:t>
      </w:r>
      <w:r w:rsidR="00767B1A" w:rsidRPr="00CB32B1">
        <w:t xml:space="preserve"> in these circumstances</w:t>
      </w:r>
      <w:r w:rsidR="009C0172">
        <w:t>,</w:t>
      </w:r>
      <w:r w:rsidR="00767B1A" w:rsidRPr="00CB32B1">
        <w:t xml:space="preserve"> may need the attention of other health professionals. Therefore, using transfers as an indication of an adverse outcome may not be accurate if it falls into the category of what some consulted with believe is the natural course of care for low-risk women.</w:t>
      </w:r>
    </w:p>
    <w:p w:rsidR="00767B1A" w:rsidRPr="00CB32B1" w:rsidRDefault="00767B1A" w:rsidP="00767B1A">
      <w:pPr>
        <w:pStyle w:val="PwCNormal"/>
        <w:numPr>
          <w:ilvl w:val="0"/>
          <w:numId w:val="0"/>
        </w:numPr>
      </w:pPr>
      <w:r w:rsidRPr="00CB32B1">
        <w:t xml:space="preserve">In the UK, a recent study identified the primary reasons for transfer during labour. The most common reasons for transfer in the planned homebirth setting was seen to be failure to progress (18.5%) followed by meconium staining (5.5%) and repair of perineal trauma (4.5%). The most common reasons are shown below in </w:t>
      </w:r>
      <w:r w:rsidR="009129A6" w:rsidRPr="00CB32B1">
        <w:fldChar w:fldCharType="begin"/>
      </w:r>
      <w:r w:rsidR="00D44BC2" w:rsidRPr="00CB32B1">
        <w:instrText xml:space="preserve"> REF _Ref361224897 \h </w:instrText>
      </w:r>
      <w:r w:rsidR="009129A6" w:rsidRPr="00CB32B1">
        <w:fldChar w:fldCharType="separate"/>
      </w:r>
      <w:r w:rsidR="008816B4" w:rsidRPr="00CB32B1">
        <w:t xml:space="preserve">Table </w:t>
      </w:r>
      <w:r w:rsidR="008816B4">
        <w:rPr>
          <w:noProof/>
        </w:rPr>
        <w:t>51</w:t>
      </w:r>
      <w:r w:rsidR="009129A6" w:rsidRPr="00CB32B1">
        <w:fldChar w:fldCharType="end"/>
      </w:r>
      <w:r w:rsidRPr="00CB32B1">
        <w:t>.</w:t>
      </w:r>
    </w:p>
    <w:p w:rsidR="00D44BC2" w:rsidRPr="00CB32B1" w:rsidRDefault="00D44BC2" w:rsidP="00D44BC2">
      <w:pPr>
        <w:pStyle w:val="Caption"/>
      </w:pPr>
      <w:bookmarkStart w:id="169" w:name="_Ref361224897"/>
      <w:r w:rsidRPr="00CB32B1">
        <w:t xml:space="preserve">Table </w:t>
      </w:r>
      <w:r w:rsidR="009129A6">
        <w:fldChar w:fldCharType="begin"/>
      </w:r>
      <w:r w:rsidR="00DF5BC2">
        <w:instrText xml:space="preserve"> SEQ Table \* ARABIC </w:instrText>
      </w:r>
      <w:r w:rsidR="009129A6">
        <w:fldChar w:fldCharType="separate"/>
      </w:r>
      <w:r w:rsidR="008816B4">
        <w:rPr>
          <w:noProof/>
        </w:rPr>
        <w:t>51</w:t>
      </w:r>
      <w:r w:rsidR="009129A6">
        <w:fldChar w:fldCharType="end"/>
      </w:r>
      <w:bookmarkEnd w:id="169"/>
      <w:r w:rsidRPr="00CB32B1">
        <w:t>: Reasons for transfer to a health service</w:t>
      </w:r>
    </w:p>
    <w:tbl>
      <w:tblPr>
        <w:tblStyle w:val="PwCTableText"/>
        <w:tblW w:w="5000" w:type="pct"/>
        <w:tblLook w:val="04A0"/>
      </w:tblPr>
      <w:tblGrid>
        <w:gridCol w:w="3258"/>
        <w:gridCol w:w="2009"/>
        <w:gridCol w:w="2009"/>
        <w:gridCol w:w="2009"/>
      </w:tblGrid>
      <w:tr w:rsidR="00767B1A" w:rsidRPr="00CB32B1" w:rsidTr="00747120">
        <w:trPr>
          <w:cnfStyle w:val="100000000000"/>
        </w:trPr>
        <w:tc>
          <w:tcPr>
            <w:tcW w:w="1754" w:type="pct"/>
            <w:tcBorders>
              <w:right w:val="single" w:sz="6" w:space="0" w:color="FFFFFF" w:themeColor="background1"/>
            </w:tcBorders>
            <w:shd w:val="clear" w:color="auto" w:fill="DC6900" w:themeFill="text2"/>
            <w:vAlign w:val="bottom"/>
          </w:tcPr>
          <w:p w:rsidR="00767B1A" w:rsidRPr="00CB32B1" w:rsidRDefault="00767B1A" w:rsidP="00767B1A">
            <w:pPr>
              <w:pStyle w:val="NumericTableColumnHeadingNormal"/>
              <w:rPr>
                <w:rFonts w:asciiTheme="majorHAnsi" w:hAnsiTheme="majorHAnsi"/>
                <w:lang w:val="en-AU"/>
              </w:rPr>
            </w:pPr>
            <w:r w:rsidRPr="00CB32B1">
              <w:rPr>
                <w:rFonts w:asciiTheme="majorHAnsi" w:hAnsiTheme="majorHAnsi"/>
                <w:lang w:val="en-AU"/>
              </w:rPr>
              <w:t>Most common reasons for transfer</w:t>
            </w:r>
          </w:p>
        </w:tc>
        <w:tc>
          <w:tcPr>
            <w:tcW w:w="1082" w:type="pct"/>
            <w:tcBorders>
              <w:left w:val="single" w:sz="6" w:space="0" w:color="FFFFFF" w:themeColor="background1"/>
              <w:right w:val="single" w:sz="6" w:space="0" w:color="FFFFFF" w:themeColor="background1"/>
            </w:tcBorders>
            <w:shd w:val="clear" w:color="auto" w:fill="DC6900" w:themeFill="text2"/>
          </w:tcPr>
          <w:p w:rsidR="00767B1A" w:rsidRPr="00CB32B1" w:rsidRDefault="00767B1A" w:rsidP="00747120">
            <w:pPr>
              <w:pStyle w:val="NumericTableColumnHeadingNormal"/>
              <w:jc w:val="center"/>
              <w:rPr>
                <w:rFonts w:asciiTheme="majorHAnsi" w:hAnsiTheme="majorHAnsi"/>
                <w:lang w:val="en-AU"/>
              </w:rPr>
            </w:pPr>
            <w:r w:rsidRPr="00CB32B1">
              <w:rPr>
                <w:rFonts w:asciiTheme="majorHAnsi" w:hAnsiTheme="majorHAnsi"/>
                <w:lang w:val="en-AU"/>
              </w:rPr>
              <w:t>From home – %</w:t>
            </w:r>
          </w:p>
        </w:tc>
        <w:tc>
          <w:tcPr>
            <w:tcW w:w="1082" w:type="pct"/>
            <w:tcBorders>
              <w:left w:val="single" w:sz="6" w:space="0" w:color="FFFFFF" w:themeColor="background1"/>
              <w:right w:val="single" w:sz="6" w:space="0" w:color="FFFFFF" w:themeColor="background1"/>
            </w:tcBorders>
            <w:shd w:val="clear" w:color="auto" w:fill="DC6900" w:themeFill="text2"/>
          </w:tcPr>
          <w:p w:rsidR="00767B1A" w:rsidRPr="00CB32B1" w:rsidRDefault="00767B1A" w:rsidP="00747120">
            <w:pPr>
              <w:pStyle w:val="NumericTableColumnHeadingNormal"/>
              <w:jc w:val="center"/>
              <w:rPr>
                <w:rFonts w:asciiTheme="majorHAnsi" w:hAnsiTheme="majorHAnsi"/>
                <w:lang w:val="en-AU"/>
              </w:rPr>
            </w:pPr>
            <w:r w:rsidRPr="00CB32B1">
              <w:rPr>
                <w:rFonts w:asciiTheme="majorHAnsi" w:hAnsiTheme="majorHAnsi"/>
                <w:lang w:val="en-AU"/>
              </w:rPr>
              <w:t>From freestanding maternity unit– %</w:t>
            </w:r>
          </w:p>
        </w:tc>
        <w:tc>
          <w:tcPr>
            <w:tcW w:w="1082" w:type="pct"/>
            <w:tcBorders>
              <w:left w:val="single" w:sz="6" w:space="0" w:color="FFFFFF" w:themeColor="background1"/>
            </w:tcBorders>
            <w:shd w:val="clear" w:color="auto" w:fill="DC6900" w:themeFill="text2"/>
          </w:tcPr>
          <w:p w:rsidR="00767B1A" w:rsidRPr="00CB32B1" w:rsidRDefault="00767B1A" w:rsidP="00747120">
            <w:pPr>
              <w:pStyle w:val="NumericTableColumnHeadingNormal"/>
              <w:jc w:val="center"/>
              <w:rPr>
                <w:rFonts w:asciiTheme="majorHAnsi" w:hAnsiTheme="majorHAnsi"/>
                <w:lang w:val="en-AU"/>
              </w:rPr>
            </w:pPr>
            <w:r w:rsidRPr="00CB32B1">
              <w:rPr>
                <w:rFonts w:asciiTheme="majorHAnsi" w:hAnsiTheme="majorHAnsi"/>
                <w:lang w:val="en-AU"/>
              </w:rPr>
              <w:t>From maternity unit – %</w:t>
            </w:r>
          </w:p>
        </w:tc>
      </w:tr>
      <w:tr w:rsidR="00767B1A" w:rsidRPr="00CB32B1" w:rsidTr="00767B1A">
        <w:tc>
          <w:tcPr>
            <w:tcW w:w="1754" w:type="pct"/>
          </w:tcPr>
          <w:p w:rsidR="00767B1A" w:rsidRPr="00CB32B1" w:rsidRDefault="00767B1A" w:rsidP="00767B1A">
            <w:pPr>
              <w:pStyle w:val="NumericTableTextNormal"/>
              <w:rPr>
                <w:rFonts w:asciiTheme="majorHAnsi" w:hAnsiTheme="majorHAnsi"/>
                <w:lang w:val="en-AU"/>
              </w:rPr>
            </w:pPr>
            <w:r w:rsidRPr="00CB32B1">
              <w:rPr>
                <w:rFonts w:asciiTheme="majorHAnsi" w:hAnsiTheme="majorHAnsi"/>
                <w:lang w:val="en-AU"/>
              </w:rPr>
              <w:t>Failure to progress</w:t>
            </w:r>
          </w:p>
        </w:tc>
        <w:tc>
          <w:tcPr>
            <w:tcW w:w="1082" w:type="pct"/>
          </w:tcPr>
          <w:p w:rsidR="00767B1A" w:rsidRPr="00CB32B1" w:rsidRDefault="00767B1A" w:rsidP="00767B1A">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18.5</w:t>
            </w:r>
          </w:p>
        </w:tc>
        <w:tc>
          <w:tcPr>
            <w:tcW w:w="1082" w:type="pct"/>
          </w:tcPr>
          <w:p w:rsidR="00767B1A" w:rsidRPr="00CB32B1" w:rsidRDefault="00767B1A" w:rsidP="00767B1A">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15.1</w:t>
            </w:r>
          </w:p>
        </w:tc>
        <w:tc>
          <w:tcPr>
            <w:tcW w:w="1082" w:type="pct"/>
          </w:tcPr>
          <w:p w:rsidR="00767B1A" w:rsidRPr="00CB32B1" w:rsidRDefault="00767B1A" w:rsidP="00767B1A">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15.9</w:t>
            </w:r>
          </w:p>
        </w:tc>
      </w:tr>
      <w:tr w:rsidR="009C0172" w:rsidRPr="00CB32B1" w:rsidTr="000436E0">
        <w:tc>
          <w:tcPr>
            <w:tcW w:w="1754" w:type="pct"/>
          </w:tcPr>
          <w:p w:rsidR="009C0172" w:rsidRPr="00CB32B1" w:rsidRDefault="009C0172" w:rsidP="000436E0">
            <w:pPr>
              <w:pStyle w:val="NumericTableTextNormal"/>
              <w:rPr>
                <w:rFonts w:asciiTheme="majorHAnsi" w:hAnsiTheme="majorHAnsi"/>
                <w:lang w:val="en-AU"/>
              </w:rPr>
            </w:pPr>
            <w:r w:rsidRPr="00CB32B1">
              <w:rPr>
                <w:rFonts w:asciiTheme="majorHAnsi" w:hAnsiTheme="majorHAnsi"/>
                <w:lang w:val="en-AU"/>
              </w:rPr>
              <w:t>Epidural request</w:t>
            </w:r>
          </w:p>
        </w:tc>
        <w:tc>
          <w:tcPr>
            <w:tcW w:w="1082" w:type="pct"/>
          </w:tcPr>
          <w:p w:rsidR="009C0172" w:rsidRPr="00CB32B1" w:rsidRDefault="009C0172" w:rsidP="000436E0">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3.0</w:t>
            </w:r>
          </w:p>
        </w:tc>
        <w:tc>
          <w:tcPr>
            <w:tcW w:w="1082" w:type="pct"/>
          </w:tcPr>
          <w:p w:rsidR="009C0172" w:rsidRPr="00CB32B1" w:rsidRDefault="009C0172" w:rsidP="000436E0">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2.7</w:t>
            </w:r>
          </w:p>
        </w:tc>
        <w:tc>
          <w:tcPr>
            <w:tcW w:w="1082" w:type="pct"/>
          </w:tcPr>
          <w:p w:rsidR="009C0172" w:rsidRPr="00CB32B1" w:rsidRDefault="009C0172" w:rsidP="000436E0">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5.4</w:t>
            </w:r>
          </w:p>
        </w:tc>
      </w:tr>
      <w:tr w:rsidR="00767B1A" w:rsidRPr="00CB32B1" w:rsidTr="00767B1A">
        <w:tc>
          <w:tcPr>
            <w:tcW w:w="1754" w:type="pct"/>
          </w:tcPr>
          <w:p w:rsidR="00767B1A" w:rsidRPr="00CB32B1" w:rsidRDefault="00767B1A" w:rsidP="00767B1A">
            <w:pPr>
              <w:pStyle w:val="NumericTableTextNormal"/>
              <w:rPr>
                <w:rFonts w:asciiTheme="majorHAnsi" w:hAnsiTheme="majorHAnsi"/>
                <w:lang w:val="en-AU"/>
              </w:rPr>
            </w:pPr>
            <w:r w:rsidRPr="00CB32B1">
              <w:rPr>
                <w:rFonts w:asciiTheme="majorHAnsi" w:hAnsiTheme="majorHAnsi"/>
                <w:lang w:val="en-AU"/>
              </w:rPr>
              <w:t>Fetal distress</w:t>
            </w:r>
          </w:p>
        </w:tc>
        <w:tc>
          <w:tcPr>
            <w:tcW w:w="1082" w:type="pct"/>
          </w:tcPr>
          <w:p w:rsidR="00767B1A" w:rsidRPr="00CB32B1" w:rsidRDefault="00767B1A" w:rsidP="00767B1A">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3.1</w:t>
            </w:r>
          </w:p>
        </w:tc>
        <w:tc>
          <w:tcPr>
            <w:tcW w:w="1082" w:type="pct"/>
          </w:tcPr>
          <w:p w:rsidR="00767B1A" w:rsidRPr="00CB32B1" w:rsidRDefault="00767B1A" w:rsidP="00767B1A">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4.0</w:t>
            </w:r>
          </w:p>
        </w:tc>
        <w:tc>
          <w:tcPr>
            <w:tcW w:w="1082" w:type="pct"/>
          </w:tcPr>
          <w:p w:rsidR="00767B1A" w:rsidRPr="00CB32B1" w:rsidRDefault="00767B1A" w:rsidP="00767B1A">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4.3</w:t>
            </w:r>
          </w:p>
        </w:tc>
      </w:tr>
      <w:tr w:rsidR="00767B1A" w:rsidRPr="00CB32B1" w:rsidTr="00767B1A">
        <w:tc>
          <w:tcPr>
            <w:tcW w:w="1754" w:type="pct"/>
          </w:tcPr>
          <w:p w:rsidR="00767B1A" w:rsidRPr="00CB32B1" w:rsidRDefault="00767B1A" w:rsidP="00767B1A">
            <w:pPr>
              <w:pStyle w:val="NumericTableTextNormal"/>
              <w:rPr>
                <w:rFonts w:asciiTheme="majorHAnsi" w:hAnsiTheme="majorHAnsi"/>
                <w:lang w:val="en-AU"/>
              </w:rPr>
            </w:pPr>
            <w:r w:rsidRPr="00CB32B1">
              <w:rPr>
                <w:rFonts w:asciiTheme="majorHAnsi" w:hAnsiTheme="majorHAnsi"/>
                <w:lang w:val="en-AU"/>
              </w:rPr>
              <w:t>Meconium staining</w:t>
            </w:r>
          </w:p>
        </w:tc>
        <w:tc>
          <w:tcPr>
            <w:tcW w:w="1082" w:type="pct"/>
          </w:tcPr>
          <w:p w:rsidR="00767B1A" w:rsidRPr="00CB32B1" w:rsidRDefault="00767B1A" w:rsidP="00767B1A">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5.5</w:t>
            </w:r>
          </w:p>
        </w:tc>
        <w:tc>
          <w:tcPr>
            <w:tcW w:w="1082" w:type="pct"/>
          </w:tcPr>
          <w:p w:rsidR="00767B1A" w:rsidRPr="00CB32B1" w:rsidRDefault="00767B1A" w:rsidP="00767B1A">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4.8</w:t>
            </w:r>
          </w:p>
        </w:tc>
        <w:tc>
          <w:tcPr>
            <w:tcW w:w="1082" w:type="pct"/>
          </w:tcPr>
          <w:p w:rsidR="00767B1A" w:rsidRPr="00CB32B1" w:rsidRDefault="00767B1A" w:rsidP="00767B1A">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4.8</w:t>
            </w:r>
          </w:p>
        </w:tc>
      </w:tr>
      <w:tr w:rsidR="00767B1A" w:rsidRPr="00CB32B1" w:rsidTr="00767B1A">
        <w:tc>
          <w:tcPr>
            <w:tcW w:w="1754" w:type="pct"/>
          </w:tcPr>
          <w:p w:rsidR="00767B1A" w:rsidRPr="00CB32B1" w:rsidRDefault="00767B1A" w:rsidP="00767B1A">
            <w:pPr>
              <w:pStyle w:val="NumericTableTextNormal"/>
              <w:rPr>
                <w:rFonts w:asciiTheme="majorHAnsi" w:hAnsiTheme="majorHAnsi"/>
                <w:lang w:val="en-AU"/>
              </w:rPr>
            </w:pPr>
            <w:r w:rsidRPr="00CB32B1">
              <w:rPr>
                <w:rFonts w:asciiTheme="majorHAnsi" w:hAnsiTheme="majorHAnsi"/>
                <w:lang w:val="en-AU"/>
              </w:rPr>
              <w:t>Pain relief (epidural, not specified or other)</w:t>
            </w:r>
          </w:p>
        </w:tc>
        <w:tc>
          <w:tcPr>
            <w:tcW w:w="1082" w:type="pct"/>
          </w:tcPr>
          <w:p w:rsidR="00767B1A" w:rsidRPr="00CB32B1" w:rsidRDefault="00767B1A" w:rsidP="00767B1A">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1.1</w:t>
            </w:r>
          </w:p>
        </w:tc>
        <w:tc>
          <w:tcPr>
            <w:tcW w:w="1082" w:type="pct"/>
          </w:tcPr>
          <w:p w:rsidR="00767B1A" w:rsidRPr="00CB32B1" w:rsidRDefault="00767B1A" w:rsidP="00767B1A">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0.1</w:t>
            </w:r>
          </w:p>
        </w:tc>
        <w:tc>
          <w:tcPr>
            <w:tcW w:w="1082" w:type="pct"/>
          </w:tcPr>
          <w:p w:rsidR="00767B1A" w:rsidRPr="00CB32B1" w:rsidRDefault="00767B1A" w:rsidP="00767B1A">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0.0</w:t>
            </w:r>
          </w:p>
        </w:tc>
      </w:tr>
      <w:tr w:rsidR="00767B1A" w:rsidRPr="00CB32B1" w:rsidTr="00767B1A">
        <w:tc>
          <w:tcPr>
            <w:tcW w:w="1754" w:type="pct"/>
          </w:tcPr>
          <w:p w:rsidR="00767B1A" w:rsidRPr="00CB32B1" w:rsidRDefault="00767B1A" w:rsidP="00767B1A">
            <w:pPr>
              <w:pStyle w:val="NumericTableTextNormal"/>
              <w:rPr>
                <w:rFonts w:asciiTheme="majorHAnsi" w:hAnsiTheme="majorHAnsi"/>
                <w:lang w:val="en-AU"/>
              </w:rPr>
            </w:pPr>
            <w:r w:rsidRPr="00CB32B1">
              <w:rPr>
                <w:rFonts w:asciiTheme="majorHAnsi" w:hAnsiTheme="majorHAnsi"/>
                <w:lang w:val="en-AU"/>
              </w:rPr>
              <w:t>Postpartum haemorrhage</w:t>
            </w:r>
          </w:p>
        </w:tc>
        <w:tc>
          <w:tcPr>
            <w:tcW w:w="1082" w:type="pct"/>
          </w:tcPr>
          <w:p w:rsidR="00767B1A" w:rsidRPr="00CB32B1" w:rsidRDefault="00767B1A" w:rsidP="00767B1A">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1.2</w:t>
            </w:r>
          </w:p>
        </w:tc>
        <w:tc>
          <w:tcPr>
            <w:tcW w:w="1082" w:type="pct"/>
          </w:tcPr>
          <w:p w:rsidR="00767B1A" w:rsidRPr="00CB32B1" w:rsidRDefault="00767B1A" w:rsidP="00767B1A">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0.7</w:t>
            </w:r>
          </w:p>
        </w:tc>
        <w:tc>
          <w:tcPr>
            <w:tcW w:w="1082" w:type="pct"/>
          </w:tcPr>
          <w:p w:rsidR="00767B1A" w:rsidRPr="00CB32B1" w:rsidRDefault="00767B1A" w:rsidP="00767B1A">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0.7</w:t>
            </w:r>
          </w:p>
        </w:tc>
      </w:tr>
      <w:tr w:rsidR="00767B1A" w:rsidRPr="00CB32B1" w:rsidTr="00767B1A">
        <w:tc>
          <w:tcPr>
            <w:tcW w:w="1754" w:type="pct"/>
          </w:tcPr>
          <w:p w:rsidR="00767B1A" w:rsidRPr="00CB32B1" w:rsidRDefault="00767B1A" w:rsidP="00767B1A">
            <w:pPr>
              <w:pStyle w:val="NumericTableTextNormal"/>
              <w:rPr>
                <w:rFonts w:asciiTheme="majorHAnsi" w:hAnsiTheme="majorHAnsi"/>
                <w:lang w:val="en-AU"/>
              </w:rPr>
            </w:pPr>
            <w:r w:rsidRPr="00CB32B1">
              <w:rPr>
                <w:rFonts w:asciiTheme="majorHAnsi" w:hAnsiTheme="majorHAnsi"/>
                <w:lang w:val="en-AU"/>
              </w:rPr>
              <w:t>Repair of perineal trauma</w:t>
            </w:r>
          </w:p>
        </w:tc>
        <w:tc>
          <w:tcPr>
            <w:tcW w:w="1082" w:type="pct"/>
          </w:tcPr>
          <w:p w:rsidR="00767B1A" w:rsidRPr="00CB32B1" w:rsidRDefault="00767B1A" w:rsidP="00767B1A">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4.5</w:t>
            </w:r>
          </w:p>
        </w:tc>
        <w:tc>
          <w:tcPr>
            <w:tcW w:w="1082" w:type="pct"/>
          </w:tcPr>
          <w:p w:rsidR="00767B1A" w:rsidRPr="00CB32B1" w:rsidRDefault="00767B1A" w:rsidP="00767B1A">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2.8</w:t>
            </w:r>
          </w:p>
        </w:tc>
        <w:tc>
          <w:tcPr>
            <w:tcW w:w="1082" w:type="pct"/>
          </w:tcPr>
          <w:p w:rsidR="00767B1A" w:rsidRPr="00CB32B1" w:rsidRDefault="00767B1A" w:rsidP="00767B1A">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3.1</w:t>
            </w:r>
          </w:p>
        </w:tc>
      </w:tr>
      <w:tr w:rsidR="00767B1A" w:rsidRPr="00CB32B1" w:rsidTr="00767B1A">
        <w:tc>
          <w:tcPr>
            <w:tcW w:w="1754" w:type="pct"/>
          </w:tcPr>
          <w:p w:rsidR="00767B1A" w:rsidRPr="00CB32B1" w:rsidRDefault="00767B1A" w:rsidP="00767B1A">
            <w:pPr>
              <w:pStyle w:val="NumericTableTextNormal"/>
              <w:rPr>
                <w:rFonts w:asciiTheme="majorHAnsi" w:hAnsiTheme="majorHAnsi"/>
                <w:lang w:val="en-AU"/>
              </w:rPr>
            </w:pPr>
            <w:r w:rsidRPr="00CB32B1">
              <w:rPr>
                <w:rFonts w:asciiTheme="majorHAnsi" w:hAnsiTheme="majorHAnsi"/>
                <w:lang w:val="en-AU"/>
              </w:rPr>
              <w:t>Retained placenta</w:t>
            </w:r>
          </w:p>
        </w:tc>
        <w:tc>
          <w:tcPr>
            <w:tcW w:w="1082" w:type="pct"/>
          </w:tcPr>
          <w:p w:rsidR="00767B1A" w:rsidRPr="00CB32B1" w:rsidRDefault="00767B1A" w:rsidP="00767B1A">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1.9</w:t>
            </w:r>
          </w:p>
        </w:tc>
        <w:tc>
          <w:tcPr>
            <w:tcW w:w="1082" w:type="pct"/>
          </w:tcPr>
          <w:p w:rsidR="00767B1A" w:rsidRPr="00CB32B1" w:rsidRDefault="00767B1A" w:rsidP="00767B1A">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1.6</w:t>
            </w:r>
          </w:p>
        </w:tc>
        <w:tc>
          <w:tcPr>
            <w:tcW w:w="1082" w:type="pct"/>
          </w:tcPr>
          <w:p w:rsidR="00767B1A" w:rsidRPr="00CB32B1" w:rsidRDefault="00767B1A" w:rsidP="00767B1A">
            <w:pPr>
              <w:pStyle w:val="NumericTableTextDecimalNormal"/>
              <w:tabs>
                <w:tab w:val="clear" w:pos="1004"/>
                <w:tab w:val="decimal" w:pos="817"/>
              </w:tabs>
              <w:rPr>
                <w:rFonts w:asciiTheme="majorHAnsi" w:hAnsiTheme="majorHAnsi"/>
                <w:lang w:val="en-AU"/>
              </w:rPr>
            </w:pPr>
            <w:r w:rsidRPr="00CB32B1">
              <w:rPr>
                <w:rFonts w:asciiTheme="majorHAnsi" w:hAnsiTheme="majorHAnsi"/>
                <w:lang w:val="en-AU"/>
              </w:rPr>
              <w:t>1.1</w:t>
            </w:r>
          </w:p>
        </w:tc>
      </w:tr>
    </w:tbl>
    <w:p w:rsidR="00767B1A" w:rsidRPr="00CB32B1" w:rsidRDefault="00767B1A" w:rsidP="00767B1A">
      <w:pPr>
        <w:pStyle w:val="Sources"/>
      </w:pPr>
      <w:r w:rsidRPr="00CB32B1">
        <w:rPr>
          <w:b/>
        </w:rPr>
        <w:t>Source:</w:t>
      </w:r>
      <w:r w:rsidRPr="00CB32B1">
        <w:t xml:space="preserve"> National Institute for Health Researc</w:t>
      </w:r>
      <w:r w:rsidR="00ED127D" w:rsidRPr="00CB32B1">
        <w:t>h</w:t>
      </w:r>
      <w:r w:rsidRPr="00CB32B1">
        <w:t xml:space="preserve"> 2011.</w:t>
      </w:r>
    </w:p>
    <w:p w:rsidR="00767B1A" w:rsidRPr="00CB32B1" w:rsidRDefault="00767B1A" w:rsidP="00767B1A">
      <w:pPr>
        <w:pStyle w:val="PwCNormal"/>
        <w:numPr>
          <w:ilvl w:val="0"/>
          <w:numId w:val="0"/>
        </w:numPr>
      </w:pPr>
      <w:r w:rsidRPr="00CB32B1">
        <w:t xml:space="preserve">It is worth noting that as with pain relief, failure to progress is not held by some </w:t>
      </w:r>
      <w:r w:rsidR="00CD76BA">
        <w:t>stakeholders</w:t>
      </w:r>
      <w:r w:rsidRPr="00CB32B1">
        <w:t xml:space="preserve"> consulted with</w:t>
      </w:r>
      <w:r w:rsidR="00CD76BA">
        <w:t xml:space="preserve"> for this report</w:t>
      </w:r>
      <w:r w:rsidRPr="00CB32B1">
        <w:t xml:space="preserve"> as a poor outcome in itself, but it is reflective that as a part of birth, some women will need to be transferred. It is only a poor outcome where transfers are hindered.</w:t>
      </w:r>
    </w:p>
    <w:p w:rsidR="00463352" w:rsidRPr="00CB32B1" w:rsidRDefault="00463352" w:rsidP="00767B1A">
      <w:pPr>
        <w:pStyle w:val="Majorheading"/>
        <w:sectPr w:rsidR="00463352" w:rsidRPr="00CB32B1" w:rsidSect="003E4E09">
          <w:pgSz w:w="11907" w:h="16840" w:code="9"/>
          <w:pgMar w:top="1699" w:right="1138" w:bottom="1699" w:left="1138" w:header="677" w:footer="677" w:gutter="562"/>
          <w:cols w:space="708"/>
          <w:titlePg/>
          <w:docGrid w:linePitch="360"/>
        </w:sectPr>
      </w:pPr>
    </w:p>
    <w:p w:rsidR="00767B1A" w:rsidRPr="00CB32B1" w:rsidRDefault="00767B1A" w:rsidP="00767B1A">
      <w:pPr>
        <w:pStyle w:val="Majorheading"/>
      </w:pPr>
      <w:r w:rsidRPr="00CB32B1">
        <w:t>J.6.</w:t>
      </w:r>
      <w:r w:rsidRPr="00CB32B1">
        <w:tab/>
        <w:t>Literature reviewed, biases and limitations</w:t>
      </w:r>
    </w:p>
    <w:p w:rsidR="00767B1A" w:rsidRPr="00CB32B1" w:rsidRDefault="009129A6" w:rsidP="00767B1A">
      <w:pPr>
        <w:pStyle w:val="PwCNormal"/>
      </w:pPr>
      <w:r>
        <w:fldChar w:fldCharType="begin"/>
      </w:r>
      <w:r w:rsidR="00B7413E">
        <w:instrText xml:space="preserve"> REF _Ref362973587 \h </w:instrText>
      </w:r>
      <w:r>
        <w:fldChar w:fldCharType="separate"/>
      </w:r>
      <w:r w:rsidR="008816B4" w:rsidRPr="00CB32B1">
        <w:t xml:space="preserve">Table </w:t>
      </w:r>
      <w:r w:rsidR="008816B4">
        <w:rPr>
          <w:noProof/>
        </w:rPr>
        <w:t>52</w:t>
      </w:r>
      <w:r>
        <w:fldChar w:fldCharType="end"/>
      </w:r>
      <w:r w:rsidR="00B7413E">
        <w:t xml:space="preserve"> </w:t>
      </w:r>
      <w:r w:rsidR="00767B1A" w:rsidRPr="00CB32B1">
        <w:t>details which studies were considered by key stakeholders when forming their position statements on the topic of homebirth. It can be seen that different documents are used to support their positions.</w:t>
      </w:r>
      <w:r w:rsidR="009C0172">
        <w:t xml:space="preserve"> </w:t>
      </w:r>
      <w:r w:rsidR="00767B1A" w:rsidRPr="00CB32B1">
        <w:t>Different biases can be demonstrated, as an example, by analysing the documents used by both RANZCOG</w:t>
      </w:r>
      <w:r w:rsidR="00767B1A" w:rsidRPr="00CB32B1">
        <w:rPr>
          <w:rStyle w:val="FootnoteReference"/>
        </w:rPr>
        <w:footnoteReference w:id="358"/>
      </w:r>
      <w:r w:rsidR="00767B1A" w:rsidRPr="00CB32B1">
        <w:t xml:space="preserve"> and ACM,</w:t>
      </w:r>
      <w:r w:rsidR="003544DD" w:rsidRPr="00CB32B1">
        <w:rPr>
          <w:rStyle w:val="FootnoteReference"/>
        </w:rPr>
        <w:footnoteReference w:id="359"/>
      </w:r>
      <w:r w:rsidR="00767B1A" w:rsidRPr="00CB32B1">
        <w:t xml:space="preserve"> and how they are used, to support their positions. </w:t>
      </w:r>
    </w:p>
    <w:p w:rsidR="00767B1A" w:rsidRPr="00CB32B1" w:rsidRDefault="00767B1A" w:rsidP="00767B1A">
      <w:pPr>
        <w:pStyle w:val="PwCNormal"/>
      </w:pPr>
      <w:r w:rsidRPr="00CB32B1">
        <w:t>Firstly, one</w:t>
      </w:r>
      <w:r w:rsidR="00CD76BA">
        <w:t xml:space="preserve"> bias</w:t>
      </w:r>
      <w:r w:rsidRPr="00CB32B1">
        <w:t xml:space="preserve"> arises from how interpretations differ regarding the relevance of a </w:t>
      </w:r>
      <w:r w:rsidR="009C0172">
        <w:t>journal</w:t>
      </w:r>
      <w:r w:rsidRPr="00CB32B1">
        <w:t xml:space="preserve"> for supporting the</w:t>
      </w:r>
      <w:r w:rsidR="009C0172">
        <w:t>ir</w:t>
      </w:r>
      <w:r w:rsidRPr="00CB32B1">
        <w:t xml:space="preserve"> position if high-risk women are </w:t>
      </w:r>
      <w:r w:rsidR="009C0172">
        <w:t>included</w:t>
      </w:r>
      <w:r w:rsidRPr="00CB32B1">
        <w:t xml:space="preserve"> in the sample. </w:t>
      </w:r>
      <w:r w:rsidR="009C0172">
        <w:t>The ACM note that the study by Kennare et all concluded that there are similar rates of perinatal mortality but higher rates of intrapartum death (including an increase In rates of intrapartum asphyxia) with homebirths compared to other health settings. However the ACM also note that there were factors identified in the sample that would mean that the women showing these outcomes were of a high-risk.</w:t>
      </w:r>
      <w:r w:rsidR="009C0172" w:rsidRPr="00CB32B1">
        <w:t xml:space="preserve"> </w:t>
      </w:r>
      <w:r w:rsidRPr="00CB32B1">
        <w:t xml:space="preserve">The ACM also use Bastian et al and Parratt &amp; Johnson for their literature review. Both of these documents are noted for including high-risk women. Therefore, the outcomes may not be considered as realistic as if the ACM guidelines for risk were applied to the cohorts chosen. </w:t>
      </w:r>
    </w:p>
    <w:p w:rsidR="00767B1A" w:rsidRPr="00CB32B1" w:rsidRDefault="00767B1A" w:rsidP="00767B1A">
      <w:pPr>
        <w:pStyle w:val="PwCNormal"/>
      </w:pPr>
      <w:r w:rsidRPr="00CB32B1">
        <w:t xml:space="preserve">Secondly, </w:t>
      </w:r>
      <w:r w:rsidR="00CD76BA">
        <w:t>another bias arises when considering how studies are used. As</w:t>
      </w:r>
      <w:r w:rsidR="00A76D74">
        <w:t xml:space="preserve"> an example</w:t>
      </w:r>
      <w:r w:rsidR="00CD76BA">
        <w:t xml:space="preserve"> </w:t>
      </w:r>
      <w:r w:rsidRPr="00CB32B1">
        <w:t>Mori et al is used for different arguments by stakeholders. The study is used by RANZCOG to support the position that those identified as low</w:t>
      </w:r>
      <w:r w:rsidR="00CD76BA">
        <w:t>-</w:t>
      </w:r>
      <w:r w:rsidRPr="00CB32B1">
        <w:t xml:space="preserve">risk in pregnancy </w:t>
      </w:r>
      <w:r w:rsidR="009C0172">
        <w:t>may</w:t>
      </w:r>
      <w:r w:rsidRPr="00CB32B1">
        <w:t xml:space="preserve"> develop a complication necessitating transfer to care in a conventional birth suite setting – the argument being that in many locations in Australia this cannot be accomplished expeditiously. However, the ACM have used the study to show that unintended homebirths were included in the presented figures for showing that the higher intrapartum-related perinatal mortality rate from those transferred during labour should be treated with caution. The challenges that occur from this are that the documents are being used to support very different arguments and can be interpreted for different purposes. </w:t>
      </w:r>
    </w:p>
    <w:p w:rsidR="00767B1A" w:rsidRPr="00CB32B1" w:rsidRDefault="00767B1A" w:rsidP="00767B1A">
      <w:pPr>
        <w:pStyle w:val="PwCNormal"/>
        <w:numPr>
          <w:ilvl w:val="0"/>
          <w:numId w:val="0"/>
        </w:numPr>
      </w:pPr>
      <w:r w:rsidRPr="00CB32B1">
        <w:t>The documents used by both</w:t>
      </w:r>
      <w:r w:rsidR="00CD76BA">
        <w:t xml:space="preserve"> bodies</w:t>
      </w:r>
      <w:r w:rsidRPr="00CB32B1">
        <w:t xml:space="preserve"> are predominantly from Australia, however as </w:t>
      </w:r>
      <w:r w:rsidR="009C0172">
        <w:t xml:space="preserve">the </w:t>
      </w:r>
      <w:r w:rsidRPr="00CB32B1">
        <w:t xml:space="preserve">scope </w:t>
      </w:r>
      <w:r w:rsidR="009C0172">
        <w:t xml:space="preserve">of this </w:t>
      </w:r>
      <w:r w:rsidRPr="00CB32B1">
        <w:t>require</w:t>
      </w:r>
      <w:r w:rsidR="009C0172">
        <w:t>d</w:t>
      </w:r>
      <w:r w:rsidRPr="00CB32B1">
        <w:t xml:space="preserve"> a focus on studies post 2000, several of studies have not been considered in </w:t>
      </w:r>
      <w:r w:rsidR="009C0172">
        <w:t xml:space="preserve">the body of </w:t>
      </w:r>
      <w:r w:rsidRPr="00CB32B1">
        <w:t>this report.</w:t>
      </w:r>
    </w:p>
    <w:p w:rsidR="00767B1A" w:rsidRPr="00CB32B1" w:rsidRDefault="00767B1A" w:rsidP="00767B1A">
      <w:pPr>
        <w:pStyle w:val="PwCNormal"/>
        <w:numPr>
          <w:ilvl w:val="0"/>
          <w:numId w:val="0"/>
        </w:numPr>
        <w:sectPr w:rsidR="00767B1A" w:rsidRPr="00CB32B1" w:rsidSect="003E4E09">
          <w:pgSz w:w="11907" w:h="16840" w:code="9"/>
          <w:pgMar w:top="1699" w:right="1138" w:bottom="1699" w:left="1138" w:header="677" w:footer="677" w:gutter="562"/>
          <w:cols w:space="708"/>
          <w:titlePg/>
          <w:docGrid w:linePitch="360"/>
        </w:sectPr>
      </w:pPr>
    </w:p>
    <w:p w:rsidR="00D63366" w:rsidRPr="00B7413E" w:rsidRDefault="00D63366" w:rsidP="00B7413E">
      <w:pPr>
        <w:pStyle w:val="BodyText"/>
        <w:keepNext/>
        <w:keepLines/>
      </w:pPr>
      <w:bookmarkStart w:id="170" w:name="_Ref361224914"/>
      <w:r w:rsidRPr="00B7413E">
        <w:t>We have also noted the geographic location of these documents in the table below. We have included whether the WA health network has considered these documents and any others in their report. This is to demonstrate the divergence between positions between State and Clinical organisations.</w:t>
      </w:r>
    </w:p>
    <w:p w:rsidR="00767B1A" w:rsidRPr="00CB32B1" w:rsidRDefault="00767B1A" w:rsidP="00767B1A">
      <w:pPr>
        <w:pStyle w:val="Caption"/>
      </w:pPr>
      <w:bookmarkStart w:id="171" w:name="_Ref362973587"/>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52</w:t>
      </w:r>
      <w:r w:rsidR="009129A6" w:rsidRPr="00CB32B1">
        <w:fldChar w:fldCharType="end"/>
      </w:r>
      <w:bookmarkEnd w:id="170"/>
      <w:bookmarkEnd w:id="171"/>
      <w:r w:rsidRPr="00CB32B1">
        <w:t>:</w:t>
      </w:r>
      <w:r w:rsidRPr="00CB32B1">
        <w:tab/>
        <w:t>Documents used by organisations to evidence outcomes from homebirth</w:t>
      </w:r>
    </w:p>
    <w:tbl>
      <w:tblPr>
        <w:tblStyle w:val="PwCTableStyle1"/>
        <w:tblW w:w="5000" w:type="pct"/>
        <w:tblLook w:val="04A0"/>
      </w:tblPr>
      <w:tblGrid>
        <w:gridCol w:w="2518"/>
        <w:gridCol w:w="1839"/>
        <w:gridCol w:w="1410"/>
        <w:gridCol w:w="766"/>
        <w:gridCol w:w="1230"/>
        <w:gridCol w:w="1448"/>
        <w:gridCol w:w="5569"/>
      </w:tblGrid>
      <w:tr w:rsidR="00767B1A" w:rsidRPr="00CB32B1" w:rsidTr="00D63366">
        <w:trPr>
          <w:cnfStyle w:val="100000000000"/>
        </w:trPr>
        <w:tc>
          <w:tcPr>
            <w:cnfStyle w:val="001000000000"/>
            <w:tcW w:w="852" w:type="pct"/>
            <w:shd w:val="clear" w:color="auto" w:fill="DC6900" w:themeFill="text2"/>
          </w:tcPr>
          <w:p w:rsidR="00767B1A" w:rsidRPr="00CB32B1" w:rsidRDefault="00767B1A" w:rsidP="00767B1A">
            <w:pPr>
              <w:pStyle w:val="TableColumnHeadingNormal"/>
            </w:pPr>
          </w:p>
          <w:p w:rsidR="00767B1A" w:rsidRPr="00CB32B1" w:rsidRDefault="00747120" w:rsidP="00767B1A">
            <w:pPr>
              <w:pStyle w:val="TableColumnHeadingNormal"/>
            </w:pPr>
            <w:r w:rsidRPr="00CB32B1">
              <w:t>Document</w:t>
            </w:r>
          </w:p>
        </w:tc>
        <w:tc>
          <w:tcPr>
            <w:tcW w:w="622" w:type="pct"/>
            <w:shd w:val="clear" w:color="auto" w:fill="DC6900" w:themeFill="text2"/>
          </w:tcPr>
          <w:p w:rsidR="00767B1A" w:rsidRPr="00CB32B1" w:rsidRDefault="000436E0" w:rsidP="00747120">
            <w:pPr>
              <w:pStyle w:val="TableColumnHeadingNormal"/>
              <w:jc w:val="center"/>
              <w:cnfStyle w:val="100000000000"/>
            </w:pPr>
            <w:r>
              <w:t>Jurisdiction</w:t>
            </w:r>
          </w:p>
        </w:tc>
        <w:tc>
          <w:tcPr>
            <w:tcW w:w="477" w:type="pct"/>
            <w:shd w:val="clear" w:color="auto" w:fill="DC6900" w:themeFill="text2"/>
          </w:tcPr>
          <w:p w:rsidR="00767B1A" w:rsidRPr="00CB32B1" w:rsidRDefault="00767B1A" w:rsidP="00747120">
            <w:pPr>
              <w:pStyle w:val="TableColumnHeadingNormal"/>
              <w:jc w:val="center"/>
              <w:cnfStyle w:val="100000000000"/>
            </w:pPr>
            <w:r w:rsidRPr="00CB32B1">
              <w:t>RANZCOG</w:t>
            </w:r>
          </w:p>
        </w:tc>
        <w:tc>
          <w:tcPr>
            <w:tcW w:w="259" w:type="pct"/>
            <w:shd w:val="clear" w:color="auto" w:fill="DC6900" w:themeFill="text2"/>
          </w:tcPr>
          <w:p w:rsidR="00767B1A" w:rsidRPr="00CB32B1" w:rsidRDefault="00767B1A" w:rsidP="00747120">
            <w:pPr>
              <w:pStyle w:val="TableColumnHeadingNormal"/>
              <w:jc w:val="center"/>
              <w:cnfStyle w:val="100000000000"/>
            </w:pPr>
            <w:r w:rsidRPr="00CB32B1">
              <w:t>ACM</w:t>
            </w:r>
          </w:p>
        </w:tc>
        <w:tc>
          <w:tcPr>
            <w:tcW w:w="416" w:type="pct"/>
            <w:shd w:val="clear" w:color="auto" w:fill="DC6900" w:themeFill="text2"/>
          </w:tcPr>
          <w:p w:rsidR="00767B1A" w:rsidRPr="00CB32B1" w:rsidRDefault="00767B1A" w:rsidP="00747120">
            <w:pPr>
              <w:pStyle w:val="TableColumnHeadingNormal"/>
              <w:jc w:val="center"/>
              <w:cnfStyle w:val="100000000000"/>
            </w:pPr>
            <w:r w:rsidRPr="00CB32B1">
              <w:t>WAHS</w:t>
            </w:r>
          </w:p>
        </w:tc>
        <w:tc>
          <w:tcPr>
            <w:tcW w:w="490" w:type="pct"/>
            <w:shd w:val="clear" w:color="auto" w:fill="DC6900" w:themeFill="text2"/>
          </w:tcPr>
          <w:p w:rsidR="00767B1A" w:rsidRPr="00CB32B1" w:rsidRDefault="00767B1A" w:rsidP="00747120">
            <w:pPr>
              <w:pStyle w:val="TableColumnHeadingNormal"/>
              <w:jc w:val="center"/>
              <w:cnfStyle w:val="100000000000"/>
            </w:pPr>
            <w:r w:rsidRPr="00CB32B1">
              <w:t>Chosen for literature review</w:t>
            </w:r>
          </w:p>
        </w:tc>
        <w:tc>
          <w:tcPr>
            <w:tcW w:w="1884" w:type="pct"/>
            <w:shd w:val="clear" w:color="auto" w:fill="DC6900" w:themeFill="text2"/>
          </w:tcPr>
          <w:p w:rsidR="00767B1A" w:rsidRPr="00CB32B1" w:rsidRDefault="00767B1A" w:rsidP="00747120">
            <w:pPr>
              <w:pStyle w:val="TableColumnHeadingNormal"/>
              <w:jc w:val="center"/>
              <w:cnfStyle w:val="100000000000"/>
            </w:pPr>
            <w:r w:rsidRPr="00CB32B1">
              <w:t>Limitations for literature review</w:t>
            </w:r>
          </w:p>
        </w:tc>
      </w:tr>
      <w:tr w:rsidR="00767B1A" w:rsidRPr="00CB32B1" w:rsidTr="00D63366">
        <w:tc>
          <w:tcPr>
            <w:cnfStyle w:val="001000000000"/>
            <w:tcW w:w="852" w:type="pct"/>
          </w:tcPr>
          <w:p w:rsidR="00767B1A" w:rsidRPr="00CB32B1" w:rsidRDefault="00767B1A" w:rsidP="00F40E8A">
            <w:pPr>
              <w:pStyle w:val="TableTextNormal"/>
            </w:pPr>
            <w:r w:rsidRPr="00CB32B1">
              <w:t xml:space="preserve">Wax, Lucas, </w:t>
            </w:r>
            <w:r w:rsidR="00F40E8A" w:rsidRPr="00CB32B1">
              <w:t>Lamont, Pinette, Cartin &amp; Blackstone</w:t>
            </w:r>
            <w:r w:rsidRPr="00CB32B1">
              <w:t xml:space="preserve"> 2010</w:t>
            </w:r>
          </w:p>
        </w:tc>
        <w:tc>
          <w:tcPr>
            <w:tcW w:w="622" w:type="pct"/>
          </w:tcPr>
          <w:p w:rsidR="00767B1A" w:rsidRPr="00CB32B1" w:rsidRDefault="00767B1A" w:rsidP="00A44E81">
            <w:pPr>
              <w:pStyle w:val="TableTextNormal"/>
              <w:cnfStyle w:val="000000000000"/>
            </w:pPr>
            <w:r w:rsidRPr="00CB32B1">
              <w:t>Developed western countries</w:t>
            </w:r>
          </w:p>
        </w:tc>
        <w:tc>
          <w:tcPr>
            <w:tcW w:w="477" w:type="pct"/>
          </w:tcPr>
          <w:p w:rsidR="00767B1A" w:rsidRPr="00CB32B1" w:rsidRDefault="00767B1A" w:rsidP="00767B1A">
            <w:pPr>
              <w:pStyle w:val="TableTextNormal"/>
              <w:jc w:val="center"/>
              <w:cnfStyle w:val="000000000000"/>
            </w:pPr>
            <w:r w:rsidRPr="00CB32B1">
              <w:sym w:font="Wingdings" w:char="F0FC"/>
            </w:r>
          </w:p>
        </w:tc>
        <w:tc>
          <w:tcPr>
            <w:tcW w:w="259" w:type="pct"/>
          </w:tcPr>
          <w:p w:rsidR="00767B1A" w:rsidRPr="00CB32B1" w:rsidRDefault="00767B1A" w:rsidP="00767B1A">
            <w:pPr>
              <w:pStyle w:val="TableTextNormal"/>
              <w:jc w:val="center"/>
              <w:cnfStyle w:val="000000000000"/>
            </w:pPr>
            <w:r w:rsidRPr="00CB32B1">
              <w:t>×</w:t>
            </w:r>
          </w:p>
        </w:tc>
        <w:tc>
          <w:tcPr>
            <w:tcW w:w="416" w:type="pct"/>
          </w:tcPr>
          <w:p w:rsidR="00767B1A" w:rsidRPr="00CB32B1" w:rsidRDefault="00767B1A" w:rsidP="00767B1A">
            <w:pPr>
              <w:pStyle w:val="TableTextNormal"/>
              <w:jc w:val="center"/>
              <w:cnfStyle w:val="000000000000"/>
            </w:pPr>
            <w:r w:rsidRPr="00CB32B1">
              <w:t>×</w:t>
            </w:r>
          </w:p>
        </w:tc>
        <w:tc>
          <w:tcPr>
            <w:tcW w:w="490" w:type="pct"/>
          </w:tcPr>
          <w:p w:rsidR="00767B1A" w:rsidRPr="00CB32B1" w:rsidRDefault="00767B1A" w:rsidP="00767B1A">
            <w:pPr>
              <w:pStyle w:val="TableTextNormal"/>
              <w:jc w:val="center"/>
              <w:cnfStyle w:val="000000000000"/>
            </w:pPr>
            <w:r w:rsidRPr="00CB32B1">
              <w:t>×</w:t>
            </w:r>
          </w:p>
        </w:tc>
        <w:tc>
          <w:tcPr>
            <w:tcW w:w="1884" w:type="pct"/>
          </w:tcPr>
          <w:p w:rsidR="00767B1A" w:rsidRPr="00CB32B1" w:rsidRDefault="00767B1A" w:rsidP="00767B1A">
            <w:pPr>
              <w:pStyle w:val="TableBullet1Normal"/>
              <w:cnfStyle w:val="000000000000"/>
            </w:pPr>
            <w:r w:rsidRPr="00CB32B1">
              <w:t>Study data period is from 1976–2006</w:t>
            </w:r>
          </w:p>
        </w:tc>
      </w:tr>
      <w:tr w:rsidR="00767B1A" w:rsidRPr="00CB32B1" w:rsidTr="00D63366">
        <w:tc>
          <w:tcPr>
            <w:cnfStyle w:val="001000000000"/>
            <w:tcW w:w="852" w:type="pct"/>
          </w:tcPr>
          <w:p w:rsidR="00767B1A" w:rsidRPr="00CB32B1" w:rsidRDefault="00767B1A" w:rsidP="00F40E8A">
            <w:pPr>
              <w:pStyle w:val="TableTextNormal"/>
            </w:pPr>
            <w:r w:rsidRPr="00CB32B1">
              <w:t>Chang &amp; Macones 2011</w:t>
            </w:r>
          </w:p>
        </w:tc>
        <w:tc>
          <w:tcPr>
            <w:tcW w:w="622" w:type="pct"/>
          </w:tcPr>
          <w:p w:rsidR="00767B1A" w:rsidRPr="00CB32B1" w:rsidRDefault="00767B1A" w:rsidP="00A44E81">
            <w:pPr>
              <w:pStyle w:val="TableTextNormal"/>
              <w:cnfStyle w:val="000000000000"/>
            </w:pPr>
            <w:r w:rsidRPr="00CB32B1">
              <w:t>Missouri, USA</w:t>
            </w:r>
          </w:p>
        </w:tc>
        <w:tc>
          <w:tcPr>
            <w:tcW w:w="477" w:type="pct"/>
          </w:tcPr>
          <w:p w:rsidR="00767B1A" w:rsidRPr="00CB32B1" w:rsidRDefault="00767B1A" w:rsidP="00767B1A">
            <w:pPr>
              <w:pStyle w:val="TableTextNormal"/>
              <w:jc w:val="center"/>
              <w:cnfStyle w:val="000000000000"/>
            </w:pPr>
            <w:r w:rsidRPr="00CB32B1">
              <w:sym w:font="Wingdings" w:char="F0FC"/>
            </w:r>
          </w:p>
        </w:tc>
        <w:tc>
          <w:tcPr>
            <w:tcW w:w="259" w:type="pct"/>
          </w:tcPr>
          <w:p w:rsidR="00767B1A" w:rsidRPr="00CB32B1" w:rsidRDefault="00767B1A" w:rsidP="00767B1A">
            <w:pPr>
              <w:pStyle w:val="TableTextNormal"/>
              <w:jc w:val="center"/>
              <w:cnfStyle w:val="000000000000"/>
            </w:pPr>
            <w:r w:rsidRPr="00CB32B1">
              <w:t>×</w:t>
            </w:r>
          </w:p>
        </w:tc>
        <w:tc>
          <w:tcPr>
            <w:tcW w:w="416" w:type="pct"/>
          </w:tcPr>
          <w:p w:rsidR="00767B1A" w:rsidRPr="00CB32B1" w:rsidRDefault="00767B1A" w:rsidP="00767B1A">
            <w:pPr>
              <w:pStyle w:val="TableTextNormal"/>
              <w:jc w:val="center"/>
              <w:cnfStyle w:val="000000000000"/>
            </w:pPr>
            <w:r w:rsidRPr="00CB32B1">
              <w:t>×</w:t>
            </w:r>
          </w:p>
        </w:tc>
        <w:tc>
          <w:tcPr>
            <w:tcW w:w="490" w:type="pct"/>
          </w:tcPr>
          <w:p w:rsidR="00767B1A" w:rsidRPr="00CB32B1" w:rsidRDefault="00767B1A" w:rsidP="00767B1A">
            <w:pPr>
              <w:pStyle w:val="TableTextNormal"/>
              <w:jc w:val="center"/>
              <w:cnfStyle w:val="000000000000"/>
            </w:pPr>
            <w:r w:rsidRPr="00CB32B1">
              <w:t>×</w:t>
            </w:r>
          </w:p>
        </w:tc>
        <w:tc>
          <w:tcPr>
            <w:tcW w:w="1884" w:type="pct"/>
          </w:tcPr>
          <w:p w:rsidR="00767B1A" w:rsidRPr="00CB32B1" w:rsidRDefault="00767B1A" w:rsidP="00767B1A">
            <w:pPr>
              <w:pStyle w:val="TableBullet1Normal"/>
              <w:cnfStyle w:val="000000000000"/>
            </w:pPr>
            <w:r w:rsidRPr="00CB32B1">
              <w:t>Study is not a country study and falls outside of countries being analysed</w:t>
            </w:r>
          </w:p>
        </w:tc>
      </w:tr>
      <w:tr w:rsidR="00767B1A" w:rsidRPr="00CB32B1" w:rsidTr="00D63366">
        <w:tc>
          <w:tcPr>
            <w:cnfStyle w:val="001000000000"/>
            <w:tcW w:w="852" w:type="pct"/>
          </w:tcPr>
          <w:p w:rsidR="00767B1A" w:rsidRPr="00CB32B1" w:rsidRDefault="00F40E8A" w:rsidP="00F40E8A">
            <w:pPr>
              <w:pStyle w:val="TableTextNormal"/>
            </w:pPr>
            <w:r w:rsidRPr="00CB32B1">
              <w:t>Kennare, Keirse, Tucker, &amp; Chan</w:t>
            </w:r>
            <w:r w:rsidR="00767B1A" w:rsidRPr="00CB32B1">
              <w:t xml:space="preserve"> 2010</w:t>
            </w:r>
          </w:p>
        </w:tc>
        <w:tc>
          <w:tcPr>
            <w:tcW w:w="622" w:type="pct"/>
          </w:tcPr>
          <w:p w:rsidR="00767B1A" w:rsidRPr="00CB32B1" w:rsidRDefault="00767B1A" w:rsidP="00A44E81">
            <w:pPr>
              <w:pStyle w:val="TableTextNormal"/>
              <w:cnfStyle w:val="000000000000"/>
            </w:pPr>
            <w:r w:rsidRPr="00CB32B1">
              <w:t>South Australia, Australia</w:t>
            </w:r>
          </w:p>
        </w:tc>
        <w:tc>
          <w:tcPr>
            <w:tcW w:w="477" w:type="pct"/>
          </w:tcPr>
          <w:p w:rsidR="00767B1A" w:rsidRPr="00CB32B1" w:rsidRDefault="00767B1A" w:rsidP="00767B1A">
            <w:pPr>
              <w:pStyle w:val="TableTextNormal"/>
              <w:jc w:val="center"/>
              <w:cnfStyle w:val="000000000000"/>
            </w:pPr>
            <w:r w:rsidRPr="00CB32B1">
              <w:sym w:font="Wingdings" w:char="F0FC"/>
            </w:r>
          </w:p>
        </w:tc>
        <w:tc>
          <w:tcPr>
            <w:tcW w:w="259" w:type="pct"/>
          </w:tcPr>
          <w:p w:rsidR="00767B1A" w:rsidRPr="00CB32B1" w:rsidRDefault="00767B1A" w:rsidP="00767B1A">
            <w:pPr>
              <w:pStyle w:val="TableTextNormal"/>
              <w:jc w:val="center"/>
              <w:cnfStyle w:val="000000000000"/>
            </w:pPr>
            <w:r w:rsidRPr="00CB32B1">
              <w:sym w:font="Wingdings" w:char="F0FC"/>
            </w:r>
          </w:p>
        </w:tc>
        <w:tc>
          <w:tcPr>
            <w:tcW w:w="416" w:type="pct"/>
          </w:tcPr>
          <w:p w:rsidR="00767B1A" w:rsidRPr="00CB32B1" w:rsidRDefault="00767B1A" w:rsidP="00767B1A">
            <w:pPr>
              <w:pStyle w:val="TableTextNormal"/>
              <w:jc w:val="center"/>
              <w:cnfStyle w:val="000000000000"/>
            </w:pPr>
            <w:r w:rsidRPr="00CB32B1">
              <w:sym w:font="Wingdings" w:char="F0FC"/>
            </w:r>
          </w:p>
        </w:tc>
        <w:tc>
          <w:tcPr>
            <w:tcW w:w="490" w:type="pct"/>
          </w:tcPr>
          <w:p w:rsidR="00767B1A" w:rsidRPr="00CB32B1" w:rsidRDefault="00767B1A" w:rsidP="00767B1A">
            <w:pPr>
              <w:pStyle w:val="TableTextNormal"/>
              <w:jc w:val="center"/>
              <w:cnfStyle w:val="000000000000"/>
            </w:pPr>
            <w:r w:rsidRPr="00CB32B1">
              <w:sym w:font="Wingdings" w:char="F0FC"/>
            </w:r>
          </w:p>
        </w:tc>
        <w:tc>
          <w:tcPr>
            <w:tcW w:w="1884" w:type="pct"/>
          </w:tcPr>
          <w:p w:rsidR="00767B1A" w:rsidRPr="00CB32B1" w:rsidRDefault="00767B1A" w:rsidP="00767B1A">
            <w:pPr>
              <w:pStyle w:val="TableBullet1Normal"/>
              <w:cnfStyle w:val="000000000000"/>
            </w:pPr>
            <w:r w:rsidRPr="00CB32B1">
              <w:t>Study was included but unknown what is included or excluded criteria for planned homebirth or what was high and low</w:t>
            </w:r>
            <w:r w:rsidR="008341BC">
              <w:t>-</w:t>
            </w:r>
            <w:r w:rsidRPr="00CB32B1">
              <w:t>risk</w:t>
            </w:r>
          </w:p>
          <w:p w:rsidR="00767B1A" w:rsidRPr="00CB32B1" w:rsidRDefault="00767B1A" w:rsidP="00767B1A">
            <w:pPr>
              <w:pStyle w:val="TableBullet1Normal"/>
              <w:cnfStyle w:val="000000000000"/>
            </w:pPr>
            <w:r w:rsidRPr="00CB32B1">
              <w:t>Study data period is from 1991–2006</w:t>
            </w:r>
          </w:p>
        </w:tc>
      </w:tr>
      <w:tr w:rsidR="00767B1A" w:rsidRPr="00CB32B1" w:rsidTr="00D63366">
        <w:tc>
          <w:tcPr>
            <w:cnfStyle w:val="001000000000"/>
            <w:tcW w:w="852" w:type="pct"/>
          </w:tcPr>
          <w:p w:rsidR="00767B1A" w:rsidRPr="00CB32B1" w:rsidRDefault="00767B1A" w:rsidP="00F40E8A">
            <w:pPr>
              <w:pStyle w:val="TableTextNormal"/>
            </w:pPr>
            <w:r w:rsidRPr="00CB32B1">
              <w:t>McMurtrie, Catling-Paul</w:t>
            </w:r>
            <w:r w:rsidR="00F40E8A" w:rsidRPr="00CB32B1">
              <w:t>,</w:t>
            </w:r>
            <w:r w:rsidRPr="00CB32B1">
              <w:t xml:space="preserve"> Teate, </w:t>
            </w:r>
            <w:r w:rsidR="00F40E8A" w:rsidRPr="00CB32B1">
              <w:t xml:space="preserve">Caplice, Chapman &amp; Homer </w:t>
            </w:r>
            <w:r w:rsidRPr="00CB32B1">
              <w:t>2009</w:t>
            </w:r>
          </w:p>
        </w:tc>
        <w:tc>
          <w:tcPr>
            <w:tcW w:w="622" w:type="pct"/>
          </w:tcPr>
          <w:p w:rsidR="00767B1A" w:rsidRPr="00CB32B1" w:rsidRDefault="00767B1A" w:rsidP="00A44E81">
            <w:pPr>
              <w:pStyle w:val="TableTextNormal"/>
              <w:cnfStyle w:val="000000000000"/>
            </w:pPr>
            <w:r w:rsidRPr="00CB32B1">
              <w:t>St George Hospital, Australia</w:t>
            </w:r>
          </w:p>
        </w:tc>
        <w:tc>
          <w:tcPr>
            <w:tcW w:w="477" w:type="pct"/>
          </w:tcPr>
          <w:p w:rsidR="00767B1A" w:rsidRPr="00CB32B1" w:rsidRDefault="00767B1A" w:rsidP="00767B1A">
            <w:pPr>
              <w:pStyle w:val="TableTextNormal"/>
              <w:jc w:val="center"/>
              <w:cnfStyle w:val="000000000000"/>
            </w:pPr>
            <w:r w:rsidRPr="00CB32B1">
              <w:sym w:font="Wingdings" w:char="F0FC"/>
            </w:r>
          </w:p>
        </w:tc>
        <w:tc>
          <w:tcPr>
            <w:tcW w:w="259" w:type="pct"/>
          </w:tcPr>
          <w:p w:rsidR="00767B1A" w:rsidRPr="00CB32B1" w:rsidRDefault="00767B1A" w:rsidP="00767B1A">
            <w:pPr>
              <w:pStyle w:val="TableTextNormal"/>
              <w:jc w:val="center"/>
              <w:cnfStyle w:val="000000000000"/>
            </w:pPr>
            <w:r w:rsidRPr="00CB32B1">
              <w:sym w:font="Wingdings" w:char="F0FC"/>
            </w:r>
          </w:p>
        </w:tc>
        <w:tc>
          <w:tcPr>
            <w:tcW w:w="416" w:type="pct"/>
          </w:tcPr>
          <w:p w:rsidR="00767B1A" w:rsidRPr="00CB32B1" w:rsidRDefault="00767B1A" w:rsidP="00767B1A">
            <w:pPr>
              <w:pStyle w:val="TableTextNormal"/>
              <w:jc w:val="center"/>
              <w:cnfStyle w:val="000000000000"/>
            </w:pPr>
            <w:r w:rsidRPr="00CB32B1">
              <w:sym w:font="Wingdings" w:char="F0FC"/>
            </w:r>
          </w:p>
        </w:tc>
        <w:tc>
          <w:tcPr>
            <w:tcW w:w="490" w:type="pct"/>
          </w:tcPr>
          <w:p w:rsidR="00767B1A" w:rsidRPr="00CB32B1" w:rsidRDefault="00767B1A" w:rsidP="00767B1A">
            <w:pPr>
              <w:pStyle w:val="TableTextNormal"/>
              <w:jc w:val="center"/>
              <w:cnfStyle w:val="000000000000"/>
            </w:pPr>
            <w:r w:rsidRPr="00CB32B1">
              <w:sym w:font="Wingdings" w:char="F0FC"/>
            </w:r>
          </w:p>
        </w:tc>
        <w:tc>
          <w:tcPr>
            <w:tcW w:w="1884" w:type="pct"/>
          </w:tcPr>
          <w:p w:rsidR="00767B1A" w:rsidRPr="00CB32B1" w:rsidRDefault="00767B1A" w:rsidP="00767B1A">
            <w:pPr>
              <w:pStyle w:val="TableBullet1Normal"/>
              <w:cnfStyle w:val="000000000000"/>
            </w:pPr>
            <w:r w:rsidRPr="00CB32B1">
              <w:t>Study includes NSW, Australia and covers the period 2005–2009</w:t>
            </w:r>
          </w:p>
        </w:tc>
      </w:tr>
      <w:tr w:rsidR="00767B1A" w:rsidRPr="00CB32B1" w:rsidTr="00D63366">
        <w:tc>
          <w:tcPr>
            <w:cnfStyle w:val="001000000000"/>
            <w:tcW w:w="852" w:type="pct"/>
          </w:tcPr>
          <w:p w:rsidR="00767B1A" w:rsidRPr="00CB32B1" w:rsidRDefault="00767B1A" w:rsidP="00F40E8A">
            <w:pPr>
              <w:pStyle w:val="TableTextNormal"/>
            </w:pPr>
            <w:r w:rsidRPr="00CB32B1">
              <w:t>Crotty, Ramsay, Smart, &amp; Chan 1990</w:t>
            </w:r>
          </w:p>
        </w:tc>
        <w:tc>
          <w:tcPr>
            <w:tcW w:w="622" w:type="pct"/>
          </w:tcPr>
          <w:p w:rsidR="00767B1A" w:rsidRPr="00CB32B1" w:rsidRDefault="00767B1A" w:rsidP="00A44E81">
            <w:pPr>
              <w:pStyle w:val="TableTextNormal"/>
              <w:cnfStyle w:val="000000000000"/>
            </w:pPr>
            <w:r w:rsidRPr="00CB32B1">
              <w:t>South Australia, Australia</w:t>
            </w:r>
          </w:p>
        </w:tc>
        <w:tc>
          <w:tcPr>
            <w:tcW w:w="477" w:type="pct"/>
          </w:tcPr>
          <w:p w:rsidR="00767B1A" w:rsidRPr="00CB32B1" w:rsidRDefault="00767B1A" w:rsidP="00767B1A">
            <w:pPr>
              <w:pStyle w:val="TableTextNormal"/>
              <w:jc w:val="center"/>
              <w:cnfStyle w:val="000000000000"/>
            </w:pPr>
            <w:r w:rsidRPr="00CB32B1">
              <w:sym w:font="Wingdings" w:char="F0FC"/>
            </w:r>
          </w:p>
        </w:tc>
        <w:tc>
          <w:tcPr>
            <w:tcW w:w="259" w:type="pct"/>
          </w:tcPr>
          <w:p w:rsidR="00767B1A" w:rsidRPr="00CB32B1" w:rsidRDefault="00767B1A" w:rsidP="00767B1A">
            <w:pPr>
              <w:pStyle w:val="TableTextNormal"/>
              <w:jc w:val="center"/>
              <w:cnfStyle w:val="000000000000"/>
            </w:pPr>
            <w:r w:rsidRPr="00CB32B1">
              <w:t>×*</w:t>
            </w:r>
          </w:p>
        </w:tc>
        <w:tc>
          <w:tcPr>
            <w:tcW w:w="416" w:type="pct"/>
          </w:tcPr>
          <w:p w:rsidR="00767B1A" w:rsidRPr="00CB32B1" w:rsidRDefault="00767B1A" w:rsidP="00767B1A">
            <w:pPr>
              <w:pStyle w:val="TableTextNormal"/>
              <w:jc w:val="center"/>
              <w:cnfStyle w:val="000000000000"/>
            </w:pPr>
            <w:r w:rsidRPr="00CB32B1">
              <w:sym w:font="Wingdings" w:char="F0FC"/>
            </w:r>
          </w:p>
        </w:tc>
        <w:tc>
          <w:tcPr>
            <w:tcW w:w="490" w:type="pct"/>
          </w:tcPr>
          <w:p w:rsidR="00767B1A" w:rsidRPr="00CB32B1" w:rsidRDefault="00767B1A" w:rsidP="00767B1A">
            <w:pPr>
              <w:pStyle w:val="TableTextNormal"/>
              <w:jc w:val="center"/>
              <w:cnfStyle w:val="000000000000"/>
            </w:pPr>
            <w:r w:rsidRPr="00CB32B1">
              <w:t>×</w:t>
            </w:r>
          </w:p>
        </w:tc>
        <w:tc>
          <w:tcPr>
            <w:tcW w:w="1884" w:type="pct"/>
          </w:tcPr>
          <w:p w:rsidR="00767B1A" w:rsidRPr="00CB32B1" w:rsidRDefault="00767B1A" w:rsidP="00767B1A">
            <w:pPr>
              <w:pStyle w:val="TableBullet1Normal"/>
              <w:cnfStyle w:val="000000000000"/>
            </w:pPr>
            <w:r w:rsidRPr="00CB32B1">
              <w:t>Study covers 1976–1987</w:t>
            </w:r>
          </w:p>
        </w:tc>
      </w:tr>
      <w:tr w:rsidR="00767B1A" w:rsidRPr="00CB32B1" w:rsidTr="00D63366">
        <w:tc>
          <w:tcPr>
            <w:cnfStyle w:val="001000000000"/>
            <w:tcW w:w="852" w:type="pct"/>
          </w:tcPr>
          <w:p w:rsidR="00767B1A" w:rsidRPr="00CB32B1" w:rsidRDefault="00767B1A" w:rsidP="00F40E8A">
            <w:pPr>
              <w:pStyle w:val="TableTextNormal"/>
            </w:pPr>
            <w:r w:rsidRPr="00CB32B1">
              <w:t>Woodcock, Read, Moore, Stanley, &amp; Bower 1990</w:t>
            </w:r>
          </w:p>
        </w:tc>
        <w:tc>
          <w:tcPr>
            <w:tcW w:w="622" w:type="pct"/>
          </w:tcPr>
          <w:p w:rsidR="00767B1A" w:rsidRPr="00CB32B1" w:rsidRDefault="00767B1A" w:rsidP="00A44E81">
            <w:pPr>
              <w:pStyle w:val="TableTextNormal"/>
              <w:cnfStyle w:val="000000000000"/>
            </w:pPr>
            <w:r w:rsidRPr="00CB32B1">
              <w:t>Western Australia, Australia</w:t>
            </w:r>
          </w:p>
        </w:tc>
        <w:tc>
          <w:tcPr>
            <w:tcW w:w="477" w:type="pct"/>
          </w:tcPr>
          <w:p w:rsidR="00767B1A" w:rsidRPr="00CB32B1" w:rsidRDefault="00767B1A" w:rsidP="00767B1A">
            <w:pPr>
              <w:pStyle w:val="TableTextNormal"/>
              <w:jc w:val="center"/>
              <w:cnfStyle w:val="000000000000"/>
            </w:pPr>
            <w:r w:rsidRPr="00CB32B1">
              <w:sym w:font="Wingdings" w:char="F0FC"/>
            </w:r>
          </w:p>
        </w:tc>
        <w:tc>
          <w:tcPr>
            <w:tcW w:w="259" w:type="pct"/>
          </w:tcPr>
          <w:p w:rsidR="00767B1A" w:rsidRPr="00CB32B1" w:rsidRDefault="00767B1A" w:rsidP="00767B1A">
            <w:pPr>
              <w:pStyle w:val="TableTextNormal"/>
              <w:jc w:val="center"/>
              <w:cnfStyle w:val="000000000000"/>
            </w:pPr>
            <w:r w:rsidRPr="00CB32B1">
              <w:t>×</w:t>
            </w:r>
          </w:p>
        </w:tc>
        <w:tc>
          <w:tcPr>
            <w:tcW w:w="416" w:type="pct"/>
          </w:tcPr>
          <w:p w:rsidR="00767B1A" w:rsidRPr="00CB32B1" w:rsidRDefault="00767B1A" w:rsidP="00767B1A">
            <w:pPr>
              <w:pStyle w:val="TableTextNormal"/>
              <w:jc w:val="center"/>
              <w:cnfStyle w:val="000000000000"/>
            </w:pPr>
            <w:r w:rsidRPr="00CB32B1">
              <w:sym w:font="Wingdings" w:char="F0FC"/>
            </w:r>
          </w:p>
        </w:tc>
        <w:tc>
          <w:tcPr>
            <w:tcW w:w="490" w:type="pct"/>
          </w:tcPr>
          <w:p w:rsidR="00767B1A" w:rsidRPr="00CB32B1" w:rsidRDefault="00767B1A" w:rsidP="00767B1A">
            <w:pPr>
              <w:pStyle w:val="TableTextNormal"/>
              <w:jc w:val="center"/>
              <w:cnfStyle w:val="000000000000"/>
            </w:pPr>
            <w:r w:rsidRPr="00CB32B1">
              <w:t>×</w:t>
            </w:r>
          </w:p>
        </w:tc>
        <w:tc>
          <w:tcPr>
            <w:tcW w:w="1884" w:type="pct"/>
          </w:tcPr>
          <w:p w:rsidR="00767B1A" w:rsidRPr="00CB32B1" w:rsidRDefault="00767B1A" w:rsidP="00767B1A">
            <w:pPr>
              <w:pStyle w:val="TableBullet1Normal"/>
              <w:cnfStyle w:val="000000000000"/>
            </w:pPr>
            <w:r w:rsidRPr="00CB32B1">
              <w:t>Study covers 1981–1987</w:t>
            </w:r>
          </w:p>
        </w:tc>
      </w:tr>
      <w:tr w:rsidR="00767B1A" w:rsidRPr="00CB32B1" w:rsidTr="00D63366">
        <w:tc>
          <w:tcPr>
            <w:cnfStyle w:val="001000000000"/>
            <w:tcW w:w="852" w:type="pct"/>
          </w:tcPr>
          <w:p w:rsidR="00767B1A" w:rsidRPr="00CB32B1" w:rsidRDefault="00F40E8A" w:rsidP="00F40E8A">
            <w:pPr>
              <w:pStyle w:val="TableTextNormal"/>
            </w:pPr>
            <w:r w:rsidRPr="00CB32B1">
              <w:t xml:space="preserve">Bastian &amp; Lancaster </w:t>
            </w:r>
            <w:r w:rsidR="00767B1A" w:rsidRPr="00CB32B1">
              <w:t>1992</w:t>
            </w:r>
          </w:p>
        </w:tc>
        <w:tc>
          <w:tcPr>
            <w:tcW w:w="622" w:type="pct"/>
          </w:tcPr>
          <w:p w:rsidR="00767B1A" w:rsidRPr="00CB32B1" w:rsidRDefault="00767B1A" w:rsidP="00A44E81">
            <w:pPr>
              <w:pStyle w:val="TableTextNormal"/>
              <w:cnfStyle w:val="000000000000"/>
            </w:pPr>
            <w:r w:rsidRPr="00CB32B1">
              <w:t>Australia</w:t>
            </w:r>
          </w:p>
        </w:tc>
        <w:tc>
          <w:tcPr>
            <w:tcW w:w="477" w:type="pct"/>
          </w:tcPr>
          <w:p w:rsidR="00767B1A" w:rsidRPr="00CB32B1" w:rsidRDefault="00767B1A" w:rsidP="00767B1A">
            <w:pPr>
              <w:pStyle w:val="TableTextNormal"/>
              <w:jc w:val="center"/>
              <w:cnfStyle w:val="000000000000"/>
            </w:pPr>
            <w:r w:rsidRPr="00CB32B1">
              <w:sym w:font="Wingdings" w:char="F0FC"/>
            </w:r>
          </w:p>
        </w:tc>
        <w:tc>
          <w:tcPr>
            <w:tcW w:w="259" w:type="pct"/>
          </w:tcPr>
          <w:p w:rsidR="00767B1A" w:rsidRPr="00CB32B1" w:rsidRDefault="00767B1A" w:rsidP="00767B1A">
            <w:pPr>
              <w:pStyle w:val="TableTextNormal"/>
              <w:jc w:val="center"/>
              <w:cnfStyle w:val="000000000000"/>
            </w:pPr>
            <w:r w:rsidRPr="00CB32B1">
              <w:t>×</w:t>
            </w:r>
          </w:p>
        </w:tc>
        <w:tc>
          <w:tcPr>
            <w:tcW w:w="416" w:type="pct"/>
          </w:tcPr>
          <w:p w:rsidR="00767B1A" w:rsidRPr="00CB32B1" w:rsidRDefault="00767B1A" w:rsidP="00767B1A">
            <w:pPr>
              <w:pStyle w:val="TableTextNormal"/>
              <w:jc w:val="center"/>
              <w:cnfStyle w:val="000000000000"/>
            </w:pPr>
            <w:r w:rsidRPr="00CB32B1">
              <w:t>×</w:t>
            </w:r>
          </w:p>
        </w:tc>
        <w:tc>
          <w:tcPr>
            <w:tcW w:w="490" w:type="pct"/>
          </w:tcPr>
          <w:p w:rsidR="00767B1A" w:rsidRPr="00CB32B1" w:rsidRDefault="00767B1A" w:rsidP="00767B1A">
            <w:pPr>
              <w:pStyle w:val="TableTextNormal"/>
              <w:jc w:val="center"/>
              <w:cnfStyle w:val="000000000000"/>
            </w:pPr>
            <w:r w:rsidRPr="00CB32B1">
              <w:t>×</w:t>
            </w:r>
          </w:p>
        </w:tc>
        <w:tc>
          <w:tcPr>
            <w:tcW w:w="1884" w:type="pct"/>
          </w:tcPr>
          <w:p w:rsidR="00767B1A" w:rsidRPr="00CB32B1" w:rsidRDefault="00767B1A" w:rsidP="00767B1A">
            <w:pPr>
              <w:pStyle w:val="TableBullet1Normal"/>
              <w:cnfStyle w:val="000000000000"/>
            </w:pPr>
            <w:r w:rsidRPr="00CB32B1">
              <w:t>Study covers 1988–1990</w:t>
            </w:r>
          </w:p>
        </w:tc>
      </w:tr>
      <w:tr w:rsidR="00767B1A" w:rsidRPr="00CB32B1" w:rsidTr="00D63366">
        <w:tc>
          <w:tcPr>
            <w:cnfStyle w:val="001000000000"/>
            <w:tcW w:w="852" w:type="pct"/>
          </w:tcPr>
          <w:p w:rsidR="00767B1A" w:rsidRPr="00CB32B1" w:rsidRDefault="00767B1A" w:rsidP="00F40E8A">
            <w:pPr>
              <w:pStyle w:val="TableTextNormal"/>
              <w:keepNext/>
              <w:keepLines/>
            </w:pPr>
            <w:r w:rsidRPr="00CB32B1">
              <w:t>Woodcock, Read, Bower, Stanley &amp; Moore 1994</w:t>
            </w:r>
          </w:p>
        </w:tc>
        <w:tc>
          <w:tcPr>
            <w:tcW w:w="622" w:type="pct"/>
          </w:tcPr>
          <w:p w:rsidR="00767B1A" w:rsidRPr="00CB32B1" w:rsidRDefault="00767B1A" w:rsidP="00A44E81">
            <w:pPr>
              <w:pStyle w:val="TableTextNormal"/>
              <w:keepNext/>
              <w:keepLines/>
              <w:cnfStyle w:val="000000000000"/>
            </w:pPr>
            <w:r w:rsidRPr="00CB32B1">
              <w:t>Western Australia, Australia</w:t>
            </w:r>
          </w:p>
        </w:tc>
        <w:tc>
          <w:tcPr>
            <w:tcW w:w="477" w:type="pct"/>
          </w:tcPr>
          <w:p w:rsidR="00767B1A" w:rsidRPr="00CB32B1" w:rsidRDefault="00767B1A" w:rsidP="00767B1A">
            <w:pPr>
              <w:pStyle w:val="TableTextNormal"/>
              <w:keepNext/>
              <w:keepLines/>
              <w:jc w:val="center"/>
              <w:cnfStyle w:val="000000000000"/>
            </w:pPr>
            <w:r w:rsidRPr="00CB32B1">
              <w:sym w:font="Wingdings" w:char="F0FC"/>
            </w:r>
          </w:p>
        </w:tc>
        <w:tc>
          <w:tcPr>
            <w:tcW w:w="259" w:type="pct"/>
          </w:tcPr>
          <w:p w:rsidR="00767B1A" w:rsidRPr="00CB32B1" w:rsidRDefault="00767B1A" w:rsidP="00767B1A">
            <w:pPr>
              <w:pStyle w:val="TableTextNormal"/>
              <w:keepNext/>
              <w:keepLines/>
              <w:jc w:val="center"/>
              <w:cnfStyle w:val="000000000000"/>
            </w:pPr>
            <w:r w:rsidRPr="00CB32B1">
              <w:t>×</w:t>
            </w:r>
          </w:p>
        </w:tc>
        <w:tc>
          <w:tcPr>
            <w:tcW w:w="416" w:type="pct"/>
          </w:tcPr>
          <w:p w:rsidR="00767B1A" w:rsidRPr="00CB32B1" w:rsidRDefault="00767B1A" w:rsidP="00767B1A">
            <w:pPr>
              <w:pStyle w:val="TableTextNormal"/>
              <w:keepNext/>
              <w:keepLines/>
              <w:jc w:val="center"/>
              <w:cnfStyle w:val="000000000000"/>
            </w:pPr>
            <w:r w:rsidRPr="00CB32B1">
              <w:sym w:font="Wingdings" w:char="F0FC"/>
            </w:r>
          </w:p>
        </w:tc>
        <w:tc>
          <w:tcPr>
            <w:tcW w:w="490" w:type="pct"/>
          </w:tcPr>
          <w:p w:rsidR="00767B1A" w:rsidRPr="00CB32B1" w:rsidRDefault="00767B1A" w:rsidP="00767B1A">
            <w:pPr>
              <w:pStyle w:val="TableTextNormal"/>
              <w:keepNext/>
              <w:keepLines/>
              <w:jc w:val="center"/>
              <w:cnfStyle w:val="000000000000"/>
            </w:pPr>
            <w:r w:rsidRPr="00CB32B1">
              <w:t>×</w:t>
            </w:r>
          </w:p>
        </w:tc>
        <w:tc>
          <w:tcPr>
            <w:tcW w:w="1884" w:type="pct"/>
          </w:tcPr>
          <w:p w:rsidR="00767B1A" w:rsidRPr="00CB32B1" w:rsidRDefault="00767B1A" w:rsidP="00767B1A">
            <w:pPr>
              <w:pStyle w:val="TableBullet1Normal"/>
              <w:keepNext/>
              <w:keepLines/>
              <w:cnfStyle w:val="000000000000"/>
            </w:pPr>
            <w:r w:rsidRPr="00CB32B1">
              <w:t>Study covers 1981–1987</w:t>
            </w:r>
          </w:p>
        </w:tc>
      </w:tr>
      <w:tr w:rsidR="00767B1A" w:rsidRPr="00CB32B1" w:rsidTr="00D63366">
        <w:tc>
          <w:tcPr>
            <w:cnfStyle w:val="001000000000"/>
            <w:tcW w:w="852" w:type="pct"/>
          </w:tcPr>
          <w:p w:rsidR="00767B1A" w:rsidRPr="00CB32B1" w:rsidRDefault="00F40E8A" w:rsidP="00767B1A">
            <w:pPr>
              <w:pStyle w:val="TableTextNormal"/>
            </w:pPr>
            <w:r w:rsidRPr="00CB32B1">
              <w:t>Bastian, Keirse, &amp; Lancaster</w:t>
            </w:r>
            <w:r w:rsidR="00767B1A" w:rsidRPr="00CB32B1">
              <w:t xml:space="preserve"> 1998</w:t>
            </w:r>
          </w:p>
        </w:tc>
        <w:tc>
          <w:tcPr>
            <w:tcW w:w="622" w:type="pct"/>
          </w:tcPr>
          <w:p w:rsidR="00767B1A" w:rsidRPr="00CB32B1" w:rsidRDefault="00767B1A" w:rsidP="00A44E81">
            <w:pPr>
              <w:pStyle w:val="TableTextNormal"/>
              <w:cnfStyle w:val="000000000000"/>
            </w:pPr>
            <w:r w:rsidRPr="00CB32B1">
              <w:t>Australia</w:t>
            </w:r>
          </w:p>
        </w:tc>
        <w:tc>
          <w:tcPr>
            <w:tcW w:w="477" w:type="pct"/>
          </w:tcPr>
          <w:p w:rsidR="00767B1A" w:rsidRPr="00CB32B1" w:rsidRDefault="00767B1A" w:rsidP="00767B1A">
            <w:pPr>
              <w:pStyle w:val="TableTextNormal"/>
              <w:jc w:val="center"/>
              <w:cnfStyle w:val="000000000000"/>
            </w:pPr>
            <w:r w:rsidRPr="00CB32B1">
              <w:sym w:font="Wingdings" w:char="F0FC"/>
            </w:r>
          </w:p>
        </w:tc>
        <w:tc>
          <w:tcPr>
            <w:tcW w:w="259" w:type="pct"/>
          </w:tcPr>
          <w:p w:rsidR="00767B1A" w:rsidRPr="00CB32B1" w:rsidRDefault="00767B1A" w:rsidP="00767B1A">
            <w:pPr>
              <w:pStyle w:val="TableTextNormal"/>
              <w:jc w:val="center"/>
              <w:cnfStyle w:val="000000000000"/>
            </w:pPr>
            <w:r w:rsidRPr="00CB32B1">
              <w:sym w:font="Wingdings" w:char="F0FC"/>
            </w:r>
          </w:p>
        </w:tc>
        <w:tc>
          <w:tcPr>
            <w:tcW w:w="416" w:type="pct"/>
          </w:tcPr>
          <w:p w:rsidR="00767B1A" w:rsidRPr="00CB32B1" w:rsidRDefault="00767B1A" w:rsidP="00767B1A">
            <w:pPr>
              <w:pStyle w:val="TableTextNormal"/>
              <w:jc w:val="center"/>
              <w:cnfStyle w:val="000000000000"/>
            </w:pPr>
            <w:r w:rsidRPr="00CB32B1">
              <w:sym w:font="Wingdings" w:char="F0FC"/>
            </w:r>
          </w:p>
        </w:tc>
        <w:tc>
          <w:tcPr>
            <w:tcW w:w="490" w:type="pct"/>
          </w:tcPr>
          <w:p w:rsidR="00767B1A" w:rsidRPr="00CB32B1" w:rsidRDefault="00767B1A" w:rsidP="00767B1A">
            <w:pPr>
              <w:pStyle w:val="TableTextNormal"/>
              <w:jc w:val="center"/>
              <w:cnfStyle w:val="000000000000"/>
            </w:pPr>
            <w:r w:rsidRPr="00CB32B1">
              <w:t>×</w:t>
            </w:r>
          </w:p>
        </w:tc>
        <w:tc>
          <w:tcPr>
            <w:tcW w:w="1884" w:type="pct"/>
          </w:tcPr>
          <w:p w:rsidR="00767B1A" w:rsidRPr="00CB32B1" w:rsidRDefault="00767B1A" w:rsidP="00767B1A">
            <w:pPr>
              <w:pStyle w:val="TableBullet1Normal"/>
              <w:cnfStyle w:val="000000000000"/>
            </w:pPr>
            <w:r w:rsidRPr="00CB32B1">
              <w:t>Study covers 1985–1990</w:t>
            </w:r>
          </w:p>
        </w:tc>
      </w:tr>
      <w:tr w:rsidR="00767B1A" w:rsidRPr="00CB32B1" w:rsidTr="00D63366">
        <w:tc>
          <w:tcPr>
            <w:cnfStyle w:val="001000000000"/>
            <w:tcW w:w="852" w:type="pct"/>
          </w:tcPr>
          <w:p w:rsidR="00767B1A" w:rsidRPr="00CB32B1" w:rsidRDefault="00F40E8A" w:rsidP="00767B1A">
            <w:pPr>
              <w:pStyle w:val="TableTextNormal"/>
            </w:pPr>
            <w:r w:rsidRPr="00CB32B1">
              <w:t xml:space="preserve">Parratt &amp; Johnston </w:t>
            </w:r>
            <w:r w:rsidR="00767B1A" w:rsidRPr="00CB32B1">
              <w:t>2002</w:t>
            </w:r>
          </w:p>
        </w:tc>
        <w:tc>
          <w:tcPr>
            <w:tcW w:w="622" w:type="pct"/>
          </w:tcPr>
          <w:p w:rsidR="00767B1A" w:rsidRPr="00CB32B1" w:rsidRDefault="00767B1A" w:rsidP="00A44E81">
            <w:pPr>
              <w:pStyle w:val="TableTextNormal"/>
              <w:cnfStyle w:val="000000000000"/>
            </w:pPr>
            <w:r w:rsidRPr="00CB32B1">
              <w:t>Victoria, Australia</w:t>
            </w:r>
          </w:p>
        </w:tc>
        <w:tc>
          <w:tcPr>
            <w:tcW w:w="477" w:type="pct"/>
          </w:tcPr>
          <w:p w:rsidR="00767B1A" w:rsidRPr="00CB32B1" w:rsidRDefault="00767B1A" w:rsidP="00767B1A">
            <w:pPr>
              <w:pStyle w:val="TableTextNormal"/>
              <w:jc w:val="center"/>
              <w:cnfStyle w:val="000000000000"/>
            </w:pPr>
            <w:r w:rsidRPr="00CB32B1">
              <w:sym w:font="Wingdings" w:char="F0FC"/>
            </w:r>
          </w:p>
        </w:tc>
        <w:tc>
          <w:tcPr>
            <w:tcW w:w="259" w:type="pct"/>
          </w:tcPr>
          <w:p w:rsidR="00767B1A" w:rsidRPr="00CB32B1" w:rsidRDefault="00767B1A" w:rsidP="00767B1A">
            <w:pPr>
              <w:pStyle w:val="TableTextNormal"/>
              <w:jc w:val="center"/>
              <w:cnfStyle w:val="000000000000"/>
            </w:pPr>
            <w:r w:rsidRPr="00CB32B1">
              <w:sym w:font="Wingdings" w:char="F0FC"/>
            </w:r>
          </w:p>
        </w:tc>
        <w:tc>
          <w:tcPr>
            <w:tcW w:w="416" w:type="pct"/>
          </w:tcPr>
          <w:p w:rsidR="00767B1A" w:rsidRPr="00CB32B1" w:rsidRDefault="00767B1A" w:rsidP="00767B1A">
            <w:pPr>
              <w:pStyle w:val="TableTextNormal"/>
              <w:jc w:val="center"/>
              <w:cnfStyle w:val="000000000000"/>
            </w:pPr>
            <w:r w:rsidRPr="00CB32B1">
              <w:t>×</w:t>
            </w:r>
          </w:p>
        </w:tc>
        <w:tc>
          <w:tcPr>
            <w:tcW w:w="490" w:type="pct"/>
          </w:tcPr>
          <w:p w:rsidR="00767B1A" w:rsidRPr="00CB32B1" w:rsidRDefault="00767B1A" w:rsidP="00767B1A">
            <w:pPr>
              <w:pStyle w:val="TableTextNormal"/>
              <w:jc w:val="center"/>
              <w:cnfStyle w:val="000000000000"/>
            </w:pPr>
            <w:r w:rsidRPr="00CB32B1">
              <w:t>×</w:t>
            </w:r>
          </w:p>
        </w:tc>
        <w:tc>
          <w:tcPr>
            <w:tcW w:w="1884" w:type="pct"/>
          </w:tcPr>
          <w:p w:rsidR="00767B1A" w:rsidRPr="00CB32B1" w:rsidRDefault="00767B1A" w:rsidP="00767B1A">
            <w:pPr>
              <w:pStyle w:val="TableBullet1Normal"/>
              <w:cnfStyle w:val="000000000000"/>
            </w:pPr>
            <w:r w:rsidRPr="00CB32B1">
              <w:t>Study covers 1995–1998</w:t>
            </w:r>
          </w:p>
        </w:tc>
      </w:tr>
      <w:tr w:rsidR="00767B1A" w:rsidRPr="00CB32B1" w:rsidTr="00D63366">
        <w:tc>
          <w:tcPr>
            <w:cnfStyle w:val="001000000000"/>
            <w:tcW w:w="852" w:type="pct"/>
          </w:tcPr>
          <w:p w:rsidR="00767B1A" w:rsidRPr="00CB32B1" w:rsidRDefault="00767B1A" w:rsidP="00767B1A">
            <w:pPr>
              <w:pStyle w:val="TableTextNormal"/>
            </w:pPr>
            <w:r w:rsidRPr="00CB32B1">
              <w:t>H</w:t>
            </w:r>
            <w:r w:rsidR="00F40E8A" w:rsidRPr="00CB32B1">
              <w:t>odnett, Downe, Edwards, &amp; Walsh</w:t>
            </w:r>
            <w:r w:rsidRPr="00CB32B1">
              <w:t xml:space="preserve"> 2005</w:t>
            </w:r>
          </w:p>
        </w:tc>
        <w:tc>
          <w:tcPr>
            <w:tcW w:w="622" w:type="pct"/>
          </w:tcPr>
          <w:p w:rsidR="00767B1A" w:rsidRPr="00CB32B1" w:rsidRDefault="00767B1A" w:rsidP="00A44E81">
            <w:pPr>
              <w:pStyle w:val="TableTextNormal"/>
              <w:cnfStyle w:val="000000000000"/>
            </w:pPr>
            <w:r w:rsidRPr="00CB32B1">
              <w:t>Western countries</w:t>
            </w:r>
          </w:p>
        </w:tc>
        <w:tc>
          <w:tcPr>
            <w:tcW w:w="477" w:type="pct"/>
          </w:tcPr>
          <w:p w:rsidR="00767B1A" w:rsidRPr="00CB32B1" w:rsidRDefault="00767B1A" w:rsidP="00767B1A">
            <w:pPr>
              <w:pStyle w:val="TableTextNormal"/>
              <w:jc w:val="center"/>
              <w:cnfStyle w:val="000000000000"/>
            </w:pPr>
            <w:r w:rsidRPr="00CB32B1">
              <w:sym w:font="Wingdings" w:char="F0FC"/>
            </w:r>
          </w:p>
        </w:tc>
        <w:tc>
          <w:tcPr>
            <w:tcW w:w="259" w:type="pct"/>
          </w:tcPr>
          <w:p w:rsidR="00767B1A" w:rsidRPr="00CB32B1" w:rsidRDefault="00767B1A" w:rsidP="00767B1A">
            <w:pPr>
              <w:pStyle w:val="TableTextNormal"/>
              <w:jc w:val="center"/>
              <w:cnfStyle w:val="000000000000"/>
            </w:pPr>
            <w:r w:rsidRPr="00CB32B1">
              <w:t>×</w:t>
            </w:r>
          </w:p>
        </w:tc>
        <w:tc>
          <w:tcPr>
            <w:tcW w:w="416" w:type="pct"/>
          </w:tcPr>
          <w:p w:rsidR="00767B1A" w:rsidRPr="00CB32B1" w:rsidRDefault="00767B1A" w:rsidP="00767B1A">
            <w:pPr>
              <w:pStyle w:val="TableTextNormal"/>
              <w:jc w:val="center"/>
              <w:cnfStyle w:val="000000000000"/>
            </w:pPr>
            <w:r w:rsidRPr="00CB32B1">
              <w:t>×</w:t>
            </w:r>
          </w:p>
        </w:tc>
        <w:tc>
          <w:tcPr>
            <w:tcW w:w="490" w:type="pct"/>
          </w:tcPr>
          <w:p w:rsidR="00767B1A" w:rsidRPr="00CB32B1" w:rsidRDefault="00767B1A" w:rsidP="00767B1A">
            <w:pPr>
              <w:pStyle w:val="TableTextNormal"/>
              <w:jc w:val="center"/>
              <w:cnfStyle w:val="000000000000"/>
            </w:pPr>
            <w:r w:rsidRPr="00CB32B1">
              <w:t>×</w:t>
            </w:r>
          </w:p>
        </w:tc>
        <w:tc>
          <w:tcPr>
            <w:tcW w:w="1884" w:type="pct"/>
          </w:tcPr>
          <w:p w:rsidR="00767B1A" w:rsidRPr="00CB32B1" w:rsidRDefault="00767B1A" w:rsidP="00767B1A">
            <w:pPr>
              <w:pStyle w:val="TableBullet1Normal"/>
              <w:cnfStyle w:val="000000000000"/>
            </w:pPr>
            <w:r w:rsidRPr="00CB32B1">
              <w:t>Study covered 6 different trials but the data from the trials were from prior to 2000.</w:t>
            </w:r>
          </w:p>
        </w:tc>
      </w:tr>
      <w:tr w:rsidR="00767B1A" w:rsidRPr="00CB32B1" w:rsidTr="00D63366">
        <w:tc>
          <w:tcPr>
            <w:cnfStyle w:val="001000000000"/>
            <w:tcW w:w="852" w:type="pct"/>
          </w:tcPr>
          <w:p w:rsidR="00767B1A" w:rsidRPr="00CB32B1" w:rsidRDefault="00767B1A" w:rsidP="00F40E8A">
            <w:pPr>
              <w:pStyle w:val="TableTextNormal"/>
            </w:pPr>
            <w:r w:rsidRPr="00CB32B1">
              <w:t>Mori, Dougherty, &amp; Whittle 2008</w:t>
            </w:r>
          </w:p>
        </w:tc>
        <w:tc>
          <w:tcPr>
            <w:tcW w:w="622" w:type="pct"/>
          </w:tcPr>
          <w:p w:rsidR="00767B1A" w:rsidRPr="00CB32B1" w:rsidRDefault="00767B1A" w:rsidP="00A44E81">
            <w:pPr>
              <w:pStyle w:val="TableTextNormal"/>
              <w:cnfStyle w:val="000000000000"/>
            </w:pPr>
            <w:r w:rsidRPr="00CB32B1">
              <w:t>England and Wales</w:t>
            </w:r>
          </w:p>
        </w:tc>
        <w:tc>
          <w:tcPr>
            <w:tcW w:w="477" w:type="pct"/>
          </w:tcPr>
          <w:p w:rsidR="00767B1A" w:rsidRPr="00CB32B1" w:rsidRDefault="00767B1A" w:rsidP="00767B1A">
            <w:pPr>
              <w:pStyle w:val="TableTextNormal"/>
              <w:jc w:val="center"/>
              <w:cnfStyle w:val="000000000000"/>
            </w:pPr>
            <w:r w:rsidRPr="00CB32B1">
              <w:sym w:font="Wingdings" w:char="F0FC"/>
            </w:r>
          </w:p>
        </w:tc>
        <w:tc>
          <w:tcPr>
            <w:tcW w:w="259" w:type="pct"/>
          </w:tcPr>
          <w:p w:rsidR="00767B1A" w:rsidRPr="00CB32B1" w:rsidRDefault="00767B1A" w:rsidP="00767B1A">
            <w:pPr>
              <w:pStyle w:val="TableTextNormal"/>
              <w:jc w:val="center"/>
              <w:cnfStyle w:val="000000000000"/>
            </w:pPr>
            <w:r w:rsidRPr="00CB32B1">
              <w:sym w:font="Wingdings" w:char="F0FC"/>
            </w:r>
          </w:p>
        </w:tc>
        <w:tc>
          <w:tcPr>
            <w:tcW w:w="416" w:type="pct"/>
          </w:tcPr>
          <w:p w:rsidR="00767B1A" w:rsidRPr="00CB32B1" w:rsidRDefault="00767B1A" w:rsidP="00767B1A">
            <w:pPr>
              <w:pStyle w:val="TableTextNormal"/>
              <w:jc w:val="center"/>
              <w:cnfStyle w:val="000000000000"/>
            </w:pPr>
            <w:r w:rsidRPr="00CB32B1">
              <w:sym w:font="Wingdings" w:char="F0FC"/>
            </w:r>
          </w:p>
        </w:tc>
        <w:tc>
          <w:tcPr>
            <w:tcW w:w="490" w:type="pct"/>
          </w:tcPr>
          <w:p w:rsidR="00767B1A" w:rsidRPr="00CB32B1" w:rsidRDefault="00767B1A" w:rsidP="00767B1A">
            <w:pPr>
              <w:pStyle w:val="TableTextNormal"/>
              <w:jc w:val="center"/>
              <w:cnfStyle w:val="000000000000"/>
            </w:pPr>
            <w:r w:rsidRPr="00CB32B1">
              <w:t>×</w:t>
            </w:r>
          </w:p>
        </w:tc>
        <w:tc>
          <w:tcPr>
            <w:tcW w:w="1884" w:type="pct"/>
          </w:tcPr>
          <w:p w:rsidR="00767B1A" w:rsidRPr="00CB32B1" w:rsidRDefault="00767B1A" w:rsidP="00767B1A">
            <w:pPr>
              <w:pStyle w:val="TableBullet1Normal"/>
              <w:cnfStyle w:val="000000000000"/>
            </w:pPr>
            <w:r w:rsidRPr="00CB32B1">
              <w:t>Did not exclude women who had unintended homebirths</w:t>
            </w:r>
          </w:p>
          <w:p w:rsidR="00767B1A" w:rsidRPr="00CB32B1" w:rsidRDefault="00767B1A" w:rsidP="00767B1A">
            <w:pPr>
              <w:pStyle w:val="TableBullet1Normal"/>
              <w:cnfStyle w:val="000000000000"/>
            </w:pPr>
            <w:r w:rsidRPr="00CB32B1">
              <w:t>Recent Birth place cohort study in England uses only planned homebirth data and therefore selected</w:t>
            </w:r>
          </w:p>
        </w:tc>
      </w:tr>
      <w:tr w:rsidR="00767B1A" w:rsidRPr="00CB32B1" w:rsidTr="00D63366">
        <w:tc>
          <w:tcPr>
            <w:cnfStyle w:val="001000000000"/>
            <w:tcW w:w="852" w:type="pct"/>
          </w:tcPr>
          <w:p w:rsidR="00767B1A" w:rsidRPr="00CB32B1" w:rsidRDefault="00767B1A" w:rsidP="00F40E8A">
            <w:pPr>
              <w:pStyle w:val="TableTextNormal"/>
            </w:pPr>
            <w:r w:rsidRPr="00CB32B1">
              <w:t>Stern, Permezel, Petterson, Lawson, Eggers &amp; Kloss 1992</w:t>
            </w:r>
          </w:p>
        </w:tc>
        <w:tc>
          <w:tcPr>
            <w:tcW w:w="622" w:type="pct"/>
          </w:tcPr>
          <w:p w:rsidR="00767B1A" w:rsidRPr="00CB32B1" w:rsidRDefault="00767B1A" w:rsidP="00A44E81">
            <w:pPr>
              <w:pStyle w:val="TableTextNormal"/>
              <w:cnfStyle w:val="000000000000"/>
            </w:pPr>
            <w:r w:rsidRPr="00CB32B1">
              <w:t>The Royal Women’s Hospital Family Birth Centre, Australia</w:t>
            </w:r>
          </w:p>
        </w:tc>
        <w:tc>
          <w:tcPr>
            <w:tcW w:w="477" w:type="pct"/>
          </w:tcPr>
          <w:p w:rsidR="00767B1A" w:rsidRPr="00CB32B1" w:rsidRDefault="00767B1A" w:rsidP="00767B1A">
            <w:pPr>
              <w:pStyle w:val="TableTextNormal"/>
              <w:jc w:val="center"/>
              <w:cnfStyle w:val="000000000000"/>
            </w:pPr>
            <w:r w:rsidRPr="00CB32B1">
              <w:sym w:font="Wingdings" w:char="F0FC"/>
            </w:r>
          </w:p>
        </w:tc>
        <w:tc>
          <w:tcPr>
            <w:tcW w:w="259" w:type="pct"/>
          </w:tcPr>
          <w:p w:rsidR="00767B1A" w:rsidRPr="00CB32B1" w:rsidRDefault="00767B1A" w:rsidP="00767B1A">
            <w:pPr>
              <w:pStyle w:val="TableTextNormal"/>
              <w:jc w:val="center"/>
              <w:cnfStyle w:val="000000000000"/>
            </w:pPr>
            <w:r w:rsidRPr="00CB32B1">
              <w:t>×</w:t>
            </w:r>
          </w:p>
        </w:tc>
        <w:tc>
          <w:tcPr>
            <w:tcW w:w="416" w:type="pct"/>
          </w:tcPr>
          <w:p w:rsidR="00767B1A" w:rsidRPr="00CB32B1" w:rsidRDefault="00767B1A" w:rsidP="00767B1A">
            <w:pPr>
              <w:pStyle w:val="TableTextNormal"/>
              <w:jc w:val="center"/>
              <w:cnfStyle w:val="000000000000"/>
            </w:pPr>
            <w:r w:rsidRPr="00CB32B1">
              <w:t>×</w:t>
            </w:r>
          </w:p>
        </w:tc>
        <w:tc>
          <w:tcPr>
            <w:tcW w:w="490" w:type="pct"/>
          </w:tcPr>
          <w:p w:rsidR="00767B1A" w:rsidRPr="00CB32B1" w:rsidRDefault="00767B1A" w:rsidP="00767B1A">
            <w:pPr>
              <w:pStyle w:val="TableTextNormal"/>
              <w:jc w:val="center"/>
              <w:cnfStyle w:val="000000000000"/>
            </w:pPr>
            <w:r w:rsidRPr="00CB32B1">
              <w:t>×</w:t>
            </w:r>
          </w:p>
        </w:tc>
        <w:tc>
          <w:tcPr>
            <w:tcW w:w="1884" w:type="pct"/>
          </w:tcPr>
          <w:p w:rsidR="00767B1A" w:rsidRPr="00CB32B1" w:rsidRDefault="00767B1A" w:rsidP="00767B1A">
            <w:pPr>
              <w:pStyle w:val="TableBullet1Normal"/>
              <w:cnfStyle w:val="000000000000"/>
            </w:pPr>
            <w:r w:rsidRPr="00CB32B1">
              <w:t>Study was for ten years of data before 1992</w:t>
            </w:r>
          </w:p>
        </w:tc>
      </w:tr>
      <w:tr w:rsidR="00767B1A" w:rsidRPr="00CB32B1" w:rsidTr="00D63366">
        <w:tc>
          <w:tcPr>
            <w:cnfStyle w:val="001000000000"/>
            <w:tcW w:w="852" w:type="pct"/>
          </w:tcPr>
          <w:p w:rsidR="00767B1A" w:rsidRPr="00CB32B1" w:rsidRDefault="00767B1A" w:rsidP="00F40E8A">
            <w:pPr>
              <w:pStyle w:val="TableTextNormal"/>
              <w:rPr>
                <w:rFonts w:ascii="Arial" w:hAnsi="Arial"/>
                <w:sz w:val="22"/>
              </w:rPr>
            </w:pPr>
            <w:r w:rsidRPr="00CB32B1">
              <w:t>Gulbransen, Hilton, McKay &amp; Cox 1997</w:t>
            </w:r>
          </w:p>
        </w:tc>
        <w:tc>
          <w:tcPr>
            <w:tcW w:w="622" w:type="pct"/>
          </w:tcPr>
          <w:p w:rsidR="00767B1A" w:rsidRPr="00CB32B1" w:rsidRDefault="00767B1A" w:rsidP="00A44E81">
            <w:pPr>
              <w:pStyle w:val="TableTextNormal"/>
              <w:cnfStyle w:val="000000000000"/>
            </w:pPr>
            <w:r w:rsidRPr="00CB32B1">
              <w:t>New Zealand</w:t>
            </w:r>
          </w:p>
        </w:tc>
        <w:tc>
          <w:tcPr>
            <w:tcW w:w="477" w:type="pct"/>
          </w:tcPr>
          <w:p w:rsidR="00767B1A" w:rsidRPr="00CB32B1" w:rsidRDefault="00767B1A" w:rsidP="00767B1A">
            <w:pPr>
              <w:pStyle w:val="TableTextNormal"/>
              <w:jc w:val="center"/>
              <w:cnfStyle w:val="000000000000"/>
            </w:pPr>
            <w:r w:rsidRPr="00CB32B1">
              <w:sym w:font="Wingdings" w:char="F0FC"/>
            </w:r>
          </w:p>
        </w:tc>
        <w:tc>
          <w:tcPr>
            <w:tcW w:w="259" w:type="pct"/>
          </w:tcPr>
          <w:p w:rsidR="00767B1A" w:rsidRPr="00CB32B1" w:rsidRDefault="00767B1A" w:rsidP="00767B1A">
            <w:pPr>
              <w:pStyle w:val="TableTextNormal"/>
              <w:jc w:val="center"/>
              <w:cnfStyle w:val="000000000000"/>
            </w:pPr>
            <w:r w:rsidRPr="00CB32B1">
              <w:t>×</w:t>
            </w:r>
          </w:p>
        </w:tc>
        <w:tc>
          <w:tcPr>
            <w:tcW w:w="416" w:type="pct"/>
          </w:tcPr>
          <w:p w:rsidR="00767B1A" w:rsidRPr="00CB32B1" w:rsidRDefault="00767B1A" w:rsidP="00767B1A">
            <w:pPr>
              <w:pStyle w:val="TableTextNormal"/>
              <w:jc w:val="center"/>
              <w:cnfStyle w:val="000000000000"/>
            </w:pPr>
            <w:r w:rsidRPr="00CB32B1">
              <w:t>×</w:t>
            </w:r>
          </w:p>
        </w:tc>
        <w:tc>
          <w:tcPr>
            <w:tcW w:w="490" w:type="pct"/>
          </w:tcPr>
          <w:p w:rsidR="00767B1A" w:rsidRPr="00CB32B1" w:rsidRDefault="00767B1A" w:rsidP="00767B1A">
            <w:pPr>
              <w:pStyle w:val="TableTextNormal"/>
              <w:jc w:val="center"/>
              <w:cnfStyle w:val="000000000000"/>
            </w:pPr>
            <w:r w:rsidRPr="00CB32B1">
              <w:t>×</w:t>
            </w:r>
          </w:p>
        </w:tc>
        <w:tc>
          <w:tcPr>
            <w:tcW w:w="1884" w:type="pct"/>
          </w:tcPr>
          <w:p w:rsidR="00767B1A" w:rsidRPr="00CB32B1" w:rsidRDefault="00767B1A" w:rsidP="00767B1A">
            <w:pPr>
              <w:pStyle w:val="TableBullet1Normal"/>
              <w:cnfStyle w:val="000000000000"/>
            </w:pPr>
            <w:r w:rsidRPr="00CB32B1">
              <w:t>Study covers 1973–1993</w:t>
            </w:r>
          </w:p>
        </w:tc>
      </w:tr>
    </w:tbl>
    <w:p w:rsidR="00767B1A" w:rsidRPr="00CB32B1" w:rsidRDefault="00767B1A" w:rsidP="00767B1A">
      <w:pPr>
        <w:pStyle w:val="Sources"/>
      </w:pPr>
      <w:r w:rsidRPr="00CB32B1">
        <w:rPr>
          <w:b/>
        </w:rPr>
        <w:t>Note*:</w:t>
      </w:r>
      <w:r w:rsidRPr="00CB32B1">
        <w:t xml:space="preserve"> The document is cited in the position statement or literature review but may not contribute to the position of the organisation on the outcomes from homebirth.</w:t>
      </w:r>
    </w:p>
    <w:p w:rsidR="00767B1A" w:rsidRPr="00CB32B1" w:rsidRDefault="00767B1A" w:rsidP="00B7413E">
      <w:pPr>
        <w:pStyle w:val="BodyText"/>
        <w:keepNext/>
        <w:keepLines/>
      </w:pPr>
      <w:r w:rsidRPr="00CB32B1">
        <w:t xml:space="preserve">Other documents used by ACM to support their position but which </w:t>
      </w:r>
      <w:r w:rsidR="00CD76BA">
        <w:t>were</w:t>
      </w:r>
      <w:r w:rsidRPr="00CB32B1">
        <w:t xml:space="preserve"> not used by RANZCOG are included in the table below. </w:t>
      </w:r>
    </w:p>
    <w:p w:rsidR="00767B1A" w:rsidRPr="00CB32B1" w:rsidRDefault="00767B1A" w:rsidP="00767B1A">
      <w:pPr>
        <w:pStyle w:val="Caption"/>
      </w:pPr>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53</w:t>
      </w:r>
      <w:r w:rsidR="009129A6" w:rsidRPr="00CB32B1">
        <w:fldChar w:fldCharType="end"/>
      </w:r>
      <w:r w:rsidRPr="00CB32B1">
        <w:t>:</w:t>
      </w:r>
      <w:r w:rsidRPr="00CB32B1">
        <w:tab/>
        <w:t>Other documents used by the ACM and WA Health networks</w:t>
      </w:r>
    </w:p>
    <w:tbl>
      <w:tblPr>
        <w:tblStyle w:val="PwCTableStyle1"/>
        <w:tblW w:w="5000" w:type="pct"/>
        <w:tblLook w:val="04A0"/>
      </w:tblPr>
      <w:tblGrid>
        <w:gridCol w:w="4925"/>
        <w:gridCol w:w="1473"/>
        <w:gridCol w:w="1049"/>
        <w:gridCol w:w="1050"/>
        <w:gridCol w:w="2052"/>
        <w:gridCol w:w="4231"/>
      </w:tblGrid>
      <w:tr w:rsidR="00767B1A" w:rsidRPr="00CB32B1" w:rsidTr="00747120">
        <w:trPr>
          <w:cnfStyle w:val="100000000000"/>
        </w:trPr>
        <w:tc>
          <w:tcPr>
            <w:cnfStyle w:val="001000000000"/>
            <w:tcW w:w="1669" w:type="pct"/>
            <w:shd w:val="clear" w:color="auto" w:fill="DC6900" w:themeFill="text2"/>
            <w:vAlign w:val="bottom"/>
          </w:tcPr>
          <w:p w:rsidR="00767B1A" w:rsidRPr="00CB32B1" w:rsidRDefault="00767B1A" w:rsidP="00767B1A">
            <w:pPr>
              <w:pStyle w:val="TableColumnHeadingNormal"/>
            </w:pPr>
            <w:r w:rsidRPr="00CB32B1">
              <w:t>Document</w:t>
            </w:r>
          </w:p>
        </w:tc>
        <w:tc>
          <w:tcPr>
            <w:tcW w:w="484" w:type="pct"/>
            <w:shd w:val="clear" w:color="auto" w:fill="DC6900" w:themeFill="text2"/>
          </w:tcPr>
          <w:p w:rsidR="00767B1A" w:rsidRPr="00CB32B1" w:rsidRDefault="000436E0" w:rsidP="00747120">
            <w:pPr>
              <w:pStyle w:val="TableColumnHeadingNormal"/>
              <w:jc w:val="center"/>
              <w:cnfStyle w:val="100000000000"/>
            </w:pPr>
            <w:r>
              <w:t>Jurisdiction</w:t>
            </w:r>
          </w:p>
        </w:tc>
        <w:tc>
          <w:tcPr>
            <w:tcW w:w="358" w:type="pct"/>
            <w:shd w:val="clear" w:color="auto" w:fill="DC6900" w:themeFill="text2"/>
          </w:tcPr>
          <w:p w:rsidR="00767B1A" w:rsidRPr="00CB32B1" w:rsidRDefault="00767B1A" w:rsidP="00747120">
            <w:pPr>
              <w:pStyle w:val="TableColumnHeadingNormal"/>
              <w:jc w:val="center"/>
              <w:cnfStyle w:val="100000000000"/>
            </w:pPr>
            <w:r w:rsidRPr="00CB32B1">
              <w:t>ACM</w:t>
            </w:r>
          </w:p>
        </w:tc>
        <w:tc>
          <w:tcPr>
            <w:tcW w:w="358" w:type="pct"/>
            <w:shd w:val="clear" w:color="auto" w:fill="DC6900" w:themeFill="text2"/>
          </w:tcPr>
          <w:p w:rsidR="00767B1A" w:rsidRPr="00CB32B1" w:rsidRDefault="00767B1A" w:rsidP="00747120">
            <w:pPr>
              <w:pStyle w:val="TableColumnHeadingNormal"/>
              <w:jc w:val="center"/>
              <w:cnfStyle w:val="100000000000"/>
            </w:pPr>
            <w:r w:rsidRPr="00CB32B1">
              <w:t>WAHS</w:t>
            </w:r>
          </w:p>
        </w:tc>
        <w:tc>
          <w:tcPr>
            <w:tcW w:w="697" w:type="pct"/>
            <w:shd w:val="clear" w:color="auto" w:fill="DC6900" w:themeFill="text2"/>
          </w:tcPr>
          <w:p w:rsidR="00767B1A" w:rsidRPr="00CB32B1" w:rsidRDefault="00767B1A" w:rsidP="00747120">
            <w:pPr>
              <w:pStyle w:val="TableColumnHeadingNormal"/>
              <w:jc w:val="center"/>
              <w:cnfStyle w:val="100000000000"/>
            </w:pPr>
            <w:r w:rsidRPr="00CB32B1">
              <w:t>Chosen for literature review</w:t>
            </w:r>
          </w:p>
        </w:tc>
        <w:tc>
          <w:tcPr>
            <w:tcW w:w="1434" w:type="pct"/>
            <w:shd w:val="clear" w:color="auto" w:fill="DC6900" w:themeFill="text2"/>
          </w:tcPr>
          <w:p w:rsidR="00767B1A" w:rsidRPr="00CB32B1" w:rsidRDefault="00767B1A" w:rsidP="00747120">
            <w:pPr>
              <w:pStyle w:val="TableColumnHeadingNormal"/>
              <w:jc w:val="center"/>
              <w:cnfStyle w:val="100000000000"/>
            </w:pPr>
            <w:r w:rsidRPr="00CB32B1">
              <w:t>Limitations for literature review</w:t>
            </w:r>
          </w:p>
        </w:tc>
      </w:tr>
      <w:tr w:rsidR="00767B1A" w:rsidRPr="00CB32B1" w:rsidTr="00767B1A">
        <w:tc>
          <w:tcPr>
            <w:cnfStyle w:val="001000000000"/>
            <w:tcW w:w="1669" w:type="pct"/>
          </w:tcPr>
          <w:p w:rsidR="00767B1A" w:rsidRPr="00CB32B1" w:rsidRDefault="00767B1A" w:rsidP="00767B1A">
            <w:pPr>
              <w:pStyle w:val="TableTextNormal"/>
            </w:pPr>
            <w:r w:rsidRPr="00CB32B1">
              <w:t xml:space="preserve">Ackermann-Liebrich, </w:t>
            </w:r>
            <w:r w:rsidR="00F40E8A" w:rsidRPr="00CB32B1">
              <w:t xml:space="preserve">Voegeli, Gunter-Witt, Kunz, Zullig, Schindler, Maruer </w:t>
            </w:r>
            <w:r w:rsidRPr="00CB32B1">
              <w:t>1996</w:t>
            </w:r>
          </w:p>
        </w:tc>
        <w:tc>
          <w:tcPr>
            <w:tcW w:w="484" w:type="pct"/>
          </w:tcPr>
          <w:p w:rsidR="00767B1A" w:rsidRPr="00CB32B1" w:rsidRDefault="00767B1A" w:rsidP="00767B1A">
            <w:pPr>
              <w:pStyle w:val="TableTextNormal"/>
              <w:cnfStyle w:val="000000000000"/>
            </w:pPr>
            <w:r w:rsidRPr="00CB32B1">
              <w:t>Switzerland</w:t>
            </w:r>
          </w:p>
        </w:tc>
        <w:tc>
          <w:tcPr>
            <w:tcW w:w="358" w:type="pct"/>
          </w:tcPr>
          <w:p w:rsidR="00767B1A" w:rsidRPr="00CB32B1" w:rsidRDefault="00767B1A" w:rsidP="00767B1A">
            <w:pPr>
              <w:pStyle w:val="TableTextNormal"/>
              <w:jc w:val="center"/>
              <w:cnfStyle w:val="000000000000"/>
            </w:pPr>
            <w:r w:rsidRPr="00CB32B1">
              <w:sym w:font="Wingdings" w:char="F0FC"/>
            </w:r>
          </w:p>
        </w:tc>
        <w:tc>
          <w:tcPr>
            <w:tcW w:w="358" w:type="pct"/>
          </w:tcPr>
          <w:p w:rsidR="00767B1A" w:rsidRPr="00CB32B1" w:rsidRDefault="00767B1A" w:rsidP="00767B1A">
            <w:pPr>
              <w:pStyle w:val="TableTextNormal"/>
              <w:jc w:val="center"/>
              <w:cnfStyle w:val="000000000000"/>
            </w:pPr>
            <w:r w:rsidRPr="00CB32B1">
              <w:sym w:font="Wingdings" w:char="F0FC"/>
            </w:r>
          </w:p>
        </w:tc>
        <w:tc>
          <w:tcPr>
            <w:tcW w:w="697" w:type="pct"/>
          </w:tcPr>
          <w:p w:rsidR="00767B1A" w:rsidRPr="00CB32B1" w:rsidRDefault="00767B1A" w:rsidP="00767B1A">
            <w:pPr>
              <w:pStyle w:val="TableTextNormal"/>
              <w:jc w:val="center"/>
              <w:cnfStyle w:val="000000000000"/>
            </w:pPr>
            <w:r w:rsidRPr="00CB32B1">
              <w:t>×</w:t>
            </w:r>
          </w:p>
        </w:tc>
        <w:tc>
          <w:tcPr>
            <w:tcW w:w="1434" w:type="pct"/>
          </w:tcPr>
          <w:p w:rsidR="00767B1A" w:rsidRPr="00CB32B1" w:rsidRDefault="00767B1A" w:rsidP="00767B1A">
            <w:pPr>
              <w:pStyle w:val="TableTextNormal"/>
              <w:cnfStyle w:val="000000000000"/>
            </w:pPr>
            <w:r w:rsidRPr="00CB32B1">
              <w:t>Study data period is from 1989–1992</w:t>
            </w:r>
          </w:p>
        </w:tc>
      </w:tr>
      <w:tr w:rsidR="00767B1A" w:rsidRPr="00CB32B1" w:rsidTr="00767B1A">
        <w:tc>
          <w:tcPr>
            <w:cnfStyle w:val="001000000000"/>
            <w:tcW w:w="1669" w:type="pct"/>
          </w:tcPr>
          <w:p w:rsidR="00767B1A" w:rsidRPr="00CB32B1" w:rsidRDefault="00767B1A" w:rsidP="00F40E8A">
            <w:pPr>
              <w:pStyle w:val="TableTextNormal"/>
            </w:pPr>
            <w:r w:rsidRPr="00CB32B1">
              <w:t>Anderson &amp; Murphy 1995</w:t>
            </w:r>
          </w:p>
        </w:tc>
        <w:tc>
          <w:tcPr>
            <w:tcW w:w="484" w:type="pct"/>
          </w:tcPr>
          <w:p w:rsidR="00767B1A" w:rsidRPr="00CB32B1" w:rsidRDefault="00767B1A" w:rsidP="00767B1A">
            <w:pPr>
              <w:pStyle w:val="TableTextNormal"/>
              <w:cnfStyle w:val="000000000000"/>
            </w:pPr>
            <w:r w:rsidRPr="00CB32B1">
              <w:t>USA</w:t>
            </w:r>
          </w:p>
        </w:tc>
        <w:tc>
          <w:tcPr>
            <w:tcW w:w="358" w:type="pct"/>
          </w:tcPr>
          <w:p w:rsidR="00767B1A" w:rsidRPr="00CB32B1" w:rsidRDefault="00767B1A" w:rsidP="00767B1A">
            <w:pPr>
              <w:pStyle w:val="TableTextNormal"/>
              <w:jc w:val="center"/>
              <w:cnfStyle w:val="000000000000"/>
            </w:pPr>
            <w:r w:rsidRPr="00CB32B1">
              <w:sym w:font="Wingdings" w:char="F0FC"/>
            </w:r>
          </w:p>
        </w:tc>
        <w:tc>
          <w:tcPr>
            <w:tcW w:w="358" w:type="pct"/>
          </w:tcPr>
          <w:p w:rsidR="00767B1A" w:rsidRPr="00CB32B1" w:rsidRDefault="00767B1A" w:rsidP="00767B1A">
            <w:pPr>
              <w:pStyle w:val="TableTextNormal"/>
              <w:jc w:val="center"/>
              <w:cnfStyle w:val="000000000000"/>
            </w:pPr>
          </w:p>
        </w:tc>
        <w:tc>
          <w:tcPr>
            <w:tcW w:w="697" w:type="pct"/>
          </w:tcPr>
          <w:p w:rsidR="00767B1A" w:rsidRPr="00CB32B1" w:rsidRDefault="00767B1A" w:rsidP="00767B1A">
            <w:pPr>
              <w:pStyle w:val="TableTextNormal"/>
              <w:jc w:val="center"/>
              <w:cnfStyle w:val="000000000000"/>
            </w:pPr>
            <w:r w:rsidRPr="00CB32B1">
              <w:t>×</w:t>
            </w:r>
          </w:p>
        </w:tc>
        <w:tc>
          <w:tcPr>
            <w:tcW w:w="1434" w:type="pct"/>
          </w:tcPr>
          <w:p w:rsidR="00767B1A" w:rsidRPr="00CB32B1" w:rsidRDefault="00767B1A" w:rsidP="00767B1A">
            <w:pPr>
              <w:pStyle w:val="TableTextNormal"/>
              <w:cnfStyle w:val="000000000000"/>
            </w:pPr>
            <w:r w:rsidRPr="00CB32B1">
              <w:t>Study data period is from 1987–1991</w:t>
            </w:r>
          </w:p>
        </w:tc>
      </w:tr>
      <w:tr w:rsidR="00767B1A" w:rsidRPr="00CB32B1" w:rsidTr="00767B1A">
        <w:tc>
          <w:tcPr>
            <w:cnfStyle w:val="001000000000"/>
            <w:tcW w:w="1669" w:type="pct"/>
          </w:tcPr>
          <w:p w:rsidR="00767B1A" w:rsidRPr="00CB32B1" w:rsidRDefault="00767B1A" w:rsidP="00F40E8A">
            <w:pPr>
              <w:pStyle w:val="TableTextNormal"/>
            </w:pPr>
            <w:r w:rsidRPr="00CB32B1">
              <w:t>de Jonge</w:t>
            </w:r>
            <w:r w:rsidR="00F40E8A" w:rsidRPr="00CB32B1">
              <w:t>,</w:t>
            </w:r>
            <w:r w:rsidRPr="00CB32B1">
              <w:t xml:space="preserve"> van der Goes, </w:t>
            </w:r>
            <w:r w:rsidR="00F40E8A" w:rsidRPr="00CB32B1">
              <w:t xml:space="preserve">Ravelli, Amelink-Verburg, Mol, Nijhuis, Bennebroek Gravenhorst &amp; Butiendijk </w:t>
            </w:r>
            <w:r w:rsidRPr="00CB32B1">
              <w:t>2009</w:t>
            </w:r>
          </w:p>
        </w:tc>
        <w:tc>
          <w:tcPr>
            <w:tcW w:w="484" w:type="pct"/>
          </w:tcPr>
          <w:p w:rsidR="00767B1A" w:rsidRPr="00CB32B1" w:rsidRDefault="00767B1A" w:rsidP="00767B1A">
            <w:pPr>
              <w:pStyle w:val="TableTextNormal"/>
              <w:cnfStyle w:val="000000000000"/>
            </w:pPr>
            <w:r w:rsidRPr="00CB32B1">
              <w:t>Netherlands</w:t>
            </w:r>
          </w:p>
        </w:tc>
        <w:tc>
          <w:tcPr>
            <w:tcW w:w="358" w:type="pct"/>
          </w:tcPr>
          <w:p w:rsidR="00767B1A" w:rsidRPr="00CB32B1" w:rsidRDefault="00767B1A" w:rsidP="00767B1A">
            <w:pPr>
              <w:pStyle w:val="TableTextNormal"/>
              <w:jc w:val="center"/>
              <w:cnfStyle w:val="000000000000"/>
            </w:pPr>
            <w:r w:rsidRPr="00CB32B1">
              <w:sym w:font="Wingdings" w:char="F0FC"/>
            </w:r>
          </w:p>
        </w:tc>
        <w:tc>
          <w:tcPr>
            <w:tcW w:w="358" w:type="pct"/>
          </w:tcPr>
          <w:p w:rsidR="00767B1A" w:rsidRPr="00CB32B1" w:rsidRDefault="00767B1A" w:rsidP="00767B1A">
            <w:pPr>
              <w:pStyle w:val="TableTextNormal"/>
              <w:jc w:val="center"/>
              <w:cnfStyle w:val="000000000000"/>
            </w:pPr>
            <w:r w:rsidRPr="00CB32B1">
              <w:sym w:font="Wingdings" w:char="F0FC"/>
            </w:r>
          </w:p>
        </w:tc>
        <w:tc>
          <w:tcPr>
            <w:tcW w:w="697" w:type="pct"/>
          </w:tcPr>
          <w:p w:rsidR="00767B1A" w:rsidRPr="00CB32B1" w:rsidRDefault="00767B1A" w:rsidP="00767B1A">
            <w:pPr>
              <w:pStyle w:val="TableTextNormal"/>
              <w:jc w:val="center"/>
              <w:cnfStyle w:val="000000000000"/>
            </w:pPr>
            <w:r w:rsidRPr="00CB32B1">
              <w:sym w:font="Wingdings" w:char="F0FC"/>
            </w:r>
          </w:p>
        </w:tc>
        <w:tc>
          <w:tcPr>
            <w:tcW w:w="1434" w:type="pct"/>
          </w:tcPr>
          <w:p w:rsidR="00767B1A" w:rsidRPr="00CB32B1" w:rsidRDefault="00767B1A" w:rsidP="00767B1A">
            <w:pPr>
              <w:pStyle w:val="TableTextNormal"/>
              <w:cnfStyle w:val="000000000000"/>
            </w:pPr>
          </w:p>
        </w:tc>
      </w:tr>
      <w:tr w:rsidR="00767B1A" w:rsidRPr="00CB32B1" w:rsidTr="00767B1A">
        <w:tc>
          <w:tcPr>
            <w:cnfStyle w:val="001000000000"/>
            <w:tcW w:w="1669" w:type="pct"/>
          </w:tcPr>
          <w:p w:rsidR="00767B1A" w:rsidRPr="00CB32B1" w:rsidRDefault="00F40E8A" w:rsidP="00F40E8A">
            <w:pPr>
              <w:pStyle w:val="TableTextNormal"/>
            </w:pPr>
            <w:r w:rsidRPr="00CB32B1">
              <w:t>Chamberlain &amp; Wraight</w:t>
            </w:r>
            <w:r w:rsidR="00767B1A" w:rsidRPr="00CB32B1">
              <w:t xml:space="preserve"> 1997</w:t>
            </w:r>
          </w:p>
        </w:tc>
        <w:tc>
          <w:tcPr>
            <w:tcW w:w="484" w:type="pct"/>
          </w:tcPr>
          <w:p w:rsidR="00767B1A" w:rsidRPr="00CB32B1" w:rsidRDefault="00767B1A" w:rsidP="00767B1A">
            <w:pPr>
              <w:pStyle w:val="TableTextNormal"/>
              <w:cnfStyle w:val="000000000000"/>
            </w:pPr>
            <w:r w:rsidRPr="00CB32B1">
              <w:t>UK</w:t>
            </w:r>
          </w:p>
        </w:tc>
        <w:tc>
          <w:tcPr>
            <w:tcW w:w="358" w:type="pct"/>
          </w:tcPr>
          <w:p w:rsidR="00767B1A" w:rsidRPr="00CB32B1" w:rsidRDefault="00767B1A" w:rsidP="00767B1A">
            <w:pPr>
              <w:pStyle w:val="TableTextNormal"/>
              <w:jc w:val="center"/>
              <w:cnfStyle w:val="000000000000"/>
            </w:pPr>
            <w:r w:rsidRPr="00CB32B1">
              <w:sym w:font="Wingdings" w:char="F0FC"/>
            </w:r>
          </w:p>
        </w:tc>
        <w:tc>
          <w:tcPr>
            <w:tcW w:w="358" w:type="pct"/>
          </w:tcPr>
          <w:p w:rsidR="00767B1A" w:rsidRPr="00CB32B1" w:rsidRDefault="00767B1A" w:rsidP="00767B1A">
            <w:pPr>
              <w:pStyle w:val="TableTextNormal"/>
              <w:jc w:val="center"/>
              <w:cnfStyle w:val="000000000000"/>
            </w:pPr>
            <w:r w:rsidRPr="00CB32B1">
              <w:t>×</w:t>
            </w:r>
          </w:p>
        </w:tc>
        <w:tc>
          <w:tcPr>
            <w:tcW w:w="697" w:type="pct"/>
          </w:tcPr>
          <w:p w:rsidR="00767B1A" w:rsidRPr="00CB32B1" w:rsidRDefault="00767B1A" w:rsidP="00767B1A">
            <w:pPr>
              <w:pStyle w:val="TableTextNormal"/>
              <w:jc w:val="center"/>
              <w:cnfStyle w:val="000000000000"/>
            </w:pPr>
            <w:r w:rsidRPr="00CB32B1">
              <w:t>×</w:t>
            </w:r>
          </w:p>
        </w:tc>
        <w:tc>
          <w:tcPr>
            <w:tcW w:w="1434" w:type="pct"/>
          </w:tcPr>
          <w:p w:rsidR="00767B1A" w:rsidRPr="00CB32B1" w:rsidRDefault="00767B1A" w:rsidP="00767B1A">
            <w:pPr>
              <w:pStyle w:val="TableTextNormal"/>
              <w:cnfStyle w:val="000000000000"/>
            </w:pPr>
            <w:r w:rsidRPr="00CB32B1">
              <w:t>Study data is for 1994</w:t>
            </w:r>
          </w:p>
        </w:tc>
      </w:tr>
      <w:tr w:rsidR="00767B1A" w:rsidRPr="00CB32B1" w:rsidTr="00767B1A">
        <w:tc>
          <w:tcPr>
            <w:cnfStyle w:val="001000000000"/>
            <w:tcW w:w="1669" w:type="pct"/>
          </w:tcPr>
          <w:p w:rsidR="00767B1A" w:rsidRPr="00CB32B1" w:rsidRDefault="00767B1A" w:rsidP="00F65AF6">
            <w:pPr>
              <w:pStyle w:val="TableTextNormal"/>
            </w:pPr>
            <w:r w:rsidRPr="00CB32B1">
              <w:t>De Reu, Hijuis, Oosterbaan</w:t>
            </w:r>
            <w:r w:rsidR="00F65AF6" w:rsidRPr="00CB32B1">
              <w:t xml:space="preserve"> &amp; Eskes</w:t>
            </w:r>
            <w:r w:rsidRPr="00CB32B1">
              <w:t xml:space="preserve"> 2000</w:t>
            </w:r>
          </w:p>
        </w:tc>
        <w:tc>
          <w:tcPr>
            <w:tcW w:w="484" w:type="pct"/>
          </w:tcPr>
          <w:p w:rsidR="00767B1A" w:rsidRPr="00CB32B1" w:rsidRDefault="00767B1A" w:rsidP="00767B1A">
            <w:pPr>
              <w:pStyle w:val="TableTextNormal"/>
              <w:cnfStyle w:val="000000000000"/>
            </w:pPr>
            <w:r w:rsidRPr="00CB32B1">
              <w:t>Netherlands</w:t>
            </w:r>
          </w:p>
        </w:tc>
        <w:tc>
          <w:tcPr>
            <w:tcW w:w="358" w:type="pct"/>
          </w:tcPr>
          <w:p w:rsidR="00767B1A" w:rsidRPr="00CB32B1" w:rsidRDefault="00767B1A" w:rsidP="00767B1A">
            <w:pPr>
              <w:pStyle w:val="TableTextNormal"/>
              <w:jc w:val="center"/>
              <w:cnfStyle w:val="000000000000"/>
            </w:pPr>
          </w:p>
        </w:tc>
        <w:tc>
          <w:tcPr>
            <w:tcW w:w="358" w:type="pct"/>
          </w:tcPr>
          <w:p w:rsidR="00767B1A" w:rsidRPr="00CB32B1" w:rsidRDefault="00767B1A" w:rsidP="00767B1A">
            <w:pPr>
              <w:pStyle w:val="TableTextNormal"/>
              <w:jc w:val="center"/>
              <w:cnfStyle w:val="000000000000"/>
            </w:pPr>
          </w:p>
        </w:tc>
        <w:tc>
          <w:tcPr>
            <w:tcW w:w="697" w:type="pct"/>
          </w:tcPr>
          <w:p w:rsidR="00767B1A" w:rsidRPr="00CB32B1" w:rsidRDefault="00767B1A" w:rsidP="00767B1A">
            <w:pPr>
              <w:pStyle w:val="TableTextNormal"/>
              <w:jc w:val="center"/>
              <w:cnfStyle w:val="000000000000"/>
            </w:pPr>
          </w:p>
        </w:tc>
        <w:tc>
          <w:tcPr>
            <w:tcW w:w="1434" w:type="pct"/>
          </w:tcPr>
          <w:p w:rsidR="00767B1A" w:rsidRPr="00CB32B1" w:rsidRDefault="00767B1A" w:rsidP="00767B1A">
            <w:pPr>
              <w:pStyle w:val="TableTextNormal"/>
              <w:cnfStyle w:val="000000000000"/>
            </w:pPr>
            <w:r w:rsidRPr="00CB32B1">
              <w:t>Study data is for 1994–1995</w:t>
            </w:r>
          </w:p>
        </w:tc>
      </w:tr>
      <w:tr w:rsidR="00767B1A" w:rsidRPr="00CB32B1" w:rsidTr="00767B1A">
        <w:tc>
          <w:tcPr>
            <w:cnfStyle w:val="001000000000"/>
            <w:tcW w:w="1669" w:type="pct"/>
          </w:tcPr>
          <w:p w:rsidR="00767B1A" w:rsidRPr="00CB32B1" w:rsidRDefault="00894387" w:rsidP="00767B1A">
            <w:pPr>
              <w:pStyle w:val="TableTextNormal"/>
            </w:pPr>
            <w:r w:rsidRPr="00CB32B1">
              <w:rPr>
                <w:rFonts w:asciiTheme="majorHAnsi" w:hAnsiTheme="majorHAnsi"/>
              </w:rPr>
              <w:t>H</w:t>
            </w:r>
            <w:r w:rsidR="00F65AF6" w:rsidRPr="00CB32B1">
              <w:rPr>
                <w:rFonts w:asciiTheme="majorHAnsi" w:hAnsiTheme="majorHAnsi"/>
              </w:rPr>
              <w:t>utton, Reitsma &amp;</w:t>
            </w:r>
            <w:r w:rsidRPr="00CB32B1">
              <w:rPr>
                <w:rFonts w:asciiTheme="majorHAnsi" w:hAnsiTheme="majorHAnsi"/>
              </w:rPr>
              <w:t xml:space="preserve"> Kaufman</w:t>
            </w:r>
            <w:r w:rsidR="00767B1A" w:rsidRPr="00CB32B1">
              <w:t xml:space="preserve"> 2009</w:t>
            </w:r>
          </w:p>
        </w:tc>
        <w:tc>
          <w:tcPr>
            <w:tcW w:w="484" w:type="pct"/>
          </w:tcPr>
          <w:p w:rsidR="00767B1A" w:rsidRPr="00CB32B1" w:rsidRDefault="00767B1A" w:rsidP="00767B1A">
            <w:pPr>
              <w:pStyle w:val="TableTextNormal"/>
              <w:cnfStyle w:val="000000000000"/>
            </w:pPr>
            <w:r w:rsidRPr="00CB32B1">
              <w:t>Canada</w:t>
            </w:r>
          </w:p>
        </w:tc>
        <w:tc>
          <w:tcPr>
            <w:tcW w:w="358" w:type="pct"/>
          </w:tcPr>
          <w:p w:rsidR="00767B1A" w:rsidRPr="00CB32B1" w:rsidRDefault="00767B1A" w:rsidP="00767B1A">
            <w:pPr>
              <w:pStyle w:val="TableTextNormal"/>
              <w:jc w:val="center"/>
              <w:cnfStyle w:val="000000000000"/>
            </w:pPr>
            <w:r w:rsidRPr="00CB32B1">
              <w:sym w:font="Wingdings" w:char="F0FC"/>
            </w:r>
          </w:p>
        </w:tc>
        <w:tc>
          <w:tcPr>
            <w:tcW w:w="358" w:type="pct"/>
          </w:tcPr>
          <w:p w:rsidR="00767B1A" w:rsidRPr="00CB32B1" w:rsidRDefault="00767B1A" w:rsidP="00767B1A">
            <w:pPr>
              <w:pStyle w:val="TableTextNormal"/>
              <w:jc w:val="center"/>
              <w:cnfStyle w:val="000000000000"/>
            </w:pPr>
            <w:r w:rsidRPr="00CB32B1">
              <w:sym w:font="Wingdings" w:char="F0FC"/>
            </w:r>
          </w:p>
        </w:tc>
        <w:tc>
          <w:tcPr>
            <w:tcW w:w="697" w:type="pct"/>
          </w:tcPr>
          <w:p w:rsidR="00767B1A" w:rsidRPr="00CB32B1" w:rsidRDefault="00767B1A" w:rsidP="00767B1A">
            <w:pPr>
              <w:pStyle w:val="TableTextNormal"/>
              <w:jc w:val="center"/>
              <w:cnfStyle w:val="000000000000"/>
            </w:pPr>
            <w:r w:rsidRPr="00CB32B1">
              <w:sym w:font="Wingdings" w:char="F0FC"/>
            </w:r>
          </w:p>
        </w:tc>
        <w:tc>
          <w:tcPr>
            <w:tcW w:w="1434" w:type="pct"/>
          </w:tcPr>
          <w:p w:rsidR="00767B1A" w:rsidRPr="00CB32B1" w:rsidRDefault="00767B1A" w:rsidP="00767B1A">
            <w:pPr>
              <w:pStyle w:val="TableTextNormal"/>
              <w:cnfStyle w:val="000000000000"/>
            </w:pPr>
          </w:p>
        </w:tc>
      </w:tr>
      <w:tr w:rsidR="00767B1A" w:rsidRPr="00CB32B1" w:rsidTr="00767B1A">
        <w:tc>
          <w:tcPr>
            <w:cnfStyle w:val="001000000000"/>
            <w:tcW w:w="1669" w:type="pct"/>
          </w:tcPr>
          <w:p w:rsidR="00767B1A" w:rsidRPr="00CB32B1" w:rsidRDefault="00767B1A" w:rsidP="00F65AF6">
            <w:pPr>
              <w:pStyle w:val="TableTextNormal"/>
            </w:pPr>
            <w:r w:rsidRPr="00CB32B1">
              <w:t>Janssen</w:t>
            </w:r>
            <w:r w:rsidR="00F65AF6" w:rsidRPr="00CB32B1">
              <w:t>,</w:t>
            </w:r>
            <w:r w:rsidRPr="00CB32B1">
              <w:t xml:space="preserve"> Lee, </w:t>
            </w:r>
            <w:r w:rsidR="00F65AF6" w:rsidRPr="00CB32B1">
              <w:t xml:space="preserve">Ryan, Etches, Farquharson, Peacock &amp; Klein </w:t>
            </w:r>
            <w:r w:rsidRPr="00CB32B1">
              <w:t>2002</w:t>
            </w:r>
          </w:p>
        </w:tc>
        <w:tc>
          <w:tcPr>
            <w:tcW w:w="484" w:type="pct"/>
          </w:tcPr>
          <w:p w:rsidR="00767B1A" w:rsidRPr="00CB32B1" w:rsidRDefault="00767B1A" w:rsidP="00767B1A">
            <w:pPr>
              <w:pStyle w:val="TableTextNormal"/>
              <w:cnfStyle w:val="000000000000"/>
            </w:pPr>
            <w:r w:rsidRPr="00CB32B1">
              <w:t>Canada</w:t>
            </w:r>
          </w:p>
        </w:tc>
        <w:tc>
          <w:tcPr>
            <w:tcW w:w="358" w:type="pct"/>
          </w:tcPr>
          <w:p w:rsidR="00767B1A" w:rsidRPr="00CB32B1" w:rsidRDefault="00767B1A" w:rsidP="00767B1A">
            <w:pPr>
              <w:pStyle w:val="TableTextNormal"/>
              <w:jc w:val="center"/>
              <w:cnfStyle w:val="000000000000"/>
            </w:pPr>
            <w:r w:rsidRPr="00CB32B1">
              <w:sym w:font="Wingdings" w:char="F0FC"/>
            </w:r>
          </w:p>
        </w:tc>
        <w:tc>
          <w:tcPr>
            <w:tcW w:w="358" w:type="pct"/>
          </w:tcPr>
          <w:p w:rsidR="00767B1A" w:rsidRPr="00CB32B1" w:rsidRDefault="00767B1A" w:rsidP="00767B1A">
            <w:pPr>
              <w:pStyle w:val="TableTextNormal"/>
              <w:jc w:val="center"/>
              <w:cnfStyle w:val="000000000000"/>
            </w:pPr>
            <w:r w:rsidRPr="00CB32B1">
              <w:sym w:font="Wingdings" w:char="F0FC"/>
            </w:r>
          </w:p>
        </w:tc>
        <w:tc>
          <w:tcPr>
            <w:tcW w:w="697" w:type="pct"/>
          </w:tcPr>
          <w:p w:rsidR="00767B1A" w:rsidRPr="00CB32B1" w:rsidRDefault="00767B1A" w:rsidP="00767B1A">
            <w:pPr>
              <w:pStyle w:val="TableTextNormal"/>
              <w:jc w:val="center"/>
              <w:cnfStyle w:val="000000000000"/>
            </w:pPr>
          </w:p>
        </w:tc>
        <w:tc>
          <w:tcPr>
            <w:tcW w:w="1434" w:type="pct"/>
          </w:tcPr>
          <w:p w:rsidR="00767B1A" w:rsidRPr="00CB32B1" w:rsidRDefault="00767B1A" w:rsidP="00767B1A">
            <w:pPr>
              <w:pStyle w:val="TableTextNormal"/>
              <w:cnfStyle w:val="000000000000"/>
            </w:pPr>
            <w:r w:rsidRPr="00CB32B1">
              <w:t>Study data is for 1998–1999</w:t>
            </w:r>
          </w:p>
        </w:tc>
      </w:tr>
      <w:tr w:rsidR="00767B1A" w:rsidRPr="00CB32B1" w:rsidTr="00767B1A">
        <w:tc>
          <w:tcPr>
            <w:cnfStyle w:val="001000000000"/>
            <w:tcW w:w="1669" w:type="pct"/>
          </w:tcPr>
          <w:p w:rsidR="00767B1A" w:rsidRPr="00CB32B1" w:rsidRDefault="00767B1A" w:rsidP="00F65AF6">
            <w:pPr>
              <w:pStyle w:val="TableTextNormal"/>
            </w:pPr>
            <w:r w:rsidRPr="00CB32B1">
              <w:t>Janssen</w:t>
            </w:r>
            <w:r w:rsidR="00F65AF6" w:rsidRPr="00CB32B1">
              <w:t>,</w:t>
            </w:r>
            <w:r w:rsidRPr="00CB32B1">
              <w:t xml:space="preserve"> Saxell, </w:t>
            </w:r>
            <w:r w:rsidR="00F65AF6" w:rsidRPr="00CB32B1">
              <w:t xml:space="preserve">Page, Klein, Liston &amp; Lee </w:t>
            </w:r>
            <w:r w:rsidRPr="00CB32B1">
              <w:t>2009</w:t>
            </w:r>
          </w:p>
        </w:tc>
        <w:tc>
          <w:tcPr>
            <w:tcW w:w="484" w:type="pct"/>
          </w:tcPr>
          <w:p w:rsidR="00767B1A" w:rsidRPr="00CB32B1" w:rsidRDefault="00767B1A" w:rsidP="00767B1A">
            <w:pPr>
              <w:pStyle w:val="TableTextNormal"/>
              <w:cnfStyle w:val="000000000000"/>
            </w:pPr>
            <w:r w:rsidRPr="00CB32B1">
              <w:t>Canada</w:t>
            </w:r>
          </w:p>
        </w:tc>
        <w:tc>
          <w:tcPr>
            <w:tcW w:w="358" w:type="pct"/>
          </w:tcPr>
          <w:p w:rsidR="00767B1A" w:rsidRPr="00CB32B1" w:rsidRDefault="00767B1A" w:rsidP="00767B1A">
            <w:pPr>
              <w:pStyle w:val="TableTextNormal"/>
              <w:jc w:val="center"/>
              <w:cnfStyle w:val="000000000000"/>
            </w:pPr>
            <w:r w:rsidRPr="00CB32B1">
              <w:sym w:font="Wingdings" w:char="F0FC"/>
            </w:r>
          </w:p>
        </w:tc>
        <w:tc>
          <w:tcPr>
            <w:tcW w:w="358" w:type="pct"/>
          </w:tcPr>
          <w:p w:rsidR="00767B1A" w:rsidRPr="00CB32B1" w:rsidRDefault="00767B1A" w:rsidP="00767B1A">
            <w:pPr>
              <w:pStyle w:val="TableTextNormal"/>
              <w:jc w:val="center"/>
              <w:cnfStyle w:val="000000000000"/>
            </w:pPr>
            <w:r w:rsidRPr="00CB32B1">
              <w:sym w:font="Wingdings" w:char="F0FC"/>
            </w:r>
          </w:p>
        </w:tc>
        <w:tc>
          <w:tcPr>
            <w:tcW w:w="697" w:type="pct"/>
          </w:tcPr>
          <w:p w:rsidR="00767B1A" w:rsidRPr="00CB32B1" w:rsidRDefault="00767B1A" w:rsidP="00767B1A">
            <w:pPr>
              <w:pStyle w:val="TableTextNormal"/>
              <w:jc w:val="center"/>
              <w:cnfStyle w:val="000000000000"/>
            </w:pPr>
            <w:r w:rsidRPr="00CB32B1">
              <w:sym w:font="Wingdings" w:char="F0FC"/>
            </w:r>
          </w:p>
        </w:tc>
        <w:tc>
          <w:tcPr>
            <w:tcW w:w="1434" w:type="pct"/>
          </w:tcPr>
          <w:p w:rsidR="00767B1A" w:rsidRPr="00CB32B1" w:rsidRDefault="00767B1A" w:rsidP="00767B1A">
            <w:pPr>
              <w:pStyle w:val="TableTextNormal"/>
              <w:cnfStyle w:val="000000000000"/>
            </w:pPr>
            <w:r w:rsidRPr="00CB32B1">
              <w:t>Study data period is from 2000–2004</w:t>
            </w:r>
          </w:p>
        </w:tc>
      </w:tr>
      <w:tr w:rsidR="00767B1A" w:rsidRPr="00CB32B1" w:rsidTr="00767B1A">
        <w:tc>
          <w:tcPr>
            <w:cnfStyle w:val="001000000000"/>
            <w:tcW w:w="1669" w:type="pct"/>
          </w:tcPr>
          <w:p w:rsidR="00767B1A" w:rsidRPr="00CB32B1" w:rsidRDefault="00767B1A" w:rsidP="00F65AF6">
            <w:pPr>
              <w:pStyle w:val="TableTextNormal"/>
            </w:pPr>
            <w:r w:rsidRPr="00CB32B1">
              <w:t>Johnson &amp; Daviss</w:t>
            </w:r>
            <w:r w:rsidR="00F65AF6" w:rsidRPr="00CB32B1">
              <w:t xml:space="preserve"> 2005</w:t>
            </w:r>
          </w:p>
        </w:tc>
        <w:tc>
          <w:tcPr>
            <w:tcW w:w="484" w:type="pct"/>
          </w:tcPr>
          <w:p w:rsidR="00767B1A" w:rsidRPr="00CB32B1" w:rsidRDefault="00767B1A" w:rsidP="00767B1A">
            <w:pPr>
              <w:pStyle w:val="TableTextNormal"/>
              <w:cnfStyle w:val="000000000000"/>
            </w:pPr>
            <w:r w:rsidRPr="00CB32B1">
              <w:t>USA and Canada</w:t>
            </w:r>
          </w:p>
        </w:tc>
        <w:tc>
          <w:tcPr>
            <w:tcW w:w="358" w:type="pct"/>
          </w:tcPr>
          <w:p w:rsidR="00767B1A" w:rsidRPr="00CB32B1" w:rsidRDefault="00767B1A" w:rsidP="00767B1A">
            <w:pPr>
              <w:pStyle w:val="TableTextNormal"/>
              <w:jc w:val="center"/>
              <w:cnfStyle w:val="000000000000"/>
            </w:pPr>
            <w:r w:rsidRPr="00CB32B1">
              <w:sym w:font="Wingdings" w:char="F0FC"/>
            </w:r>
          </w:p>
        </w:tc>
        <w:tc>
          <w:tcPr>
            <w:tcW w:w="358" w:type="pct"/>
          </w:tcPr>
          <w:p w:rsidR="00767B1A" w:rsidRPr="00CB32B1" w:rsidRDefault="00767B1A" w:rsidP="00767B1A">
            <w:pPr>
              <w:pStyle w:val="TableTextNormal"/>
              <w:jc w:val="center"/>
              <w:cnfStyle w:val="000000000000"/>
            </w:pPr>
            <w:r w:rsidRPr="00CB32B1">
              <w:sym w:font="Wingdings" w:char="F0FC"/>
            </w:r>
          </w:p>
        </w:tc>
        <w:tc>
          <w:tcPr>
            <w:tcW w:w="697" w:type="pct"/>
          </w:tcPr>
          <w:p w:rsidR="00767B1A" w:rsidRPr="00CB32B1" w:rsidRDefault="00767B1A" w:rsidP="00767B1A">
            <w:pPr>
              <w:pStyle w:val="TableTextNormal"/>
              <w:jc w:val="center"/>
              <w:cnfStyle w:val="000000000000"/>
            </w:pPr>
            <w:r w:rsidRPr="00CB32B1">
              <w:sym w:font="Wingdings" w:char="F0FC"/>
            </w:r>
          </w:p>
        </w:tc>
        <w:tc>
          <w:tcPr>
            <w:tcW w:w="1434" w:type="pct"/>
          </w:tcPr>
          <w:p w:rsidR="00767B1A" w:rsidRPr="00CB32B1" w:rsidRDefault="00767B1A" w:rsidP="00767B1A">
            <w:pPr>
              <w:pStyle w:val="TableTextNormal"/>
              <w:cnfStyle w:val="000000000000"/>
            </w:pPr>
          </w:p>
        </w:tc>
      </w:tr>
      <w:tr w:rsidR="00767B1A" w:rsidRPr="00CB32B1" w:rsidTr="00767B1A">
        <w:tc>
          <w:tcPr>
            <w:cnfStyle w:val="001000000000"/>
            <w:tcW w:w="1669" w:type="pct"/>
          </w:tcPr>
          <w:p w:rsidR="00767B1A" w:rsidRPr="00CB32B1" w:rsidRDefault="00767B1A" w:rsidP="00F65AF6">
            <w:pPr>
              <w:pStyle w:val="TableTextNormal"/>
            </w:pPr>
            <w:r w:rsidRPr="00CB32B1">
              <w:t>Lindgren</w:t>
            </w:r>
            <w:r w:rsidR="00F65AF6" w:rsidRPr="00CB32B1">
              <w:t xml:space="preserve">, </w:t>
            </w:r>
            <w:r w:rsidRPr="00CB32B1">
              <w:t xml:space="preserve">Radestad, </w:t>
            </w:r>
            <w:r w:rsidR="00F65AF6" w:rsidRPr="00CB32B1">
              <w:t xml:space="preserve">Christensson &amp; Hildingsson </w:t>
            </w:r>
            <w:r w:rsidRPr="00CB32B1">
              <w:t>2008</w:t>
            </w:r>
          </w:p>
        </w:tc>
        <w:tc>
          <w:tcPr>
            <w:tcW w:w="484" w:type="pct"/>
          </w:tcPr>
          <w:p w:rsidR="00767B1A" w:rsidRPr="00CB32B1" w:rsidRDefault="00767B1A" w:rsidP="00767B1A">
            <w:pPr>
              <w:pStyle w:val="TableTextNormal"/>
              <w:cnfStyle w:val="000000000000"/>
            </w:pPr>
            <w:r w:rsidRPr="00CB32B1">
              <w:t>Sweden</w:t>
            </w:r>
          </w:p>
        </w:tc>
        <w:tc>
          <w:tcPr>
            <w:tcW w:w="358" w:type="pct"/>
          </w:tcPr>
          <w:p w:rsidR="00767B1A" w:rsidRPr="00CB32B1" w:rsidRDefault="00767B1A" w:rsidP="00767B1A">
            <w:pPr>
              <w:pStyle w:val="TableTextNormal"/>
              <w:jc w:val="center"/>
              <w:cnfStyle w:val="000000000000"/>
            </w:pPr>
            <w:r w:rsidRPr="00CB32B1">
              <w:sym w:font="Wingdings" w:char="F0FC"/>
            </w:r>
          </w:p>
        </w:tc>
        <w:tc>
          <w:tcPr>
            <w:tcW w:w="358" w:type="pct"/>
          </w:tcPr>
          <w:p w:rsidR="00767B1A" w:rsidRPr="00CB32B1" w:rsidRDefault="00767B1A" w:rsidP="00767B1A">
            <w:pPr>
              <w:pStyle w:val="TableTextNormal"/>
              <w:jc w:val="center"/>
              <w:cnfStyle w:val="000000000000"/>
            </w:pPr>
            <w:r w:rsidRPr="00CB32B1">
              <w:sym w:font="Wingdings" w:char="F0FC"/>
            </w:r>
          </w:p>
        </w:tc>
        <w:tc>
          <w:tcPr>
            <w:tcW w:w="697" w:type="pct"/>
          </w:tcPr>
          <w:p w:rsidR="00767B1A" w:rsidRPr="00CB32B1" w:rsidRDefault="00767B1A" w:rsidP="00767B1A">
            <w:pPr>
              <w:pStyle w:val="TableTextNormal"/>
              <w:jc w:val="center"/>
              <w:cnfStyle w:val="000000000000"/>
            </w:pPr>
            <w:r w:rsidRPr="00CB32B1">
              <w:sym w:font="Wingdings" w:char="F0FC"/>
            </w:r>
          </w:p>
        </w:tc>
        <w:tc>
          <w:tcPr>
            <w:tcW w:w="1434" w:type="pct"/>
          </w:tcPr>
          <w:p w:rsidR="00767B1A" w:rsidRPr="00CB32B1" w:rsidRDefault="00767B1A" w:rsidP="00767B1A">
            <w:pPr>
              <w:pStyle w:val="TableTextNormal"/>
              <w:cnfStyle w:val="000000000000"/>
            </w:pPr>
          </w:p>
        </w:tc>
      </w:tr>
      <w:tr w:rsidR="00767B1A" w:rsidRPr="00CB32B1" w:rsidTr="00767B1A">
        <w:tc>
          <w:tcPr>
            <w:cnfStyle w:val="001000000000"/>
            <w:tcW w:w="1669" w:type="pct"/>
          </w:tcPr>
          <w:p w:rsidR="00767B1A" w:rsidRPr="00CB32B1" w:rsidRDefault="00767B1A" w:rsidP="00F65AF6">
            <w:pPr>
              <w:pStyle w:val="TableTextNormal"/>
            </w:pPr>
            <w:r w:rsidRPr="00CB32B1">
              <w:t>Murphy &amp; Fullerton 1998</w:t>
            </w:r>
          </w:p>
        </w:tc>
        <w:tc>
          <w:tcPr>
            <w:tcW w:w="484" w:type="pct"/>
          </w:tcPr>
          <w:p w:rsidR="00767B1A" w:rsidRPr="00CB32B1" w:rsidRDefault="00767B1A" w:rsidP="00767B1A">
            <w:pPr>
              <w:pStyle w:val="TableTextNormal"/>
              <w:cnfStyle w:val="000000000000"/>
            </w:pPr>
            <w:r w:rsidRPr="00CB32B1">
              <w:t>USA</w:t>
            </w:r>
          </w:p>
        </w:tc>
        <w:tc>
          <w:tcPr>
            <w:tcW w:w="358" w:type="pct"/>
          </w:tcPr>
          <w:p w:rsidR="00767B1A" w:rsidRPr="00CB32B1" w:rsidRDefault="00767B1A" w:rsidP="00767B1A">
            <w:pPr>
              <w:pStyle w:val="TableTextNormal"/>
              <w:jc w:val="center"/>
              <w:cnfStyle w:val="000000000000"/>
            </w:pPr>
            <w:r w:rsidRPr="00CB32B1">
              <w:sym w:font="Wingdings" w:char="F0FC"/>
            </w:r>
          </w:p>
        </w:tc>
        <w:tc>
          <w:tcPr>
            <w:tcW w:w="358" w:type="pct"/>
          </w:tcPr>
          <w:p w:rsidR="00767B1A" w:rsidRPr="00CB32B1" w:rsidRDefault="00767B1A" w:rsidP="00767B1A">
            <w:pPr>
              <w:pStyle w:val="TableTextNormal"/>
              <w:jc w:val="center"/>
              <w:cnfStyle w:val="000000000000"/>
            </w:pPr>
            <w:r w:rsidRPr="00CB32B1">
              <w:sym w:font="Wingdings" w:char="F0FC"/>
            </w:r>
          </w:p>
        </w:tc>
        <w:tc>
          <w:tcPr>
            <w:tcW w:w="697" w:type="pct"/>
          </w:tcPr>
          <w:p w:rsidR="00767B1A" w:rsidRPr="00CB32B1" w:rsidRDefault="00767B1A" w:rsidP="00767B1A">
            <w:pPr>
              <w:pStyle w:val="TableTextNormal"/>
              <w:jc w:val="center"/>
              <w:cnfStyle w:val="000000000000"/>
            </w:pPr>
            <w:r w:rsidRPr="00CB32B1">
              <w:t>×</w:t>
            </w:r>
          </w:p>
        </w:tc>
        <w:tc>
          <w:tcPr>
            <w:tcW w:w="1434" w:type="pct"/>
          </w:tcPr>
          <w:p w:rsidR="00767B1A" w:rsidRPr="00CB32B1" w:rsidRDefault="00767B1A" w:rsidP="00767B1A">
            <w:pPr>
              <w:pStyle w:val="TableTextNormal"/>
              <w:cnfStyle w:val="000000000000"/>
            </w:pPr>
            <w:r w:rsidRPr="00CB32B1">
              <w:t>Study data covers 1994–1995</w:t>
            </w:r>
          </w:p>
        </w:tc>
      </w:tr>
      <w:tr w:rsidR="00767B1A" w:rsidRPr="00CB32B1" w:rsidTr="00767B1A">
        <w:tc>
          <w:tcPr>
            <w:cnfStyle w:val="001000000000"/>
            <w:tcW w:w="1669" w:type="pct"/>
          </w:tcPr>
          <w:p w:rsidR="00767B1A" w:rsidRPr="00CB32B1" w:rsidRDefault="00767B1A" w:rsidP="00F65AF6">
            <w:pPr>
              <w:pStyle w:val="TableTextNormal"/>
            </w:pPr>
            <w:r w:rsidRPr="00CB32B1">
              <w:t>Pang &amp; Heffelfinger 2002</w:t>
            </w:r>
          </w:p>
        </w:tc>
        <w:tc>
          <w:tcPr>
            <w:tcW w:w="484" w:type="pct"/>
          </w:tcPr>
          <w:p w:rsidR="00767B1A" w:rsidRPr="00CB32B1" w:rsidRDefault="00767B1A" w:rsidP="00767B1A">
            <w:pPr>
              <w:pStyle w:val="TableTextNormal"/>
              <w:cnfStyle w:val="000000000000"/>
            </w:pPr>
            <w:r w:rsidRPr="00CB32B1">
              <w:t>USA</w:t>
            </w:r>
          </w:p>
        </w:tc>
        <w:tc>
          <w:tcPr>
            <w:tcW w:w="358" w:type="pct"/>
          </w:tcPr>
          <w:p w:rsidR="00767B1A" w:rsidRPr="00CB32B1" w:rsidRDefault="00767B1A" w:rsidP="00767B1A">
            <w:pPr>
              <w:pStyle w:val="TableTextNormal"/>
              <w:jc w:val="center"/>
              <w:cnfStyle w:val="000000000000"/>
            </w:pPr>
            <w:r w:rsidRPr="00CB32B1">
              <w:sym w:font="Wingdings" w:char="F0FC"/>
            </w:r>
          </w:p>
        </w:tc>
        <w:tc>
          <w:tcPr>
            <w:tcW w:w="358" w:type="pct"/>
          </w:tcPr>
          <w:p w:rsidR="00767B1A" w:rsidRPr="00CB32B1" w:rsidRDefault="00767B1A" w:rsidP="00767B1A">
            <w:pPr>
              <w:pStyle w:val="TableTextNormal"/>
              <w:jc w:val="center"/>
              <w:cnfStyle w:val="000000000000"/>
            </w:pPr>
            <w:r w:rsidRPr="00CB32B1">
              <w:sym w:font="Wingdings" w:char="F0FC"/>
            </w:r>
          </w:p>
        </w:tc>
        <w:tc>
          <w:tcPr>
            <w:tcW w:w="697" w:type="pct"/>
          </w:tcPr>
          <w:p w:rsidR="00767B1A" w:rsidRPr="00CB32B1" w:rsidRDefault="00767B1A" w:rsidP="00767B1A">
            <w:pPr>
              <w:pStyle w:val="TableTextNormal"/>
              <w:jc w:val="center"/>
              <w:cnfStyle w:val="000000000000"/>
            </w:pPr>
            <w:r w:rsidRPr="00CB32B1">
              <w:t>×</w:t>
            </w:r>
          </w:p>
        </w:tc>
        <w:tc>
          <w:tcPr>
            <w:tcW w:w="1434" w:type="pct"/>
          </w:tcPr>
          <w:p w:rsidR="00767B1A" w:rsidRPr="00CB32B1" w:rsidRDefault="00767B1A" w:rsidP="00767B1A">
            <w:pPr>
              <w:pStyle w:val="TableTextNormal"/>
              <w:cnfStyle w:val="000000000000"/>
            </w:pPr>
            <w:r w:rsidRPr="00CB32B1">
              <w:t>Study data covers 1989–1996</w:t>
            </w:r>
          </w:p>
        </w:tc>
      </w:tr>
      <w:tr w:rsidR="00767B1A" w:rsidRPr="00CB32B1" w:rsidTr="00767B1A">
        <w:tc>
          <w:tcPr>
            <w:cnfStyle w:val="001000000000"/>
            <w:tcW w:w="1669" w:type="pct"/>
          </w:tcPr>
          <w:p w:rsidR="00767B1A" w:rsidRPr="00CB32B1" w:rsidRDefault="00767B1A" w:rsidP="00F65AF6">
            <w:pPr>
              <w:pStyle w:val="TableTextNormal"/>
            </w:pPr>
            <w:r w:rsidRPr="00CB32B1">
              <w:t>Wiegers, Keirse</w:t>
            </w:r>
            <w:r w:rsidR="00F65AF6" w:rsidRPr="00CB32B1">
              <w:t xml:space="preserve"> &amp; van der Zee </w:t>
            </w:r>
            <w:r w:rsidRPr="00CB32B1">
              <w:t>1998</w:t>
            </w:r>
          </w:p>
        </w:tc>
        <w:tc>
          <w:tcPr>
            <w:tcW w:w="484" w:type="pct"/>
          </w:tcPr>
          <w:p w:rsidR="00767B1A" w:rsidRPr="00CB32B1" w:rsidRDefault="00767B1A" w:rsidP="00767B1A">
            <w:pPr>
              <w:pStyle w:val="TableTextNormal"/>
              <w:cnfStyle w:val="000000000000"/>
            </w:pPr>
            <w:r w:rsidRPr="00CB32B1">
              <w:t>Netherlands</w:t>
            </w:r>
          </w:p>
        </w:tc>
        <w:tc>
          <w:tcPr>
            <w:tcW w:w="358" w:type="pct"/>
          </w:tcPr>
          <w:p w:rsidR="00767B1A" w:rsidRPr="00CB32B1" w:rsidRDefault="00767B1A" w:rsidP="00767B1A">
            <w:pPr>
              <w:pStyle w:val="TableTextNormal"/>
              <w:jc w:val="center"/>
              <w:cnfStyle w:val="000000000000"/>
            </w:pPr>
            <w:r w:rsidRPr="00CB32B1">
              <w:sym w:font="Wingdings" w:char="F0FC"/>
            </w:r>
          </w:p>
        </w:tc>
        <w:tc>
          <w:tcPr>
            <w:tcW w:w="358" w:type="pct"/>
          </w:tcPr>
          <w:p w:rsidR="00767B1A" w:rsidRPr="00CB32B1" w:rsidRDefault="00767B1A" w:rsidP="00767B1A">
            <w:pPr>
              <w:pStyle w:val="TableTextNormal"/>
              <w:jc w:val="center"/>
              <w:cnfStyle w:val="000000000000"/>
            </w:pPr>
            <w:r w:rsidRPr="00CB32B1">
              <w:sym w:font="Wingdings" w:char="F0FC"/>
            </w:r>
          </w:p>
        </w:tc>
        <w:tc>
          <w:tcPr>
            <w:tcW w:w="697" w:type="pct"/>
          </w:tcPr>
          <w:p w:rsidR="00767B1A" w:rsidRPr="00CB32B1" w:rsidRDefault="00767B1A" w:rsidP="00767B1A">
            <w:pPr>
              <w:pStyle w:val="TableTextNormal"/>
              <w:jc w:val="center"/>
              <w:cnfStyle w:val="000000000000"/>
            </w:pPr>
            <w:r w:rsidRPr="00CB32B1">
              <w:t>×</w:t>
            </w:r>
          </w:p>
        </w:tc>
        <w:tc>
          <w:tcPr>
            <w:tcW w:w="1434" w:type="pct"/>
          </w:tcPr>
          <w:p w:rsidR="00767B1A" w:rsidRPr="00CB32B1" w:rsidRDefault="00767B1A" w:rsidP="00767B1A">
            <w:pPr>
              <w:pStyle w:val="TableTextNormal"/>
              <w:cnfStyle w:val="000000000000"/>
            </w:pPr>
            <w:r w:rsidRPr="00CB32B1">
              <w:t>Study data outside period reviewed</w:t>
            </w:r>
          </w:p>
        </w:tc>
      </w:tr>
      <w:tr w:rsidR="00767B1A" w:rsidRPr="00CB32B1" w:rsidTr="00767B1A">
        <w:tc>
          <w:tcPr>
            <w:cnfStyle w:val="001000000000"/>
            <w:tcW w:w="1669" w:type="pct"/>
          </w:tcPr>
          <w:p w:rsidR="00767B1A" w:rsidRPr="00CB32B1" w:rsidRDefault="00767B1A" w:rsidP="00F65AF6">
            <w:pPr>
              <w:pStyle w:val="TableTextNormal"/>
            </w:pPr>
            <w:r w:rsidRPr="00CB32B1">
              <w:t xml:space="preserve">Wolleswinkel-van den Bosch, Vredevoogd, Borkent-Polent, van Eyck, Fetter, Lagro-Janssen, </w:t>
            </w:r>
            <w:r w:rsidR="00F65AF6" w:rsidRPr="00CB32B1">
              <w:t xml:space="preserve">Rosink, Treffers, Wierenga, Amelink, Richardus, Verloove-Vanjorick &amp; Mackenbach </w:t>
            </w:r>
            <w:r w:rsidRPr="00CB32B1">
              <w:t>2002</w:t>
            </w:r>
          </w:p>
        </w:tc>
        <w:tc>
          <w:tcPr>
            <w:tcW w:w="484" w:type="pct"/>
          </w:tcPr>
          <w:p w:rsidR="00767B1A" w:rsidRPr="00CB32B1" w:rsidRDefault="00767B1A" w:rsidP="00767B1A">
            <w:pPr>
              <w:pStyle w:val="TableTextNormal"/>
              <w:cnfStyle w:val="000000000000"/>
            </w:pPr>
            <w:r w:rsidRPr="00CB32B1">
              <w:t>Netherlands</w:t>
            </w:r>
          </w:p>
        </w:tc>
        <w:tc>
          <w:tcPr>
            <w:tcW w:w="358" w:type="pct"/>
          </w:tcPr>
          <w:p w:rsidR="00767B1A" w:rsidRPr="00CB32B1" w:rsidRDefault="00767B1A" w:rsidP="00767B1A">
            <w:pPr>
              <w:pStyle w:val="TableTextNormal"/>
              <w:jc w:val="center"/>
              <w:cnfStyle w:val="000000000000"/>
            </w:pPr>
            <w:r w:rsidRPr="00CB32B1">
              <w:t>×</w:t>
            </w:r>
          </w:p>
        </w:tc>
        <w:tc>
          <w:tcPr>
            <w:tcW w:w="358" w:type="pct"/>
          </w:tcPr>
          <w:p w:rsidR="00767B1A" w:rsidRPr="00CB32B1" w:rsidRDefault="00767B1A" w:rsidP="00767B1A">
            <w:pPr>
              <w:pStyle w:val="TableTextNormal"/>
              <w:jc w:val="center"/>
              <w:cnfStyle w:val="000000000000"/>
            </w:pPr>
            <w:r w:rsidRPr="00CB32B1">
              <w:sym w:font="Wingdings" w:char="F0FC"/>
            </w:r>
          </w:p>
        </w:tc>
        <w:tc>
          <w:tcPr>
            <w:tcW w:w="697" w:type="pct"/>
          </w:tcPr>
          <w:p w:rsidR="00767B1A" w:rsidRPr="00CB32B1" w:rsidRDefault="00767B1A" w:rsidP="00767B1A">
            <w:pPr>
              <w:pStyle w:val="TableTextNormal"/>
              <w:jc w:val="center"/>
              <w:cnfStyle w:val="000000000000"/>
            </w:pPr>
            <w:r w:rsidRPr="00CB32B1">
              <w:t>×</w:t>
            </w:r>
          </w:p>
        </w:tc>
        <w:tc>
          <w:tcPr>
            <w:tcW w:w="1434" w:type="pct"/>
          </w:tcPr>
          <w:p w:rsidR="00767B1A" w:rsidRPr="00CB32B1" w:rsidRDefault="00767B1A" w:rsidP="00767B1A">
            <w:pPr>
              <w:pStyle w:val="TableTextNormal"/>
              <w:cnfStyle w:val="000000000000"/>
            </w:pPr>
            <w:r w:rsidRPr="00CB32B1">
              <w:t>Study data covers 1996–1997</w:t>
            </w:r>
          </w:p>
        </w:tc>
      </w:tr>
    </w:tbl>
    <w:p w:rsidR="00767B1A" w:rsidRPr="00CB32B1" w:rsidRDefault="00767B1A" w:rsidP="00767B1A">
      <w:pPr>
        <w:pStyle w:val="PwCNormal"/>
        <w:numPr>
          <w:ilvl w:val="0"/>
          <w:numId w:val="0"/>
        </w:numPr>
      </w:pPr>
    </w:p>
    <w:p w:rsidR="00767B1A" w:rsidRPr="00CB32B1" w:rsidRDefault="00767B1A" w:rsidP="00767B1A">
      <w:pPr>
        <w:pStyle w:val="PwCNormal"/>
        <w:numPr>
          <w:ilvl w:val="0"/>
          <w:numId w:val="0"/>
        </w:numPr>
        <w:sectPr w:rsidR="00767B1A" w:rsidRPr="00CB32B1" w:rsidSect="00767B1A">
          <w:headerReference w:type="even" r:id="rId104"/>
          <w:headerReference w:type="default" r:id="rId105"/>
          <w:footerReference w:type="even" r:id="rId106"/>
          <w:footerReference w:type="default" r:id="rId107"/>
          <w:headerReference w:type="first" r:id="rId108"/>
          <w:pgSz w:w="16840" w:h="11907" w:orient="landscape" w:code="9"/>
          <w:pgMar w:top="1699" w:right="1138" w:bottom="1699" w:left="1138" w:header="677" w:footer="677" w:gutter="562"/>
          <w:cols w:space="708"/>
          <w:docGrid w:linePitch="360"/>
        </w:sectPr>
      </w:pPr>
    </w:p>
    <w:p w:rsidR="00FC0CC6" w:rsidRPr="00CB32B1" w:rsidRDefault="00FC0CC6" w:rsidP="00FC0CC6">
      <w:pPr>
        <w:pStyle w:val="AppendixPanelFrameappendix"/>
        <w:framePr w:wrap="notBeside" w:hAnchor="page" w:x="1044"/>
        <w:rPr>
          <w:lang w:val="en-AU"/>
        </w:rPr>
      </w:pPr>
    </w:p>
    <w:p w:rsidR="00767B1A" w:rsidRPr="00CB32B1" w:rsidRDefault="00767B1A" w:rsidP="00767B1A">
      <w:pPr>
        <w:pStyle w:val="Heading4"/>
      </w:pPr>
      <w:bookmarkStart w:id="172" w:name="_Toc361328133"/>
      <w:bookmarkStart w:id="173" w:name="_Toc362975075"/>
      <w:bookmarkStart w:id="174" w:name="_Toc362975086"/>
      <w:r w:rsidRPr="00CB32B1">
        <w:t>Research on PPM practice internationally</w:t>
      </w:r>
      <w:bookmarkEnd w:id="172"/>
      <w:bookmarkEnd w:id="173"/>
      <w:bookmarkEnd w:id="174"/>
    </w:p>
    <w:p w:rsidR="00767B1A" w:rsidRPr="00CB32B1" w:rsidRDefault="008124E8" w:rsidP="00767B1A">
      <w:pPr>
        <w:pStyle w:val="PwCNormal"/>
      </w:pPr>
      <w:r w:rsidRPr="00CB32B1">
        <w:t xml:space="preserve">For this report, PwC researched the scale of private midwifery practice, regulation and risk management frameworks for four jurisdictions relating to homebirth, insurance products and the types of claims made against </w:t>
      </w:r>
      <w:r w:rsidR="00727D37">
        <w:t>PPMs</w:t>
      </w:r>
      <w:r w:rsidRPr="00CB32B1">
        <w:t>. The four jurisdictions were:</w:t>
      </w:r>
    </w:p>
    <w:p w:rsidR="00767B1A" w:rsidRPr="00CB32B1" w:rsidRDefault="00767B1A" w:rsidP="00767B1A">
      <w:pPr>
        <w:pStyle w:val="ListBullet"/>
      </w:pPr>
      <w:r w:rsidRPr="00CB32B1">
        <w:t>England (United Kingdom)</w:t>
      </w:r>
    </w:p>
    <w:p w:rsidR="00767B1A" w:rsidRPr="00CB32B1" w:rsidRDefault="00767B1A" w:rsidP="00767B1A">
      <w:pPr>
        <w:pStyle w:val="ListBullet"/>
      </w:pPr>
      <w:r w:rsidRPr="00CB32B1">
        <w:t>the province of Ontario (Canada)</w:t>
      </w:r>
    </w:p>
    <w:p w:rsidR="00767B1A" w:rsidRPr="00CB32B1" w:rsidRDefault="00767B1A" w:rsidP="00767B1A">
      <w:pPr>
        <w:pStyle w:val="ListBullet"/>
      </w:pPr>
      <w:r w:rsidRPr="00CB32B1">
        <w:t>the Netherlands</w:t>
      </w:r>
    </w:p>
    <w:p w:rsidR="00767B1A" w:rsidRPr="00CB32B1" w:rsidRDefault="00767B1A" w:rsidP="00767B1A">
      <w:pPr>
        <w:pStyle w:val="ListBullet"/>
      </w:pPr>
      <w:r w:rsidRPr="00CB32B1">
        <w:t>New Zealand.</w:t>
      </w:r>
    </w:p>
    <w:p w:rsidR="00767B1A" w:rsidRPr="00CB32B1" w:rsidRDefault="00767B1A" w:rsidP="00767B1A">
      <w:pPr>
        <w:pStyle w:val="PwCNormal"/>
      </w:pPr>
      <w:r w:rsidRPr="00CB32B1">
        <w:t>The research is presented with regard to:</w:t>
      </w:r>
    </w:p>
    <w:p w:rsidR="00767B1A" w:rsidRPr="00CB32B1" w:rsidRDefault="00767B1A" w:rsidP="00654033">
      <w:pPr>
        <w:pStyle w:val="ChapterNumberedList1"/>
      </w:pPr>
      <w:r w:rsidRPr="00CB32B1">
        <w:t>Scale and scope of midwifery practice</w:t>
      </w:r>
    </w:p>
    <w:p w:rsidR="00767B1A" w:rsidRPr="00CB32B1" w:rsidRDefault="00767B1A" w:rsidP="00767B1A">
      <w:pPr>
        <w:pStyle w:val="ChapterNumberedList1"/>
      </w:pPr>
      <w:r w:rsidRPr="00CB32B1">
        <w:t>Payment for midwifery practice</w:t>
      </w:r>
    </w:p>
    <w:p w:rsidR="00767B1A" w:rsidRPr="00CB32B1" w:rsidRDefault="00767B1A" w:rsidP="00767B1A">
      <w:pPr>
        <w:pStyle w:val="ChapterNumberedList1"/>
      </w:pPr>
      <w:r w:rsidRPr="00CB32B1">
        <w:t>Clinical guidelines and the part played by Colleges</w:t>
      </w:r>
    </w:p>
    <w:p w:rsidR="00767B1A" w:rsidRPr="00CB32B1" w:rsidRDefault="00767B1A" w:rsidP="00767B1A">
      <w:pPr>
        <w:pStyle w:val="ChapterNumberedList1"/>
      </w:pPr>
      <w:r w:rsidRPr="00CB32B1">
        <w:t>Regulation and registration</w:t>
      </w:r>
    </w:p>
    <w:p w:rsidR="00767B1A" w:rsidRPr="00CB32B1" w:rsidRDefault="00767B1A" w:rsidP="00767B1A">
      <w:pPr>
        <w:pStyle w:val="ChapterNumberedList1"/>
      </w:pPr>
      <w:r w:rsidRPr="00CB32B1">
        <w:t>Insurance market</w:t>
      </w:r>
    </w:p>
    <w:p w:rsidR="00767B1A" w:rsidRPr="00CB32B1" w:rsidRDefault="00767B1A" w:rsidP="00767B1A">
      <w:pPr>
        <w:pStyle w:val="ChapterNumberedList1"/>
      </w:pPr>
      <w:r w:rsidRPr="00CB32B1">
        <w:t>Legal structures</w:t>
      </w:r>
      <w:r w:rsidR="00CB1BAB" w:rsidRPr="00CB32B1">
        <w:t>.</w:t>
      </w:r>
    </w:p>
    <w:p w:rsidR="00767B1A" w:rsidRPr="00CB32B1" w:rsidRDefault="00767B1A" w:rsidP="00767B1A">
      <w:pPr>
        <w:pStyle w:val="Majorheading"/>
      </w:pPr>
      <w:r w:rsidRPr="00CB32B1">
        <w:t>1.</w:t>
      </w:r>
      <w:r w:rsidRPr="00CB32B1">
        <w:tab/>
        <w:t>Scale and scope of midwifery practice</w:t>
      </w:r>
    </w:p>
    <w:p w:rsidR="00767B1A" w:rsidRPr="00CB32B1" w:rsidRDefault="008124E8" w:rsidP="00767B1A">
      <w:pPr>
        <w:pStyle w:val="PwCNormal"/>
      </w:pPr>
      <w:r w:rsidRPr="00CB32B1">
        <w:t>Definitions of PPM practice internationally which are equivalent to the Australian PPM demonstrate that there is variance in the size of the cohort which the definition describes. PPM can be defined as different cohorts in different jurisdictions where either:</w:t>
      </w:r>
    </w:p>
    <w:p w:rsidR="008124E8" w:rsidRPr="00CB32B1" w:rsidRDefault="008124E8" w:rsidP="008124E8">
      <w:pPr>
        <w:pStyle w:val="ListBullet"/>
      </w:pPr>
      <w:r w:rsidRPr="00CB32B1">
        <w:t>All midwives are viewed as independent and able to provide care both inside and outside of a hospital (province of Ontario or New Zealand)</w:t>
      </w:r>
    </w:p>
    <w:p w:rsidR="0001118E" w:rsidRPr="00CB32B1" w:rsidRDefault="008124E8" w:rsidP="0001118E">
      <w:pPr>
        <w:pStyle w:val="ListBullet"/>
      </w:pPr>
      <w:r w:rsidRPr="00CB32B1">
        <w:t>Midwives are a specified cohort who practises outside of a hospital (Australia, England or the Netherlands).</w:t>
      </w:r>
    </w:p>
    <w:p w:rsidR="00767B1A" w:rsidRPr="00CB32B1" w:rsidRDefault="00767B1A" w:rsidP="0001118E">
      <w:pPr>
        <w:pStyle w:val="ListBullet"/>
        <w:numPr>
          <w:ilvl w:val="0"/>
          <w:numId w:val="0"/>
        </w:numPr>
      </w:pPr>
      <w:r w:rsidRPr="00CB32B1">
        <w:t xml:space="preserve">An example of definitions applied is presented in </w:t>
      </w:r>
      <w:r w:rsidR="009129A6" w:rsidRPr="00CB32B1">
        <w:fldChar w:fldCharType="begin"/>
      </w:r>
      <w:r w:rsidR="00D44BC2" w:rsidRPr="00CB32B1">
        <w:instrText xml:space="preserve"> REF _Ref361224929 \h </w:instrText>
      </w:r>
      <w:r w:rsidR="009129A6" w:rsidRPr="00CB32B1">
        <w:fldChar w:fldCharType="separate"/>
      </w:r>
      <w:r w:rsidR="008816B4" w:rsidRPr="00CB32B1">
        <w:t xml:space="preserve">Table </w:t>
      </w:r>
      <w:r w:rsidR="008816B4">
        <w:rPr>
          <w:noProof/>
        </w:rPr>
        <w:t>54</w:t>
      </w:r>
      <w:r w:rsidR="009129A6" w:rsidRPr="00CB32B1">
        <w:fldChar w:fldCharType="end"/>
      </w:r>
      <w:r w:rsidRPr="00CB32B1">
        <w:t>.</w:t>
      </w:r>
    </w:p>
    <w:p w:rsidR="00767B1A" w:rsidRPr="00CB32B1" w:rsidRDefault="00767B1A" w:rsidP="00767B1A">
      <w:pPr>
        <w:pStyle w:val="Caption"/>
      </w:pPr>
      <w:bookmarkStart w:id="175" w:name="_Ref361224929"/>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54</w:t>
      </w:r>
      <w:r w:rsidR="009129A6" w:rsidRPr="00CB32B1">
        <w:fldChar w:fldCharType="end"/>
      </w:r>
      <w:bookmarkEnd w:id="175"/>
      <w:r w:rsidRPr="00CB32B1">
        <w:t>:</w:t>
      </w:r>
      <w:r w:rsidRPr="00CB32B1">
        <w:tab/>
        <w:t>Definitions of PPM (or equivalent)</w:t>
      </w:r>
    </w:p>
    <w:tbl>
      <w:tblPr>
        <w:tblStyle w:val="PwCTableStyle1"/>
        <w:tblW w:w="9288" w:type="dxa"/>
        <w:tblLayout w:type="fixed"/>
        <w:tblLook w:val="04A0"/>
      </w:tblPr>
      <w:tblGrid>
        <w:gridCol w:w="1526"/>
        <w:gridCol w:w="1642"/>
        <w:gridCol w:w="2250"/>
        <w:gridCol w:w="3870"/>
      </w:tblGrid>
      <w:tr w:rsidR="00767B1A" w:rsidRPr="00CB32B1" w:rsidTr="000436E0">
        <w:trPr>
          <w:cnfStyle w:val="100000000000"/>
        </w:trPr>
        <w:tc>
          <w:tcPr>
            <w:cnfStyle w:val="001000000000"/>
            <w:tcW w:w="1526" w:type="dxa"/>
            <w:tcBorders>
              <w:bottom w:val="single" w:sz="6" w:space="0" w:color="DC6900" w:themeColor="text2"/>
              <w:right w:val="single" w:sz="6" w:space="0" w:color="FFFFFF" w:themeColor="background2"/>
            </w:tcBorders>
            <w:shd w:val="clear" w:color="auto" w:fill="DC6900" w:themeFill="text2"/>
            <w:vAlign w:val="bottom"/>
          </w:tcPr>
          <w:p w:rsidR="00767B1A" w:rsidRPr="000436E0" w:rsidRDefault="000436E0" w:rsidP="000436E0">
            <w:pPr>
              <w:pStyle w:val="NumericTableColumnHeadingNormal"/>
              <w:jc w:val="center"/>
              <w:rPr>
                <w:rFonts w:asciiTheme="majorHAnsi" w:hAnsiTheme="majorHAnsi"/>
              </w:rPr>
            </w:pPr>
            <w:r>
              <w:rPr>
                <w:rFonts w:asciiTheme="majorHAnsi" w:hAnsiTheme="majorHAnsi"/>
              </w:rPr>
              <w:t>Jurisdiction</w:t>
            </w:r>
          </w:p>
        </w:tc>
        <w:tc>
          <w:tcPr>
            <w:tcW w:w="1642"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tcPr>
          <w:p w:rsidR="00767B1A" w:rsidRPr="000436E0" w:rsidRDefault="00767B1A" w:rsidP="000436E0">
            <w:pPr>
              <w:pStyle w:val="NumericTableColumnHeadingNormal"/>
              <w:jc w:val="center"/>
              <w:cnfStyle w:val="100000000000"/>
              <w:rPr>
                <w:rFonts w:asciiTheme="majorHAnsi" w:hAnsiTheme="majorHAnsi"/>
              </w:rPr>
            </w:pPr>
            <w:r w:rsidRPr="000436E0">
              <w:rPr>
                <w:rFonts w:asciiTheme="majorHAnsi" w:hAnsiTheme="majorHAnsi"/>
              </w:rPr>
              <w:t>Equivalent to PPM</w:t>
            </w:r>
          </w:p>
        </w:tc>
        <w:tc>
          <w:tcPr>
            <w:tcW w:w="2250"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tcPr>
          <w:p w:rsidR="00767B1A" w:rsidRPr="000436E0" w:rsidRDefault="00767B1A" w:rsidP="000436E0">
            <w:pPr>
              <w:pStyle w:val="NumericTableColumnHeadingNormal"/>
              <w:jc w:val="center"/>
              <w:cnfStyle w:val="100000000000"/>
              <w:rPr>
                <w:rFonts w:asciiTheme="majorHAnsi" w:hAnsiTheme="majorHAnsi"/>
              </w:rPr>
            </w:pPr>
            <w:r w:rsidRPr="000436E0">
              <w:rPr>
                <w:rFonts w:asciiTheme="majorHAnsi" w:hAnsiTheme="majorHAnsi"/>
              </w:rPr>
              <w:t>All or specified cohort of midwives</w:t>
            </w:r>
          </w:p>
        </w:tc>
        <w:tc>
          <w:tcPr>
            <w:tcW w:w="3870" w:type="dxa"/>
            <w:tcBorders>
              <w:left w:val="single" w:sz="6" w:space="0" w:color="FFFFFF" w:themeColor="background2"/>
              <w:bottom w:val="single" w:sz="6" w:space="0" w:color="DC6900" w:themeColor="text2"/>
            </w:tcBorders>
            <w:shd w:val="clear" w:color="auto" w:fill="DC6900" w:themeFill="text2"/>
            <w:vAlign w:val="bottom"/>
          </w:tcPr>
          <w:p w:rsidR="00767B1A" w:rsidRPr="000436E0" w:rsidRDefault="00767B1A" w:rsidP="000436E0">
            <w:pPr>
              <w:pStyle w:val="NumericTableColumnHeadingNormal"/>
              <w:jc w:val="center"/>
              <w:cnfStyle w:val="100000000000"/>
              <w:rPr>
                <w:rFonts w:asciiTheme="majorHAnsi" w:hAnsiTheme="majorHAnsi"/>
              </w:rPr>
            </w:pPr>
            <w:r w:rsidRPr="000436E0">
              <w:rPr>
                <w:rFonts w:asciiTheme="majorHAnsi" w:hAnsiTheme="majorHAnsi"/>
              </w:rPr>
              <w:t>Description</w:t>
            </w:r>
          </w:p>
        </w:tc>
      </w:tr>
      <w:tr w:rsidR="00767B1A" w:rsidRPr="00CB32B1" w:rsidTr="000436E0">
        <w:tc>
          <w:tcPr>
            <w:cnfStyle w:val="001000000000"/>
            <w:tcW w:w="1526" w:type="dxa"/>
            <w:tcBorders>
              <w:top w:val="single" w:sz="6" w:space="0" w:color="DC6900" w:themeColor="text2"/>
            </w:tcBorders>
          </w:tcPr>
          <w:p w:rsidR="00767B1A" w:rsidRPr="00CB32B1" w:rsidRDefault="00767B1A" w:rsidP="00767B1A">
            <w:pPr>
              <w:pStyle w:val="TableTextNormal"/>
              <w:keepNext/>
              <w:keepLines/>
            </w:pPr>
            <w:r w:rsidRPr="00CB32B1">
              <w:t>Australia</w:t>
            </w:r>
          </w:p>
        </w:tc>
        <w:tc>
          <w:tcPr>
            <w:tcW w:w="1642" w:type="dxa"/>
            <w:tcBorders>
              <w:top w:val="single" w:sz="6" w:space="0" w:color="DC6900" w:themeColor="text2"/>
            </w:tcBorders>
          </w:tcPr>
          <w:p w:rsidR="00767B1A" w:rsidRPr="00CB32B1" w:rsidRDefault="00767B1A" w:rsidP="00767B1A">
            <w:pPr>
              <w:pStyle w:val="TableTextNormal"/>
              <w:keepNext/>
              <w:keepLines/>
              <w:cnfStyle w:val="000000000000"/>
            </w:pPr>
            <w:r w:rsidRPr="00CB32B1">
              <w:t>Privately Practising Midwife</w:t>
            </w:r>
          </w:p>
        </w:tc>
        <w:tc>
          <w:tcPr>
            <w:tcW w:w="2250" w:type="dxa"/>
            <w:tcBorders>
              <w:top w:val="single" w:sz="6" w:space="0" w:color="DC6900" w:themeColor="text2"/>
            </w:tcBorders>
          </w:tcPr>
          <w:p w:rsidR="00767B1A" w:rsidRPr="00CB32B1" w:rsidRDefault="00767B1A" w:rsidP="00767B1A">
            <w:pPr>
              <w:pStyle w:val="TableTextNormal"/>
              <w:keepNext/>
              <w:keepLines/>
              <w:cnfStyle w:val="000000000000"/>
            </w:pPr>
            <w:r w:rsidRPr="00CB32B1">
              <w:t>Specified cohort</w:t>
            </w:r>
          </w:p>
        </w:tc>
        <w:tc>
          <w:tcPr>
            <w:tcW w:w="3870" w:type="dxa"/>
            <w:tcBorders>
              <w:top w:val="single" w:sz="6" w:space="0" w:color="DC6900" w:themeColor="text2"/>
            </w:tcBorders>
          </w:tcPr>
          <w:p w:rsidR="00767B1A" w:rsidRPr="00CB32B1" w:rsidRDefault="00767B1A" w:rsidP="00767B1A">
            <w:pPr>
              <w:pStyle w:val="TableTextNormal"/>
              <w:keepNext/>
              <w:keepLines/>
              <w:cnfStyle w:val="000000000000"/>
            </w:pPr>
            <w:r w:rsidRPr="00CB32B1">
              <w:t>A midwife who is working as a sole practitioner in a business owned solely by the midwife, or in a partnership or collective; or where a midwife is employed by a company that is owned solely by the midwife, or that is owned solely by practising midwives, where the only directors of that company are practising midwives.</w:t>
            </w:r>
          </w:p>
        </w:tc>
      </w:tr>
      <w:tr w:rsidR="00767B1A" w:rsidRPr="00CB32B1" w:rsidTr="000436E0">
        <w:tc>
          <w:tcPr>
            <w:cnfStyle w:val="001000000000"/>
            <w:tcW w:w="1526" w:type="dxa"/>
          </w:tcPr>
          <w:p w:rsidR="00767B1A" w:rsidRPr="00CB32B1" w:rsidRDefault="00767B1A" w:rsidP="00767B1A">
            <w:pPr>
              <w:pStyle w:val="TableTextNormal"/>
            </w:pPr>
            <w:r w:rsidRPr="00CB32B1">
              <w:t>Ontario, Canada</w:t>
            </w:r>
          </w:p>
        </w:tc>
        <w:tc>
          <w:tcPr>
            <w:tcW w:w="1642" w:type="dxa"/>
          </w:tcPr>
          <w:p w:rsidR="00767B1A" w:rsidRPr="00CB32B1" w:rsidRDefault="00767B1A" w:rsidP="00767B1A">
            <w:pPr>
              <w:pStyle w:val="TableTextNormal"/>
              <w:cnfStyle w:val="000000000000"/>
            </w:pPr>
            <w:r w:rsidRPr="00CB32B1">
              <w:t>Independent midwife</w:t>
            </w:r>
          </w:p>
        </w:tc>
        <w:tc>
          <w:tcPr>
            <w:tcW w:w="2250" w:type="dxa"/>
          </w:tcPr>
          <w:p w:rsidR="00767B1A" w:rsidRPr="00CB32B1" w:rsidRDefault="00767B1A" w:rsidP="00767B1A">
            <w:pPr>
              <w:pStyle w:val="TableTextNormal"/>
              <w:cnfStyle w:val="000000000000"/>
            </w:pPr>
            <w:r w:rsidRPr="00CB32B1">
              <w:t>All</w:t>
            </w:r>
          </w:p>
        </w:tc>
        <w:tc>
          <w:tcPr>
            <w:tcW w:w="3870" w:type="dxa"/>
          </w:tcPr>
          <w:p w:rsidR="00767B1A" w:rsidRPr="00CB32B1" w:rsidRDefault="00767B1A" w:rsidP="00767B1A">
            <w:pPr>
              <w:pStyle w:val="TableTextNormal"/>
              <w:cnfStyle w:val="000000000000"/>
            </w:pPr>
            <w:r w:rsidRPr="00CB32B1">
              <w:t xml:space="preserve">All midwives in the province of Ontario are independent, working within group practices and are not employees of the health service. </w:t>
            </w:r>
          </w:p>
        </w:tc>
      </w:tr>
      <w:tr w:rsidR="00767B1A" w:rsidRPr="00CB32B1" w:rsidTr="000436E0">
        <w:tc>
          <w:tcPr>
            <w:cnfStyle w:val="001000000000"/>
            <w:tcW w:w="1526" w:type="dxa"/>
          </w:tcPr>
          <w:p w:rsidR="00767B1A" w:rsidRPr="00CB32B1" w:rsidRDefault="00654033" w:rsidP="00767B1A">
            <w:pPr>
              <w:pStyle w:val="TableTextNormal"/>
            </w:pPr>
            <w:r>
              <w:t>England</w:t>
            </w:r>
          </w:p>
        </w:tc>
        <w:tc>
          <w:tcPr>
            <w:tcW w:w="1642" w:type="dxa"/>
          </w:tcPr>
          <w:p w:rsidR="00767B1A" w:rsidRPr="00CB32B1" w:rsidRDefault="00767B1A" w:rsidP="00767B1A">
            <w:pPr>
              <w:pStyle w:val="TableTextNormal"/>
              <w:cnfStyle w:val="000000000000"/>
            </w:pPr>
            <w:r w:rsidRPr="00CB32B1">
              <w:t>Independent midwife</w:t>
            </w:r>
          </w:p>
        </w:tc>
        <w:tc>
          <w:tcPr>
            <w:tcW w:w="2250" w:type="dxa"/>
          </w:tcPr>
          <w:p w:rsidR="00767B1A" w:rsidRPr="00CB32B1" w:rsidRDefault="00767B1A" w:rsidP="00767B1A">
            <w:pPr>
              <w:pStyle w:val="TableTextNormal"/>
              <w:cnfStyle w:val="000000000000"/>
            </w:pPr>
            <w:r w:rsidRPr="00CB32B1">
              <w:t>Specified cohort</w:t>
            </w:r>
          </w:p>
        </w:tc>
        <w:tc>
          <w:tcPr>
            <w:tcW w:w="3870" w:type="dxa"/>
          </w:tcPr>
          <w:p w:rsidR="00767B1A" w:rsidRPr="00CB32B1" w:rsidRDefault="00767B1A" w:rsidP="00767B1A">
            <w:pPr>
              <w:pStyle w:val="TableTextNormal"/>
              <w:cnfStyle w:val="000000000000"/>
            </w:pPr>
            <w:r w:rsidRPr="00CB32B1">
              <w:t>Midwives practising alone or in groups but not as an employee of the NHS, other healthcare organisations or local authorities</w:t>
            </w:r>
            <w:r w:rsidR="008124E8" w:rsidRPr="00CB32B1">
              <w:t>.</w:t>
            </w:r>
          </w:p>
        </w:tc>
      </w:tr>
      <w:tr w:rsidR="00767B1A" w:rsidRPr="00CB32B1" w:rsidTr="000436E0">
        <w:tc>
          <w:tcPr>
            <w:cnfStyle w:val="001000000000"/>
            <w:tcW w:w="1526" w:type="dxa"/>
          </w:tcPr>
          <w:p w:rsidR="00767B1A" w:rsidRPr="00CB32B1" w:rsidRDefault="00767B1A" w:rsidP="00767B1A">
            <w:pPr>
              <w:pStyle w:val="TableTextNormal"/>
            </w:pPr>
            <w:r w:rsidRPr="00CB32B1">
              <w:t>The Netherlands</w:t>
            </w:r>
          </w:p>
        </w:tc>
        <w:tc>
          <w:tcPr>
            <w:tcW w:w="1642" w:type="dxa"/>
          </w:tcPr>
          <w:p w:rsidR="00767B1A" w:rsidRPr="00CB32B1" w:rsidRDefault="00767B1A" w:rsidP="00767B1A">
            <w:pPr>
              <w:pStyle w:val="TableTextNormal"/>
              <w:cnfStyle w:val="000000000000"/>
            </w:pPr>
            <w:r w:rsidRPr="00CB32B1">
              <w:t>Independent midwife</w:t>
            </w:r>
          </w:p>
        </w:tc>
        <w:tc>
          <w:tcPr>
            <w:tcW w:w="2250" w:type="dxa"/>
          </w:tcPr>
          <w:p w:rsidR="00767B1A" w:rsidRPr="00CB32B1" w:rsidRDefault="00767B1A" w:rsidP="00767B1A">
            <w:pPr>
              <w:pStyle w:val="TableTextNormal"/>
              <w:cnfStyle w:val="000000000000"/>
            </w:pPr>
            <w:r w:rsidRPr="00CB32B1">
              <w:t>Specified cohort</w:t>
            </w:r>
          </w:p>
        </w:tc>
        <w:tc>
          <w:tcPr>
            <w:tcW w:w="3870" w:type="dxa"/>
          </w:tcPr>
          <w:p w:rsidR="00767B1A" w:rsidRPr="00CB32B1" w:rsidRDefault="00767B1A" w:rsidP="00767B1A">
            <w:pPr>
              <w:pStyle w:val="TableTextNormal"/>
              <w:cnfStyle w:val="000000000000"/>
            </w:pPr>
            <w:r w:rsidRPr="00CB32B1">
              <w:t>Midwives who work outside of a hospital as a sole operator, in a group practice or as a locum (temporary or replacement midwife)</w:t>
            </w:r>
            <w:r w:rsidR="008124E8" w:rsidRPr="00CB32B1">
              <w:t>.</w:t>
            </w:r>
          </w:p>
        </w:tc>
      </w:tr>
      <w:tr w:rsidR="00767B1A" w:rsidRPr="00CB32B1" w:rsidTr="000436E0">
        <w:tc>
          <w:tcPr>
            <w:cnfStyle w:val="001000000000"/>
            <w:tcW w:w="1526" w:type="dxa"/>
          </w:tcPr>
          <w:p w:rsidR="00767B1A" w:rsidRPr="00CB32B1" w:rsidRDefault="00767B1A" w:rsidP="00767B1A">
            <w:pPr>
              <w:pStyle w:val="TableTextNormal"/>
            </w:pPr>
            <w:r w:rsidRPr="00CB32B1">
              <w:t>New Zealand</w:t>
            </w:r>
          </w:p>
        </w:tc>
        <w:tc>
          <w:tcPr>
            <w:tcW w:w="1642" w:type="dxa"/>
          </w:tcPr>
          <w:p w:rsidR="00767B1A" w:rsidRPr="00CB32B1" w:rsidDel="001319AC" w:rsidRDefault="00767B1A" w:rsidP="00767B1A">
            <w:pPr>
              <w:pStyle w:val="TableTextNormal"/>
              <w:cnfStyle w:val="000000000000"/>
            </w:pPr>
            <w:r w:rsidRPr="00CB32B1">
              <w:t>Independent midwife</w:t>
            </w:r>
          </w:p>
        </w:tc>
        <w:tc>
          <w:tcPr>
            <w:tcW w:w="2250" w:type="dxa"/>
          </w:tcPr>
          <w:p w:rsidR="00767B1A" w:rsidRPr="00CB32B1" w:rsidRDefault="00767B1A" w:rsidP="00767B1A">
            <w:pPr>
              <w:pStyle w:val="TableTextNormal"/>
              <w:cnfStyle w:val="000000000000"/>
            </w:pPr>
            <w:r w:rsidRPr="00CB32B1">
              <w:t>All</w:t>
            </w:r>
          </w:p>
        </w:tc>
        <w:tc>
          <w:tcPr>
            <w:tcW w:w="3870" w:type="dxa"/>
          </w:tcPr>
          <w:p w:rsidR="00767B1A" w:rsidRPr="00CB32B1" w:rsidDel="001319AC" w:rsidRDefault="00767B1A" w:rsidP="00767B1A">
            <w:pPr>
              <w:pStyle w:val="TableTextNormal"/>
              <w:cnfStyle w:val="000000000000"/>
            </w:pPr>
            <w:r w:rsidRPr="00CB32B1">
              <w:t xml:space="preserve">All midwives in New Zealand can work independently. </w:t>
            </w:r>
          </w:p>
        </w:tc>
      </w:tr>
    </w:tbl>
    <w:p w:rsidR="00767B1A" w:rsidRPr="00CB32B1" w:rsidRDefault="00767B1A" w:rsidP="00767B1A">
      <w:pPr>
        <w:pStyle w:val="Sources"/>
      </w:pPr>
      <w:r w:rsidRPr="00CB32B1">
        <w:rPr>
          <w:b/>
        </w:rPr>
        <w:t>Sources:</w:t>
      </w:r>
      <w:r w:rsidRPr="00CB32B1">
        <w:t xml:space="preserve"> Flaxman Partners 2011</w:t>
      </w:r>
      <w:r w:rsidR="00B8628B" w:rsidRPr="00CB32B1">
        <w:t>;</w:t>
      </w:r>
      <w:r w:rsidRPr="00CB32B1">
        <w:t xml:space="preserve"> </w:t>
      </w:r>
      <w:r w:rsidR="008124E8" w:rsidRPr="00CB32B1">
        <w:t xml:space="preserve">Personal communication, March 2013; </w:t>
      </w:r>
      <w:r w:rsidRPr="00CB32B1">
        <w:t>KNOV (The Royal Dutch Organisation of Midwives)</w:t>
      </w:r>
      <w:r w:rsidR="00B8628B" w:rsidRPr="00CB32B1">
        <w:t xml:space="preserve"> 2012; </w:t>
      </w:r>
      <w:r w:rsidRPr="00CB32B1">
        <w:t>NZCOM, Personal Communication 2012, where New Zealand was communicated as not having private practitioners.</w:t>
      </w:r>
    </w:p>
    <w:p w:rsidR="00767B1A" w:rsidRPr="00CB32B1" w:rsidRDefault="00767B1A" w:rsidP="00767B1A">
      <w:pPr>
        <w:pStyle w:val="Minorheading"/>
      </w:pPr>
      <w:r w:rsidRPr="00CB32B1">
        <w:t>Scale of practice</w:t>
      </w:r>
    </w:p>
    <w:p w:rsidR="00767B1A" w:rsidRPr="00CB32B1" w:rsidRDefault="008124E8" w:rsidP="00767B1A">
      <w:pPr>
        <w:pStyle w:val="PwCNormal"/>
        <w:keepNext/>
        <w:keepLines/>
      </w:pPr>
      <w:r w:rsidRPr="00CB32B1">
        <w:t xml:space="preserve">The numbers for scale of practice are recorded differently by jurisdiction and as a result it should be noted that the data presented may have different definitions and represent different practises. However, key findings, as outlined in </w:t>
      </w:r>
      <w:r w:rsidR="009129A6" w:rsidRPr="00CB32B1">
        <w:fldChar w:fldCharType="begin"/>
      </w:r>
      <w:r w:rsidR="00D44BC2" w:rsidRPr="00CB32B1">
        <w:instrText xml:space="preserve"> REF _Ref361224942 \h </w:instrText>
      </w:r>
      <w:r w:rsidR="009129A6" w:rsidRPr="00CB32B1">
        <w:fldChar w:fldCharType="separate"/>
      </w:r>
      <w:r w:rsidR="008816B4" w:rsidRPr="00CB32B1">
        <w:t xml:space="preserve">Table </w:t>
      </w:r>
      <w:r w:rsidR="008816B4">
        <w:rPr>
          <w:noProof/>
        </w:rPr>
        <w:t>55</w:t>
      </w:r>
      <w:r w:rsidR="009129A6" w:rsidRPr="00CB32B1">
        <w:fldChar w:fldCharType="end"/>
      </w:r>
      <w:r w:rsidR="00767B1A" w:rsidRPr="00CB32B1">
        <w:t xml:space="preserve"> show that:</w:t>
      </w:r>
    </w:p>
    <w:p w:rsidR="00767B1A" w:rsidRPr="00CB32B1" w:rsidRDefault="00767B1A" w:rsidP="00767B1A">
      <w:pPr>
        <w:pStyle w:val="ListBullet"/>
        <w:keepNext/>
        <w:keepLines/>
      </w:pPr>
      <w:r w:rsidRPr="00CB32B1">
        <w:t>England has the largest number of midwives registered but the smallest proportion of independent midwives perceived to be practising</w:t>
      </w:r>
    </w:p>
    <w:p w:rsidR="00767B1A" w:rsidRPr="00CB32B1" w:rsidRDefault="00767B1A" w:rsidP="00767B1A">
      <w:pPr>
        <w:pStyle w:val="ListBullet"/>
        <w:keepNext/>
        <w:keepLines/>
      </w:pPr>
      <w:r w:rsidRPr="00CB32B1">
        <w:t>The Netherlands has the largest proportion of births which are homebirths each year at 23.4%</w:t>
      </w:r>
      <w:r w:rsidRPr="00CB32B1">
        <w:rPr>
          <w:rStyle w:val="FootnoteReference"/>
        </w:rPr>
        <w:footnoteReference w:id="360"/>
      </w:r>
      <w:r w:rsidRPr="00CB32B1">
        <w:t> (2010)</w:t>
      </w:r>
    </w:p>
    <w:p w:rsidR="00767B1A" w:rsidRPr="00CB32B1" w:rsidRDefault="00767B1A" w:rsidP="00767B1A">
      <w:pPr>
        <w:pStyle w:val="ListBullet"/>
        <w:keepNext/>
        <w:keepLines/>
      </w:pPr>
      <w:r w:rsidRPr="00CB32B1">
        <w:t>Australia has the lowest proportion of births at home each year, 0.45%</w:t>
      </w:r>
      <w:r w:rsidRPr="00CB32B1">
        <w:rPr>
          <w:rStyle w:val="FootnoteReference"/>
        </w:rPr>
        <w:footnoteReference w:id="361"/>
      </w:r>
      <w:r w:rsidR="00854DEF" w:rsidRPr="00CB32B1">
        <w:t xml:space="preserve"> </w:t>
      </w:r>
      <w:r w:rsidRPr="00CB32B1">
        <w:t>(2010)</w:t>
      </w:r>
    </w:p>
    <w:p w:rsidR="00767B1A" w:rsidRPr="00CB32B1" w:rsidRDefault="00767B1A" w:rsidP="00767B1A">
      <w:pPr>
        <w:pStyle w:val="ListBullet"/>
      </w:pPr>
      <w:r w:rsidRPr="00CB32B1">
        <w:t>Australia also has the least number of births at home each year at 1,354</w:t>
      </w:r>
      <w:r w:rsidRPr="00CB32B1">
        <w:rPr>
          <w:rStyle w:val="FootnoteReference"/>
        </w:rPr>
        <w:footnoteReference w:id="362"/>
      </w:r>
      <w:r w:rsidRPr="00CB32B1">
        <w:t xml:space="preserve"> (2010), despite having the second highest number of births each year at 297,357</w:t>
      </w:r>
      <w:r w:rsidRPr="00CB32B1">
        <w:rPr>
          <w:rStyle w:val="FootnoteReference"/>
        </w:rPr>
        <w:footnoteReference w:id="363"/>
      </w:r>
      <w:r w:rsidRPr="00CB32B1">
        <w:t xml:space="preserve"> (2010).</w:t>
      </w:r>
    </w:p>
    <w:p w:rsidR="00767B1A" w:rsidRPr="00CB32B1" w:rsidRDefault="00767B1A" w:rsidP="00767B1A">
      <w:pPr>
        <w:pStyle w:val="NumericCaption"/>
      </w:pPr>
      <w:bookmarkStart w:id="176" w:name="_Ref361224942"/>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55</w:t>
      </w:r>
      <w:r w:rsidR="009129A6" w:rsidRPr="00CB32B1">
        <w:fldChar w:fldCharType="end"/>
      </w:r>
      <w:bookmarkEnd w:id="176"/>
      <w:r w:rsidRPr="00CB32B1">
        <w:t>:</w:t>
      </w:r>
      <w:r w:rsidRPr="00CB32B1">
        <w:tab/>
        <w:t>Summary of scale of practice</w:t>
      </w:r>
    </w:p>
    <w:tbl>
      <w:tblPr>
        <w:tblStyle w:val="PwCTableStyle1"/>
        <w:tblW w:w="9288" w:type="dxa"/>
        <w:tblLayout w:type="fixed"/>
        <w:tblLook w:val="04A0"/>
      </w:tblPr>
      <w:tblGrid>
        <w:gridCol w:w="2358"/>
        <w:gridCol w:w="1620"/>
        <w:gridCol w:w="1387"/>
        <w:gridCol w:w="1295"/>
        <w:gridCol w:w="1499"/>
        <w:gridCol w:w="1129"/>
      </w:tblGrid>
      <w:tr w:rsidR="00767B1A" w:rsidRPr="00CB32B1" w:rsidTr="00F35E00">
        <w:trPr>
          <w:cnfStyle w:val="100000000000"/>
        </w:trPr>
        <w:tc>
          <w:tcPr>
            <w:cnfStyle w:val="001000000000"/>
            <w:tcW w:w="2358" w:type="dxa"/>
            <w:tcBorders>
              <w:bottom w:val="single" w:sz="6" w:space="0" w:color="DC6900" w:themeColor="text2"/>
              <w:right w:val="single" w:sz="6" w:space="0" w:color="FFFFFF" w:themeColor="background2"/>
            </w:tcBorders>
            <w:shd w:val="clear" w:color="auto" w:fill="DC6900" w:themeFill="text2"/>
          </w:tcPr>
          <w:p w:rsidR="00767B1A" w:rsidRPr="00CB32B1" w:rsidRDefault="00767B1A" w:rsidP="00747120">
            <w:pPr>
              <w:pStyle w:val="NumericTableColumnHeadingNormal"/>
              <w:jc w:val="center"/>
              <w:rPr>
                <w:rFonts w:asciiTheme="majorHAnsi" w:hAnsiTheme="majorHAnsi"/>
              </w:rPr>
            </w:pPr>
          </w:p>
        </w:tc>
        <w:tc>
          <w:tcPr>
            <w:tcW w:w="1620"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Australia</w:t>
            </w:r>
          </w:p>
        </w:tc>
        <w:tc>
          <w:tcPr>
            <w:tcW w:w="1387"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England</w:t>
            </w:r>
          </w:p>
        </w:tc>
        <w:tc>
          <w:tcPr>
            <w:tcW w:w="1295"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Ontario, Canada</w:t>
            </w:r>
          </w:p>
        </w:tc>
        <w:tc>
          <w:tcPr>
            <w:tcW w:w="1499"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tcPr>
          <w:p w:rsidR="00767B1A" w:rsidRPr="00CB32B1" w:rsidRDefault="00654033" w:rsidP="00747120">
            <w:pPr>
              <w:pStyle w:val="NumericTableColumnHeadingNormal"/>
              <w:jc w:val="center"/>
              <w:cnfStyle w:val="100000000000"/>
              <w:rPr>
                <w:rFonts w:asciiTheme="majorHAnsi" w:hAnsiTheme="majorHAnsi"/>
              </w:rPr>
            </w:pPr>
            <w:r>
              <w:rPr>
                <w:rFonts w:asciiTheme="majorHAnsi" w:hAnsiTheme="majorHAnsi"/>
              </w:rPr>
              <w:t>t</w:t>
            </w:r>
            <w:r w:rsidR="00767B1A" w:rsidRPr="00CB32B1">
              <w:rPr>
                <w:rFonts w:asciiTheme="majorHAnsi" w:hAnsiTheme="majorHAnsi"/>
              </w:rPr>
              <w:t>he Netherlands</w:t>
            </w:r>
          </w:p>
        </w:tc>
        <w:tc>
          <w:tcPr>
            <w:tcW w:w="1129" w:type="dxa"/>
            <w:tcBorders>
              <w:left w:val="single" w:sz="6" w:space="0" w:color="FFFFFF" w:themeColor="background2"/>
              <w:bottom w:val="single" w:sz="6" w:space="0" w:color="DC6900" w:themeColor="text2"/>
            </w:tcBorders>
            <w:shd w:val="clear" w:color="auto" w:fill="DC6900" w:themeFill="text2"/>
            <w:vAlign w:val="bottom"/>
          </w:tcPr>
          <w:p w:rsidR="00767B1A" w:rsidRPr="00CB32B1" w:rsidRDefault="00767B1A" w:rsidP="00747120">
            <w:pPr>
              <w:pStyle w:val="NumericTableColumnHeadingNormal"/>
              <w:jc w:val="center"/>
              <w:cnfStyle w:val="100000000000"/>
              <w:rPr>
                <w:rFonts w:asciiTheme="majorHAnsi" w:hAnsiTheme="majorHAnsi"/>
              </w:rPr>
            </w:pPr>
            <w:r w:rsidRPr="00CB32B1">
              <w:rPr>
                <w:rFonts w:asciiTheme="majorHAnsi" w:hAnsiTheme="majorHAnsi"/>
              </w:rPr>
              <w:t>New Zealand</w:t>
            </w:r>
          </w:p>
        </w:tc>
      </w:tr>
      <w:tr w:rsidR="00767B1A" w:rsidRPr="00CB32B1" w:rsidTr="00F35E00">
        <w:tc>
          <w:tcPr>
            <w:cnfStyle w:val="001000000000"/>
            <w:tcW w:w="2358" w:type="dxa"/>
            <w:tcBorders>
              <w:top w:val="single" w:sz="6" w:space="0" w:color="DC6900" w:themeColor="text2"/>
            </w:tcBorders>
          </w:tcPr>
          <w:p w:rsidR="00767B1A" w:rsidRPr="00F35E00" w:rsidRDefault="00767B1A" w:rsidP="00767B1A">
            <w:pPr>
              <w:pStyle w:val="NumericTableTextNormal"/>
              <w:rPr>
                <w:rFonts w:asciiTheme="majorHAnsi" w:hAnsiTheme="majorHAnsi"/>
              </w:rPr>
            </w:pPr>
            <w:r w:rsidRPr="00F35E00">
              <w:rPr>
                <w:rFonts w:asciiTheme="majorHAnsi" w:hAnsiTheme="majorHAnsi"/>
              </w:rPr>
              <w:t>Number of midwives on register</w:t>
            </w:r>
          </w:p>
        </w:tc>
        <w:tc>
          <w:tcPr>
            <w:tcW w:w="1620" w:type="dxa"/>
            <w:tcBorders>
              <w:top w:val="single" w:sz="6" w:space="0" w:color="DC6900" w:themeColor="text2"/>
            </w:tcBorders>
          </w:tcPr>
          <w:p w:rsidR="00767B1A" w:rsidRPr="00F35E00" w:rsidRDefault="00865724" w:rsidP="00747120">
            <w:pPr>
              <w:pStyle w:val="NumericTableTextNormal"/>
              <w:jc w:val="right"/>
              <w:cnfStyle w:val="000000000000"/>
              <w:rPr>
                <w:rFonts w:asciiTheme="majorHAnsi" w:hAnsiTheme="majorHAnsi"/>
              </w:rPr>
            </w:pPr>
            <w:r w:rsidRPr="00865724">
              <w:rPr>
                <w:rFonts w:asciiTheme="majorHAnsi" w:hAnsiTheme="majorHAnsi"/>
              </w:rPr>
              <w:t>35,202</w:t>
            </w:r>
            <w:r w:rsidR="00767B1A" w:rsidRPr="00865724">
              <w:rPr>
                <w:rStyle w:val="FootnoteReference"/>
                <w:rFonts w:asciiTheme="majorHAnsi" w:hAnsiTheme="majorHAnsi"/>
              </w:rPr>
              <w:footnoteReference w:id="364"/>
            </w:r>
            <w:r w:rsidR="00767B1A" w:rsidRPr="00865724">
              <w:rPr>
                <w:rFonts w:asciiTheme="majorHAnsi" w:hAnsiTheme="majorHAnsi"/>
              </w:rPr>
              <w:br/>
              <w:t>(2012)</w:t>
            </w:r>
          </w:p>
        </w:tc>
        <w:tc>
          <w:tcPr>
            <w:tcW w:w="1387" w:type="dxa"/>
            <w:tcBorders>
              <w:top w:val="single" w:sz="6" w:space="0" w:color="DC6900" w:themeColor="text2"/>
            </w:tcBorders>
          </w:tcPr>
          <w:p w:rsidR="00767B1A" w:rsidRPr="00F35E00" w:rsidRDefault="00767B1A" w:rsidP="00747120">
            <w:pPr>
              <w:pStyle w:val="NumericTableTextNormal"/>
              <w:jc w:val="right"/>
              <w:cnfStyle w:val="000000000000"/>
              <w:rPr>
                <w:rFonts w:asciiTheme="majorHAnsi" w:hAnsiTheme="majorHAnsi"/>
              </w:rPr>
            </w:pPr>
            <w:r w:rsidRPr="00F35E00">
              <w:rPr>
                <w:rFonts w:asciiTheme="majorHAnsi" w:hAnsiTheme="majorHAnsi"/>
              </w:rPr>
              <w:t>28,030</w:t>
            </w:r>
            <w:r w:rsidRPr="00F35E00">
              <w:rPr>
                <w:rStyle w:val="FootnoteReference"/>
                <w:rFonts w:asciiTheme="majorHAnsi" w:hAnsiTheme="majorHAnsi"/>
              </w:rPr>
              <w:footnoteReference w:id="365"/>
            </w:r>
            <w:r w:rsidRPr="00F35E00">
              <w:rPr>
                <w:rFonts w:asciiTheme="majorHAnsi" w:hAnsiTheme="majorHAnsi"/>
              </w:rPr>
              <w:br/>
              <w:t>(2007-2008)</w:t>
            </w:r>
          </w:p>
        </w:tc>
        <w:tc>
          <w:tcPr>
            <w:tcW w:w="1295" w:type="dxa"/>
            <w:tcBorders>
              <w:top w:val="single" w:sz="6" w:space="0" w:color="DC6900" w:themeColor="text2"/>
            </w:tcBorders>
          </w:tcPr>
          <w:p w:rsidR="00767B1A" w:rsidRPr="00F35E00" w:rsidRDefault="00767B1A" w:rsidP="00747120">
            <w:pPr>
              <w:pStyle w:val="NumericTableTextNormal"/>
              <w:jc w:val="right"/>
              <w:cnfStyle w:val="000000000000"/>
              <w:rPr>
                <w:rFonts w:asciiTheme="majorHAnsi" w:hAnsiTheme="majorHAnsi"/>
              </w:rPr>
            </w:pPr>
            <w:r w:rsidRPr="00F35E00">
              <w:rPr>
                <w:rFonts w:asciiTheme="majorHAnsi" w:hAnsiTheme="majorHAnsi"/>
              </w:rPr>
              <w:t>405</w:t>
            </w:r>
            <w:r w:rsidRPr="00F35E00">
              <w:rPr>
                <w:rStyle w:val="FootnoteReference"/>
                <w:rFonts w:asciiTheme="majorHAnsi" w:hAnsiTheme="majorHAnsi"/>
              </w:rPr>
              <w:footnoteReference w:id="366"/>
            </w:r>
            <w:r w:rsidRPr="00F35E00">
              <w:rPr>
                <w:rFonts w:asciiTheme="majorHAnsi" w:hAnsiTheme="majorHAnsi"/>
              </w:rPr>
              <w:br/>
              <w:t>(2009-10)</w:t>
            </w:r>
          </w:p>
        </w:tc>
        <w:tc>
          <w:tcPr>
            <w:tcW w:w="1499" w:type="dxa"/>
            <w:tcBorders>
              <w:top w:val="single" w:sz="6" w:space="0" w:color="DC6900" w:themeColor="text2"/>
            </w:tcBorders>
          </w:tcPr>
          <w:p w:rsidR="00767B1A" w:rsidRPr="00F35E00" w:rsidRDefault="00767B1A" w:rsidP="00747120">
            <w:pPr>
              <w:pStyle w:val="NumericTableTextNormal"/>
              <w:jc w:val="right"/>
              <w:cnfStyle w:val="000000000000"/>
              <w:rPr>
                <w:rFonts w:asciiTheme="majorHAnsi" w:hAnsiTheme="majorHAnsi"/>
              </w:rPr>
            </w:pPr>
            <w:r w:rsidRPr="00F35E00">
              <w:rPr>
                <w:rFonts w:asciiTheme="majorHAnsi" w:hAnsiTheme="majorHAnsi"/>
              </w:rPr>
              <w:t>2,612</w:t>
            </w:r>
            <w:r w:rsidRPr="00F35E00">
              <w:rPr>
                <w:rStyle w:val="FootnoteReference"/>
                <w:rFonts w:asciiTheme="majorHAnsi" w:hAnsiTheme="majorHAnsi"/>
              </w:rPr>
              <w:footnoteReference w:id="367"/>
            </w:r>
            <w:r w:rsidRPr="00F35E00">
              <w:rPr>
                <w:rFonts w:asciiTheme="majorHAnsi" w:hAnsiTheme="majorHAnsi"/>
              </w:rPr>
              <w:br/>
              <w:t>(2011)</w:t>
            </w:r>
          </w:p>
        </w:tc>
        <w:tc>
          <w:tcPr>
            <w:tcW w:w="1129" w:type="dxa"/>
            <w:tcBorders>
              <w:top w:val="single" w:sz="6" w:space="0" w:color="DC6900" w:themeColor="text2"/>
            </w:tcBorders>
          </w:tcPr>
          <w:p w:rsidR="00767B1A" w:rsidRPr="00F35E00" w:rsidRDefault="00767B1A" w:rsidP="00747120">
            <w:pPr>
              <w:pStyle w:val="NumericTableTextNormal"/>
              <w:jc w:val="right"/>
              <w:cnfStyle w:val="000000000000"/>
              <w:rPr>
                <w:rFonts w:asciiTheme="majorHAnsi" w:hAnsiTheme="majorHAnsi"/>
              </w:rPr>
            </w:pPr>
            <w:r w:rsidRPr="00F35E00">
              <w:rPr>
                <w:rFonts w:asciiTheme="majorHAnsi" w:hAnsiTheme="majorHAnsi"/>
              </w:rPr>
              <w:t>2,910</w:t>
            </w:r>
            <w:r w:rsidRPr="00F35E00">
              <w:rPr>
                <w:rStyle w:val="FootnoteReference"/>
                <w:rFonts w:asciiTheme="majorHAnsi" w:hAnsiTheme="majorHAnsi"/>
              </w:rPr>
              <w:footnoteReference w:id="368"/>
            </w:r>
            <w:r w:rsidRPr="00F35E00">
              <w:rPr>
                <w:rFonts w:asciiTheme="majorHAnsi" w:hAnsiTheme="majorHAnsi"/>
              </w:rPr>
              <w:br/>
              <w:t>(2012)</w:t>
            </w:r>
          </w:p>
        </w:tc>
      </w:tr>
      <w:tr w:rsidR="00767B1A" w:rsidRPr="00CB32B1" w:rsidTr="00F35E00">
        <w:tc>
          <w:tcPr>
            <w:cnfStyle w:val="001000000000"/>
            <w:tcW w:w="2358" w:type="dxa"/>
          </w:tcPr>
          <w:p w:rsidR="00767B1A" w:rsidRPr="00F35E00" w:rsidRDefault="00767B1A" w:rsidP="00767B1A">
            <w:pPr>
              <w:pStyle w:val="NumericTableTextNormal"/>
              <w:rPr>
                <w:rFonts w:asciiTheme="majorHAnsi" w:hAnsiTheme="majorHAnsi"/>
              </w:rPr>
            </w:pPr>
            <w:r w:rsidRPr="00F35E00">
              <w:rPr>
                <w:rFonts w:asciiTheme="majorHAnsi" w:hAnsiTheme="majorHAnsi"/>
              </w:rPr>
              <w:t>Number of practices</w:t>
            </w:r>
          </w:p>
        </w:tc>
        <w:tc>
          <w:tcPr>
            <w:tcW w:w="1620" w:type="dxa"/>
          </w:tcPr>
          <w:p w:rsidR="00767B1A" w:rsidRPr="00F35E00" w:rsidRDefault="00F35E00" w:rsidP="00747120">
            <w:pPr>
              <w:pStyle w:val="NumericTableTextNormal"/>
              <w:jc w:val="right"/>
              <w:cnfStyle w:val="000000000000"/>
              <w:rPr>
                <w:rFonts w:asciiTheme="majorHAnsi" w:hAnsiTheme="majorHAnsi"/>
              </w:rPr>
            </w:pPr>
            <w:r w:rsidRPr="00F35E00">
              <w:rPr>
                <w:rFonts w:asciiTheme="majorHAnsi" w:hAnsiTheme="majorHAnsi"/>
              </w:rPr>
              <w:t>*nr</w:t>
            </w:r>
          </w:p>
        </w:tc>
        <w:tc>
          <w:tcPr>
            <w:tcW w:w="1387" w:type="dxa"/>
          </w:tcPr>
          <w:p w:rsidR="00767B1A" w:rsidRPr="00F35E00" w:rsidRDefault="00F35E00" w:rsidP="00747120">
            <w:pPr>
              <w:pStyle w:val="NumericTableTextNormal"/>
              <w:jc w:val="right"/>
              <w:cnfStyle w:val="000000000000"/>
              <w:rPr>
                <w:rFonts w:asciiTheme="majorHAnsi" w:hAnsiTheme="majorHAnsi"/>
              </w:rPr>
            </w:pPr>
            <w:r w:rsidRPr="00F35E00">
              <w:rPr>
                <w:rFonts w:asciiTheme="majorHAnsi" w:hAnsiTheme="majorHAnsi"/>
              </w:rPr>
              <w:t>*nr</w:t>
            </w:r>
          </w:p>
        </w:tc>
        <w:tc>
          <w:tcPr>
            <w:tcW w:w="1295" w:type="dxa"/>
          </w:tcPr>
          <w:p w:rsidR="00767B1A" w:rsidRPr="00F35E00" w:rsidRDefault="00767B1A" w:rsidP="00747120">
            <w:pPr>
              <w:pStyle w:val="NumericTableTextNormal"/>
              <w:jc w:val="right"/>
              <w:cnfStyle w:val="000000000000"/>
              <w:rPr>
                <w:rFonts w:asciiTheme="majorHAnsi" w:hAnsiTheme="majorHAnsi"/>
              </w:rPr>
            </w:pPr>
            <w:r w:rsidRPr="00F35E00">
              <w:rPr>
                <w:rFonts w:asciiTheme="majorHAnsi" w:hAnsiTheme="majorHAnsi"/>
              </w:rPr>
              <w:t>76</w:t>
            </w:r>
            <w:r w:rsidRPr="00F35E00">
              <w:rPr>
                <w:rStyle w:val="FootnoteReference"/>
                <w:rFonts w:asciiTheme="majorHAnsi" w:hAnsiTheme="majorHAnsi"/>
              </w:rPr>
              <w:footnoteReference w:id="369"/>
            </w:r>
            <w:r w:rsidRPr="00F35E00">
              <w:rPr>
                <w:rFonts w:asciiTheme="majorHAnsi" w:hAnsiTheme="majorHAnsi"/>
              </w:rPr>
              <w:br/>
              <w:t>(2010)</w:t>
            </w:r>
          </w:p>
        </w:tc>
        <w:tc>
          <w:tcPr>
            <w:tcW w:w="1499" w:type="dxa"/>
          </w:tcPr>
          <w:p w:rsidR="00767B1A" w:rsidRPr="00F35E00" w:rsidRDefault="00767B1A" w:rsidP="00747120">
            <w:pPr>
              <w:pStyle w:val="NumericTableTextNormal"/>
              <w:jc w:val="right"/>
              <w:cnfStyle w:val="000000000000"/>
              <w:rPr>
                <w:rFonts w:asciiTheme="majorHAnsi" w:hAnsiTheme="majorHAnsi"/>
              </w:rPr>
            </w:pPr>
            <w:r w:rsidRPr="00F35E00">
              <w:rPr>
                <w:rFonts w:asciiTheme="majorHAnsi" w:hAnsiTheme="majorHAnsi"/>
              </w:rPr>
              <w:t>519</w:t>
            </w:r>
            <w:r w:rsidRPr="00F35E00">
              <w:rPr>
                <w:rStyle w:val="FootnoteReference"/>
                <w:rFonts w:asciiTheme="majorHAnsi" w:hAnsiTheme="majorHAnsi"/>
              </w:rPr>
              <w:footnoteReference w:id="370"/>
            </w:r>
            <w:r w:rsidRPr="00F35E00">
              <w:rPr>
                <w:rFonts w:asciiTheme="majorHAnsi" w:hAnsiTheme="majorHAnsi"/>
              </w:rPr>
              <w:br/>
              <w:t>(2011)</w:t>
            </w:r>
          </w:p>
        </w:tc>
        <w:tc>
          <w:tcPr>
            <w:tcW w:w="1129" w:type="dxa"/>
          </w:tcPr>
          <w:p w:rsidR="00767B1A" w:rsidRPr="00F35E00" w:rsidRDefault="00F35E00" w:rsidP="00747120">
            <w:pPr>
              <w:pStyle w:val="NumericTableTextNormal"/>
              <w:jc w:val="right"/>
              <w:cnfStyle w:val="000000000000"/>
              <w:rPr>
                <w:rFonts w:asciiTheme="majorHAnsi" w:hAnsiTheme="majorHAnsi"/>
              </w:rPr>
            </w:pPr>
            <w:r w:rsidRPr="00F35E00">
              <w:rPr>
                <w:rFonts w:asciiTheme="majorHAnsi" w:hAnsiTheme="majorHAnsi"/>
              </w:rPr>
              <w:t>*nr</w:t>
            </w:r>
          </w:p>
        </w:tc>
      </w:tr>
      <w:tr w:rsidR="00767B1A" w:rsidRPr="00CB32B1" w:rsidTr="00F35E00">
        <w:tc>
          <w:tcPr>
            <w:cnfStyle w:val="001000000000"/>
            <w:tcW w:w="2358" w:type="dxa"/>
          </w:tcPr>
          <w:p w:rsidR="00767B1A" w:rsidRPr="00F35E00" w:rsidRDefault="00767B1A" w:rsidP="00767B1A">
            <w:pPr>
              <w:pStyle w:val="NumericTableTextNormal"/>
              <w:rPr>
                <w:rFonts w:asciiTheme="majorHAnsi" w:hAnsiTheme="majorHAnsi"/>
              </w:rPr>
            </w:pPr>
            <w:r w:rsidRPr="00F35E00">
              <w:rPr>
                <w:rFonts w:asciiTheme="majorHAnsi" w:hAnsiTheme="majorHAnsi"/>
              </w:rPr>
              <w:t xml:space="preserve">Numbers of </w:t>
            </w:r>
            <w:r w:rsidR="00727D37" w:rsidRPr="00F35E00">
              <w:rPr>
                <w:rFonts w:asciiTheme="majorHAnsi" w:hAnsiTheme="majorHAnsi"/>
              </w:rPr>
              <w:t>PPMs</w:t>
            </w:r>
            <w:r w:rsidR="00854DEF" w:rsidRPr="00F35E00">
              <w:rPr>
                <w:rFonts w:asciiTheme="majorHAnsi" w:hAnsiTheme="majorHAnsi"/>
              </w:rPr>
              <w:t>/</w:t>
            </w:r>
            <w:r w:rsidRPr="00F35E00">
              <w:rPr>
                <w:rFonts w:asciiTheme="majorHAnsi" w:hAnsiTheme="majorHAnsi"/>
              </w:rPr>
              <w:t>independent midwives</w:t>
            </w:r>
          </w:p>
        </w:tc>
        <w:tc>
          <w:tcPr>
            <w:tcW w:w="1620" w:type="dxa"/>
          </w:tcPr>
          <w:p w:rsidR="00767B1A" w:rsidRPr="00F35E00" w:rsidRDefault="001E2819" w:rsidP="001E2819">
            <w:pPr>
              <w:pStyle w:val="NumericTableTextNormal"/>
              <w:jc w:val="right"/>
              <w:cnfStyle w:val="000000000000"/>
              <w:rPr>
                <w:rFonts w:asciiTheme="majorHAnsi" w:hAnsiTheme="majorHAnsi"/>
                <w:highlight w:val="green"/>
              </w:rPr>
            </w:pPr>
            <w:r w:rsidRPr="001E2819">
              <w:rPr>
                <w:rFonts w:asciiTheme="majorHAnsi" w:hAnsiTheme="majorHAnsi"/>
              </w:rPr>
              <w:t>57</w:t>
            </w:r>
            <w:r w:rsidR="00767B1A" w:rsidRPr="001E2819">
              <w:rPr>
                <w:rStyle w:val="FootnoteReference"/>
                <w:rFonts w:asciiTheme="majorHAnsi" w:hAnsiTheme="majorHAnsi"/>
              </w:rPr>
              <w:footnoteReference w:id="371"/>
            </w:r>
            <w:r w:rsidR="00767B1A" w:rsidRPr="001E2819">
              <w:rPr>
                <w:rFonts w:asciiTheme="majorHAnsi" w:hAnsiTheme="majorHAnsi"/>
              </w:rPr>
              <w:br/>
              <w:t>(201</w:t>
            </w:r>
            <w:r w:rsidRPr="001E2819">
              <w:rPr>
                <w:rFonts w:asciiTheme="majorHAnsi" w:hAnsiTheme="majorHAnsi"/>
              </w:rPr>
              <w:t>3</w:t>
            </w:r>
            <w:r w:rsidR="00767B1A" w:rsidRPr="001E2819">
              <w:rPr>
                <w:rFonts w:asciiTheme="majorHAnsi" w:hAnsiTheme="majorHAnsi"/>
              </w:rPr>
              <w:t>)</w:t>
            </w:r>
          </w:p>
        </w:tc>
        <w:tc>
          <w:tcPr>
            <w:tcW w:w="1387" w:type="dxa"/>
          </w:tcPr>
          <w:p w:rsidR="00767B1A" w:rsidRPr="001E2819" w:rsidRDefault="00767B1A" w:rsidP="00747120">
            <w:pPr>
              <w:pStyle w:val="NumericTableTextNormal"/>
              <w:jc w:val="right"/>
              <w:cnfStyle w:val="000000000000"/>
              <w:rPr>
                <w:rFonts w:asciiTheme="majorHAnsi" w:hAnsiTheme="majorHAnsi"/>
              </w:rPr>
            </w:pPr>
            <w:r w:rsidRPr="001E2819">
              <w:rPr>
                <w:rFonts w:asciiTheme="majorHAnsi" w:hAnsiTheme="majorHAnsi"/>
              </w:rPr>
              <w:t>170</w:t>
            </w:r>
            <w:r w:rsidRPr="001E2819">
              <w:rPr>
                <w:rStyle w:val="FootnoteReference"/>
                <w:rFonts w:asciiTheme="majorHAnsi" w:hAnsiTheme="majorHAnsi"/>
              </w:rPr>
              <w:footnoteReference w:id="372"/>
            </w:r>
          </w:p>
        </w:tc>
        <w:tc>
          <w:tcPr>
            <w:tcW w:w="1295" w:type="dxa"/>
          </w:tcPr>
          <w:p w:rsidR="00767B1A" w:rsidRPr="00F35E00" w:rsidRDefault="00767B1A" w:rsidP="00747120">
            <w:pPr>
              <w:pStyle w:val="NumericTableTextNormal"/>
              <w:jc w:val="right"/>
              <w:cnfStyle w:val="000000000000"/>
              <w:rPr>
                <w:rFonts w:asciiTheme="majorHAnsi" w:hAnsiTheme="majorHAnsi"/>
              </w:rPr>
            </w:pPr>
            <w:r w:rsidRPr="00F35E00">
              <w:rPr>
                <w:rFonts w:asciiTheme="majorHAnsi" w:hAnsiTheme="majorHAnsi"/>
              </w:rPr>
              <w:t>405</w:t>
            </w:r>
            <w:r w:rsidRPr="00F35E00">
              <w:rPr>
                <w:rStyle w:val="FootnoteReference"/>
                <w:rFonts w:asciiTheme="majorHAnsi" w:hAnsiTheme="majorHAnsi"/>
              </w:rPr>
              <w:footnoteReference w:id="373"/>
            </w:r>
            <w:r w:rsidRPr="00F35E00">
              <w:rPr>
                <w:rFonts w:asciiTheme="majorHAnsi" w:hAnsiTheme="majorHAnsi"/>
              </w:rPr>
              <w:br/>
              <w:t>(2009-10)</w:t>
            </w:r>
          </w:p>
        </w:tc>
        <w:tc>
          <w:tcPr>
            <w:tcW w:w="1499" w:type="dxa"/>
          </w:tcPr>
          <w:p w:rsidR="00767B1A" w:rsidRPr="00F35E00" w:rsidRDefault="00767B1A" w:rsidP="00747120">
            <w:pPr>
              <w:pStyle w:val="NumericTableTextNormal"/>
              <w:jc w:val="right"/>
              <w:cnfStyle w:val="000000000000"/>
              <w:rPr>
                <w:rFonts w:asciiTheme="majorHAnsi" w:hAnsiTheme="majorHAnsi"/>
              </w:rPr>
            </w:pPr>
            <w:r w:rsidRPr="00F35E00">
              <w:rPr>
                <w:rFonts w:asciiTheme="majorHAnsi" w:hAnsiTheme="majorHAnsi"/>
              </w:rPr>
              <w:t>1,907</w:t>
            </w:r>
            <w:r w:rsidRPr="00F35E00">
              <w:rPr>
                <w:rStyle w:val="FootnoteReference"/>
                <w:rFonts w:asciiTheme="majorHAnsi" w:hAnsiTheme="majorHAnsi"/>
              </w:rPr>
              <w:footnoteReference w:id="374"/>
            </w:r>
            <w:r w:rsidRPr="00F35E00">
              <w:rPr>
                <w:rFonts w:asciiTheme="majorHAnsi" w:hAnsiTheme="majorHAnsi"/>
              </w:rPr>
              <w:br/>
              <w:t>(2011)</w:t>
            </w:r>
          </w:p>
        </w:tc>
        <w:tc>
          <w:tcPr>
            <w:tcW w:w="1129" w:type="dxa"/>
          </w:tcPr>
          <w:p w:rsidR="00767B1A" w:rsidRPr="00F35E00" w:rsidRDefault="00767B1A" w:rsidP="00747120">
            <w:pPr>
              <w:pStyle w:val="NumericTableTextNormal"/>
              <w:jc w:val="right"/>
              <w:cnfStyle w:val="000000000000"/>
              <w:rPr>
                <w:rFonts w:asciiTheme="majorHAnsi" w:hAnsiTheme="majorHAnsi"/>
              </w:rPr>
            </w:pPr>
            <w:r w:rsidRPr="00F35E00">
              <w:rPr>
                <w:rFonts w:asciiTheme="majorHAnsi" w:hAnsiTheme="majorHAnsi"/>
              </w:rPr>
              <w:t>2,910</w:t>
            </w:r>
            <w:r w:rsidRPr="00F35E00">
              <w:rPr>
                <w:rStyle w:val="FootnoteReference"/>
                <w:rFonts w:asciiTheme="majorHAnsi" w:hAnsiTheme="majorHAnsi"/>
              </w:rPr>
              <w:footnoteReference w:id="375"/>
            </w:r>
            <w:r w:rsidRPr="00F35E00">
              <w:rPr>
                <w:rFonts w:asciiTheme="majorHAnsi" w:hAnsiTheme="majorHAnsi"/>
              </w:rPr>
              <w:br/>
              <w:t>(2012)</w:t>
            </w:r>
          </w:p>
        </w:tc>
      </w:tr>
      <w:tr w:rsidR="00767B1A" w:rsidRPr="00CB32B1" w:rsidTr="00F35E00">
        <w:tc>
          <w:tcPr>
            <w:cnfStyle w:val="001000000000"/>
            <w:tcW w:w="2358" w:type="dxa"/>
          </w:tcPr>
          <w:p w:rsidR="00767B1A" w:rsidRPr="00F35E00" w:rsidRDefault="00767B1A" w:rsidP="00767B1A">
            <w:pPr>
              <w:pStyle w:val="NumericTableTextNormal"/>
              <w:rPr>
                <w:rFonts w:asciiTheme="majorHAnsi" w:hAnsiTheme="majorHAnsi"/>
              </w:rPr>
            </w:pPr>
            <w:r w:rsidRPr="00F35E00">
              <w:rPr>
                <w:rFonts w:asciiTheme="majorHAnsi" w:hAnsiTheme="majorHAnsi"/>
              </w:rPr>
              <w:t>Proportion of PPMs of all midwives</w:t>
            </w:r>
          </w:p>
        </w:tc>
        <w:tc>
          <w:tcPr>
            <w:tcW w:w="1620" w:type="dxa"/>
          </w:tcPr>
          <w:p w:rsidR="00767B1A" w:rsidRPr="001E2819" w:rsidRDefault="00767B1A" w:rsidP="00747120">
            <w:pPr>
              <w:pStyle w:val="NumericTableTextNormal"/>
              <w:jc w:val="right"/>
              <w:cnfStyle w:val="000000000000"/>
              <w:rPr>
                <w:rFonts w:asciiTheme="majorHAnsi" w:hAnsiTheme="majorHAnsi"/>
              </w:rPr>
            </w:pPr>
            <w:r w:rsidRPr="001E2819">
              <w:rPr>
                <w:rFonts w:asciiTheme="majorHAnsi" w:hAnsiTheme="majorHAnsi"/>
              </w:rPr>
              <w:t>0</w:t>
            </w:r>
            <w:r w:rsidR="001E2819" w:rsidRPr="001E2819">
              <w:rPr>
                <w:rFonts w:asciiTheme="majorHAnsi" w:hAnsiTheme="majorHAnsi"/>
              </w:rPr>
              <w:t>.16</w:t>
            </w:r>
            <w:r w:rsidRPr="001E2819">
              <w:rPr>
                <w:rFonts w:asciiTheme="majorHAnsi" w:hAnsiTheme="majorHAnsi"/>
              </w:rPr>
              <w:t>%</w:t>
            </w:r>
          </w:p>
        </w:tc>
        <w:tc>
          <w:tcPr>
            <w:tcW w:w="1387" w:type="dxa"/>
          </w:tcPr>
          <w:p w:rsidR="00767B1A" w:rsidRPr="001E2819" w:rsidRDefault="00767B1A" w:rsidP="00747120">
            <w:pPr>
              <w:pStyle w:val="NumericTableTextNormal"/>
              <w:jc w:val="right"/>
              <w:cnfStyle w:val="000000000000"/>
              <w:rPr>
                <w:rFonts w:asciiTheme="majorHAnsi" w:hAnsiTheme="majorHAnsi"/>
              </w:rPr>
            </w:pPr>
            <w:r w:rsidRPr="001E2819">
              <w:rPr>
                <w:rFonts w:asciiTheme="majorHAnsi" w:hAnsiTheme="majorHAnsi"/>
              </w:rPr>
              <w:t>0.6%</w:t>
            </w:r>
          </w:p>
        </w:tc>
        <w:tc>
          <w:tcPr>
            <w:tcW w:w="1295" w:type="dxa"/>
          </w:tcPr>
          <w:p w:rsidR="00767B1A" w:rsidRPr="00F35E00" w:rsidRDefault="00767B1A" w:rsidP="00747120">
            <w:pPr>
              <w:pStyle w:val="NumericTableTextNormal"/>
              <w:jc w:val="right"/>
              <w:cnfStyle w:val="000000000000"/>
              <w:rPr>
                <w:rFonts w:asciiTheme="majorHAnsi" w:hAnsiTheme="majorHAnsi"/>
              </w:rPr>
            </w:pPr>
            <w:r w:rsidRPr="00F35E00">
              <w:rPr>
                <w:rFonts w:asciiTheme="majorHAnsi" w:hAnsiTheme="majorHAnsi"/>
              </w:rPr>
              <w:t>100.0%</w:t>
            </w:r>
          </w:p>
        </w:tc>
        <w:tc>
          <w:tcPr>
            <w:tcW w:w="1499" w:type="dxa"/>
          </w:tcPr>
          <w:p w:rsidR="00767B1A" w:rsidRPr="00F35E00" w:rsidRDefault="00767B1A" w:rsidP="00747120">
            <w:pPr>
              <w:pStyle w:val="NumericTableTextNormal"/>
              <w:jc w:val="right"/>
              <w:cnfStyle w:val="000000000000"/>
              <w:rPr>
                <w:rFonts w:asciiTheme="majorHAnsi" w:hAnsiTheme="majorHAnsi"/>
              </w:rPr>
            </w:pPr>
            <w:r w:rsidRPr="00F35E00">
              <w:rPr>
                <w:rFonts w:asciiTheme="majorHAnsi" w:hAnsiTheme="majorHAnsi"/>
              </w:rPr>
              <w:t>73.0%</w:t>
            </w:r>
          </w:p>
        </w:tc>
        <w:tc>
          <w:tcPr>
            <w:tcW w:w="1129" w:type="dxa"/>
          </w:tcPr>
          <w:p w:rsidR="00767B1A" w:rsidRPr="00F35E00" w:rsidRDefault="00767B1A" w:rsidP="00747120">
            <w:pPr>
              <w:pStyle w:val="NumericTableTextNormal"/>
              <w:jc w:val="right"/>
              <w:cnfStyle w:val="000000000000"/>
              <w:rPr>
                <w:rFonts w:asciiTheme="majorHAnsi" w:hAnsiTheme="majorHAnsi"/>
              </w:rPr>
            </w:pPr>
            <w:r w:rsidRPr="00F35E00">
              <w:rPr>
                <w:rFonts w:asciiTheme="majorHAnsi" w:hAnsiTheme="majorHAnsi"/>
              </w:rPr>
              <w:t>100.0%</w:t>
            </w:r>
          </w:p>
        </w:tc>
      </w:tr>
      <w:tr w:rsidR="00767B1A" w:rsidRPr="00CB32B1" w:rsidTr="00F35E00">
        <w:tc>
          <w:tcPr>
            <w:cnfStyle w:val="001000000000"/>
            <w:tcW w:w="2358" w:type="dxa"/>
          </w:tcPr>
          <w:p w:rsidR="00767B1A" w:rsidRPr="00F35E00" w:rsidRDefault="00767B1A" w:rsidP="00767B1A">
            <w:pPr>
              <w:pStyle w:val="NumericTableTextNormal"/>
              <w:rPr>
                <w:rFonts w:asciiTheme="majorHAnsi" w:hAnsiTheme="majorHAnsi"/>
              </w:rPr>
            </w:pPr>
            <w:r w:rsidRPr="00F35E00">
              <w:rPr>
                <w:rFonts w:asciiTheme="majorHAnsi" w:hAnsiTheme="majorHAnsi"/>
              </w:rPr>
              <w:t>Proportion of births which are homebirths</w:t>
            </w:r>
          </w:p>
        </w:tc>
        <w:tc>
          <w:tcPr>
            <w:tcW w:w="1620" w:type="dxa"/>
          </w:tcPr>
          <w:p w:rsidR="00767B1A" w:rsidRPr="001E2819" w:rsidRDefault="00767B1A" w:rsidP="00747120">
            <w:pPr>
              <w:pStyle w:val="NumericTableTextNormal"/>
              <w:jc w:val="right"/>
              <w:cnfStyle w:val="000000000000"/>
              <w:rPr>
                <w:rFonts w:asciiTheme="majorHAnsi" w:hAnsiTheme="majorHAnsi"/>
              </w:rPr>
            </w:pPr>
            <w:r w:rsidRPr="001E2819">
              <w:rPr>
                <w:rFonts w:asciiTheme="majorHAnsi" w:hAnsiTheme="majorHAnsi"/>
              </w:rPr>
              <w:t>0.45%</w:t>
            </w:r>
            <w:r w:rsidRPr="001E2819">
              <w:rPr>
                <w:rStyle w:val="FootnoteReference"/>
                <w:rFonts w:asciiTheme="majorHAnsi" w:hAnsiTheme="majorHAnsi"/>
              </w:rPr>
              <w:footnoteReference w:id="376"/>
            </w:r>
            <w:r w:rsidRPr="001E2819">
              <w:rPr>
                <w:rFonts w:asciiTheme="majorHAnsi" w:hAnsiTheme="majorHAnsi"/>
              </w:rPr>
              <w:br/>
              <w:t>(2010)</w:t>
            </w:r>
          </w:p>
        </w:tc>
        <w:tc>
          <w:tcPr>
            <w:tcW w:w="1387" w:type="dxa"/>
          </w:tcPr>
          <w:p w:rsidR="00767B1A" w:rsidRPr="00F35E00" w:rsidRDefault="00767B1A" w:rsidP="00747120">
            <w:pPr>
              <w:pStyle w:val="NumericTableTextNormal"/>
              <w:jc w:val="right"/>
              <w:cnfStyle w:val="000000000000"/>
              <w:rPr>
                <w:rFonts w:asciiTheme="majorHAnsi" w:hAnsiTheme="majorHAnsi"/>
              </w:rPr>
            </w:pPr>
            <w:r w:rsidRPr="00F35E00">
              <w:rPr>
                <w:rFonts w:asciiTheme="majorHAnsi" w:hAnsiTheme="majorHAnsi"/>
              </w:rPr>
              <w:t>2.40%</w:t>
            </w:r>
            <w:r w:rsidRPr="00F35E00">
              <w:rPr>
                <w:rFonts w:asciiTheme="majorHAnsi" w:hAnsiTheme="majorHAnsi"/>
              </w:rPr>
              <w:br/>
              <w:t>(2011)</w:t>
            </w:r>
          </w:p>
        </w:tc>
        <w:tc>
          <w:tcPr>
            <w:tcW w:w="1295" w:type="dxa"/>
          </w:tcPr>
          <w:p w:rsidR="00767B1A" w:rsidRPr="00F35E00" w:rsidRDefault="00767B1A" w:rsidP="00747120">
            <w:pPr>
              <w:pStyle w:val="NumericTableTextNormal"/>
              <w:jc w:val="right"/>
              <w:cnfStyle w:val="000000000000"/>
              <w:rPr>
                <w:rFonts w:asciiTheme="majorHAnsi" w:hAnsiTheme="majorHAnsi"/>
              </w:rPr>
            </w:pPr>
            <w:r w:rsidRPr="00F35E00">
              <w:rPr>
                <w:rFonts w:asciiTheme="majorHAnsi" w:hAnsiTheme="majorHAnsi"/>
              </w:rPr>
              <w:t>2.03%</w:t>
            </w:r>
            <w:r w:rsidRPr="00F35E00">
              <w:rPr>
                <w:rStyle w:val="FootnoteReference"/>
                <w:rFonts w:asciiTheme="majorHAnsi" w:hAnsiTheme="majorHAnsi"/>
              </w:rPr>
              <w:footnoteReference w:id="377"/>
            </w:r>
            <w:r w:rsidRPr="00F35E00">
              <w:rPr>
                <w:rFonts w:asciiTheme="majorHAnsi" w:hAnsiTheme="majorHAnsi"/>
              </w:rPr>
              <w:br/>
              <w:t>(2009-10)</w:t>
            </w:r>
          </w:p>
        </w:tc>
        <w:tc>
          <w:tcPr>
            <w:tcW w:w="1499" w:type="dxa"/>
          </w:tcPr>
          <w:p w:rsidR="00767B1A" w:rsidRPr="00F35E00" w:rsidRDefault="00767B1A" w:rsidP="00747120">
            <w:pPr>
              <w:pStyle w:val="NumericTableTextNormal"/>
              <w:jc w:val="right"/>
              <w:cnfStyle w:val="000000000000"/>
              <w:rPr>
                <w:rFonts w:asciiTheme="majorHAnsi" w:hAnsiTheme="majorHAnsi"/>
              </w:rPr>
            </w:pPr>
            <w:r w:rsidRPr="00F35E00">
              <w:rPr>
                <w:rFonts w:asciiTheme="majorHAnsi" w:hAnsiTheme="majorHAnsi"/>
              </w:rPr>
              <w:t>23.4%</w:t>
            </w:r>
            <w:r w:rsidRPr="00F35E00">
              <w:rPr>
                <w:rStyle w:val="FootnoteReference"/>
                <w:rFonts w:asciiTheme="majorHAnsi" w:hAnsiTheme="majorHAnsi"/>
              </w:rPr>
              <w:footnoteReference w:id="378"/>
            </w:r>
            <w:r w:rsidRPr="00F35E00">
              <w:rPr>
                <w:rFonts w:asciiTheme="majorHAnsi" w:hAnsiTheme="majorHAnsi"/>
              </w:rPr>
              <w:br/>
              <w:t>(2010)</w:t>
            </w:r>
          </w:p>
        </w:tc>
        <w:tc>
          <w:tcPr>
            <w:tcW w:w="1129" w:type="dxa"/>
          </w:tcPr>
          <w:p w:rsidR="00767B1A" w:rsidRPr="00F35E00" w:rsidRDefault="00767B1A" w:rsidP="00747120">
            <w:pPr>
              <w:pStyle w:val="NumericTableTextNormal"/>
              <w:jc w:val="right"/>
              <w:cnfStyle w:val="000000000000"/>
              <w:rPr>
                <w:rFonts w:asciiTheme="majorHAnsi" w:hAnsiTheme="majorHAnsi"/>
              </w:rPr>
            </w:pPr>
            <w:r w:rsidRPr="00F35E00">
              <w:rPr>
                <w:rFonts w:asciiTheme="majorHAnsi" w:hAnsiTheme="majorHAnsi"/>
              </w:rPr>
              <w:t>7%</w:t>
            </w:r>
            <w:r w:rsidRPr="00F35E00">
              <w:rPr>
                <w:rStyle w:val="FootnoteReference"/>
                <w:rFonts w:asciiTheme="majorHAnsi" w:hAnsiTheme="majorHAnsi"/>
              </w:rPr>
              <w:footnoteReference w:id="379"/>
            </w:r>
          </w:p>
        </w:tc>
      </w:tr>
      <w:tr w:rsidR="00767B1A" w:rsidRPr="00CB32B1" w:rsidTr="00F35E00">
        <w:tc>
          <w:tcPr>
            <w:cnfStyle w:val="001000000000"/>
            <w:tcW w:w="2358" w:type="dxa"/>
          </w:tcPr>
          <w:p w:rsidR="00767B1A" w:rsidRPr="00F35E00" w:rsidRDefault="00767B1A" w:rsidP="00767B1A">
            <w:pPr>
              <w:pStyle w:val="NumericTableTextNormal"/>
              <w:rPr>
                <w:rFonts w:asciiTheme="majorHAnsi" w:hAnsiTheme="majorHAnsi"/>
              </w:rPr>
            </w:pPr>
            <w:r w:rsidRPr="00F35E00">
              <w:rPr>
                <w:rFonts w:asciiTheme="majorHAnsi" w:hAnsiTheme="majorHAnsi"/>
              </w:rPr>
              <w:t>Proportion of all births by midwives which are homebirths</w:t>
            </w:r>
          </w:p>
        </w:tc>
        <w:tc>
          <w:tcPr>
            <w:tcW w:w="1620" w:type="dxa"/>
          </w:tcPr>
          <w:p w:rsidR="00767B1A" w:rsidRPr="00F35E00" w:rsidRDefault="00F35E00" w:rsidP="00747120">
            <w:pPr>
              <w:pStyle w:val="NumericTableTextNormal"/>
              <w:jc w:val="right"/>
              <w:cnfStyle w:val="000000000000"/>
              <w:rPr>
                <w:rFonts w:asciiTheme="majorHAnsi" w:hAnsiTheme="majorHAnsi"/>
              </w:rPr>
            </w:pPr>
            <w:r w:rsidRPr="00F35E00">
              <w:rPr>
                <w:rFonts w:asciiTheme="majorHAnsi" w:hAnsiTheme="majorHAnsi"/>
              </w:rPr>
              <w:t>*nr</w:t>
            </w:r>
          </w:p>
        </w:tc>
        <w:tc>
          <w:tcPr>
            <w:tcW w:w="1387" w:type="dxa"/>
          </w:tcPr>
          <w:p w:rsidR="00767B1A" w:rsidRPr="00F35E00" w:rsidRDefault="00F35E00" w:rsidP="00747120">
            <w:pPr>
              <w:pStyle w:val="NumericTableTextNormal"/>
              <w:jc w:val="right"/>
              <w:cnfStyle w:val="000000000000"/>
              <w:rPr>
                <w:rFonts w:asciiTheme="majorHAnsi" w:hAnsiTheme="majorHAnsi"/>
              </w:rPr>
            </w:pPr>
            <w:r w:rsidRPr="00F35E00">
              <w:rPr>
                <w:rFonts w:asciiTheme="majorHAnsi" w:hAnsiTheme="majorHAnsi"/>
              </w:rPr>
              <w:t>*nr</w:t>
            </w:r>
          </w:p>
        </w:tc>
        <w:tc>
          <w:tcPr>
            <w:tcW w:w="1295" w:type="dxa"/>
          </w:tcPr>
          <w:p w:rsidR="00767B1A" w:rsidRPr="001E2819" w:rsidRDefault="00767B1A" w:rsidP="00747120">
            <w:pPr>
              <w:pStyle w:val="NumericTableTextNormal"/>
              <w:jc w:val="right"/>
              <w:cnfStyle w:val="000000000000"/>
              <w:rPr>
                <w:rFonts w:asciiTheme="majorHAnsi" w:hAnsiTheme="majorHAnsi"/>
              </w:rPr>
            </w:pPr>
            <w:r w:rsidRPr="001E2819">
              <w:rPr>
                <w:rFonts w:asciiTheme="majorHAnsi" w:hAnsiTheme="majorHAnsi"/>
              </w:rPr>
              <w:t>1.96%</w:t>
            </w:r>
            <w:r w:rsidRPr="001E2819">
              <w:rPr>
                <w:rFonts w:asciiTheme="majorHAnsi" w:hAnsiTheme="majorHAnsi"/>
              </w:rPr>
              <w:br/>
              <w:t xml:space="preserve">(2009-10) </w:t>
            </w:r>
            <w:r w:rsidRPr="001E2819">
              <w:rPr>
                <w:rStyle w:val="FootnoteReference"/>
                <w:rFonts w:asciiTheme="majorHAnsi" w:hAnsiTheme="majorHAnsi"/>
              </w:rPr>
              <w:footnoteReference w:id="380"/>
            </w:r>
          </w:p>
        </w:tc>
        <w:tc>
          <w:tcPr>
            <w:tcW w:w="1499" w:type="dxa"/>
          </w:tcPr>
          <w:p w:rsidR="00767B1A" w:rsidRPr="00F35E00" w:rsidRDefault="00F35E00" w:rsidP="00747120">
            <w:pPr>
              <w:pStyle w:val="NumericTableTextNormal"/>
              <w:jc w:val="right"/>
              <w:cnfStyle w:val="000000000000"/>
              <w:rPr>
                <w:rFonts w:asciiTheme="majorHAnsi" w:hAnsiTheme="majorHAnsi"/>
              </w:rPr>
            </w:pPr>
            <w:r w:rsidRPr="00F35E00">
              <w:rPr>
                <w:rFonts w:asciiTheme="majorHAnsi" w:hAnsiTheme="majorHAnsi"/>
              </w:rPr>
              <w:t>*nr</w:t>
            </w:r>
          </w:p>
        </w:tc>
        <w:tc>
          <w:tcPr>
            <w:tcW w:w="1129" w:type="dxa"/>
          </w:tcPr>
          <w:p w:rsidR="00767B1A" w:rsidRPr="00F35E00" w:rsidRDefault="00F35E00" w:rsidP="00747120">
            <w:pPr>
              <w:pStyle w:val="NumericTableTextNormal"/>
              <w:jc w:val="right"/>
              <w:cnfStyle w:val="000000000000"/>
              <w:rPr>
                <w:rFonts w:asciiTheme="majorHAnsi" w:hAnsiTheme="majorHAnsi"/>
              </w:rPr>
            </w:pPr>
            <w:r w:rsidRPr="00F35E00">
              <w:rPr>
                <w:rFonts w:asciiTheme="majorHAnsi" w:hAnsiTheme="majorHAnsi"/>
              </w:rPr>
              <w:t>*nr</w:t>
            </w:r>
          </w:p>
        </w:tc>
      </w:tr>
      <w:tr w:rsidR="00767B1A" w:rsidRPr="00CB32B1" w:rsidTr="00F35E00">
        <w:tc>
          <w:tcPr>
            <w:cnfStyle w:val="001000000000"/>
            <w:tcW w:w="2358" w:type="dxa"/>
          </w:tcPr>
          <w:p w:rsidR="00767B1A" w:rsidRPr="00F35E00" w:rsidRDefault="00767B1A" w:rsidP="00767B1A">
            <w:pPr>
              <w:pStyle w:val="NumericTableTextNormal"/>
              <w:rPr>
                <w:rFonts w:asciiTheme="majorHAnsi" w:hAnsiTheme="majorHAnsi"/>
              </w:rPr>
            </w:pPr>
            <w:r w:rsidRPr="00F35E00">
              <w:rPr>
                <w:rFonts w:asciiTheme="majorHAnsi" w:hAnsiTheme="majorHAnsi"/>
              </w:rPr>
              <w:t>Proportion of births by PPMs which are homebirths</w:t>
            </w:r>
          </w:p>
        </w:tc>
        <w:tc>
          <w:tcPr>
            <w:tcW w:w="1620" w:type="dxa"/>
          </w:tcPr>
          <w:p w:rsidR="00767B1A" w:rsidRPr="00F35E00" w:rsidRDefault="00F35E00" w:rsidP="00747120">
            <w:pPr>
              <w:pStyle w:val="NumericTableTextNormal"/>
              <w:jc w:val="right"/>
              <w:cnfStyle w:val="000000000000"/>
              <w:rPr>
                <w:rFonts w:asciiTheme="majorHAnsi" w:hAnsiTheme="majorHAnsi"/>
              </w:rPr>
            </w:pPr>
            <w:r w:rsidRPr="00F35E00">
              <w:rPr>
                <w:rFonts w:asciiTheme="majorHAnsi" w:hAnsiTheme="majorHAnsi"/>
              </w:rPr>
              <w:t>*nr</w:t>
            </w:r>
          </w:p>
        </w:tc>
        <w:tc>
          <w:tcPr>
            <w:tcW w:w="1387" w:type="dxa"/>
          </w:tcPr>
          <w:p w:rsidR="00767B1A" w:rsidRPr="00F35E00" w:rsidRDefault="00F35E00" w:rsidP="00747120">
            <w:pPr>
              <w:pStyle w:val="NumericTableTextNormal"/>
              <w:jc w:val="right"/>
              <w:cnfStyle w:val="000000000000"/>
              <w:rPr>
                <w:rFonts w:asciiTheme="majorHAnsi" w:hAnsiTheme="majorHAnsi"/>
              </w:rPr>
            </w:pPr>
            <w:r w:rsidRPr="00F35E00">
              <w:rPr>
                <w:rFonts w:asciiTheme="majorHAnsi" w:hAnsiTheme="majorHAnsi"/>
              </w:rPr>
              <w:t>*nr</w:t>
            </w:r>
          </w:p>
        </w:tc>
        <w:tc>
          <w:tcPr>
            <w:tcW w:w="1295" w:type="dxa"/>
          </w:tcPr>
          <w:p w:rsidR="00767B1A" w:rsidRPr="001E2819" w:rsidRDefault="00767B1A" w:rsidP="00747120">
            <w:pPr>
              <w:pStyle w:val="NumericTableTextNormal"/>
              <w:jc w:val="right"/>
              <w:cnfStyle w:val="000000000000"/>
              <w:rPr>
                <w:rFonts w:asciiTheme="majorHAnsi" w:hAnsiTheme="majorHAnsi"/>
              </w:rPr>
            </w:pPr>
            <w:r w:rsidRPr="001E2819">
              <w:rPr>
                <w:rFonts w:asciiTheme="majorHAnsi" w:hAnsiTheme="majorHAnsi"/>
              </w:rPr>
              <w:t>1.96%</w:t>
            </w:r>
            <w:r w:rsidRPr="001E2819">
              <w:rPr>
                <w:rFonts w:asciiTheme="majorHAnsi" w:hAnsiTheme="majorHAnsi"/>
              </w:rPr>
              <w:br/>
              <w:t>(2009-10)</w:t>
            </w:r>
            <w:r w:rsidRPr="001E2819">
              <w:rPr>
                <w:rStyle w:val="FootnoteReference"/>
                <w:rFonts w:asciiTheme="majorHAnsi" w:hAnsiTheme="majorHAnsi"/>
              </w:rPr>
              <w:footnoteReference w:id="381"/>
            </w:r>
          </w:p>
        </w:tc>
        <w:tc>
          <w:tcPr>
            <w:tcW w:w="1499" w:type="dxa"/>
          </w:tcPr>
          <w:p w:rsidR="00767B1A" w:rsidRPr="00F35E00" w:rsidRDefault="00F35E00" w:rsidP="00747120">
            <w:pPr>
              <w:pStyle w:val="NumericTableTextNormal"/>
              <w:jc w:val="right"/>
              <w:cnfStyle w:val="000000000000"/>
              <w:rPr>
                <w:rFonts w:asciiTheme="majorHAnsi" w:hAnsiTheme="majorHAnsi"/>
              </w:rPr>
            </w:pPr>
            <w:r w:rsidRPr="00F35E00">
              <w:rPr>
                <w:rFonts w:asciiTheme="majorHAnsi" w:hAnsiTheme="majorHAnsi"/>
              </w:rPr>
              <w:t>*nr</w:t>
            </w:r>
          </w:p>
        </w:tc>
        <w:tc>
          <w:tcPr>
            <w:tcW w:w="1129" w:type="dxa"/>
          </w:tcPr>
          <w:p w:rsidR="00767B1A" w:rsidRPr="00F35E00" w:rsidRDefault="00F35E00" w:rsidP="00747120">
            <w:pPr>
              <w:pStyle w:val="NumericTableTextNormal"/>
              <w:jc w:val="right"/>
              <w:cnfStyle w:val="000000000000"/>
              <w:rPr>
                <w:rFonts w:asciiTheme="majorHAnsi" w:hAnsiTheme="majorHAnsi"/>
              </w:rPr>
            </w:pPr>
            <w:r w:rsidRPr="00F35E00">
              <w:rPr>
                <w:rFonts w:asciiTheme="majorHAnsi" w:hAnsiTheme="majorHAnsi"/>
              </w:rPr>
              <w:t>*nr</w:t>
            </w:r>
          </w:p>
        </w:tc>
      </w:tr>
    </w:tbl>
    <w:p w:rsidR="00F35E00" w:rsidRPr="00CB32B1" w:rsidRDefault="00F35E00" w:rsidP="00F35E00">
      <w:pPr>
        <w:pStyle w:val="Sources"/>
        <w:keepNext/>
        <w:keepLines/>
        <w:spacing w:after="40"/>
      </w:pPr>
      <w:r w:rsidRPr="00CB32B1">
        <w:rPr>
          <w:b/>
        </w:rPr>
        <w:t>Key:</w:t>
      </w:r>
      <w:r w:rsidRPr="00CB32B1">
        <w:t xml:space="preserve"> ‘nr*’ – Not reported. </w:t>
      </w:r>
    </w:p>
    <w:p w:rsidR="00767B1A" w:rsidRPr="00CB32B1" w:rsidRDefault="00767B1A" w:rsidP="00767B1A">
      <w:pPr>
        <w:pStyle w:val="Sources"/>
      </w:pPr>
      <w:r w:rsidRPr="00CB32B1">
        <w:rPr>
          <w:b/>
        </w:rPr>
        <w:t>Sources:</w:t>
      </w:r>
      <w:r w:rsidRPr="00CB32B1">
        <w:t xml:space="preserve"> Footnoted by the statistic recorded.</w:t>
      </w:r>
    </w:p>
    <w:p w:rsidR="00767B1A" w:rsidRPr="00CB32B1" w:rsidRDefault="00767B1A" w:rsidP="00767B1A">
      <w:pPr>
        <w:pStyle w:val="Minorheading"/>
      </w:pPr>
      <w:r w:rsidRPr="00CB32B1">
        <w:t>Scope of practice</w:t>
      </w:r>
    </w:p>
    <w:p w:rsidR="00767B1A" w:rsidRPr="00CB32B1" w:rsidRDefault="00767B1A" w:rsidP="00767B1A">
      <w:pPr>
        <w:pStyle w:val="PwCNormal"/>
      </w:pPr>
      <w:r w:rsidRPr="00CB32B1">
        <w:t xml:space="preserve">Scope of practice yielded some insights regarding the PPMs which can provide births within health settings internationally. In general, it was found that only in </w:t>
      </w:r>
      <w:r w:rsidR="000436E0">
        <w:t>jurisdiction</w:t>
      </w:r>
      <w:r w:rsidR="000436E0" w:rsidRPr="00CB32B1">
        <w:t>s</w:t>
      </w:r>
      <w:r w:rsidRPr="00CB32B1">
        <w:t xml:space="preserve"> where all midwives were viewed as independent that the midwife would be able to assist the woman giving birth in the hospital. Further information obtained through consultation included:</w:t>
      </w:r>
    </w:p>
    <w:p w:rsidR="00767B1A" w:rsidRPr="00CB32B1" w:rsidRDefault="00767B1A" w:rsidP="00767B1A">
      <w:pPr>
        <w:pStyle w:val="ListBullet"/>
      </w:pPr>
      <w:r w:rsidRPr="00CB32B1">
        <w:t xml:space="preserve">Access rights were viewed as an integral part to a midwife’s scope of practice; all </w:t>
      </w:r>
      <w:r w:rsidR="006121A8" w:rsidRPr="00CB32B1">
        <w:t>jurisdictions</w:t>
      </w:r>
      <w:r w:rsidR="00D12B45" w:rsidRPr="00CB32B1">
        <w:t xml:space="preserve"> </w:t>
      </w:r>
      <w:r w:rsidRPr="00CB32B1">
        <w:t>gave or tried to enable PPMs to receive access rights</w:t>
      </w:r>
    </w:p>
    <w:p w:rsidR="00D12B45" w:rsidRPr="00CB32B1" w:rsidRDefault="00D12B45" w:rsidP="00D12B45">
      <w:pPr>
        <w:pStyle w:val="ListBullet"/>
      </w:pPr>
      <w:r w:rsidRPr="00CB32B1">
        <w:t>Only publicly funded schemes found in the province of Ontario and New Zealand allowed for a midwife to be covered for births inside and outside of the hospital environment</w:t>
      </w:r>
    </w:p>
    <w:p w:rsidR="00D12B45" w:rsidRPr="00CB32B1" w:rsidRDefault="00D12B45" w:rsidP="00D12B45">
      <w:pPr>
        <w:pStyle w:val="ListBullet"/>
      </w:pPr>
      <w:r w:rsidRPr="00CB32B1">
        <w:t>The province of Ontario requires midwives to have at least one access arrangement with a hospital</w:t>
      </w:r>
    </w:p>
    <w:p w:rsidR="00D12B45" w:rsidRPr="00CB32B1" w:rsidRDefault="00D12B45" w:rsidP="00D12B45">
      <w:pPr>
        <w:pStyle w:val="ListBullet"/>
      </w:pPr>
      <w:r w:rsidRPr="00CB32B1">
        <w:t>The Netherlands make it compulsory for a hospital to accept referrals from midwives</w:t>
      </w:r>
    </w:p>
    <w:p w:rsidR="00767B1A" w:rsidRPr="00CB32B1" w:rsidRDefault="00D12B45" w:rsidP="00D12B45">
      <w:pPr>
        <w:pStyle w:val="ListBullet"/>
      </w:pPr>
      <w:r w:rsidRPr="00CB32B1">
        <w:t>England has adopted a SOM model to provide an additional person to reach out to for consultation.</w:t>
      </w:r>
    </w:p>
    <w:tbl>
      <w:tblPr>
        <w:tblStyle w:val="PwCTableStyle1"/>
        <w:tblW w:w="0" w:type="auto"/>
        <w:tblLayout w:type="fixed"/>
        <w:tblLook w:val="04A0"/>
      </w:tblPr>
      <w:tblGrid>
        <w:gridCol w:w="1548"/>
        <w:gridCol w:w="1548"/>
        <w:gridCol w:w="1548"/>
        <w:gridCol w:w="1548"/>
        <w:gridCol w:w="1548"/>
        <w:gridCol w:w="1548"/>
      </w:tblGrid>
      <w:tr w:rsidR="00767B1A" w:rsidRPr="00CB32B1" w:rsidTr="00767B1A">
        <w:trPr>
          <w:cnfStyle w:val="100000000000"/>
        </w:trPr>
        <w:tc>
          <w:tcPr>
            <w:cnfStyle w:val="001000000000"/>
            <w:tcW w:w="1548" w:type="dxa"/>
            <w:tcBorders>
              <w:bottom w:val="single" w:sz="6" w:space="0" w:color="DC6900" w:themeColor="text2"/>
              <w:right w:val="single" w:sz="6" w:space="0" w:color="FFFFFF" w:themeColor="background2"/>
            </w:tcBorders>
            <w:shd w:val="clear" w:color="auto" w:fill="DC6900" w:themeFill="text2"/>
          </w:tcPr>
          <w:p w:rsidR="00767B1A" w:rsidRPr="00CB32B1" w:rsidRDefault="00767B1A" w:rsidP="00747120">
            <w:pPr>
              <w:pStyle w:val="TableColumnHeadingNormal"/>
              <w:jc w:val="center"/>
            </w:pPr>
          </w:p>
        </w:tc>
        <w:tc>
          <w:tcPr>
            <w:tcW w:w="1548"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tcPr>
          <w:p w:rsidR="00767B1A" w:rsidRPr="00CB32B1" w:rsidRDefault="00767B1A" w:rsidP="00747120">
            <w:pPr>
              <w:pStyle w:val="TableColumnHeadingNormal"/>
              <w:jc w:val="center"/>
              <w:cnfStyle w:val="100000000000"/>
            </w:pPr>
            <w:r w:rsidRPr="00CB32B1">
              <w:t>Australia</w:t>
            </w:r>
          </w:p>
        </w:tc>
        <w:tc>
          <w:tcPr>
            <w:tcW w:w="1548"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tcPr>
          <w:p w:rsidR="00767B1A" w:rsidRPr="00CB32B1" w:rsidRDefault="000436E0" w:rsidP="00747120">
            <w:pPr>
              <w:pStyle w:val="TableColumnHeadingNormal"/>
              <w:jc w:val="center"/>
              <w:cnfStyle w:val="100000000000"/>
            </w:pPr>
            <w:r>
              <w:t>England</w:t>
            </w:r>
          </w:p>
        </w:tc>
        <w:tc>
          <w:tcPr>
            <w:tcW w:w="1548"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tcPr>
          <w:p w:rsidR="00767B1A" w:rsidRPr="00CB32B1" w:rsidRDefault="00767B1A" w:rsidP="00747120">
            <w:pPr>
              <w:pStyle w:val="TableColumnHeadingNormal"/>
              <w:jc w:val="center"/>
              <w:cnfStyle w:val="100000000000"/>
            </w:pPr>
            <w:r w:rsidRPr="00CB32B1">
              <w:t>Ontario, Canada</w:t>
            </w:r>
          </w:p>
        </w:tc>
        <w:tc>
          <w:tcPr>
            <w:tcW w:w="1548"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tcPr>
          <w:p w:rsidR="00767B1A" w:rsidRPr="00CB32B1" w:rsidRDefault="00767B1A" w:rsidP="00747120">
            <w:pPr>
              <w:pStyle w:val="TableColumnHeadingNormal"/>
              <w:jc w:val="center"/>
              <w:cnfStyle w:val="100000000000"/>
            </w:pPr>
            <w:r w:rsidRPr="00CB32B1">
              <w:t>the Netherlands</w:t>
            </w:r>
          </w:p>
        </w:tc>
        <w:tc>
          <w:tcPr>
            <w:tcW w:w="1548" w:type="dxa"/>
            <w:tcBorders>
              <w:left w:val="single" w:sz="6" w:space="0" w:color="FFFFFF" w:themeColor="background2"/>
              <w:bottom w:val="single" w:sz="6" w:space="0" w:color="DC6900" w:themeColor="text2"/>
            </w:tcBorders>
            <w:shd w:val="clear" w:color="auto" w:fill="DC6900" w:themeFill="text2"/>
            <w:vAlign w:val="bottom"/>
          </w:tcPr>
          <w:p w:rsidR="00767B1A" w:rsidRPr="00CB32B1" w:rsidRDefault="00767B1A" w:rsidP="00747120">
            <w:pPr>
              <w:pStyle w:val="TableColumnHeadingNormal"/>
              <w:jc w:val="center"/>
              <w:cnfStyle w:val="100000000000"/>
            </w:pPr>
            <w:r w:rsidRPr="00CB32B1">
              <w:t>New Zealand</w:t>
            </w:r>
          </w:p>
        </w:tc>
      </w:tr>
      <w:tr w:rsidR="00767B1A" w:rsidRPr="00CB32B1" w:rsidTr="00767B1A">
        <w:tc>
          <w:tcPr>
            <w:cnfStyle w:val="001000000000"/>
            <w:tcW w:w="1548" w:type="dxa"/>
            <w:tcBorders>
              <w:top w:val="single" w:sz="6" w:space="0" w:color="DC6900" w:themeColor="text2"/>
            </w:tcBorders>
          </w:tcPr>
          <w:p w:rsidR="00767B1A" w:rsidRPr="00CB32B1" w:rsidRDefault="00767B1A" w:rsidP="00767B1A">
            <w:pPr>
              <w:pStyle w:val="TableTextNormal"/>
            </w:pPr>
            <w:r w:rsidRPr="00CB32B1">
              <w:t>PPMs provide hospital births</w:t>
            </w:r>
          </w:p>
        </w:tc>
        <w:tc>
          <w:tcPr>
            <w:tcW w:w="1548" w:type="dxa"/>
            <w:tcBorders>
              <w:top w:val="single" w:sz="6" w:space="0" w:color="DC6900" w:themeColor="text2"/>
            </w:tcBorders>
          </w:tcPr>
          <w:p w:rsidR="00767B1A" w:rsidRPr="00CB32B1" w:rsidRDefault="00767B1A" w:rsidP="00767B1A">
            <w:pPr>
              <w:pStyle w:val="TableTextNormal"/>
              <w:cnfStyle w:val="000000000000"/>
            </w:pPr>
            <w:r w:rsidRPr="00CB32B1">
              <w:t>No</w:t>
            </w:r>
          </w:p>
        </w:tc>
        <w:tc>
          <w:tcPr>
            <w:tcW w:w="1548" w:type="dxa"/>
            <w:tcBorders>
              <w:top w:val="single" w:sz="6" w:space="0" w:color="DC6900" w:themeColor="text2"/>
            </w:tcBorders>
          </w:tcPr>
          <w:p w:rsidR="00767B1A" w:rsidRPr="00CB32B1" w:rsidRDefault="00767B1A" w:rsidP="00767B1A">
            <w:pPr>
              <w:pStyle w:val="TableTextNormal"/>
              <w:cnfStyle w:val="000000000000"/>
            </w:pPr>
            <w:r w:rsidRPr="00CB32B1">
              <w:t>No</w:t>
            </w:r>
          </w:p>
        </w:tc>
        <w:tc>
          <w:tcPr>
            <w:tcW w:w="1548" w:type="dxa"/>
            <w:tcBorders>
              <w:top w:val="single" w:sz="6" w:space="0" w:color="DC6900" w:themeColor="text2"/>
            </w:tcBorders>
          </w:tcPr>
          <w:p w:rsidR="00767B1A" w:rsidRPr="00CB32B1" w:rsidRDefault="00767B1A" w:rsidP="00767B1A">
            <w:pPr>
              <w:pStyle w:val="TableTextNormal"/>
              <w:cnfStyle w:val="000000000000"/>
            </w:pPr>
            <w:r w:rsidRPr="00CB32B1">
              <w:t>Yes</w:t>
            </w:r>
          </w:p>
        </w:tc>
        <w:tc>
          <w:tcPr>
            <w:tcW w:w="1548" w:type="dxa"/>
            <w:tcBorders>
              <w:top w:val="single" w:sz="6" w:space="0" w:color="DC6900" w:themeColor="text2"/>
            </w:tcBorders>
          </w:tcPr>
          <w:p w:rsidR="00767B1A" w:rsidRPr="00CB32B1" w:rsidRDefault="00767B1A" w:rsidP="00767B1A">
            <w:pPr>
              <w:pStyle w:val="TableTextNormal"/>
              <w:cnfStyle w:val="000000000000"/>
            </w:pPr>
            <w:r w:rsidRPr="00CB32B1">
              <w:t>No</w:t>
            </w:r>
          </w:p>
        </w:tc>
        <w:tc>
          <w:tcPr>
            <w:tcW w:w="1548" w:type="dxa"/>
            <w:tcBorders>
              <w:top w:val="single" w:sz="6" w:space="0" w:color="DC6900" w:themeColor="text2"/>
            </w:tcBorders>
          </w:tcPr>
          <w:p w:rsidR="00767B1A" w:rsidRPr="00CB32B1" w:rsidRDefault="00767B1A" w:rsidP="00767B1A">
            <w:pPr>
              <w:pStyle w:val="TableTextNormal"/>
              <w:cnfStyle w:val="000000000000"/>
            </w:pPr>
            <w:r w:rsidRPr="00CB32B1">
              <w:t>Yes</w:t>
            </w:r>
          </w:p>
        </w:tc>
      </w:tr>
      <w:tr w:rsidR="00767B1A" w:rsidRPr="00CB32B1" w:rsidTr="00767B1A">
        <w:tc>
          <w:tcPr>
            <w:cnfStyle w:val="001000000000"/>
            <w:tcW w:w="1548" w:type="dxa"/>
          </w:tcPr>
          <w:p w:rsidR="00767B1A" w:rsidRPr="00CB32B1" w:rsidRDefault="00767B1A" w:rsidP="00767B1A">
            <w:pPr>
              <w:pStyle w:val="TableTextNormal"/>
            </w:pPr>
            <w:r w:rsidRPr="00CB32B1">
              <w:t>Access rights</w:t>
            </w:r>
          </w:p>
        </w:tc>
        <w:tc>
          <w:tcPr>
            <w:tcW w:w="1548" w:type="dxa"/>
          </w:tcPr>
          <w:p w:rsidR="00767B1A" w:rsidRPr="00CB32B1" w:rsidRDefault="00767B1A" w:rsidP="00767B1A">
            <w:pPr>
              <w:pStyle w:val="TableTextNormal"/>
              <w:cnfStyle w:val="000000000000"/>
            </w:pPr>
            <w:r w:rsidRPr="00CB32B1">
              <w:t>Yes, access rights have partially been achieved</w:t>
            </w:r>
          </w:p>
        </w:tc>
        <w:tc>
          <w:tcPr>
            <w:tcW w:w="1548" w:type="dxa"/>
          </w:tcPr>
          <w:p w:rsidR="00767B1A" w:rsidRPr="00CB32B1" w:rsidRDefault="00767B1A" w:rsidP="00767B1A">
            <w:pPr>
              <w:pStyle w:val="TableTextNormal"/>
              <w:cnfStyle w:val="000000000000"/>
            </w:pPr>
            <w:r w:rsidRPr="00CB32B1">
              <w:t>Yes, same referral rights as a</w:t>
            </w:r>
            <w:r w:rsidR="00E30385">
              <w:t>n</w:t>
            </w:r>
            <w:r w:rsidRPr="00CB32B1">
              <w:t xml:space="preserve"> NHS midwife</w:t>
            </w:r>
          </w:p>
        </w:tc>
        <w:tc>
          <w:tcPr>
            <w:tcW w:w="1548" w:type="dxa"/>
          </w:tcPr>
          <w:p w:rsidR="00767B1A" w:rsidRPr="00CB32B1" w:rsidRDefault="00767B1A" w:rsidP="00767B1A">
            <w:pPr>
              <w:pStyle w:val="TableTextNormal"/>
              <w:cnfStyle w:val="000000000000"/>
            </w:pPr>
            <w:r w:rsidRPr="00CB32B1">
              <w:t>Yes, must have at least one</w:t>
            </w:r>
          </w:p>
        </w:tc>
        <w:tc>
          <w:tcPr>
            <w:tcW w:w="1548" w:type="dxa"/>
          </w:tcPr>
          <w:p w:rsidR="00767B1A" w:rsidRPr="00CB32B1" w:rsidRDefault="00767B1A" w:rsidP="00767B1A">
            <w:pPr>
              <w:pStyle w:val="TableTextNormal"/>
              <w:cnfStyle w:val="000000000000"/>
            </w:pPr>
            <w:r w:rsidRPr="00CB32B1">
              <w:t>Yes, required to accept referrals from midwives providing homebirth services</w:t>
            </w:r>
          </w:p>
        </w:tc>
        <w:tc>
          <w:tcPr>
            <w:tcW w:w="1548" w:type="dxa"/>
          </w:tcPr>
          <w:p w:rsidR="00767B1A" w:rsidRPr="00CB32B1" w:rsidRDefault="00767B1A" w:rsidP="00767B1A">
            <w:pPr>
              <w:pStyle w:val="TableTextNormal"/>
              <w:cnfStyle w:val="000000000000"/>
            </w:pPr>
            <w:r w:rsidRPr="00CB32B1">
              <w:t>Yes</w:t>
            </w:r>
          </w:p>
        </w:tc>
      </w:tr>
      <w:tr w:rsidR="00767B1A" w:rsidRPr="00CB32B1" w:rsidTr="00767B1A">
        <w:tc>
          <w:tcPr>
            <w:cnfStyle w:val="001000000000"/>
            <w:tcW w:w="1548" w:type="dxa"/>
          </w:tcPr>
          <w:p w:rsidR="00767B1A" w:rsidRPr="00CB32B1" w:rsidRDefault="00767B1A" w:rsidP="00767B1A">
            <w:pPr>
              <w:pStyle w:val="TableTextNormal"/>
            </w:pPr>
            <w:r w:rsidRPr="00CB32B1">
              <w:t>SOM model</w:t>
            </w:r>
          </w:p>
        </w:tc>
        <w:tc>
          <w:tcPr>
            <w:tcW w:w="1548" w:type="dxa"/>
          </w:tcPr>
          <w:p w:rsidR="00767B1A" w:rsidRPr="00CB32B1" w:rsidRDefault="00767B1A" w:rsidP="00767B1A">
            <w:pPr>
              <w:pStyle w:val="TableTextNormal"/>
              <w:cnfStyle w:val="000000000000"/>
            </w:pPr>
            <w:r w:rsidRPr="00CB32B1">
              <w:t>No</w:t>
            </w:r>
          </w:p>
        </w:tc>
        <w:tc>
          <w:tcPr>
            <w:tcW w:w="1548" w:type="dxa"/>
          </w:tcPr>
          <w:p w:rsidR="00767B1A" w:rsidRPr="00CB32B1" w:rsidRDefault="00767B1A" w:rsidP="00767B1A">
            <w:pPr>
              <w:pStyle w:val="TableTextNormal"/>
              <w:cnfStyle w:val="000000000000"/>
            </w:pPr>
            <w:r w:rsidRPr="00CB32B1">
              <w:t>Yes</w:t>
            </w:r>
          </w:p>
        </w:tc>
        <w:tc>
          <w:tcPr>
            <w:tcW w:w="1548" w:type="dxa"/>
          </w:tcPr>
          <w:p w:rsidR="00767B1A" w:rsidRPr="00CB32B1" w:rsidRDefault="00767B1A" w:rsidP="00767B1A">
            <w:pPr>
              <w:pStyle w:val="TableTextNormal"/>
              <w:cnfStyle w:val="000000000000"/>
            </w:pPr>
            <w:r w:rsidRPr="00CB32B1">
              <w:t>No</w:t>
            </w:r>
          </w:p>
        </w:tc>
        <w:tc>
          <w:tcPr>
            <w:tcW w:w="1548" w:type="dxa"/>
          </w:tcPr>
          <w:p w:rsidR="00767B1A" w:rsidRPr="00CB32B1" w:rsidRDefault="00767B1A" w:rsidP="00767B1A">
            <w:pPr>
              <w:pStyle w:val="TableTextNormal"/>
              <w:cnfStyle w:val="000000000000"/>
            </w:pPr>
            <w:r w:rsidRPr="00CB32B1">
              <w:t>No</w:t>
            </w:r>
          </w:p>
        </w:tc>
        <w:tc>
          <w:tcPr>
            <w:tcW w:w="1548" w:type="dxa"/>
          </w:tcPr>
          <w:p w:rsidR="00767B1A" w:rsidRPr="00CB32B1" w:rsidRDefault="00767B1A" w:rsidP="00767B1A">
            <w:pPr>
              <w:pStyle w:val="TableTextNormal"/>
              <w:cnfStyle w:val="000000000000"/>
            </w:pPr>
            <w:r w:rsidRPr="00CB32B1">
              <w:t>No</w:t>
            </w:r>
          </w:p>
        </w:tc>
      </w:tr>
    </w:tbl>
    <w:p w:rsidR="00767B1A" w:rsidRPr="00CB32B1" w:rsidRDefault="00767B1A" w:rsidP="00767B1A">
      <w:pPr>
        <w:pStyle w:val="Sources"/>
      </w:pPr>
      <w:r w:rsidRPr="00CB32B1">
        <w:rPr>
          <w:b/>
        </w:rPr>
        <w:t>Sources:</w:t>
      </w:r>
      <w:r w:rsidRPr="00CB32B1">
        <w:t xml:space="preserve"> Reference Independent Midwives</w:t>
      </w:r>
      <w:r w:rsidR="00806C5F" w:rsidRPr="00CB32B1">
        <w:t xml:space="preserve"> 2013</w:t>
      </w:r>
      <w:r w:rsidRPr="00CB32B1">
        <w:t>; KNOV</w:t>
      </w:r>
      <w:r w:rsidR="00230931">
        <w:t xml:space="preserve"> (The Royal Dutch Organisation of Midwives)</w:t>
      </w:r>
      <w:r w:rsidRPr="00CB32B1">
        <w:t xml:space="preserve"> 2012; Association of Ontario Midwives</w:t>
      </w:r>
      <w:r w:rsidR="007F1F64">
        <w:t xml:space="preserve"> 2013a</w:t>
      </w:r>
      <w:r w:rsidR="00ED127D" w:rsidRPr="00CB32B1">
        <w:t>.</w:t>
      </w:r>
    </w:p>
    <w:p w:rsidR="00767B1A" w:rsidRPr="00CB32B1" w:rsidRDefault="00767B1A" w:rsidP="00767B1A">
      <w:pPr>
        <w:pStyle w:val="Majorheading"/>
      </w:pPr>
      <w:r w:rsidRPr="00CB32B1">
        <w:t>2.</w:t>
      </w:r>
      <w:r w:rsidRPr="00CB32B1">
        <w:tab/>
        <w:t>Payment for midwifery practice</w:t>
      </w:r>
    </w:p>
    <w:p w:rsidR="00767B1A" w:rsidRPr="00CB32B1" w:rsidRDefault="00767B1A" w:rsidP="00767B1A">
      <w:pPr>
        <w:pStyle w:val="PwCNormal"/>
      </w:pPr>
      <w:r w:rsidRPr="00CB32B1">
        <w:t xml:space="preserve">Cost of services for midwifery practice was benchmarked. Key findings contained within </w:t>
      </w:r>
      <w:r w:rsidR="00D44BC2" w:rsidRPr="00CB32B1">
        <w:br/>
      </w:r>
      <w:r w:rsidR="009129A6" w:rsidRPr="00CB32B1">
        <w:fldChar w:fldCharType="begin"/>
      </w:r>
      <w:r w:rsidR="00D44BC2" w:rsidRPr="00CB32B1">
        <w:instrText xml:space="preserve"> REF _Ref361224952 \h </w:instrText>
      </w:r>
      <w:r w:rsidR="009129A6" w:rsidRPr="00CB32B1">
        <w:fldChar w:fldCharType="separate"/>
      </w:r>
      <w:r w:rsidR="008816B4" w:rsidRPr="00CB32B1">
        <w:t xml:space="preserve">Table </w:t>
      </w:r>
      <w:r w:rsidR="008816B4">
        <w:rPr>
          <w:noProof/>
        </w:rPr>
        <w:t>56</w:t>
      </w:r>
      <w:r w:rsidR="009129A6" w:rsidRPr="00CB32B1">
        <w:fldChar w:fldCharType="end"/>
      </w:r>
      <w:r w:rsidRPr="00CB32B1">
        <w:t> show:</w:t>
      </w:r>
    </w:p>
    <w:p w:rsidR="00767B1A" w:rsidRPr="00CB32B1" w:rsidRDefault="000436E0" w:rsidP="00767B1A">
      <w:pPr>
        <w:pStyle w:val="ListBullet"/>
      </w:pPr>
      <w:r>
        <w:t xml:space="preserve">The province of </w:t>
      </w:r>
      <w:r w:rsidR="00767B1A" w:rsidRPr="00CB32B1">
        <w:t xml:space="preserve">Ontario and New Zealand have both developed a publicly funded system of midwifery service which is supported by </w:t>
      </w:r>
      <w:r>
        <w:t xml:space="preserve">each of </w:t>
      </w:r>
      <w:r w:rsidR="00767B1A" w:rsidRPr="00CB32B1">
        <w:t xml:space="preserve">the </w:t>
      </w:r>
      <w:r>
        <w:t>respective g</w:t>
      </w:r>
      <w:r w:rsidR="00767B1A" w:rsidRPr="00CB32B1">
        <w:t>overnment</w:t>
      </w:r>
      <w:r>
        <w:t>s</w:t>
      </w:r>
      <w:r w:rsidR="00767B1A" w:rsidRPr="00CB32B1">
        <w:t xml:space="preserve">. Australian PPMs can be </w:t>
      </w:r>
      <w:r>
        <w:t>g</w:t>
      </w:r>
      <w:r w:rsidR="00767B1A" w:rsidRPr="00CB32B1">
        <w:t>overnment s</w:t>
      </w:r>
      <w:r w:rsidR="00CB1BAB" w:rsidRPr="00CB32B1">
        <w:t xml:space="preserve">upported if </w:t>
      </w:r>
      <w:r w:rsidR="00D12B45" w:rsidRPr="00CB32B1">
        <w:t xml:space="preserve">they are </w:t>
      </w:r>
      <w:r w:rsidR="00CB1BAB" w:rsidRPr="00CB32B1">
        <w:t>an eligible midwife</w:t>
      </w:r>
    </w:p>
    <w:p w:rsidR="00767B1A" w:rsidRPr="00CB32B1" w:rsidRDefault="00767B1A" w:rsidP="00767B1A">
      <w:pPr>
        <w:pStyle w:val="ListBullet"/>
      </w:pPr>
      <w:r w:rsidRPr="00CB32B1">
        <w:t>A potential reason for the lower fee in the Netherlands may be related to the scale of independent midwifery practice increasing competition and reducing fees for service.</w:t>
      </w:r>
    </w:p>
    <w:p w:rsidR="00767B1A" w:rsidRPr="00CB32B1" w:rsidRDefault="00767B1A" w:rsidP="000436E0">
      <w:pPr>
        <w:pStyle w:val="Caption"/>
      </w:pPr>
      <w:bookmarkStart w:id="177" w:name="_Ref361224952"/>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56</w:t>
      </w:r>
      <w:r w:rsidR="009129A6" w:rsidRPr="00CB32B1">
        <w:fldChar w:fldCharType="end"/>
      </w:r>
      <w:bookmarkEnd w:id="177"/>
      <w:r w:rsidRPr="00CB32B1">
        <w:t>:</w:t>
      </w:r>
      <w:r w:rsidRPr="00CB32B1">
        <w:tab/>
        <w:t>Payment for midwifery practice</w:t>
      </w:r>
    </w:p>
    <w:tbl>
      <w:tblPr>
        <w:tblStyle w:val="PwCTableStyle1"/>
        <w:tblW w:w="9288" w:type="dxa"/>
        <w:tblLayout w:type="fixed"/>
        <w:tblLook w:val="04A0"/>
      </w:tblPr>
      <w:tblGrid>
        <w:gridCol w:w="1359"/>
        <w:gridCol w:w="1533"/>
        <w:gridCol w:w="1352"/>
        <w:gridCol w:w="1633"/>
        <w:gridCol w:w="1780"/>
        <w:gridCol w:w="1631"/>
      </w:tblGrid>
      <w:tr w:rsidR="00767B1A" w:rsidRPr="00CB32B1" w:rsidTr="00D12B45">
        <w:trPr>
          <w:cnfStyle w:val="100000000000"/>
        </w:trPr>
        <w:tc>
          <w:tcPr>
            <w:cnfStyle w:val="001000000000"/>
            <w:tcW w:w="1359" w:type="dxa"/>
            <w:tcBorders>
              <w:bottom w:val="single" w:sz="6" w:space="0" w:color="DC6900" w:themeColor="text2"/>
              <w:right w:val="single" w:sz="6" w:space="0" w:color="FFFFFF" w:themeColor="background2"/>
            </w:tcBorders>
            <w:shd w:val="clear" w:color="auto" w:fill="DC6900" w:themeFill="text2"/>
          </w:tcPr>
          <w:p w:rsidR="00767B1A" w:rsidRPr="00CB32B1" w:rsidRDefault="00767B1A" w:rsidP="000436E0">
            <w:pPr>
              <w:pStyle w:val="TableColumnHeadingNormal"/>
              <w:jc w:val="center"/>
            </w:pPr>
          </w:p>
        </w:tc>
        <w:tc>
          <w:tcPr>
            <w:tcW w:w="1533"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tcPr>
          <w:p w:rsidR="00767B1A" w:rsidRPr="00CB32B1" w:rsidRDefault="00767B1A" w:rsidP="000436E0">
            <w:pPr>
              <w:pStyle w:val="TableColumnHeadingNormal"/>
              <w:jc w:val="center"/>
              <w:cnfStyle w:val="100000000000"/>
            </w:pPr>
            <w:r w:rsidRPr="00CB32B1">
              <w:t>Australia</w:t>
            </w:r>
          </w:p>
        </w:tc>
        <w:tc>
          <w:tcPr>
            <w:tcW w:w="1352"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tcPr>
          <w:p w:rsidR="00767B1A" w:rsidRPr="00CB32B1" w:rsidRDefault="00767B1A" w:rsidP="000436E0">
            <w:pPr>
              <w:pStyle w:val="TableColumnHeadingNormal"/>
              <w:jc w:val="center"/>
              <w:cnfStyle w:val="100000000000"/>
            </w:pPr>
            <w:r w:rsidRPr="00CB32B1">
              <w:t>England (UK)</w:t>
            </w:r>
          </w:p>
        </w:tc>
        <w:tc>
          <w:tcPr>
            <w:tcW w:w="1633"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tcPr>
          <w:p w:rsidR="00767B1A" w:rsidRPr="00CB32B1" w:rsidRDefault="00767B1A" w:rsidP="000436E0">
            <w:pPr>
              <w:pStyle w:val="TableColumnHeadingNormal"/>
              <w:jc w:val="center"/>
              <w:cnfStyle w:val="100000000000"/>
            </w:pPr>
            <w:r w:rsidRPr="00CB32B1">
              <w:t>Ontario, Canada</w:t>
            </w:r>
          </w:p>
        </w:tc>
        <w:tc>
          <w:tcPr>
            <w:tcW w:w="1780"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tcPr>
          <w:p w:rsidR="00767B1A" w:rsidRPr="00CB32B1" w:rsidRDefault="00767B1A" w:rsidP="000436E0">
            <w:pPr>
              <w:pStyle w:val="TableColumnHeadingNormal"/>
              <w:jc w:val="center"/>
              <w:cnfStyle w:val="100000000000"/>
            </w:pPr>
            <w:r w:rsidRPr="00CB32B1">
              <w:t>the Netherlands</w:t>
            </w:r>
          </w:p>
        </w:tc>
        <w:tc>
          <w:tcPr>
            <w:tcW w:w="1631" w:type="dxa"/>
            <w:tcBorders>
              <w:left w:val="single" w:sz="6" w:space="0" w:color="FFFFFF" w:themeColor="background2"/>
              <w:bottom w:val="single" w:sz="6" w:space="0" w:color="DC6900" w:themeColor="text2"/>
            </w:tcBorders>
            <w:shd w:val="clear" w:color="auto" w:fill="DC6900" w:themeFill="text2"/>
            <w:vAlign w:val="bottom"/>
          </w:tcPr>
          <w:p w:rsidR="00767B1A" w:rsidRPr="00CB32B1" w:rsidRDefault="00767B1A" w:rsidP="000436E0">
            <w:pPr>
              <w:pStyle w:val="TableColumnHeadingNormal"/>
              <w:jc w:val="center"/>
              <w:cnfStyle w:val="100000000000"/>
            </w:pPr>
            <w:r w:rsidRPr="00CB32B1">
              <w:t>New Zealand</w:t>
            </w:r>
          </w:p>
        </w:tc>
      </w:tr>
      <w:tr w:rsidR="00D12B45" w:rsidRPr="00CB32B1" w:rsidTr="00D12B45">
        <w:tc>
          <w:tcPr>
            <w:cnfStyle w:val="001000000000"/>
            <w:tcW w:w="1359" w:type="dxa"/>
            <w:tcBorders>
              <w:top w:val="single" w:sz="6" w:space="0" w:color="DC6900" w:themeColor="text2"/>
            </w:tcBorders>
          </w:tcPr>
          <w:p w:rsidR="00D12B45" w:rsidRPr="00CB32B1" w:rsidRDefault="00D12B45" w:rsidP="000436E0">
            <w:pPr>
              <w:pStyle w:val="TableTextNormal"/>
              <w:keepNext/>
              <w:keepLines/>
            </w:pPr>
            <w:r w:rsidRPr="00CB32B1">
              <w:t>Cost</w:t>
            </w:r>
          </w:p>
        </w:tc>
        <w:tc>
          <w:tcPr>
            <w:tcW w:w="1533" w:type="dxa"/>
            <w:tcBorders>
              <w:top w:val="single" w:sz="6" w:space="0" w:color="DC6900" w:themeColor="text2"/>
            </w:tcBorders>
          </w:tcPr>
          <w:p w:rsidR="00D12B45" w:rsidRPr="00CB32B1" w:rsidRDefault="00D12B45" w:rsidP="000436E0">
            <w:pPr>
              <w:pStyle w:val="TableTextNormal"/>
              <w:keepNext/>
              <w:keepLines/>
              <w:cnfStyle w:val="000000000000"/>
            </w:pPr>
            <w:r w:rsidRPr="00CB32B1">
              <w:t xml:space="preserve">PPM will charge a fee based on their services. </w:t>
            </w:r>
            <w:r w:rsidR="000436E0">
              <w:t>MBS can provide indicative fees</w:t>
            </w:r>
          </w:p>
        </w:tc>
        <w:tc>
          <w:tcPr>
            <w:tcW w:w="1352" w:type="dxa"/>
            <w:tcBorders>
              <w:top w:val="single" w:sz="6" w:space="0" w:color="DC6900" w:themeColor="text2"/>
            </w:tcBorders>
          </w:tcPr>
          <w:p w:rsidR="00D12B45" w:rsidRPr="00CB32B1" w:rsidRDefault="00D12B45" w:rsidP="000436E0">
            <w:pPr>
              <w:pStyle w:val="TableTextNormal"/>
              <w:keepNext/>
              <w:keepLines/>
              <w:cnfStyle w:val="000000000000"/>
            </w:pPr>
            <w:r w:rsidRPr="00CB32B1">
              <w:t>Indepe</w:t>
            </w:r>
            <w:r w:rsidR="000436E0">
              <w:t>ndent midwife will charge a fee</w:t>
            </w:r>
          </w:p>
        </w:tc>
        <w:tc>
          <w:tcPr>
            <w:tcW w:w="1633" w:type="dxa"/>
            <w:tcBorders>
              <w:top w:val="single" w:sz="6" w:space="0" w:color="DC6900" w:themeColor="text2"/>
            </w:tcBorders>
          </w:tcPr>
          <w:p w:rsidR="00D12B45" w:rsidRPr="00CB32B1" w:rsidRDefault="00D12B45" w:rsidP="000436E0">
            <w:pPr>
              <w:pStyle w:val="TableTextNormal"/>
              <w:keepNext/>
              <w:keepLines/>
              <w:cnfStyle w:val="000000000000"/>
            </w:pPr>
            <w:r w:rsidRPr="00CB32B1">
              <w:t>Cost of service is not indicated as paid for by the Government under publicly-funded system</w:t>
            </w:r>
          </w:p>
        </w:tc>
        <w:tc>
          <w:tcPr>
            <w:tcW w:w="1780" w:type="dxa"/>
            <w:tcBorders>
              <w:top w:val="single" w:sz="6" w:space="0" w:color="DC6900" w:themeColor="text2"/>
            </w:tcBorders>
          </w:tcPr>
          <w:p w:rsidR="00D12B45" w:rsidRPr="00CB32B1" w:rsidRDefault="00D12B45" w:rsidP="000436E0">
            <w:pPr>
              <w:pStyle w:val="TableTextNormal"/>
              <w:keepNext/>
              <w:keepLines/>
              <w:cnfStyle w:val="000000000000"/>
            </w:pPr>
            <w:r w:rsidRPr="00CB32B1">
              <w:t>Cost is a set fee, which will be yearly adjusted amounts are made by the Dutch Healthcare Authority</w:t>
            </w:r>
          </w:p>
        </w:tc>
        <w:tc>
          <w:tcPr>
            <w:tcW w:w="1631" w:type="dxa"/>
            <w:tcBorders>
              <w:top w:val="single" w:sz="6" w:space="0" w:color="DC6900" w:themeColor="text2"/>
            </w:tcBorders>
          </w:tcPr>
          <w:p w:rsidR="00D12B45" w:rsidRPr="00CB32B1" w:rsidRDefault="00D12B45" w:rsidP="000436E0">
            <w:pPr>
              <w:pStyle w:val="TableTextNormal"/>
              <w:keepNext/>
              <w:keepLines/>
              <w:cnfStyle w:val="000000000000"/>
            </w:pPr>
            <w:r w:rsidRPr="00CB32B1">
              <w:t>Cost of service is not indicated as the Government pays under a publicly-funded system</w:t>
            </w:r>
          </w:p>
        </w:tc>
      </w:tr>
      <w:tr w:rsidR="00D12B45" w:rsidRPr="00CB32B1" w:rsidTr="00D12B45">
        <w:tc>
          <w:tcPr>
            <w:cnfStyle w:val="001000000000"/>
            <w:tcW w:w="1359" w:type="dxa"/>
          </w:tcPr>
          <w:p w:rsidR="00D12B45" w:rsidRPr="00CB32B1" w:rsidRDefault="00D12B45" w:rsidP="00767B1A">
            <w:pPr>
              <w:pStyle w:val="TableTextNormal"/>
            </w:pPr>
            <w:r w:rsidRPr="00CB32B1">
              <w:t xml:space="preserve">Total cost for woman </w:t>
            </w:r>
          </w:p>
        </w:tc>
        <w:tc>
          <w:tcPr>
            <w:tcW w:w="1533" w:type="dxa"/>
          </w:tcPr>
          <w:p w:rsidR="00D12B45" w:rsidRPr="00CB32B1" w:rsidRDefault="00D12B45" w:rsidP="00D12B45">
            <w:pPr>
              <w:pStyle w:val="TableTextNormal"/>
              <w:cnfStyle w:val="000000000000"/>
            </w:pPr>
            <w:r w:rsidRPr="00CB32B1">
              <w:t>Approximately $2,000 (AUD)</w:t>
            </w:r>
          </w:p>
        </w:tc>
        <w:tc>
          <w:tcPr>
            <w:tcW w:w="1352" w:type="dxa"/>
          </w:tcPr>
          <w:p w:rsidR="00D12B45" w:rsidRPr="00CB32B1" w:rsidRDefault="00D12B45" w:rsidP="00D12B45">
            <w:pPr>
              <w:pStyle w:val="TableTextNormal"/>
              <w:cnfStyle w:val="000000000000"/>
            </w:pPr>
            <w:r w:rsidRPr="00CB32B1">
              <w:t>Cost of care estimated between £2,000-£4,000</w:t>
            </w:r>
          </w:p>
        </w:tc>
        <w:tc>
          <w:tcPr>
            <w:tcW w:w="1633" w:type="dxa"/>
          </w:tcPr>
          <w:p w:rsidR="00D12B45" w:rsidRPr="00CB32B1" w:rsidRDefault="00D12B45" w:rsidP="00D12B45">
            <w:pPr>
              <w:pStyle w:val="TableTextNormal"/>
              <w:cnfStyle w:val="000000000000"/>
            </w:pPr>
            <w:r w:rsidRPr="00CB32B1">
              <w:t>Free</w:t>
            </w:r>
          </w:p>
        </w:tc>
        <w:tc>
          <w:tcPr>
            <w:tcW w:w="1780" w:type="dxa"/>
          </w:tcPr>
          <w:p w:rsidR="00D12B45" w:rsidRPr="00CB32B1" w:rsidRDefault="00D12B45" w:rsidP="00D12B45">
            <w:pPr>
              <w:pStyle w:val="TableTextNormal"/>
              <w:cnfStyle w:val="000000000000"/>
            </w:pPr>
            <w:r w:rsidRPr="00CB32B1">
              <w:t>€1</w:t>
            </w:r>
            <w:r w:rsidR="000436E0">
              <w:t>,</w:t>
            </w:r>
            <w:r w:rsidRPr="00CB32B1">
              <w:t>189.09</w:t>
            </w:r>
          </w:p>
        </w:tc>
        <w:tc>
          <w:tcPr>
            <w:tcW w:w="1631" w:type="dxa"/>
          </w:tcPr>
          <w:p w:rsidR="00D12B45" w:rsidRPr="00CB32B1" w:rsidRDefault="00D12B45" w:rsidP="00D12B45">
            <w:pPr>
              <w:pStyle w:val="TableTextNormal"/>
              <w:cnfStyle w:val="000000000000"/>
            </w:pPr>
            <w:r w:rsidRPr="00CB32B1">
              <w:t>Free but woman will have to pay for ultrasounds, tests and ambulance</w:t>
            </w:r>
          </w:p>
        </w:tc>
      </w:tr>
      <w:tr w:rsidR="00D12B45" w:rsidRPr="00CB32B1" w:rsidTr="00D12B45">
        <w:tc>
          <w:tcPr>
            <w:cnfStyle w:val="001000000000"/>
            <w:tcW w:w="1359" w:type="dxa"/>
          </w:tcPr>
          <w:p w:rsidR="00D12B45" w:rsidRPr="00CB32B1" w:rsidRDefault="00D12B45" w:rsidP="00767B1A">
            <w:pPr>
              <w:pStyle w:val="TableTextNormal"/>
            </w:pPr>
            <w:r w:rsidRPr="00CB32B1">
              <w:t>Antenatal</w:t>
            </w:r>
          </w:p>
        </w:tc>
        <w:tc>
          <w:tcPr>
            <w:tcW w:w="1533" w:type="dxa"/>
          </w:tcPr>
          <w:p w:rsidR="00D12B45" w:rsidRPr="00CB32B1" w:rsidRDefault="00D12B45" w:rsidP="00D12B45">
            <w:pPr>
              <w:pStyle w:val="TableTextNormal"/>
              <w:cnfStyle w:val="000000000000"/>
            </w:pPr>
            <w:r w:rsidRPr="00CB32B1">
              <w:t>$32.30 – $319.00</w:t>
            </w:r>
            <w:r w:rsidR="000436E0">
              <w:t>(AUD)</w:t>
            </w:r>
          </w:p>
        </w:tc>
        <w:tc>
          <w:tcPr>
            <w:tcW w:w="1352" w:type="dxa"/>
          </w:tcPr>
          <w:p w:rsidR="00D12B45" w:rsidRPr="00CB32B1" w:rsidRDefault="00D12B45" w:rsidP="00D12B45">
            <w:pPr>
              <w:pStyle w:val="TableTextNormal"/>
              <w:cnfStyle w:val="000000000000"/>
            </w:pPr>
            <w:r w:rsidRPr="00CB32B1">
              <w:t>-</w:t>
            </w:r>
          </w:p>
        </w:tc>
        <w:tc>
          <w:tcPr>
            <w:tcW w:w="1633" w:type="dxa"/>
          </w:tcPr>
          <w:p w:rsidR="00D12B45" w:rsidRPr="00CB32B1" w:rsidRDefault="00D12B45" w:rsidP="00D12B45">
            <w:pPr>
              <w:pStyle w:val="TableTextNormal"/>
              <w:cnfStyle w:val="000000000000"/>
            </w:pPr>
            <w:r w:rsidRPr="00CB32B1">
              <w:t>Free</w:t>
            </w:r>
          </w:p>
        </w:tc>
        <w:tc>
          <w:tcPr>
            <w:tcW w:w="1780" w:type="dxa"/>
          </w:tcPr>
          <w:p w:rsidR="00D12B45" w:rsidRPr="00CB32B1" w:rsidRDefault="00D12B45" w:rsidP="00D12B45">
            <w:pPr>
              <w:pStyle w:val="TableTextNormal"/>
              <w:cnfStyle w:val="000000000000"/>
            </w:pPr>
            <w:r w:rsidRPr="00CB32B1">
              <w:t>€441.92</w:t>
            </w:r>
          </w:p>
        </w:tc>
        <w:tc>
          <w:tcPr>
            <w:tcW w:w="1631" w:type="dxa"/>
          </w:tcPr>
          <w:p w:rsidR="00D12B45" w:rsidRPr="00CB32B1" w:rsidRDefault="00D12B45" w:rsidP="00D12B45">
            <w:pPr>
              <w:pStyle w:val="TableTextNormal"/>
              <w:cnfStyle w:val="000000000000"/>
            </w:pPr>
            <w:r w:rsidRPr="00CB32B1">
              <w:t>Free</w:t>
            </w:r>
          </w:p>
        </w:tc>
      </w:tr>
      <w:tr w:rsidR="00D12B45" w:rsidRPr="00CB32B1" w:rsidTr="00D12B45">
        <w:tc>
          <w:tcPr>
            <w:cnfStyle w:val="001000000000"/>
            <w:tcW w:w="1359" w:type="dxa"/>
          </w:tcPr>
          <w:p w:rsidR="00D12B45" w:rsidRPr="00CB32B1" w:rsidRDefault="00D12B45" w:rsidP="00767B1A">
            <w:pPr>
              <w:pStyle w:val="TableTextNormal"/>
              <w:keepNext/>
              <w:keepLines/>
            </w:pPr>
            <w:r w:rsidRPr="00CB32B1">
              <w:t>Intrapartum</w:t>
            </w:r>
          </w:p>
        </w:tc>
        <w:tc>
          <w:tcPr>
            <w:tcW w:w="1533" w:type="dxa"/>
          </w:tcPr>
          <w:p w:rsidR="00D12B45" w:rsidRPr="00CB32B1" w:rsidRDefault="00D12B45" w:rsidP="00D12B45">
            <w:pPr>
              <w:pStyle w:val="TableTextNormal"/>
              <w:keepNext/>
              <w:keepLines/>
              <w:cnfStyle w:val="000000000000"/>
            </w:pPr>
            <w:r w:rsidRPr="00CB32B1">
              <w:t>$753.30 (AUD)</w:t>
            </w:r>
          </w:p>
        </w:tc>
        <w:tc>
          <w:tcPr>
            <w:tcW w:w="1352" w:type="dxa"/>
          </w:tcPr>
          <w:p w:rsidR="00D12B45" w:rsidRPr="00CB32B1" w:rsidRDefault="00D12B45" w:rsidP="00D12B45">
            <w:pPr>
              <w:pStyle w:val="TableTextNormal"/>
              <w:keepNext/>
              <w:keepLines/>
              <w:cnfStyle w:val="000000000000"/>
            </w:pPr>
            <w:r w:rsidRPr="00CB32B1">
              <w:t>-</w:t>
            </w:r>
          </w:p>
        </w:tc>
        <w:tc>
          <w:tcPr>
            <w:tcW w:w="1633" w:type="dxa"/>
          </w:tcPr>
          <w:p w:rsidR="00D12B45" w:rsidRPr="00CB32B1" w:rsidRDefault="00D12B45" w:rsidP="00D12B45">
            <w:pPr>
              <w:pStyle w:val="TableTextNormal"/>
              <w:keepNext/>
              <w:keepLines/>
              <w:cnfStyle w:val="000000000000"/>
            </w:pPr>
            <w:r w:rsidRPr="00CB32B1">
              <w:t>Free</w:t>
            </w:r>
          </w:p>
        </w:tc>
        <w:tc>
          <w:tcPr>
            <w:tcW w:w="1780" w:type="dxa"/>
          </w:tcPr>
          <w:p w:rsidR="00D12B45" w:rsidRPr="00CB32B1" w:rsidRDefault="00D12B45" w:rsidP="00D12B45">
            <w:pPr>
              <w:pStyle w:val="TableTextNormal"/>
              <w:keepNext/>
              <w:keepLines/>
              <w:cnfStyle w:val="000000000000"/>
            </w:pPr>
            <w:r w:rsidRPr="00CB32B1">
              <w:t>€480.33</w:t>
            </w:r>
          </w:p>
        </w:tc>
        <w:tc>
          <w:tcPr>
            <w:tcW w:w="1631" w:type="dxa"/>
          </w:tcPr>
          <w:p w:rsidR="00D12B45" w:rsidRPr="00CB32B1" w:rsidRDefault="00D12B45" w:rsidP="00D12B45">
            <w:pPr>
              <w:pStyle w:val="TableTextNormal"/>
              <w:keepNext/>
              <w:keepLines/>
              <w:cnfStyle w:val="000000000000"/>
            </w:pPr>
            <w:r w:rsidRPr="00CB32B1">
              <w:t>Free</w:t>
            </w:r>
          </w:p>
        </w:tc>
      </w:tr>
      <w:tr w:rsidR="00D12B45" w:rsidRPr="00CB32B1" w:rsidTr="00D12B45">
        <w:tc>
          <w:tcPr>
            <w:cnfStyle w:val="001000000000"/>
            <w:tcW w:w="1359" w:type="dxa"/>
          </w:tcPr>
          <w:p w:rsidR="00D12B45" w:rsidRPr="00CB32B1" w:rsidRDefault="00D12B45" w:rsidP="00767B1A">
            <w:pPr>
              <w:pStyle w:val="TableTextNormal"/>
            </w:pPr>
            <w:r w:rsidRPr="00CB32B1">
              <w:t>Postnatal</w:t>
            </w:r>
          </w:p>
        </w:tc>
        <w:tc>
          <w:tcPr>
            <w:tcW w:w="1533" w:type="dxa"/>
          </w:tcPr>
          <w:p w:rsidR="00D12B45" w:rsidRPr="00CB32B1" w:rsidRDefault="00D12B45" w:rsidP="00D12B45">
            <w:pPr>
              <w:pStyle w:val="TableTextNormal"/>
              <w:cnfStyle w:val="000000000000"/>
            </w:pPr>
            <w:r w:rsidRPr="00CB32B1">
              <w:t>$53.40 – $78.50(AUD)</w:t>
            </w:r>
          </w:p>
        </w:tc>
        <w:tc>
          <w:tcPr>
            <w:tcW w:w="1352" w:type="dxa"/>
          </w:tcPr>
          <w:p w:rsidR="00D12B45" w:rsidRPr="00CB32B1" w:rsidRDefault="00D12B45" w:rsidP="00D12B45">
            <w:pPr>
              <w:pStyle w:val="TableTextNormal"/>
              <w:cnfStyle w:val="000000000000"/>
            </w:pPr>
            <w:r w:rsidRPr="00CB32B1">
              <w:t>-</w:t>
            </w:r>
          </w:p>
        </w:tc>
        <w:tc>
          <w:tcPr>
            <w:tcW w:w="1633" w:type="dxa"/>
          </w:tcPr>
          <w:p w:rsidR="00D12B45" w:rsidRPr="00CB32B1" w:rsidRDefault="00D12B45" w:rsidP="00D12B45">
            <w:pPr>
              <w:pStyle w:val="TableTextNormal"/>
              <w:cnfStyle w:val="000000000000"/>
            </w:pPr>
            <w:r w:rsidRPr="00CB32B1">
              <w:t>Free</w:t>
            </w:r>
          </w:p>
        </w:tc>
        <w:tc>
          <w:tcPr>
            <w:tcW w:w="1780" w:type="dxa"/>
          </w:tcPr>
          <w:p w:rsidR="00D12B45" w:rsidRPr="00CB32B1" w:rsidRDefault="00D12B45" w:rsidP="00D12B45">
            <w:pPr>
              <w:pStyle w:val="TableTextNormal"/>
              <w:cnfStyle w:val="000000000000"/>
            </w:pPr>
            <w:r w:rsidRPr="00CB32B1">
              <w:t>€266.85</w:t>
            </w:r>
          </w:p>
        </w:tc>
        <w:tc>
          <w:tcPr>
            <w:tcW w:w="1631" w:type="dxa"/>
          </w:tcPr>
          <w:p w:rsidR="00D12B45" w:rsidRPr="00CB32B1" w:rsidRDefault="00D12B45" w:rsidP="00D12B45">
            <w:pPr>
              <w:pStyle w:val="TableTextNormal"/>
              <w:cnfStyle w:val="000000000000"/>
            </w:pPr>
            <w:r w:rsidRPr="00CB32B1">
              <w:t>Free</w:t>
            </w:r>
          </w:p>
        </w:tc>
      </w:tr>
      <w:tr w:rsidR="00D12B45" w:rsidRPr="00CB32B1" w:rsidTr="00D12B45">
        <w:tc>
          <w:tcPr>
            <w:cnfStyle w:val="001000000000"/>
            <w:tcW w:w="1359" w:type="dxa"/>
          </w:tcPr>
          <w:p w:rsidR="00D12B45" w:rsidRPr="00CB32B1" w:rsidRDefault="00D12B45" w:rsidP="00767B1A">
            <w:pPr>
              <w:pStyle w:val="TableTextNormal"/>
            </w:pPr>
            <w:r w:rsidRPr="00CB32B1">
              <w:t>Payment if in hospital</w:t>
            </w:r>
          </w:p>
        </w:tc>
        <w:tc>
          <w:tcPr>
            <w:tcW w:w="1533" w:type="dxa"/>
          </w:tcPr>
          <w:p w:rsidR="00D12B45" w:rsidRPr="00CB32B1" w:rsidRDefault="00D12B45" w:rsidP="00D12B45">
            <w:pPr>
              <w:pStyle w:val="TableTextNormal"/>
              <w:cnfStyle w:val="000000000000"/>
            </w:pPr>
            <w:r w:rsidRPr="00CB32B1">
              <w:t>No, not through the MBS schedule but possible if charging woman fixed fee for services</w:t>
            </w:r>
          </w:p>
        </w:tc>
        <w:tc>
          <w:tcPr>
            <w:tcW w:w="1352" w:type="dxa"/>
          </w:tcPr>
          <w:p w:rsidR="00D12B45" w:rsidRPr="00CB32B1" w:rsidRDefault="00D12B45" w:rsidP="00D12B45">
            <w:pPr>
              <w:pStyle w:val="TableTextNormal"/>
              <w:cnfStyle w:val="000000000000"/>
            </w:pPr>
            <w:r w:rsidRPr="00CB32B1">
              <w:t>Yes</w:t>
            </w:r>
          </w:p>
        </w:tc>
        <w:tc>
          <w:tcPr>
            <w:tcW w:w="1633" w:type="dxa"/>
          </w:tcPr>
          <w:p w:rsidR="00D12B45" w:rsidRPr="00CB32B1" w:rsidRDefault="00D12B45" w:rsidP="00D12B45">
            <w:pPr>
              <w:pStyle w:val="TableTextNormal"/>
              <w:cnfStyle w:val="000000000000"/>
            </w:pPr>
            <w:r w:rsidRPr="00CB32B1">
              <w:t>Yes</w:t>
            </w:r>
          </w:p>
        </w:tc>
        <w:tc>
          <w:tcPr>
            <w:tcW w:w="1780" w:type="dxa"/>
          </w:tcPr>
          <w:p w:rsidR="00D12B45" w:rsidRPr="00CB32B1" w:rsidRDefault="00D12B45" w:rsidP="00D12B45">
            <w:pPr>
              <w:pStyle w:val="TableTextNormal"/>
              <w:cnfStyle w:val="000000000000"/>
            </w:pPr>
            <w:r w:rsidRPr="00CB32B1">
              <w:t>Only can claim the amount which the midwife has provided care for, ie will not be reimbursed for a transfer during intrapartum care</w:t>
            </w:r>
          </w:p>
        </w:tc>
        <w:tc>
          <w:tcPr>
            <w:tcW w:w="1631" w:type="dxa"/>
          </w:tcPr>
          <w:p w:rsidR="00D12B45" w:rsidRPr="00CB32B1" w:rsidRDefault="00D12B45" w:rsidP="00D12B45">
            <w:pPr>
              <w:pStyle w:val="TableTextNormal"/>
              <w:cnfStyle w:val="000000000000"/>
            </w:pPr>
            <w:r w:rsidRPr="00CB32B1">
              <w:t>Yes</w:t>
            </w:r>
          </w:p>
        </w:tc>
      </w:tr>
      <w:tr w:rsidR="00D12B45" w:rsidRPr="00CB32B1" w:rsidTr="00D12B45">
        <w:tc>
          <w:tcPr>
            <w:cnfStyle w:val="001000000000"/>
            <w:tcW w:w="1359" w:type="dxa"/>
          </w:tcPr>
          <w:p w:rsidR="00D12B45" w:rsidRPr="00CB32B1" w:rsidRDefault="00D12B45" w:rsidP="00767B1A">
            <w:pPr>
              <w:pStyle w:val="TableTextNormal"/>
              <w:keepNext/>
              <w:keepLines/>
            </w:pPr>
            <w:r w:rsidRPr="00CB32B1">
              <w:t>How paid</w:t>
            </w:r>
          </w:p>
        </w:tc>
        <w:tc>
          <w:tcPr>
            <w:tcW w:w="1533" w:type="dxa"/>
          </w:tcPr>
          <w:p w:rsidR="00D12B45" w:rsidRPr="00CB32B1" w:rsidRDefault="00D12B45" w:rsidP="00D12B45">
            <w:pPr>
              <w:pStyle w:val="TableTextNormal"/>
              <w:keepNext/>
              <w:keepLines/>
              <w:cnfStyle w:val="000000000000"/>
            </w:pPr>
            <w:r w:rsidRPr="00CB32B1">
              <w:t>By woman or through MBS</w:t>
            </w:r>
          </w:p>
        </w:tc>
        <w:tc>
          <w:tcPr>
            <w:tcW w:w="1352" w:type="dxa"/>
          </w:tcPr>
          <w:p w:rsidR="00D12B45" w:rsidRPr="00CB32B1" w:rsidRDefault="00D12B45" w:rsidP="00D12B45">
            <w:pPr>
              <w:pStyle w:val="TableTextNormal"/>
              <w:keepNext/>
              <w:keepLines/>
              <w:cnfStyle w:val="000000000000"/>
            </w:pPr>
            <w:r w:rsidRPr="00CB32B1">
              <w:t>By woman</w:t>
            </w:r>
          </w:p>
        </w:tc>
        <w:tc>
          <w:tcPr>
            <w:tcW w:w="1633" w:type="dxa"/>
          </w:tcPr>
          <w:p w:rsidR="00D12B45" w:rsidRPr="00CB32B1" w:rsidRDefault="00D12B45" w:rsidP="00D12B45">
            <w:pPr>
              <w:pStyle w:val="TableTextNormal"/>
              <w:keepNext/>
              <w:keepLines/>
              <w:cnfStyle w:val="000000000000"/>
            </w:pPr>
            <w:r w:rsidRPr="00CB32B1">
              <w:t>Funded by the Ministry of Health and Long-Term Care</w:t>
            </w:r>
          </w:p>
        </w:tc>
        <w:tc>
          <w:tcPr>
            <w:tcW w:w="1780" w:type="dxa"/>
          </w:tcPr>
          <w:p w:rsidR="00D12B45" w:rsidRPr="00CB32B1" w:rsidRDefault="00D12B45" w:rsidP="00D12B45">
            <w:pPr>
              <w:pStyle w:val="TableTextNormal"/>
              <w:keepNext/>
              <w:keepLines/>
              <w:cnfStyle w:val="000000000000"/>
            </w:pPr>
            <w:r w:rsidRPr="00CB32B1">
              <w:t xml:space="preserve">By woman’s health insurance, through the insurance company </w:t>
            </w:r>
          </w:p>
        </w:tc>
        <w:tc>
          <w:tcPr>
            <w:tcW w:w="1631" w:type="dxa"/>
          </w:tcPr>
          <w:p w:rsidR="00D12B45" w:rsidRPr="00CB32B1" w:rsidRDefault="00D12B45" w:rsidP="00D12B45">
            <w:pPr>
              <w:pStyle w:val="TableTextNormal"/>
              <w:keepNext/>
              <w:keepLines/>
              <w:cnfStyle w:val="000000000000"/>
            </w:pPr>
            <w:r w:rsidRPr="00CB32B1">
              <w:t>LMCs are paid by module of care provided where a module is antenatal, natal and postnatal</w:t>
            </w:r>
          </w:p>
        </w:tc>
      </w:tr>
      <w:tr w:rsidR="00D12B45" w:rsidRPr="00CB32B1" w:rsidTr="00D12B45">
        <w:tc>
          <w:tcPr>
            <w:cnfStyle w:val="001000000000"/>
            <w:tcW w:w="1359" w:type="dxa"/>
          </w:tcPr>
          <w:p w:rsidR="00D12B45" w:rsidRPr="00CB32B1" w:rsidRDefault="00D12B45" w:rsidP="00767B1A">
            <w:pPr>
              <w:pStyle w:val="TableTextNormal"/>
            </w:pPr>
            <w:r w:rsidRPr="00CB32B1">
              <w:t>Publicly-funded</w:t>
            </w:r>
          </w:p>
        </w:tc>
        <w:tc>
          <w:tcPr>
            <w:tcW w:w="1533" w:type="dxa"/>
          </w:tcPr>
          <w:p w:rsidR="00D12B45" w:rsidRPr="00CB32B1" w:rsidRDefault="00D12B45" w:rsidP="00D12B45">
            <w:pPr>
              <w:pStyle w:val="TableTextNormal"/>
              <w:cnfStyle w:val="000000000000"/>
            </w:pPr>
            <w:r w:rsidRPr="00CB32B1">
              <w:t>Yes, if an eligible midwife</w:t>
            </w:r>
          </w:p>
        </w:tc>
        <w:tc>
          <w:tcPr>
            <w:tcW w:w="1352" w:type="dxa"/>
          </w:tcPr>
          <w:p w:rsidR="00D12B45" w:rsidRPr="00CB32B1" w:rsidRDefault="00D12B45" w:rsidP="00D12B45">
            <w:pPr>
              <w:pStyle w:val="TableTextNormal"/>
              <w:cnfStyle w:val="000000000000"/>
            </w:pPr>
            <w:r w:rsidRPr="00CB32B1">
              <w:t>No</w:t>
            </w:r>
          </w:p>
        </w:tc>
        <w:tc>
          <w:tcPr>
            <w:tcW w:w="1633" w:type="dxa"/>
          </w:tcPr>
          <w:p w:rsidR="00D12B45" w:rsidRPr="00CB32B1" w:rsidRDefault="00D12B45" w:rsidP="00D12B45">
            <w:pPr>
              <w:pStyle w:val="TableTextNormal"/>
              <w:cnfStyle w:val="000000000000"/>
            </w:pPr>
            <w:r w:rsidRPr="00CB32B1">
              <w:t>Yes</w:t>
            </w:r>
          </w:p>
        </w:tc>
        <w:tc>
          <w:tcPr>
            <w:tcW w:w="1780" w:type="dxa"/>
          </w:tcPr>
          <w:p w:rsidR="00D12B45" w:rsidRPr="00CB32B1" w:rsidRDefault="00D12B45" w:rsidP="00D12B45">
            <w:pPr>
              <w:pStyle w:val="TableTextNormal"/>
              <w:cnfStyle w:val="000000000000"/>
            </w:pPr>
            <w:r w:rsidRPr="00CB32B1">
              <w:t>No</w:t>
            </w:r>
          </w:p>
        </w:tc>
        <w:tc>
          <w:tcPr>
            <w:tcW w:w="1631" w:type="dxa"/>
          </w:tcPr>
          <w:p w:rsidR="00D12B45" w:rsidRPr="00CB32B1" w:rsidRDefault="00D12B45" w:rsidP="00D12B45">
            <w:pPr>
              <w:pStyle w:val="TableTextNormal"/>
              <w:cnfStyle w:val="000000000000"/>
            </w:pPr>
            <w:r w:rsidRPr="00CB32B1">
              <w:t>Yes</w:t>
            </w:r>
          </w:p>
        </w:tc>
      </w:tr>
    </w:tbl>
    <w:p w:rsidR="00767B1A" w:rsidRPr="00CB32B1" w:rsidRDefault="00767B1A" w:rsidP="00767B1A">
      <w:pPr>
        <w:pStyle w:val="Sources"/>
      </w:pPr>
      <w:r w:rsidRPr="00CB32B1">
        <w:rPr>
          <w:b/>
        </w:rPr>
        <w:t>Source</w:t>
      </w:r>
      <w:r w:rsidR="000A7B59" w:rsidRPr="00CB32B1">
        <w:rPr>
          <w:b/>
        </w:rPr>
        <w:t>s</w:t>
      </w:r>
      <w:r w:rsidRPr="00CB32B1">
        <w:rPr>
          <w:b/>
        </w:rPr>
        <w:t>:</w:t>
      </w:r>
      <w:r w:rsidRPr="00CB32B1">
        <w:t xml:space="preserve"> DoHA, Medical Benefits Schedule. Independent Midwives</w:t>
      </w:r>
      <w:r w:rsidR="00806C5F" w:rsidRPr="00CB32B1">
        <w:t xml:space="preserve"> 2013; KNO</w:t>
      </w:r>
      <w:r w:rsidRPr="00CB32B1">
        <w:t xml:space="preserve">V </w:t>
      </w:r>
      <w:r w:rsidR="000436E0" w:rsidRPr="00CB32B1">
        <w:t xml:space="preserve">(The Royal </w:t>
      </w:r>
      <w:r w:rsidR="000436E0">
        <w:t>Dutch Organisation of Midwives)</w:t>
      </w:r>
      <w:r w:rsidR="000436E0" w:rsidRPr="00CB32B1">
        <w:t xml:space="preserve"> </w:t>
      </w:r>
      <w:r w:rsidRPr="00CB32B1">
        <w:t xml:space="preserve">2012; </w:t>
      </w:r>
      <w:r w:rsidR="007F1F64" w:rsidRPr="008341BC">
        <w:t xml:space="preserve">Association of </w:t>
      </w:r>
      <w:r w:rsidRPr="008341BC">
        <w:t>Ontario Midwives</w:t>
      </w:r>
      <w:r w:rsidR="00ED127D" w:rsidRPr="008341BC">
        <w:t xml:space="preserve"> 2013</w:t>
      </w:r>
      <w:r w:rsidR="008341BC" w:rsidRPr="008341BC">
        <w:t>a</w:t>
      </w:r>
      <w:r w:rsidR="00ED127D" w:rsidRPr="008341BC">
        <w:t>;</w:t>
      </w:r>
      <w:r w:rsidRPr="008341BC">
        <w:t xml:space="preserve"> N</w:t>
      </w:r>
      <w:r w:rsidR="00B8628B" w:rsidRPr="008341BC">
        <w:t>ew</w:t>
      </w:r>
      <w:r w:rsidR="00B8628B" w:rsidRPr="00CB32B1">
        <w:t xml:space="preserve"> Zealand College of Midwives, 2013b.</w:t>
      </w:r>
    </w:p>
    <w:p w:rsidR="00767B1A" w:rsidRPr="00CB32B1" w:rsidRDefault="00767B1A" w:rsidP="00767B1A">
      <w:pPr>
        <w:pStyle w:val="Majorheading"/>
      </w:pPr>
      <w:r w:rsidRPr="00CB32B1">
        <w:t>3.</w:t>
      </w:r>
      <w:r w:rsidRPr="00CB32B1">
        <w:tab/>
        <w:t>Clinical guidelines and the part played by Colleges</w:t>
      </w:r>
    </w:p>
    <w:p w:rsidR="00767B1A" w:rsidRPr="00CB32B1" w:rsidRDefault="00767B1A" w:rsidP="00767B1A">
      <w:pPr>
        <w:pStyle w:val="Minorheading"/>
      </w:pPr>
      <w:r w:rsidRPr="00CB32B1">
        <w:t>Roles of Colleges in supporting insurance products</w:t>
      </w:r>
    </w:p>
    <w:p w:rsidR="00767B1A" w:rsidRPr="00CB32B1" w:rsidRDefault="00767B1A" w:rsidP="00767B1A">
      <w:pPr>
        <w:pStyle w:val="PwCNormal"/>
      </w:pPr>
      <w:r w:rsidRPr="00CB32B1">
        <w:t xml:space="preserve">Each </w:t>
      </w:r>
      <w:r w:rsidR="000436E0">
        <w:t>jurisdiction has</w:t>
      </w:r>
      <w:r w:rsidRPr="00CB32B1">
        <w:t xml:space="preserve"> individual clinical guidelines recommended by a national College associated with midwives. </w:t>
      </w:r>
      <w:r w:rsidR="00496AD4">
        <w:t>Jurisdiction</w:t>
      </w:r>
      <w:r w:rsidRPr="00CB32B1">
        <w:t>s have seen different levels of involvement by Colleges in developing an insurance product or ongoing engagement with the insurance products for PPMs or inde</w:t>
      </w:r>
      <w:r w:rsidR="00E30385">
        <w:t>pendent midwives. However, all C</w:t>
      </w:r>
      <w:r w:rsidRPr="00CB32B1">
        <w:t xml:space="preserve">olleges have a strong role in guidelines for practice or risk frameworks. A comparison is provided in </w:t>
      </w:r>
      <w:r w:rsidR="009129A6" w:rsidRPr="00CB32B1">
        <w:fldChar w:fldCharType="begin"/>
      </w:r>
      <w:r w:rsidR="00D44BC2" w:rsidRPr="00CB32B1">
        <w:instrText xml:space="preserve"> REF _Ref361224967 \h </w:instrText>
      </w:r>
      <w:r w:rsidR="009129A6" w:rsidRPr="00CB32B1">
        <w:fldChar w:fldCharType="separate"/>
      </w:r>
      <w:r w:rsidR="008816B4" w:rsidRPr="00CB32B1">
        <w:t xml:space="preserve">Table </w:t>
      </w:r>
      <w:r w:rsidR="008816B4">
        <w:rPr>
          <w:noProof/>
        </w:rPr>
        <w:t>57</w:t>
      </w:r>
      <w:r w:rsidR="009129A6" w:rsidRPr="00CB32B1">
        <w:fldChar w:fldCharType="end"/>
      </w:r>
      <w:r w:rsidRPr="00CB32B1">
        <w:t>.</w:t>
      </w:r>
    </w:p>
    <w:p w:rsidR="00767B1A" w:rsidRPr="00CB32B1" w:rsidRDefault="00767B1A" w:rsidP="00767B1A">
      <w:pPr>
        <w:pStyle w:val="Caption"/>
      </w:pPr>
      <w:bookmarkStart w:id="178" w:name="_Ref361224967"/>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57</w:t>
      </w:r>
      <w:r w:rsidR="009129A6" w:rsidRPr="00CB32B1">
        <w:fldChar w:fldCharType="end"/>
      </w:r>
      <w:bookmarkEnd w:id="178"/>
      <w:r w:rsidRPr="00CB32B1">
        <w:t>:</w:t>
      </w:r>
      <w:r w:rsidRPr="00CB32B1">
        <w:tab/>
        <w:t>Role of Colleges in supporting insurance products</w:t>
      </w:r>
    </w:p>
    <w:tbl>
      <w:tblPr>
        <w:tblStyle w:val="PwCTableStyle1"/>
        <w:tblW w:w="9288" w:type="dxa"/>
        <w:tblLayout w:type="fixed"/>
        <w:tblLook w:val="04A0"/>
      </w:tblPr>
      <w:tblGrid>
        <w:gridCol w:w="1666"/>
        <w:gridCol w:w="2128"/>
        <w:gridCol w:w="5494"/>
      </w:tblGrid>
      <w:tr w:rsidR="00767B1A" w:rsidRPr="00CB32B1" w:rsidTr="00107EF4">
        <w:trPr>
          <w:cnfStyle w:val="100000000000"/>
        </w:trPr>
        <w:tc>
          <w:tcPr>
            <w:cnfStyle w:val="001000000000"/>
            <w:tcW w:w="1666" w:type="dxa"/>
            <w:tcBorders>
              <w:bottom w:val="single" w:sz="6" w:space="0" w:color="DC6900" w:themeColor="text2"/>
              <w:right w:val="single" w:sz="6" w:space="0" w:color="FFFFFF" w:themeColor="background2"/>
            </w:tcBorders>
            <w:shd w:val="clear" w:color="auto" w:fill="DC6900" w:themeFill="text2"/>
          </w:tcPr>
          <w:p w:rsidR="00767B1A" w:rsidRPr="00CB32B1" w:rsidRDefault="000436E0" w:rsidP="00747120">
            <w:pPr>
              <w:pStyle w:val="TableColumnHeadingNormal"/>
              <w:jc w:val="center"/>
            </w:pPr>
            <w:r>
              <w:t>Jurisdiction</w:t>
            </w:r>
          </w:p>
        </w:tc>
        <w:tc>
          <w:tcPr>
            <w:tcW w:w="2128"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tcPr>
          <w:p w:rsidR="00767B1A" w:rsidRPr="00CB32B1" w:rsidRDefault="00767B1A" w:rsidP="00747120">
            <w:pPr>
              <w:pStyle w:val="TableColumnHeadingNormal"/>
              <w:jc w:val="center"/>
              <w:cnfStyle w:val="100000000000"/>
            </w:pPr>
            <w:r w:rsidRPr="00CB32B1">
              <w:t>College</w:t>
            </w:r>
          </w:p>
        </w:tc>
        <w:tc>
          <w:tcPr>
            <w:tcW w:w="5494" w:type="dxa"/>
            <w:tcBorders>
              <w:left w:val="single" w:sz="6" w:space="0" w:color="FFFFFF" w:themeColor="background2"/>
              <w:bottom w:val="single" w:sz="6" w:space="0" w:color="DC6900" w:themeColor="text2"/>
            </w:tcBorders>
            <w:shd w:val="clear" w:color="auto" w:fill="DC6900" w:themeFill="text2"/>
          </w:tcPr>
          <w:p w:rsidR="00767B1A" w:rsidRPr="00CB32B1" w:rsidRDefault="00767B1A" w:rsidP="00747120">
            <w:pPr>
              <w:pStyle w:val="TableColumnHeadingNormal"/>
              <w:jc w:val="center"/>
              <w:cnfStyle w:val="100000000000"/>
            </w:pPr>
            <w:r w:rsidRPr="00CB32B1">
              <w:t>Involvement in developing insurance product</w:t>
            </w:r>
          </w:p>
        </w:tc>
      </w:tr>
      <w:tr w:rsidR="00767B1A" w:rsidRPr="00CB32B1" w:rsidTr="00107EF4">
        <w:tc>
          <w:tcPr>
            <w:cnfStyle w:val="001000000000"/>
            <w:tcW w:w="1666" w:type="dxa"/>
            <w:vMerge w:val="restart"/>
            <w:tcBorders>
              <w:top w:val="single" w:sz="6" w:space="0" w:color="DC6900" w:themeColor="text2"/>
            </w:tcBorders>
          </w:tcPr>
          <w:p w:rsidR="00767B1A" w:rsidRPr="00CB32B1" w:rsidRDefault="00767B1A" w:rsidP="00767B1A">
            <w:pPr>
              <w:pStyle w:val="TableTextNormal"/>
            </w:pPr>
            <w:r w:rsidRPr="00CB32B1">
              <w:t>Australia</w:t>
            </w:r>
          </w:p>
        </w:tc>
        <w:tc>
          <w:tcPr>
            <w:tcW w:w="2128" w:type="dxa"/>
            <w:tcBorders>
              <w:top w:val="single" w:sz="6" w:space="0" w:color="DC6900" w:themeColor="text2"/>
            </w:tcBorders>
          </w:tcPr>
          <w:p w:rsidR="00767B1A" w:rsidRPr="00CB32B1" w:rsidRDefault="00767B1A" w:rsidP="00767B1A">
            <w:pPr>
              <w:pStyle w:val="TableTextNormal"/>
              <w:cnfStyle w:val="000000000000"/>
            </w:pPr>
            <w:r w:rsidRPr="00CB32B1">
              <w:t>Australian College of Midwives</w:t>
            </w:r>
          </w:p>
        </w:tc>
        <w:tc>
          <w:tcPr>
            <w:tcW w:w="5494" w:type="dxa"/>
            <w:tcBorders>
              <w:top w:val="single" w:sz="6" w:space="0" w:color="DC6900" w:themeColor="text2"/>
            </w:tcBorders>
          </w:tcPr>
          <w:p w:rsidR="00767B1A" w:rsidRPr="00CB32B1" w:rsidRDefault="00767B1A" w:rsidP="00767B1A">
            <w:pPr>
              <w:pStyle w:val="TableTextNormal"/>
              <w:cnfStyle w:val="000000000000"/>
            </w:pPr>
            <w:r w:rsidRPr="00CB32B1">
              <w:t>Manages guidelines for practice</w:t>
            </w:r>
          </w:p>
          <w:p w:rsidR="00767B1A" w:rsidRPr="00CB32B1" w:rsidRDefault="00767B1A" w:rsidP="00767B1A">
            <w:pPr>
              <w:pStyle w:val="TableTextNormal"/>
              <w:cnfStyle w:val="000000000000"/>
            </w:pPr>
            <w:r w:rsidRPr="00CB32B1">
              <w:t>Working with regulator to understand how insurance product can be provided</w:t>
            </w:r>
          </w:p>
        </w:tc>
      </w:tr>
      <w:tr w:rsidR="00767B1A" w:rsidRPr="00CB32B1" w:rsidTr="00107EF4">
        <w:tc>
          <w:tcPr>
            <w:cnfStyle w:val="001000000000"/>
            <w:tcW w:w="1666" w:type="dxa"/>
            <w:vMerge/>
          </w:tcPr>
          <w:p w:rsidR="00767B1A" w:rsidRPr="00CB32B1" w:rsidRDefault="00767B1A" w:rsidP="00767B1A">
            <w:pPr>
              <w:pStyle w:val="TableTextNormal"/>
            </w:pPr>
          </w:p>
        </w:tc>
        <w:tc>
          <w:tcPr>
            <w:tcW w:w="2128" w:type="dxa"/>
          </w:tcPr>
          <w:p w:rsidR="00767B1A" w:rsidRPr="00CB32B1" w:rsidRDefault="00767B1A" w:rsidP="00767B1A">
            <w:pPr>
              <w:pStyle w:val="TableTextNormal"/>
              <w:cnfStyle w:val="000000000000"/>
            </w:pPr>
            <w:r w:rsidRPr="00CB32B1">
              <w:t>APMA</w:t>
            </w:r>
          </w:p>
        </w:tc>
        <w:tc>
          <w:tcPr>
            <w:tcW w:w="5494" w:type="dxa"/>
          </w:tcPr>
          <w:p w:rsidR="00767B1A" w:rsidRPr="00CB32B1" w:rsidRDefault="00767B1A" w:rsidP="00767B1A">
            <w:pPr>
              <w:pStyle w:val="TableTextNormal"/>
              <w:cnfStyle w:val="000000000000"/>
            </w:pPr>
            <w:r w:rsidRPr="00CB32B1">
              <w:t>Actively engaged in developing understanding among PPMs of insurance products currently available</w:t>
            </w:r>
          </w:p>
        </w:tc>
      </w:tr>
      <w:tr w:rsidR="00767B1A" w:rsidRPr="00CB32B1" w:rsidTr="00107EF4">
        <w:tc>
          <w:tcPr>
            <w:cnfStyle w:val="001000000000"/>
            <w:tcW w:w="1666" w:type="dxa"/>
            <w:vMerge w:val="restart"/>
          </w:tcPr>
          <w:p w:rsidR="00767B1A" w:rsidRPr="00CB32B1" w:rsidRDefault="000436E0" w:rsidP="000436E0">
            <w:pPr>
              <w:pStyle w:val="TableTextNormal"/>
            </w:pPr>
            <w:r>
              <w:t>England</w:t>
            </w:r>
          </w:p>
        </w:tc>
        <w:tc>
          <w:tcPr>
            <w:tcW w:w="2128" w:type="dxa"/>
          </w:tcPr>
          <w:p w:rsidR="00767B1A" w:rsidRPr="00CB32B1" w:rsidRDefault="00767B1A" w:rsidP="00767B1A">
            <w:pPr>
              <w:pStyle w:val="TableTextNormal"/>
              <w:cnfStyle w:val="000000000000"/>
            </w:pPr>
            <w:r w:rsidRPr="00CB32B1">
              <w:t>Royal College of Midwives</w:t>
            </w:r>
          </w:p>
        </w:tc>
        <w:tc>
          <w:tcPr>
            <w:tcW w:w="5494" w:type="dxa"/>
          </w:tcPr>
          <w:p w:rsidR="00767B1A" w:rsidRPr="00CB32B1" w:rsidRDefault="00767B1A" w:rsidP="00767B1A">
            <w:pPr>
              <w:pStyle w:val="TableTextNormal"/>
              <w:cnfStyle w:val="000000000000"/>
            </w:pPr>
            <w:r w:rsidRPr="00CB32B1">
              <w:t xml:space="preserve">Working with insurer to assist independent midwives in developing a product if the EU Directive takes place </w:t>
            </w:r>
          </w:p>
          <w:p w:rsidR="00767B1A" w:rsidRPr="00CB32B1" w:rsidRDefault="00767B1A" w:rsidP="00767B1A">
            <w:pPr>
              <w:pStyle w:val="TableTextNormal"/>
              <w:cnfStyle w:val="000000000000"/>
            </w:pPr>
            <w:r w:rsidRPr="00CB32B1">
              <w:t>Manages guidelines for practice</w:t>
            </w:r>
          </w:p>
        </w:tc>
      </w:tr>
      <w:tr w:rsidR="00767B1A" w:rsidRPr="00CB32B1" w:rsidTr="00107EF4">
        <w:tc>
          <w:tcPr>
            <w:cnfStyle w:val="001000000000"/>
            <w:tcW w:w="1666" w:type="dxa"/>
            <w:vMerge/>
          </w:tcPr>
          <w:p w:rsidR="00767B1A" w:rsidRPr="00CB32B1" w:rsidRDefault="00767B1A" w:rsidP="00767B1A">
            <w:pPr>
              <w:pStyle w:val="TableTextNormal"/>
            </w:pPr>
          </w:p>
        </w:tc>
        <w:tc>
          <w:tcPr>
            <w:tcW w:w="2128" w:type="dxa"/>
          </w:tcPr>
          <w:p w:rsidR="00767B1A" w:rsidRPr="00CB32B1" w:rsidRDefault="00767B1A" w:rsidP="00767B1A">
            <w:pPr>
              <w:pStyle w:val="TableTextNormal"/>
              <w:cnfStyle w:val="000000000000"/>
            </w:pPr>
            <w:r w:rsidRPr="00CB32B1">
              <w:t>Independent Midwives UK</w:t>
            </w:r>
          </w:p>
        </w:tc>
        <w:tc>
          <w:tcPr>
            <w:tcW w:w="5494" w:type="dxa"/>
          </w:tcPr>
          <w:p w:rsidR="00767B1A" w:rsidRPr="00CB32B1" w:rsidRDefault="00767B1A" w:rsidP="00767B1A">
            <w:pPr>
              <w:pStyle w:val="TableTextNormal"/>
              <w:cnfStyle w:val="000000000000"/>
            </w:pPr>
            <w:r w:rsidRPr="00CB32B1">
              <w:t>Actively involved in developing new business model for independent midwives in order to be able to access insurance if EU Directive goes ahead</w:t>
            </w:r>
          </w:p>
        </w:tc>
      </w:tr>
      <w:tr w:rsidR="000436E0" w:rsidRPr="00CB32B1" w:rsidTr="00107EF4">
        <w:tc>
          <w:tcPr>
            <w:cnfStyle w:val="001000000000"/>
            <w:tcW w:w="1666" w:type="dxa"/>
          </w:tcPr>
          <w:p w:rsidR="000436E0" w:rsidRPr="00CB32B1" w:rsidRDefault="000436E0" w:rsidP="000436E0">
            <w:pPr>
              <w:pStyle w:val="TableTextNormal"/>
            </w:pPr>
            <w:r w:rsidRPr="00CB32B1">
              <w:t>Ontario, Canada</w:t>
            </w:r>
          </w:p>
        </w:tc>
        <w:tc>
          <w:tcPr>
            <w:tcW w:w="2128" w:type="dxa"/>
          </w:tcPr>
          <w:p w:rsidR="000436E0" w:rsidRPr="00CB32B1" w:rsidRDefault="000436E0" w:rsidP="000436E0">
            <w:pPr>
              <w:pStyle w:val="TableTextNormal"/>
              <w:cnfStyle w:val="000000000000"/>
            </w:pPr>
            <w:r w:rsidRPr="00CB32B1">
              <w:t>Association of Ontario Midwives</w:t>
            </w:r>
          </w:p>
        </w:tc>
        <w:tc>
          <w:tcPr>
            <w:tcW w:w="5494" w:type="dxa"/>
          </w:tcPr>
          <w:p w:rsidR="000436E0" w:rsidRPr="00CB32B1" w:rsidRDefault="000436E0" w:rsidP="000436E0">
            <w:pPr>
              <w:pStyle w:val="TableTextNormal"/>
              <w:cnfStyle w:val="000000000000"/>
            </w:pPr>
            <w:r w:rsidRPr="00CB32B1">
              <w:t>Heavy involvement with HIROC negotiated from 2001</w:t>
            </w:r>
          </w:p>
          <w:p w:rsidR="000436E0" w:rsidRPr="00CB32B1" w:rsidRDefault="000436E0" w:rsidP="000436E0">
            <w:pPr>
              <w:pStyle w:val="TableTextNormal"/>
              <w:cnfStyle w:val="000000000000"/>
            </w:pPr>
            <w:r w:rsidRPr="00CB32B1">
              <w:t>Worked together on risk management frameworks</w:t>
            </w:r>
          </w:p>
          <w:p w:rsidR="000436E0" w:rsidRPr="00CB32B1" w:rsidRDefault="000436E0" w:rsidP="000436E0">
            <w:pPr>
              <w:pStyle w:val="TableTextNormal"/>
              <w:cnfStyle w:val="000000000000"/>
            </w:pPr>
            <w:r w:rsidRPr="00CB32B1">
              <w:t>Product released in 2003</w:t>
            </w:r>
          </w:p>
          <w:p w:rsidR="000436E0" w:rsidRPr="00CB32B1" w:rsidRDefault="000436E0" w:rsidP="000436E0">
            <w:pPr>
              <w:pStyle w:val="TableTextNormal"/>
              <w:cnfStyle w:val="000000000000"/>
            </w:pPr>
            <w:r w:rsidRPr="00CB32B1">
              <w:t>On-going relationship assessing incidents</w:t>
            </w:r>
          </w:p>
        </w:tc>
      </w:tr>
      <w:tr w:rsidR="00767B1A" w:rsidRPr="00CB32B1" w:rsidTr="00107EF4">
        <w:tc>
          <w:tcPr>
            <w:cnfStyle w:val="001000000000"/>
            <w:tcW w:w="1666" w:type="dxa"/>
          </w:tcPr>
          <w:p w:rsidR="00767B1A" w:rsidRPr="00CB32B1" w:rsidRDefault="00767B1A" w:rsidP="00767B1A">
            <w:pPr>
              <w:pStyle w:val="TableTextNormal"/>
              <w:keepNext/>
              <w:keepLines/>
            </w:pPr>
            <w:r w:rsidRPr="00CB32B1">
              <w:t>the Netherlands</w:t>
            </w:r>
          </w:p>
        </w:tc>
        <w:tc>
          <w:tcPr>
            <w:tcW w:w="2128" w:type="dxa"/>
          </w:tcPr>
          <w:p w:rsidR="00767B1A" w:rsidRPr="00CB32B1" w:rsidRDefault="00767B1A" w:rsidP="00767B1A">
            <w:pPr>
              <w:pStyle w:val="TableTextNormal"/>
              <w:keepNext/>
              <w:keepLines/>
              <w:cnfStyle w:val="000000000000"/>
            </w:pPr>
            <w:r w:rsidRPr="00CB32B1">
              <w:t>KNOV</w:t>
            </w:r>
          </w:p>
        </w:tc>
        <w:tc>
          <w:tcPr>
            <w:tcW w:w="5494" w:type="dxa"/>
          </w:tcPr>
          <w:p w:rsidR="00767B1A" w:rsidRPr="00CB32B1" w:rsidRDefault="00767B1A" w:rsidP="00767B1A">
            <w:pPr>
              <w:pStyle w:val="TableTextNormal"/>
              <w:keepNext/>
              <w:keepLines/>
              <w:cnfStyle w:val="000000000000"/>
            </w:pPr>
            <w:r w:rsidRPr="00CB32B1">
              <w:t>Manages guidelines for practice</w:t>
            </w:r>
          </w:p>
          <w:p w:rsidR="00767B1A" w:rsidRPr="00CB32B1" w:rsidRDefault="00767B1A" w:rsidP="00767B1A">
            <w:pPr>
              <w:pStyle w:val="TableTextNormal"/>
              <w:keepNext/>
              <w:keepLines/>
              <w:cnfStyle w:val="000000000000"/>
            </w:pPr>
            <w:r w:rsidRPr="00CB32B1">
              <w:t>Little role in assisting midwives in getting insurance given products readily available</w:t>
            </w:r>
          </w:p>
        </w:tc>
      </w:tr>
      <w:tr w:rsidR="00767B1A" w:rsidRPr="00CB32B1" w:rsidTr="00107EF4">
        <w:tc>
          <w:tcPr>
            <w:cnfStyle w:val="001000000000"/>
            <w:tcW w:w="1666" w:type="dxa"/>
          </w:tcPr>
          <w:p w:rsidR="00767B1A" w:rsidRPr="00CB32B1" w:rsidRDefault="00767B1A" w:rsidP="00767B1A">
            <w:pPr>
              <w:pStyle w:val="TableTextNormal"/>
            </w:pPr>
            <w:r w:rsidRPr="00CB32B1">
              <w:t>New Zealand</w:t>
            </w:r>
          </w:p>
        </w:tc>
        <w:tc>
          <w:tcPr>
            <w:tcW w:w="2128" w:type="dxa"/>
          </w:tcPr>
          <w:p w:rsidR="00767B1A" w:rsidRPr="00CB32B1" w:rsidRDefault="00767B1A" w:rsidP="00767B1A">
            <w:pPr>
              <w:pStyle w:val="TableTextNormal"/>
              <w:cnfStyle w:val="000000000000"/>
            </w:pPr>
            <w:r w:rsidRPr="00CB32B1">
              <w:t>New Zealand College of Midwives</w:t>
            </w:r>
          </w:p>
        </w:tc>
        <w:tc>
          <w:tcPr>
            <w:tcW w:w="5494" w:type="dxa"/>
          </w:tcPr>
          <w:p w:rsidR="00767B1A" w:rsidRPr="00CB32B1" w:rsidDel="001319AC" w:rsidRDefault="00767B1A" w:rsidP="00767B1A">
            <w:pPr>
              <w:pStyle w:val="TableTextNormal"/>
              <w:cnfStyle w:val="000000000000"/>
            </w:pPr>
            <w:r w:rsidRPr="00CB32B1">
              <w:t>Negotiates insurance product using insurance broker for midwives</w:t>
            </w:r>
          </w:p>
        </w:tc>
      </w:tr>
    </w:tbl>
    <w:p w:rsidR="00767B1A" w:rsidRPr="00CB32B1" w:rsidRDefault="00767B1A" w:rsidP="00767B1A">
      <w:pPr>
        <w:pStyle w:val="Sources"/>
      </w:pPr>
      <w:r w:rsidRPr="00CB32B1">
        <w:rPr>
          <w:b/>
        </w:rPr>
        <w:t>Sources:</w:t>
      </w:r>
      <w:r w:rsidRPr="00CB32B1">
        <w:t xml:space="preserve"> Personal communication, November 2012, February and March 2013.</w:t>
      </w:r>
    </w:p>
    <w:p w:rsidR="00767B1A" w:rsidRPr="00CB32B1" w:rsidRDefault="00767B1A" w:rsidP="00767B1A">
      <w:pPr>
        <w:pStyle w:val="Minorheading"/>
      </w:pPr>
      <w:r w:rsidRPr="00CB32B1">
        <w:t>Clinical guidelines</w:t>
      </w:r>
    </w:p>
    <w:p w:rsidR="00767B1A" w:rsidRPr="00CB32B1" w:rsidRDefault="00767B1A" w:rsidP="00767B1A">
      <w:pPr>
        <w:pStyle w:val="PwCNormal"/>
      </w:pPr>
      <w:r w:rsidRPr="00CB32B1">
        <w:t xml:space="preserve">Overview of the clinical guidelines provided by Colleges is outlined in </w:t>
      </w:r>
      <w:r w:rsidR="009129A6" w:rsidRPr="00CB32B1">
        <w:fldChar w:fldCharType="begin"/>
      </w:r>
      <w:r w:rsidR="00D44BC2" w:rsidRPr="00CB32B1">
        <w:instrText xml:space="preserve"> REF _Ref361224979 \h </w:instrText>
      </w:r>
      <w:r w:rsidR="009129A6" w:rsidRPr="00CB32B1">
        <w:fldChar w:fldCharType="separate"/>
      </w:r>
      <w:r w:rsidR="008816B4" w:rsidRPr="00CB32B1">
        <w:t xml:space="preserve">Table </w:t>
      </w:r>
      <w:r w:rsidR="008816B4">
        <w:rPr>
          <w:noProof/>
        </w:rPr>
        <w:t>58</w:t>
      </w:r>
      <w:r w:rsidR="009129A6" w:rsidRPr="00CB32B1">
        <w:fldChar w:fldCharType="end"/>
      </w:r>
      <w:r w:rsidRPr="00CB32B1">
        <w:t>.</w:t>
      </w:r>
    </w:p>
    <w:p w:rsidR="00767B1A" w:rsidRPr="00CB32B1" w:rsidRDefault="00767B1A" w:rsidP="00767B1A">
      <w:pPr>
        <w:pStyle w:val="Caption"/>
      </w:pPr>
      <w:bookmarkStart w:id="179" w:name="_Ref361224979"/>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58</w:t>
      </w:r>
      <w:r w:rsidR="009129A6" w:rsidRPr="00CB32B1">
        <w:fldChar w:fldCharType="end"/>
      </w:r>
      <w:bookmarkEnd w:id="179"/>
      <w:r w:rsidRPr="00CB32B1">
        <w:t>:</w:t>
      </w:r>
      <w:r w:rsidRPr="00CB32B1">
        <w:tab/>
        <w:t xml:space="preserve">Clinical guidelines by College within each </w:t>
      </w:r>
      <w:r w:rsidR="00107EF4">
        <w:t>jurisdiction</w:t>
      </w:r>
    </w:p>
    <w:tbl>
      <w:tblPr>
        <w:tblStyle w:val="PwCTableStyle1"/>
        <w:tblW w:w="5000" w:type="pct"/>
        <w:tblLook w:val="04A0"/>
      </w:tblPr>
      <w:tblGrid>
        <w:gridCol w:w="1666"/>
        <w:gridCol w:w="1985"/>
        <w:gridCol w:w="5634"/>
      </w:tblGrid>
      <w:tr w:rsidR="00767B1A" w:rsidRPr="00CB32B1" w:rsidTr="00107EF4">
        <w:trPr>
          <w:cnfStyle w:val="100000000000"/>
        </w:trPr>
        <w:tc>
          <w:tcPr>
            <w:cnfStyle w:val="001000000000"/>
            <w:tcW w:w="897" w:type="pct"/>
            <w:tcBorders>
              <w:bottom w:val="single" w:sz="6" w:space="0" w:color="DC6900" w:themeColor="text2"/>
              <w:right w:val="single" w:sz="6" w:space="0" w:color="FFFFFF" w:themeColor="background2"/>
            </w:tcBorders>
            <w:shd w:val="clear" w:color="auto" w:fill="DC6900" w:themeFill="text2"/>
          </w:tcPr>
          <w:p w:rsidR="00767B1A" w:rsidRPr="00CB32B1" w:rsidRDefault="00107EF4" w:rsidP="00747120">
            <w:pPr>
              <w:pStyle w:val="TableColumnHeadingNormal"/>
              <w:jc w:val="center"/>
            </w:pPr>
            <w:r>
              <w:t>Jurisdiction</w:t>
            </w:r>
          </w:p>
        </w:tc>
        <w:tc>
          <w:tcPr>
            <w:tcW w:w="1069"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tcPr>
          <w:p w:rsidR="00767B1A" w:rsidRPr="00CB32B1" w:rsidRDefault="00767B1A" w:rsidP="00747120">
            <w:pPr>
              <w:pStyle w:val="TableColumnHeadingNormal"/>
              <w:jc w:val="center"/>
              <w:cnfStyle w:val="100000000000"/>
            </w:pPr>
            <w:r w:rsidRPr="00CB32B1">
              <w:t>College</w:t>
            </w:r>
          </w:p>
        </w:tc>
        <w:tc>
          <w:tcPr>
            <w:tcW w:w="3033" w:type="pct"/>
            <w:tcBorders>
              <w:left w:val="single" w:sz="6" w:space="0" w:color="FFFFFF" w:themeColor="background2"/>
              <w:bottom w:val="single" w:sz="6" w:space="0" w:color="DC6900" w:themeColor="text2"/>
            </w:tcBorders>
            <w:shd w:val="clear" w:color="auto" w:fill="DC6900" w:themeFill="text2"/>
          </w:tcPr>
          <w:p w:rsidR="00767B1A" w:rsidRPr="00CB32B1" w:rsidRDefault="00767B1A" w:rsidP="00747120">
            <w:pPr>
              <w:pStyle w:val="TableColumnHeadingNormal"/>
              <w:jc w:val="center"/>
              <w:cnfStyle w:val="100000000000"/>
            </w:pPr>
            <w:r w:rsidRPr="00CB32B1">
              <w:t>Clinical Guidelines</w:t>
            </w:r>
          </w:p>
        </w:tc>
      </w:tr>
      <w:tr w:rsidR="00767B1A" w:rsidRPr="00CB32B1" w:rsidTr="00107EF4">
        <w:tc>
          <w:tcPr>
            <w:cnfStyle w:val="001000000000"/>
            <w:tcW w:w="897" w:type="pct"/>
            <w:tcBorders>
              <w:top w:val="single" w:sz="6" w:space="0" w:color="DC6900" w:themeColor="text2"/>
            </w:tcBorders>
          </w:tcPr>
          <w:p w:rsidR="00767B1A" w:rsidRPr="00CB32B1" w:rsidRDefault="00767B1A" w:rsidP="00767B1A">
            <w:pPr>
              <w:pStyle w:val="TableTextNormal"/>
            </w:pPr>
            <w:r w:rsidRPr="00CB32B1">
              <w:t>Australia</w:t>
            </w:r>
          </w:p>
        </w:tc>
        <w:tc>
          <w:tcPr>
            <w:tcW w:w="1069" w:type="pct"/>
            <w:tcBorders>
              <w:top w:val="single" w:sz="6" w:space="0" w:color="DC6900" w:themeColor="text2"/>
            </w:tcBorders>
          </w:tcPr>
          <w:p w:rsidR="00767B1A" w:rsidRPr="00CB32B1" w:rsidRDefault="00767B1A" w:rsidP="00767B1A">
            <w:pPr>
              <w:pStyle w:val="TableTextNormal"/>
              <w:cnfStyle w:val="000000000000"/>
            </w:pPr>
            <w:r w:rsidRPr="00CB32B1">
              <w:t>Australian College of Midwives</w:t>
            </w:r>
          </w:p>
        </w:tc>
        <w:tc>
          <w:tcPr>
            <w:tcW w:w="3033" w:type="pct"/>
            <w:tcBorders>
              <w:top w:val="single" w:sz="6" w:space="0" w:color="DC6900" w:themeColor="text2"/>
            </w:tcBorders>
          </w:tcPr>
          <w:p w:rsidR="00767B1A" w:rsidRPr="00CB32B1" w:rsidRDefault="00767B1A" w:rsidP="00767B1A">
            <w:pPr>
              <w:pStyle w:val="TableTextNormal"/>
              <w:cnfStyle w:val="000000000000"/>
            </w:pPr>
            <w:r w:rsidRPr="00CB32B1">
              <w:t xml:space="preserve">ACM, Guidelines for </w:t>
            </w:r>
            <w:r w:rsidR="00D12B45" w:rsidRPr="00CB32B1">
              <w:t>Consultation and Referral, 2008</w:t>
            </w:r>
          </w:p>
        </w:tc>
      </w:tr>
      <w:tr w:rsidR="000436E0" w:rsidRPr="00CB32B1" w:rsidTr="00107EF4">
        <w:tc>
          <w:tcPr>
            <w:cnfStyle w:val="001000000000"/>
            <w:tcW w:w="897" w:type="pct"/>
            <w:tcBorders>
              <w:top w:val="single" w:sz="6" w:space="0" w:color="DC6900" w:themeColor="text2"/>
            </w:tcBorders>
          </w:tcPr>
          <w:p w:rsidR="000436E0" w:rsidRPr="00CB32B1" w:rsidRDefault="000436E0" w:rsidP="000436E0">
            <w:pPr>
              <w:pStyle w:val="TableTextNormal"/>
            </w:pPr>
            <w:r w:rsidRPr="00CB32B1">
              <w:t>England</w:t>
            </w:r>
          </w:p>
        </w:tc>
        <w:tc>
          <w:tcPr>
            <w:tcW w:w="1069" w:type="pct"/>
            <w:tcBorders>
              <w:top w:val="single" w:sz="6" w:space="0" w:color="DC6900" w:themeColor="text2"/>
            </w:tcBorders>
          </w:tcPr>
          <w:p w:rsidR="000436E0" w:rsidRPr="00CB32B1" w:rsidRDefault="000436E0" w:rsidP="000436E0">
            <w:pPr>
              <w:pStyle w:val="TableTextNormal"/>
              <w:cnfStyle w:val="000000000000"/>
            </w:pPr>
            <w:r w:rsidRPr="00CB32B1">
              <w:t>Royal College of Midwives</w:t>
            </w:r>
          </w:p>
        </w:tc>
        <w:tc>
          <w:tcPr>
            <w:tcW w:w="3033" w:type="pct"/>
            <w:tcBorders>
              <w:top w:val="single" w:sz="6" w:space="0" w:color="DC6900" w:themeColor="text2"/>
            </w:tcBorders>
          </w:tcPr>
          <w:p w:rsidR="000436E0" w:rsidRPr="00CB32B1" w:rsidRDefault="000436E0" w:rsidP="000436E0">
            <w:pPr>
              <w:pStyle w:val="TableTextNormal"/>
              <w:cnfStyle w:val="000000000000"/>
            </w:pPr>
            <w:r w:rsidRPr="00CB32B1">
              <w:t>NICE, 2008, Intrapartum Care</w:t>
            </w:r>
          </w:p>
        </w:tc>
      </w:tr>
      <w:tr w:rsidR="000436E0" w:rsidRPr="00CB32B1" w:rsidTr="00107EF4">
        <w:tc>
          <w:tcPr>
            <w:cnfStyle w:val="001000000000"/>
            <w:tcW w:w="897" w:type="pct"/>
            <w:vMerge w:val="restart"/>
          </w:tcPr>
          <w:p w:rsidR="000436E0" w:rsidRPr="00CB32B1" w:rsidRDefault="000436E0" w:rsidP="00767B1A">
            <w:pPr>
              <w:pStyle w:val="TableTextNormal"/>
            </w:pPr>
            <w:r w:rsidRPr="00CB32B1">
              <w:t>Ontario, Canada</w:t>
            </w:r>
          </w:p>
        </w:tc>
        <w:tc>
          <w:tcPr>
            <w:tcW w:w="1069" w:type="pct"/>
          </w:tcPr>
          <w:p w:rsidR="000436E0" w:rsidRPr="00CB32B1" w:rsidRDefault="000436E0" w:rsidP="00767B1A">
            <w:pPr>
              <w:pStyle w:val="TableTextNormal"/>
              <w:cnfStyle w:val="000000000000"/>
            </w:pPr>
            <w:r w:rsidRPr="00CB32B1">
              <w:t xml:space="preserve">College of Midwives </w:t>
            </w:r>
            <w:r w:rsidR="007F1F64">
              <w:t xml:space="preserve">of </w:t>
            </w:r>
            <w:r w:rsidRPr="00CB32B1">
              <w:t>Ontario (COM)</w:t>
            </w:r>
          </w:p>
        </w:tc>
        <w:tc>
          <w:tcPr>
            <w:tcW w:w="3033" w:type="pct"/>
          </w:tcPr>
          <w:p w:rsidR="000436E0" w:rsidRPr="00CB32B1" w:rsidRDefault="000436E0" w:rsidP="00767B1A">
            <w:pPr>
              <w:pStyle w:val="TableTextNormal"/>
              <w:cnfStyle w:val="000000000000"/>
            </w:pPr>
            <w:r w:rsidRPr="00CB32B1">
              <w:t>Indications for Mandatory Discussion, Co</w:t>
            </w:r>
            <w:r>
              <w:t>nsultation and Transfer of Care,</w:t>
            </w:r>
            <w:r w:rsidRPr="00CB32B1">
              <w:t xml:space="preserve"> 2000</w:t>
            </w:r>
          </w:p>
        </w:tc>
      </w:tr>
      <w:tr w:rsidR="000436E0" w:rsidRPr="00CB32B1" w:rsidTr="00107EF4">
        <w:tc>
          <w:tcPr>
            <w:cnfStyle w:val="001000000000"/>
            <w:tcW w:w="897" w:type="pct"/>
            <w:vMerge/>
          </w:tcPr>
          <w:p w:rsidR="000436E0" w:rsidRPr="00CB32B1" w:rsidRDefault="000436E0" w:rsidP="00767B1A">
            <w:pPr>
              <w:pStyle w:val="TableTextNormal"/>
            </w:pPr>
          </w:p>
        </w:tc>
        <w:tc>
          <w:tcPr>
            <w:tcW w:w="1069" w:type="pct"/>
            <w:vMerge w:val="restart"/>
          </w:tcPr>
          <w:p w:rsidR="000436E0" w:rsidRPr="00CB32B1" w:rsidRDefault="000436E0" w:rsidP="00767B1A">
            <w:pPr>
              <w:pStyle w:val="TableTextNormal"/>
              <w:cnfStyle w:val="000000000000"/>
            </w:pPr>
            <w:r w:rsidRPr="00CB32B1">
              <w:t>Association of Ontario Midwives</w:t>
            </w:r>
          </w:p>
        </w:tc>
        <w:tc>
          <w:tcPr>
            <w:tcW w:w="3033" w:type="pct"/>
          </w:tcPr>
          <w:p w:rsidR="000436E0" w:rsidRPr="00CB32B1" w:rsidRDefault="000436E0" w:rsidP="00767B1A">
            <w:pPr>
              <w:pStyle w:val="TableTextNormal"/>
              <w:cnfStyle w:val="000000000000"/>
            </w:pPr>
            <w:r w:rsidRPr="00CB32B1">
              <w:t>Guidelines for Maternal/Neonate Transfers from Home to Hospital</w:t>
            </w:r>
          </w:p>
        </w:tc>
      </w:tr>
      <w:tr w:rsidR="000436E0" w:rsidRPr="00CB32B1" w:rsidTr="00107EF4">
        <w:tc>
          <w:tcPr>
            <w:cnfStyle w:val="001000000000"/>
            <w:tcW w:w="897" w:type="pct"/>
            <w:vMerge/>
          </w:tcPr>
          <w:p w:rsidR="000436E0" w:rsidRPr="00CB32B1" w:rsidRDefault="000436E0" w:rsidP="00767B1A">
            <w:pPr>
              <w:pStyle w:val="TableTextNormal"/>
            </w:pPr>
          </w:p>
        </w:tc>
        <w:tc>
          <w:tcPr>
            <w:tcW w:w="1069" w:type="pct"/>
            <w:vMerge/>
          </w:tcPr>
          <w:p w:rsidR="000436E0" w:rsidRPr="00CB32B1" w:rsidRDefault="000436E0" w:rsidP="00767B1A">
            <w:pPr>
              <w:pStyle w:val="TableTextNormal"/>
              <w:cnfStyle w:val="000000000000"/>
            </w:pPr>
          </w:p>
        </w:tc>
        <w:tc>
          <w:tcPr>
            <w:tcW w:w="3033" w:type="pct"/>
          </w:tcPr>
          <w:p w:rsidR="000436E0" w:rsidRPr="00CB32B1" w:rsidRDefault="000436E0" w:rsidP="00767B1A">
            <w:pPr>
              <w:pStyle w:val="TableTextNormal"/>
              <w:cnfStyle w:val="000000000000"/>
            </w:pPr>
            <w:r w:rsidRPr="00CB32B1">
              <w:t>OMA Joint Statement of Professional Relations Between Obstetricians/Gynaecologists and Registered Midwives in Ontario</w:t>
            </w:r>
          </w:p>
        </w:tc>
      </w:tr>
      <w:tr w:rsidR="000436E0" w:rsidRPr="00CB32B1" w:rsidTr="00107EF4">
        <w:tc>
          <w:tcPr>
            <w:cnfStyle w:val="001000000000"/>
            <w:tcW w:w="897" w:type="pct"/>
          </w:tcPr>
          <w:p w:rsidR="000436E0" w:rsidRPr="00CB32B1" w:rsidRDefault="000436E0" w:rsidP="00767B1A">
            <w:pPr>
              <w:pStyle w:val="TableTextNormal"/>
            </w:pPr>
            <w:r w:rsidRPr="00CB32B1">
              <w:t>the Netherlands</w:t>
            </w:r>
          </w:p>
        </w:tc>
        <w:tc>
          <w:tcPr>
            <w:tcW w:w="1069" w:type="pct"/>
          </w:tcPr>
          <w:p w:rsidR="000436E0" w:rsidRPr="00CB32B1" w:rsidRDefault="000436E0" w:rsidP="00767B1A">
            <w:pPr>
              <w:pStyle w:val="TableTextNormal"/>
              <w:cnfStyle w:val="000000000000"/>
            </w:pPr>
            <w:r w:rsidRPr="00CB32B1">
              <w:t>KNOV</w:t>
            </w:r>
          </w:p>
        </w:tc>
        <w:tc>
          <w:tcPr>
            <w:tcW w:w="3033" w:type="pct"/>
          </w:tcPr>
          <w:p w:rsidR="000436E0" w:rsidRPr="00CB32B1" w:rsidRDefault="000436E0" w:rsidP="00767B1A">
            <w:pPr>
              <w:pStyle w:val="TableTextNormal"/>
              <w:cnfStyle w:val="000000000000"/>
            </w:pPr>
            <w:r w:rsidRPr="00CB32B1">
              <w:t xml:space="preserve">Verloskundig vandemecum (VIL), 2003 </w:t>
            </w:r>
          </w:p>
        </w:tc>
      </w:tr>
      <w:tr w:rsidR="000436E0" w:rsidRPr="00CB32B1" w:rsidTr="00107EF4">
        <w:tc>
          <w:tcPr>
            <w:cnfStyle w:val="001000000000"/>
            <w:tcW w:w="897" w:type="pct"/>
          </w:tcPr>
          <w:p w:rsidR="000436E0" w:rsidRPr="00CB32B1" w:rsidRDefault="000436E0" w:rsidP="00767B1A">
            <w:pPr>
              <w:pStyle w:val="TableTextNormal"/>
            </w:pPr>
            <w:r w:rsidRPr="00CB32B1">
              <w:t>New Zealand</w:t>
            </w:r>
          </w:p>
        </w:tc>
        <w:tc>
          <w:tcPr>
            <w:tcW w:w="1069" w:type="pct"/>
          </w:tcPr>
          <w:p w:rsidR="000436E0" w:rsidRPr="00CB32B1" w:rsidRDefault="000436E0" w:rsidP="00767B1A">
            <w:pPr>
              <w:pStyle w:val="TableTextNormal"/>
              <w:cnfStyle w:val="000000000000"/>
            </w:pPr>
            <w:r w:rsidRPr="00CB32B1">
              <w:t>New Zealand College of Midwives</w:t>
            </w:r>
          </w:p>
        </w:tc>
        <w:tc>
          <w:tcPr>
            <w:tcW w:w="3033" w:type="pct"/>
          </w:tcPr>
          <w:p w:rsidR="000436E0" w:rsidRPr="00CB32B1" w:rsidDel="001319AC" w:rsidRDefault="000436E0" w:rsidP="00767B1A">
            <w:pPr>
              <w:pStyle w:val="TableTextNormal"/>
              <w:cnfStyle w:val="000000000000"/>
            </w:pPr>
            <w:r w:rsidRPr="00CB32B1">
              <w:t>NZCOM, Consensus Statements and Guidelines</w:t>
            </w:r>
          </w:p>
        </w:tc>
      </w:tr>
    </w:tbl>
    <w:p w:rsidR="00767B1A" w:rsidRPr="00CB32B1" w:rsidRDefault="00767B1A" w:rsidP="00767B1A">
      <w:pPr>
        <w:pStyle w:val="Sources"/>
      </w:pPr>
      <w:r w:rsidRPr="00CB32B1">
        <w:rPr>
          <w:b/>
        </w:rPr>
        <w:t>Sources:</w:t>
      </w:r>
      <w:r w:rsidRPr="00CB32B1">
        <w:t xml:space="preserve"> C</w:t>
      </w:r>
      <w:r w:rsidR="00606089" w:rsidRPr="00CB32B1">
        <w:t xml:space="preserve">ollege of </w:t>
      </w:r>
      <w:r w:rsidRPr="00CB32B1">
        <w:t>M</w:t>
      </w:r>
      <w:r w:rsidR="00606089" w:rsidRPr="00CB32B1">
        <w:t xml:space="preserve">idwives of </w:t>
      </w:r>
      <w:r w:rsidRPr="00CB32B1">
        <w:t>O</w:t>
      </w:r>
      <w:r w:rsidR="00606089" w:rsidRPr="00CB32B1">
        <w:t>ntario 2000</w:t>
      </w:r>
      <w:r w:rsidRPr="00CB32B1">
        <w:t xml:space="preserve">; </w:t>
      </w:r>
      <w:r w:rsidR="00B8628B" w:rsidRPr="00CB32B1">
        <w:t>National Institute for Health and Clinical Excellence 2007</w:t>
      </w:r>
      <w:r w:rsidRPr="00CB32B1">
        <w:t xml:space="preserve">; </w:t>
      </w:r>
      <w:r w:rsidR="00B8628B" w:rsidRPr="00CB32B1">
        <w:t xml:space="preserve">KNOV (The Royal </w:t>
      </w:r>
      <w:r w:rsidR="000436E0">
        <w:t>Dutch Organisation of Midwives)</w:t>
      </w:r>
      <w:r w:rsidR="00B8628B" w:rsidRPr="00CB32B1">
        <w:t xml:space="preserve"> 2003;</w:t>
      </w:r>
      <w:r w:rsidRPr="00CB32B1">
        <w:t xml:space="preserve"> N</w:t>
      </w:r>
      <w:r w:rsidR="00711C43" w:rsidRPr="00CB32B1">
        <w:t xml:space="preserve">ew Zealand College of Midwives </w:t>
      </w:r>
      <w:r w:rsidR="00B8628B" w:rsidRPr="00CB32B1">
        <w:t>2013c</w:t>
      </w:r>
      <w:r w:rsidRPr="00CB32B1">
        <w:t>; Ontario Hospital Association</w:t>
      </w:r>
      <w:r w:rsidR="004D4F44" w:rsidRPr="00CB32B1">
        <w:t xml:space="preserve"> 2010.</w:t>
      </w:r>
    </w:p>
    <w:p w:rsidR="00767B1A" w:rsidRPr="00CB32B1" w:rsidRDefault="00767B1A" w:rsidP="00767B1A">
      <w:pPr>
        <w:pStyle w:val="Minorheading"/>
      </w:pPr>
      <w:r w:rsidRPr="00CB32B1">
        <w:t>4.</w:t>
      </w:r>
      <w:r w:rsidRPr="00CB32B1">
        <w:tab/>
        <w:t>Regulation and registration</w:t>
      </w:r>
    </w:p>
    <w:p w:rsidR="0001118E" w:rsidRPr="00CB32B1" w:rsidRDefault="00767B1A" w:rsidP="0001118E">
      <w:pPr>
        <w:pStyle w:val="Caption"/>
        <w:keepNext w:val="0"/>
        <w:keepLines w:val="0"/>
        <w:tabs>
          <w:tab w:val="clear" w:pos="992"/>
        </w:tabs>
        <w:ind w:left="0" w:firstLine="0"/>
        <w:rPr>
          <w:rFonts w:ascii="Georgia" w:hAnsi="Georgia"/>
          <w:b w:val="0"/>
          <w:bCs w:val="0"/>
          <w:color w:val="auto"/>
          <w:szCs w:val="20"/>
        </w:rPr>
      </w:pPr>
      <w:r w:rsidRPr="00CB32B1">
        <w:rPr>
          <w:rFonts w:ascii="Georgia" w:hAnsi="Georgia"/>
          <w:b w:val="0"/>
          <w:bCs w:val="0"/>
          <w:color w:val="auto"/>
          <w:szCs w:val="20"/>
        </w:rPr>
        <w:t xml:space="preserve">For each </w:t>
      </w:r>
      <w:r w:rsidR="000436E0">
        <w:rPr>
          <w:rFonts w:ascii="Georgia" w:hAnsi="Georgia"/>
          <w:b w:val="0"/>
          <w:bCs w:val="0"/>
          <w:color w:val="auto"/>
          <w:szCs w:val="20"/>
        </w:rPr>
        <w:t>jurisdiction,</w:t>
      </w:r>
      <w:r w:rsidRPr="00CB32B1">
        <w:rPr>
          <w:rFonts w:ascii="Georgia" w:hAnsi="Georgia"/>
          <w:b w:val="0"/>
          <w:bCs w:val="0"/>
          <w:color w:val="auto"/>
          <w:szCs w:val="20"/>
        </w:rPr>
        <w:t xml:space="preserve"> information was collated on the regulation of midwifery which was supplemented through consultatio</w:t>
      </w:r>
      <w:r w:rsidR="000436E0">
        <w:rPr>
          <w:rFonts w:ascii="Georgia" w:hAnsi="Georgia"/>
          <w:b w:val="0"/>
          <w:bCs w:val="0"/>
          <w:color w:val="auto"/>
          <w:szCs w:val="20"/>
        </w:rPr>
        <w:t xml:space="preserve">n. </w:t>
      </w:r>
      <w:fldSimple w:instr=" REF _Ref362890102 \h  \* MERGEFORMAT ">
        <w:r w:rsidR="008816B4" w:rsidRPr="008816B4">
          <w:rPr>
            <w:rFonts w:ascii="Georgia" w:hAnsi="Georgia"/>
            <w:b w:val="0"/>
            <w:bCs w:val="0"/>
            <w:color w:val="auto"/>
            <w:szCs w:val="20"/>
          </w:rPr>
          <w:t>Table 59</w:t>
        </w:r>
      </w:fldSimple>
      <w:r w:rsidR="000436E0">
        <w:rPr>
          <w:rFonts w:ascii="Georgia" w:hAnsi="Georgia"/>
          <w:b w:val="0"/>
          <w:bCs w:val="0"/>
          <w:color w:val="auto"/>
          <w:szCs w:val="20"/>
        </w:rPr>
        <w:t xml:space="preserve"> o</w:t>
      </w:r>
      <w:r w:rsidRPr="00CB32B1">
        <w:rPr>
          <w:rFonts w:ascii="Georgia" w:hAnsi="Georgia"/>
          <w:b w:val="0"/>
          <w:bCs w:val="0"/>
          <w:color w:val="auto"/>
          <w:szCs w:val="20"/>
        </w:rPr>
        <w:t>utlines the regulators of midwifery in each</w:t>
      </w:r>
      <w:r w:rsidR="00496AD4">
        <w:rPr>
          <w:rFonts w:ascii="Georgia" w:hAnsi="Georgia"/>
          <w:b w:val="0"/>
          <w:bCs w:val="0"/>
          <w:color w:val="auto"/>
          <w:szCs w:val="20"/>
        </w:rPr>
        <w:t xml:space="preserve"> </w:t>
      </w:r>
      <w:r w:rsidRPr="00CB32B1">
        <w:rPr>
          <w:rFonts w:ascii="Georgia" w:hAnsi="Georgia"/>
          <w:b w:val="0"/>
          <w:bCs w:val="0"/>
          <w:color w:val="auto"/>
          <w:szCs w:val="20"/>
        </w:rPr>
        <w:t xml:space="preserve">researched. </w:t>
      </w:r>
      <w:bookmarkStart w:id="180" w:name="_Ref361224988"/>
    </w:p>
    <w:p w:rsidR="00767B1A" w:rsidRPr="00CB32B1" w:rsidRDefault="00767B1A" w:rsidP="0001118E">
      <w:pPr>
        <w:pStyle w:val="Caption"/>
        <w:tabs>
          <w:tab w:val="clear" w:pos="992"/>
        </w:tabs>
        <w:ind w:left="0" w:firstLine="0"/>
      </w:pPr>
      <w:bookmarkStart w:id="181" w:name="_Ref362890102"/>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59</w:t>
      </w:r>
      <w:r w:rsidR="009129A6" w:rsidRPr="00CB32B1">
        <w:fldChar w:fldCharType="end"/>
      </w:r>
      <w:bookmarkEnd w:id="180"/>
      <w:bookmarkEnd w:id="181"/>
      <w:r w:rsidRPr="00CB32B1">
        <w:t>:</w:t>
      </w:r>
      <w:r w:rsidRPr="00CB32B1">
        <w:tab/>
        <w:t>Regulators of midwifery</w:t>
      </w:r>
    </w:p>
    <w:tbl>
      <w:tblPr>
        <w:tblStyle w:val="PwCTableStyle1"/>
        <w:tblW w:w="9288" w:type="dxa"/>
        <w:tblLayout w:type="fixed"/>
        <w:tblLook w:val="04A0"/>
      </w:tblPr>
      <w:tblGrid>
        <w:gridCol w:w="1809"/>
        <w:gridCol w:w="7479"/>
      </w:tblGrid>
      <w:tr w:rsidR="00767B1A" w:rsidRPr="00CB32B1" w:rsidTr="00107EF4">
        <w:trPr>
          <w:cnfStyle w:val="100000000000"/>
        </w:trPr>
        <w:tc>
          <w:tcPr>
            <w:cnfStyle w:val="001000000000"/>
            <w:tcW w:w="1809" w:type="dxa"/>
            <w:tcBorders>
              <w:bottom w:val="single" w:sz="6" w:space="0" w:color="DC6900" w:themeColor="text2"/>
              <w:right w:val="single" w:sz="6" w:space="0" w:color="FFFFFF" w:themeColor="background2"/>
            </w:tcBorders>
            <w:shd w:val="clear" w:color="auto" w:fill="DC6900" w:themeFill="text2"/>
          </w:tcPr>
          <w:p w:rsidR="00767B1A" w:rsidRPr="00CB32B1" w:rsidRDefault="00107EF4" w:rsidP="00747120">
            <w:pPr>
              <w:pStyle w:val="TableColumnHeadingNormal"/>
              <w:jc w:val="center"/>
            </w:pPr>
            <w:r>
              <w:t>Jurisdiction</w:t>
            </w:r>
          </w:p>
        </w:tc>
        <w:tc>
          <w:tcPr>
            <w:tcW w:w="7479" w:type="dxa"/>
            <w:tcBorders>
              <w:left w:val="single" w:sz="6" w:space="0" w:color="FFFFFF" w:themeColor="background2"/>
              <w:bottom w:val="single" w:sz="6" w:space="0" w:color="DC6900" w:themeColor="text2"/>
            </w:tcBorders>
            <w:shd w:val="clear" w:color="auto" w:fill="DC6900" w:themeFill="text2"/>
          </w:tcPr>
          <w:p w:rsidR="00767B1A" w:rsidRPr="00CB32B1" w:rsidRDefault="00767B1A" w:rsidP="00747120">
            <w:pPr>
              <w:pStyle w:val="TableColumnHeadingNormal"/>
              <w:jc w:val="center"/>
              <w:cnfStyle w:val="100000000000"/>
            </w:pPr>
            <w:r w:rsidRPr="00CB32B1">
              <w:t>Regulators</w:t>
            </w:r>
          </w:p>
        </w:tc>
      </w:tr>
      <w:tr w:rsidR="00767B1A" w:rsidRPr="00CB32B1" w:rsidTr="00107EF4">
        <w:tc>
          <w:tcPr>
            <w:cnfStyle w:val="001000000000"/>
            <w:tcW w:w="1809" w:type="dxa"/>
            <w:tcBorders>
              <w:top w:val="single" w:sz="6" w:space="0" w:color="DC6900" w:themeColor="text2"/>
            </w:tcBorders>
          </w:tcPr>
          <w:p w:rsidR="00767B1A" w:rsidRPr="00CB32B1" w:rsidRDefault="00767B1A" w:rsidP="00767B1A">
            <w:pPr>
              <w:pStyle w:val="TableTextNormal"/>
            </w:pPr>
            <w:r w:rsidRPr="00CB32B1">
              <w:t>Australia</w:t>
            </w:r>
          </w:p>
        </w:tc>
        <w:tc>
          <w:tcPr>
            <w:tcW w:w="7479" w:type="dxa"/>
            <w:tcBorders>
              <w:top w:val="single" w:sz="6" w:space="0" w:color="DC6900" w:themeColor="text2"/>
            </w:tcBorders>
          </w:tcPr>
          <w:p w:rsidR="00767B1A" w:rsidRPr="00CB32B1" w:rsidRDefault="00767B1A" w:rsidP="00767B1A">
            <w:pPr>
              <w:pStyle w:val="TableTextNormal"/>
              <w:cnfStyle w:val="000000000000"/>
            </w:pPr>
            <w:r w:rsidRPr="00CB32B1">
              <w:t>Nursing and Midwifery Board of Australia (NMBA)</w:t>
            </w:r>
          </w:p>
        </w:tc>
      </w:tr>
      <w:tr w:rsidR="000436E0" w:rsidRPr="00CB32B1" w:rsidTr="00107EF4">
        <w:tc>
          <w:tcPr>
            <w:cnfStyle w:val="001000000000"/>
            <w:tcW w:w="1809" w:type="dxa"/>
            <w:tcBorders>
              <w:top w:val="single" w:sz="6" w:space="0" w:color="DC6900" w:themeColor="text2"/>
            </w:tcBorders>
          </w:tcPr>
          <w:p w:rsidR="000436E0" w:rsidRPr="00CB32B1" w:rsidRDefault="000436E0" w:rsidP="000436E0">
            <w:pPr>
              <w:pStyle w:val="TableTextNormal"/>
            </w:pPr>
            <w:r w:rsidRPr="00CB32B1">
              <w:t>England</w:t>
            </w:r>
          </w:p>
        </w:tc>
        <w:tc>
          <w:tcPr>
            <w:tcW w:w="7479" w:type="dxa"/>
            <w:tcBorders>
              <w:top w:val="single" w:sz="6" w:space="0" w:color="DC6900" w:themeColor="text2"/>
            </w:tcBorders>
          </w:tcPr>
          <w:p w:rsidR="000436E0" w:rsidRPr="00CB32B1" w:rsidRDefault="000436E0" w:rsidP="000436E0">
            <w:pPr>
              <w:pStyle w:val="TableTextNormal"/>
              <w:cnfStyle w:val="000000000000"/>
            </w:pPr>
            <w:r w:rsidRPr="00CB32B1">
              <w:t>Nursing and Midwifery Council UK (NMC-UK)</w:t>
            </w:r>
          </w:p>
        </w:tc>
      </w:tr>
      <w:tr w:rsidR="000436E0" w:rsidRPr="00CB32B1" w:rsidTr="00107EF4">
        <w:tc>
          <w:tcPr>
            <w:cnfStyle w:val="001000000000"/>
            <w:tcW w:w="1809" w:type="dxa"/>
          </w:tcPr>
          <w:p w:rsidR="000436E0" w:rsidRPr="00CB32B1" w:rsidRDefault="000436E0" w:rsidP="00767B1A">
            <w:pPr>
              <w:pStyle w:val="TableTextNormal"/>
            </w:pPr>
            <w:r w:rsidRPr="00CB32B1">
              <w:t>Ontario, Canada</w:t>
            </w:r>
          </w:p>
        </w:tc>
        <w:tc>
          <w:tcPr>
            <w:tcW w:w="7479" w:type="dxa"/>
          </w:tcPr>
          <w:p w:rsidR="000436E0" w:rsidRPr="00CB32B1" w:rsidRDefault="000436E0" w:rsidP="007F1F64">
            <w:pPr>
              <w:pStyle w:val="TableTextNormal"/>
              <w:cnfStyle w:val="000000000000"/>
            </w:pPr>
            <w:r w:rsidRPr="00CB32B1">
              <w:t>College of Midwives</w:t>
            </w:r>
            <w:r w:rsidR="007F1F64">
              <w:t xml:space="preserve"> of</w:t>
            </w:r>
            <w:r w:rsidRPr="00CB32B1">
              <w:t xml:space="preserve"> Ontario (CMO)</w:t>
            </w:r>
          </w:p>
        </w:tc>
      </w:tr>
      <w:tr w:rsidR="000436E0" w:rsidRPr="00CB32B1" w:rsidTr="00107EF4">
        <w:tc>
          <w:tcPr>
            <w:cnfStyle w:val="001000000000"/>
            <w:tcW w:w="1809" w:type="dxa"/>
          </w:tcPr>
          <w:p w:rsidR="000436E0" w:rsidRPr="00CB32B1" w:rsidRDefault="000436E0" w:rsidP="00767B1A">
            <w:pPr>
              <w:pStyle w:val="TableTextNormal"/>
            </w:pPr>
            <w:r w:rsidRPr="00CB32B1">
              <w:t>the Netherlands</w:t>
            </w:r>
          </w:p>
        </w:tc>
        <w:tc>
          <w:tcPr>
            <w:tcW w:w="7479" w:type="dxa"/>
          </w:tcPr>
          <w:p w:rsidR="000436E0" w:rsidRPr="00CB32B1" w:rsidRDefault="000436E0" w:rsidP="00107EF4">
            <w:pPr>
              <w:pStyle w:val="TableTextNormal"/>
              <w:cnfStyle w:val="000000000000"/>
            </w:pPr>
            <w:r w:rsidRPr="00CB32B1">
              <w:t>The Royal Dutch Organisation of Midwives (KNOV),</w:t>
            </w:r>
            <w:r w:rsidR="00107EF4">
              <w:t xml:space="preserve"> </w:t>
            </w:r>
            <w:r w:rsidRPr="00CB32B1">
              <w:t>Health care Inspectorate</w:t>
            </w:r>
          </w:p>
        </w:tc>
      </w:tr>
      <w:tr w:rsidR="000436E0" w:rsidRPr="00CB32B1" w:rsidTr="00107EF4">
        <w:tc>
          <w:tcPr>
            <w:cnfStyle w:val="001000000000"/>
            <w:tcW w:w="1809" w:type="dxa"/>
          </w:tcPr>
          <w:p w:rsidR="000436E0" w:rsidRPr="00CB32B1" w:rsidRDefault="000436E0" w:rsidP="00767B1A">
            <w:pPr>
              <w:pStyle w:val="TableTextNormal"/>
            </w:pPr>
            <w:r w:rsidRPr="00CB32B1">
              <w:t>New Zealand</w:t>
            </w:r>
          </w:p>
        </w:tc>
        <w:tc>
          <w:tcPr>
            <w:tcW w:w="7479" w:type="dxa"/>
          </w:tcPr>
          <w:p w:rsidR="000436E0" w:rsidRPr="00CB32B1" w:rsidDel="001319AC" w:rsidRDefault="000436E0" w:rsidP="00767B1A">
            <w:pPr>
              <w:pStyle w:val="TableTextNormal"/>
              <w:cnfStyle w:val="000000000000"/>
            </w:pPr>
            <w:r w:rsidRPr="00CB32B1">
              <w:t>Midwifery Council of New Zealand</w:t>
            </w:r>
          </w:p>
        </w:tc>
      </w:tr>
    </w:tbl>
    <w:p w:rsidR="00767B1A" w:rsidRPr="00CB32B1" w:rsidRDefault="00767B1A" w:rsidP="0001118E">
      <w:pPr>
        <w:pStyle w:val="Caption"/>
        <w:ind w:left="0" w:firstLine="0"/>
        <w:rPr>
          <w:rFonts w:ascii="Georgia" w:hAnsi="Georgia"/>
          <w:b w:val="0"/>
          <w:bCs w:val="0"/>
          <w:color w:val="auto"/>
          <w:szCs w:val="20"/>
        </w:rPr>
      </w:pPr>
      <w:r w:rsidRPr="00CB32B1">
        <w:rPr>
          <w:rFonts w:ascii="Georgia" w:hAnsi="Georgia"/>
          <w:b w:val="0"/>
          <w:bCs w:val="0"/>
          <w:color w:val="auto"/>
          <w:szCs w:val="20"/>
        </w:rPr>
        <w:t xml:space="preserve">An overview of the regulation and registration in each </w:t>
      </w:r>
      <w:r w:rsidR="00496AD4">
        <w:rPr>
          <w:rFonts w:ascii="Georgia" w:hAnsi="Georgia"/>
          <w:b w:val="0"/>
          <w:bCs w:val="0"/>
          <w:color w:val="auto"/>
          <w:szCs w:val="20"/>
        </w:rPr>
        <w:t>jurisdiction</w:t>
      </w:r>
      <w:r w:rsidRPr="00CB32B1">
        <w:rPr>
          <w:rFonts w:ascii="Georgia" w:hAnsi="Georgia"/>
          <w:b w:val="0"/>
          <w:bCs w:val="0"/>
          <w:color w:val="auto"/>
          <w:szCs w:val="20"/>
        </w:rPr>
        <w:t xml:space="preserve"> is described in</w:t>
      </w:r>
      <w:r w:rsidR="00E30385">
        <w:rPr>
          <w:rFonts w:ascii="Georgia" w:hAnsi="Georgia"/>
          <w:b w:val="0"/>
          <w:bCs w:val="0"/>
          <w:color w:val="auto"/>
          <w:szCs w:val="20"/>
        </w:rPr>
        <w:t xml:space="preserve"> </w:t>
      </w:r>
      <w:fldSimple w:instr=" REF _Ref362890181 \h  \* MERGEFORMAT ">
        <w:r w:rsidR="008816B4" w:rsidRPr="008816B4">
          <w:rPr>
            <w:rFonts w:ascii="Georgia" w:hAnsi="Georgia"/>
            <w:b w:val="0"/>
            <w:bCs w:val="0"/>
            <w:color w:val="auto"/>
            <w:szCs w:val="20"/>
          </w:rPr>
          <w:t>Table 60</w:t>
        </w:r>
      </w:fldSimple>
      <w:r w:rsidR="000436E0">
        <w:rPr>
          <w:rFonts w:ascii="Georgia" w:hAnsi="Georgia"/>
          <w:b w:val="0"/>
          <w:bCs w:val="0"/>
          <w:color w:val="auto"/>
          <w:szCs w:val="20"/>
        </w:rPr>
        <w:t>. R</w:t>
      </w:r>
      <w:r w:rsidRPr="00CB32B1">
        <w:rPr>
          <w:rFonts w:ascii="Georgia" w:hAnsi="Georgia"/>
          <w:b w:val="0"/>
          <w:bCs w:val="0"/>
          <w:color w:val="auto"/>
          <w:szCs w:val="20"/>
        </w:rPr>
        <w:t xml:space="preserve">egistration costs, length of registration and top up requirements can vary across </w:t>
      </w:r>
      <w:r w:rsidR="00496AD4">
        <w:rPr>
          <w:rFonts w:ascii="Georgia" w:hAnsi="Georgia"/>
          <w:b w:val="0"/>
          <w:bCs w:val="0"/>
          <w:color w:val="auto"/>
          <w:szCs w:val="20"/>
        </w:rPr>
        <w:t>jurisdictions</w:t>
      </w:r>
      <w:r w:rsidRPr="00CB32B1">
        <w:rPr>
          <w:rFonts w:ascii="Georgia" w:hAnsi="Georgia"/>
          <w:b w:val="0"/>
          <w:bCs w:val="0"/>
          <w:color w:val="auto"/>
          <w:szCs w:val="20"/>
        </w:rPr>
        <w:t>. Key findings show that:</w:t>
      </w:r>
    </w:p>
    <w:p w:rsidR="00767B1A" w:rsidRPr="00CB32B1" w:rsidRDefault="00767B1A" w:rsidP="00767B1A">
      <w:pPr>
        <w:pStyle w:val="ListBullet"/>
      </w:pPr>
      <w:r w:rsidRPr="00CB32B1">
        <w:t xml:space="preserve">Registration was significantly more expensive in </w:t>
      </w:r>
      <w:r w:rsidR="000436E0">
        <w:t xml:space="preserve">the province of </w:t>
      </w:r>
      <w:r w:rsidRPr="00CB32B1">
        <w:t xml:space="preserve">Ontario than in other </w:t>
      </w:r>
      <w:r w:rsidR="000436E0">
        <w:t>juri</w:t>
      </w:r>
      <w:r w:rsidRPr="00CB32B1">
        <w:t>s</w:t>
      </w:r>
      <w:r w:rsidR="000436E0">
        <w:t>dictions</w:t>
      </w:r>
      <w:r w:rsidRPr="00CB32B1">
        <w:t xml:space="preserve"> at $1,585</w:t>
      </w:r>
      <w:r w:rsidR="00D12B45" w:rsidRPr="00CB32B1">
        <w:t xml:space="preserve"> (CAD)</w:t>
      </w:r>
      <w:r w:rsidRPr="00CB32B1">
        <w:t xml:space="preserve"> for registration fees each year</w:t>
      </w:r>
    </w:p>
    <w:p w:rsidR="00767B1A" w:rsidRPr="00CB32B1" w:rsidRDefault="000436E0" w:rsidP="00767B1A">
      <w:pPr>
        <w:pStyle w:val="ListBullet"/>
      </w:pPr>
      <w:r>
        <w:t xml:space="preserve">The province of </w:t>
      </w:r>
      <w:r w:rsidR="00767B1A" w:rsidRPr="00CB32B1">
        <w:t>Ontario also made requirements on registration for liability insurance which is provided through the A</w:t>
      </w:r>
      <w:r>
        <w:t xml:space="preserve">ssociation of </w:t>
      </w:r>
      <w:r w:rsidR="00767B1A" w:rsidRPr="00CB32B1">
        <w:t>O</w:t>
      </w:r>
      <w:r>
        <w:t xml:space="preserve">ntario </w:t>
      </w:r>
      <w:r w:rsidR="00767B1A" w:rsidRPr="00CB32B1">
        <w:t>M</w:t>
      </w:r>
      <w:r>
        <w:t>idwives</w:t>
      </w:r>
    </w:p>
    <w:p w:rsidR="00767B1A" w:rsidRPr="00CB32B1" w:rsidRDefault="00767B1A" w:rsidP="00767B1A">
      <w:pPr>
        <w:pStyle w:val="ListBullet"/>
      </w:pPr>
      <w:r w:rsidRPr="00CB32B1">
        <w:t>The Netherlands only requires registration every five years, however</w:t>
      </w:r>
      <w:r w:rsidR="000436E0">
        <w:t xml:space="preserve"> the</w:t>
      </w:r>
      <w:r w:rsidRPr="00CB32B1">
        <w:t xml:space="preserve"> KNOV have developed an additional quality register which 80 per cent of midwives have signed up to</w:t>
      </w:r>
    </w:p>
    <w:p w:rsidR="00767B1A" w:rsidRPr="00CB32B1" w:rsidRDefault="00767B1A" w:rsidP="00767B1A">
      <w:pPr>
        <w:pStyle w:val="ListBullet"/>
      </w:pPr>
      <w:r w:rsidRPr="00CB32B1">
        <w:t>Both England and the Netherlands make requirements on the practice of a midwife in terms of hours worked over the past registration period</w:t>
      </w:r>
    </w:p>
    <w:p w:rsidR="0001118E" w:rsidRPr="00CB32B1" w:rsidRDefault="00767B1A" w:rsidP="00767B1A">
      <w:pPr>
        <w:pStyle w:val="ListBullet"/>
      </w:pPr>
      <w:r w:rsidRPr="00CB32B1">
        <w:t xml:space="preserve">None of the </w:t>
      </w:r>
      <w:r w:rsidR="00496AD4">
        <w:t>jurisdiction</w:t>
      </w:r>
      <w:r w:rsidRPr="00CB32B1">
        <w:t>s make additional requirements for independent or private practice.</w:t>
      </w:r>
      <w:bookmarkStart w:id="182" w:name="_Ref361225003"/>
    </w:p>
    <w:p w:rsidR="00767B1A" w:rsidRPr="00CB32B1" w:rsidRDefault="00767B1A" w:rsidP="00767B1A">
      <w:pPr>
        <w:pStyle w:val="Caption"/>
      </w:pPr>
      <w:bookmarkStart w:id="183" w:name="_Ref362890181"/>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60</w:t>
      </w:r>
      <w:r w:rsidR="009129A6" w:rsidRPr="00CB32B1">
        <w:fldChar w:fldCharType="end"/>
      </w:r>
      <w:bookmarkEnd w:id="182"/>
      <w:bookmarkEnd w:id="183"/>
      <w:r w:rsidRPr="00CB32B1">
        <w:t>:</w:t>
      </w:r>
      <w:r w:rsidRPr="00CB32B1">
        <w:tab/>
        <w:t>Costs, renewal times and additional top-up requirements for registration</w:t>
      </w:r>
    </w:p>
    <w:tbl>
      <w:tblPr>
        <w:tblStyle w:val="PwCTableStyle1"/>
        <w:tblW w:w="0" w:type="auto"/>
        <w:tblLook w:val="04A0"/>
      </w:tblPr>
      <w:tblGrid>
        <w:gridCol w:w="1639"/>
        <w:gridCol w:w="1553"/>
        <w:gridCol w:w="1527"/>
        <w:gridCol w:w="1551"/>
        <w:gridCol w:w="1715"/>
        <w:gridCol w:w="1300"/>
      </w:tblGrid>
      <w:tr w:rsidR="00767B1A" w:rsidRPr="00CB32B1" w:rsidTr="0001118E">
        <w:trPr>
          <w:cnfStyle w:val="100000000000"/>
          <w:cantSplit/>
        </w:trPr>
        <w:tc>
          <w:tcPr>
            <w:cnfStyle w:val="001000000000"/>
            <w:tcW w:w="1640" w:type="dxa"/>
            <w:tcBorders>
              <w:bottom w:val="single" w:sz="6" w:space="0" w:color="DC6900" w:themeColor="text2"/>
              <w:right w:val="single" w:sz="6" w:space="0" w:color="FFFFFF" w:themeColor="background2"/>
            </w:tcBorders>
            <w:shd w:val="clear" w:color="auto" w:fill="DC6900" w:themeFill="text2"/>
          </w:tcPr>
          <w:p w:rsidR="00767B1A" w:rsidRPr="00CB32B1" w:rsidRDefault="00767B1A" w:rsidP="00747120">
            <w:pPr>
              <w:pStyle w:val="TableColumnHeadingNormal"/>
              <w:jc w:val="center"/>
            </w:pPr>
          </w:p>
        </w:tc>
        <w:tc>
          <w:tcPr>
            <w:tcW w:w="1554"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tcPr>
          <w:p w:rsidR="00767B1A" w:rsidRPr="00CB32B1" w:rsidRDefault="00767B1A" w:rsidP="00747120">
            <w:pPr>
              <w:pStyle w:val="TableColumnHeadingNormal"/>
              <w:jc w:val="center"/>
              <w:cnfStyle w:val="100000000000"/>
            </w:pPr>
            <w:r w:rsidRPr="00CB32B1">
              <w:t>Australia</w:t>
            </w:r>
          </w:p>
        </w:tc>
        <w:tc>
          <w:tcPr>
            <w:tcW w:w="1528"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tcPr>
          <w:p w:rsidR="00767B1A" w:rsidRPr="00CB32B1" w:rsidRDefault="00767B1A" w:rsidP="00747120">
            <w:pPr>
              <w:pStyle w:val="TableColumnHeadingNormal"/>
              <w:jc w:val="center"/>
              <w:cnfStyle w:val="100000000000"/>
            </w:pPr>
            <w:r w:rsidRPr="00CB32B1">
              <w:t>England</w:t>
            </w:r>
          </w:p>
        </w:tc>
        <w:tc>
          <w:tcPr>
            <w:tcW w:w="1551"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tcPr>
          <w:p w:rsidR="00767B1A" w:rsidRPr="00CB32B1" w:rsidRDefault="00767B1A" w:rsidP="00747120">
            <w:pPr>
              <w:pStyle w:val="TableColumnHeadingNormal"/>
              <w:jc w:val="center"/>
              <w:cnfStyle w:val="100000000000"/>
            </w:pPr>
            <w:r w:rsidRPr="00CB32B1">
              <w:t>Ontario</w:t>
            </w:r>
            <w:r w:rsidR="00747120" w:rsidRPr="00CB32B1">
              <w:t>, Canada</w:t>
            </w:r>
          </w:p>
        </w:tc>
        <w:tc>
          <w:tcPr>
            <w:tcW w:w="1715"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tcPr>
          <w:p w:rsidR="00767B1A" w:rsidRPr="00CB32B1" w:rsidRDefault="00767B1A" w:rsidP="00747120">
            <w:pPr>
              <w:pStyle w:val="TableColumnHeadingNormal"/>
              <w:jc w:val="center"/>
              <w:cnfStyle w:val="100000000000"/>
            </w:pPr>
            <w:r w:rsidRPr="00CB32B1">
              <w:t>the Netherlands</w:t>
            </w:r>
          </w:p>
        </w:tc>
        <w:tc>
          <w:tcPr>
            <w:tcW w:w="1300" w:type="dxa"/>
            <w:tcBorders>
              <w:left w:val="single" w:sz="6" w:space="0" w:color="FFFFFF" w:themeColor="background2"/>
              <w:bottom w:val="single" w:sz="6" w:space="0" w:color="DC6900" w:themeColor="text2"/>
            </w:tcBorders>
            <w:shd w:val="clear" w:color="auto" w:fill="DC6900" w:themeFill="text2"/>
          </w:tcPr>
          <w:p w:rsidR="00767B1A" w:rsidRPr="00CB32B1" w:rsidRDefault="00767B1A" w:rsidP="00747120">
            <w:pPr>
              <w:pStyle w:val="TableColumnHeadingNormal"/>
              <w:jc w:val="center"/>
              <w:cnfStyle w:val="100000000000"/>
            </w:pPr>
            <w:r w:rsidRPr="00CB32B1">
              <w:t>New Zealand</w:t>
            </w:r>
          </w:p>
        </w:tc>
      </w:tr>
      <w:tr w:rsidR="00767B1A" w:rsidRPr="00CB32B1" w:rsidTr="0001118E">
        <w:trPr>
          <w:cantSplit/>
        </w:trPr>
        <w:tc>
          <w:tcPr>
            <w:cnfStyle w:val="001000000000"/>
            <w:tcW w:w="1640" w:type="dxa"/>
            <w:tcBorders>
              <w:top w:val="single" w:sz="6" w:space="0" w:color="DC6900" w:themeColor="text2"/>
            </w:tcBorders>
          </w:tcPr>
          <w:p w:rsidR="00767B1A" w:rsidRPr="00CB32B1" w:rsidRDefault="00767B1A" w:rsidP="0001118E">
            <w:pPr>
              <w:pStyle w:val="TableTextNormal"/>
              <w:keepNext/>
              <w:keepLines/>
            </w:pPr>
            <w:r w:rsidRPr="00CB32B1">
              <w:t xml:space="preserve">Registration compulsory </w:t>
            </w:r>
          </w:p>
        </w:tc>
        <w:tc>
          <w:tcPr>
            <w:tcW w:w="1554" w:type="dxa"/>
            <w:tcBorders>
              <w:top w:val="single" w:sz="6" w:space="0" w:color="DC6900" w:themeColor="text2"/>
            </w:tcBorders>
          </w:tcPr>
          <w:p w:rsidR="00767B1A" w:rsidRPr="00CB32B1" w:rsidRDefault="00767B1A" w:rsidP="0001118E">
            <w:pPr>
              <w:pStyle w:val="TableTextNormal"/>
              <w:keepNext/>
              <w:keepLines/>
              <w:cnfStyle w:val="000000000000"/>
            </w:pPr>
            <w:r w:rsidRPr="00CB32B1">
              <w:t>Yes</w:t>
            </w:r>
          </w:p>
        </w:tc>
        <w:tc>
          <w:tcPr>
            <w:tcW w:w="1528" w:type="dxa"/>
            <w:tcBorders>
              <w:top w:val="single" w:sz="6" w:space="0" w:color="DC6900" w:themeColor="text2"/>
            </w:tcBorders>
          </w:tcPr>
          <w:p w:rsidR="00767B1A" w:rsidRPr="00CB32B1" w:rsidRDefault="00767B1A" w:rsidP="0001118E">
            <w:pPr>
              <w:pStyle w:val="TableTextNormal"/>
              <w:keepNext/>
              <w:keepLines/>
              <w:cnfStyle w:val="000000000000"/>
            </w:pPr>
            <w:r w:rsidRPr="00CB32B1">
              <w:t xml:space="preserve">Yes </w:t>
            </w:r>
          </w:p>
        </w:tc>
        <w:tc>
          <w:tcPr>
            <w:tcW w:w="1551" w:type="dxa"/>
            <w:tcBorders>
              <w:top w:val="single" w:sz="6" w:space="0" w:color="DC6900" w:themeColor="text2"/>
            </w:tcBorders>
          </w:tcPr>
          <w:p w:rsidR="00767B1A" w:rsidRPr="00CB32B1" w:rsidRDefault="00767B1A" w:rsidP="0001118E">
            <w:pPr>
              <w:pStyle w:val="TableTextNormal"/>
              <w:keepNext/>
              <w:keepLines/>
              <w:cnfStyle w:val="000000000000"/>
            </w:pPr>
            <w:r w:rsidRPr="00CB32B1">
              <w:t>Yes</w:t>
            </w:r>
          </w:p>
        </w:tc>
        <w:tc>
          <w:tcPr>
            <w:tcW w:w="1715" w:type="dxa"/>
            <w:tcBorders>
              <w:top w:val="single" w:sz="6" w:space="0" w:color="DC6900" w:themeColor="text2"/>
            </w:tcBorders>
          </w:tcPr>
          <w:p w:rsidR="00767B1A" w:rsidRPr="00CB32B1" w:rsidRDefault="00767B1A" w:rsidP="0001118E">
            <w:pPr>
              <w:pStyle w:val="TableTextNormal"/>
              <w:keepNext/>
              <w:keepLines/>
              <w:cnfStyle w:val="000000000000"/>
            </w:pPr>
            <w:r w:rsidRPr="00CB32B1">
              <w:t xml:space="preserve">Yes </w:t>
            </w:r>
          </w:p>
        </w:tc>
        <w:tc>
          <w:tcPr>
            <w:tcW w:w="1300" w:type="dxa"/>
            <w:tcBorders>
              <w:top w:val="single" w:sz="6" w:space="0" w:color="DC6900" w:themeColor="text2"/>
            </w:tcBorders>
          </w:tcPr>
          <w:p w:rsidR="00767B1A" w:rsidRPr="00CB32B1" w:rsidRDefault="00767B1A" w:rsidP="0001118E">
            <w:pPr>
              <w:pStyle w:val="TableTextNormal"/>
              <w:keepNext/>
              <w:keepLines/>
              <w:cnfStyle w:val="000000000000"/>
            </w:pPr>
            <w:r w:rsidRPr="00CB32B1">
              <w:t>Yes</w:t>
            </w:r>
          </w:p>
        </w:tc>
      </w:tr>
      <w:tr w:rsidR="00767B1A" w:rsidRPr="00CB32B1" w:rsidTr="0001118E">
        <w:trPr>
          <w:cantSplit/>
        </w:trPr>
        <w:tc>
          <w:tcPr>
            <w:cnfStyle w:val="001000000000"/>
            <w:tcW w:w="1640" w:type="dxa"/>
          </w:tcPr>
          <w:p w:rsidR="00767B1A" w:rsidRPr="00CB32B1" w:rsidRDefault="00767B1A" w:rsidP="0001118E">
            <w:pPr>
              <w:pStyle w:val="TableTextNormal"/>
              <w:keepNext/>
              <w:keepLines/>
            </w:pPr>
            <w:r w:rsidRPr="00CB32B1">
              <w:t>Number of midwives on register actively practising</w:t>
            </w:r>
          </w:p>
        </w:tc>
        <w:tc>
          <w:tcPr>
            <w:tcW w:w="1554" w:type="dxa"/>
          </w:tcPr>
          <w:p w:rsidR="00767B1A" w:rsidRPr="00CB32B1" w:rsidRDefault="001E2819" w:rsidP="0001118E">
            <w:pPr>
              <w:pStyle w:val="TableTextNormal"/>
              <w:keepNext/>
              <w:keepLines/>
              <w:cnfStyle w:val="000000000000"/>
            </w:pPr>
            <w:r w:rsidRPr="001E2819">
              <w:t>35,202</w:t>
            </w:r>
            <w:r w:rsidR="00767B1A" w:rsidRPr="001E2819">
              <w:rPr>
                <w:rStyle w:val="FootnoteReference"/>
              </w:rPr>
              <w:footnoteReference w:id="382"/>
            </w:r>
          </w:p>
        </w:tc>
        <w:tc>
          <w:tcPr>
            <w:tcW w:w="1528" w:type="dxa"/>
          </w:tcPr>
          <w:p w:rsidR="00767B1A" w:rsidRPr="00CB32B1" w:rsidRDefault="00767B1A" w:rsidP="0001118E">
            <w:pPr>
              <w:pStyle w:val="TableTextNormal"/>
              <w:keepNext/>
              <w:keepLines/>
              <w:cnfStyle w:val="000000000000"/>
            </w:pPr>
            <w:r w:rsidRPr="00CB32B1">
              <w:t>28,030</w:t>
            </w:r>
            <w:r w:rsidRPr="00CB32B1">
              <w:rPr>
                <w:rStyle w:val="FootnoteReference"/>
              </w:rPr>
              <w:footnoteReference w:id="383"/>
            </w:r>
          </w:p>
        </w:tc>
        <w:tc>
          <w:tcPr>
            <w:tcW w:w="1551" w:type="dxa"/>
          </w:tcPr>
          <w:p w:rsidR="00767B1A" w:rsidRPr="00CB32B1" w:rsidRDefault="00767B1A" w:rsidP="0001118E">
            <w:pPr>
              <w:pStyle w:val="TableTextNormal"/>
              <w:keepNext/>
              <w:keepLines/>
              <w:cnfStyle w:val="000000000000"/>
            </w:pPr>
            <w:r w:rsidRPr="00CB32B1">
              <w:t>405</w:t>
            </w:r>
            <w:r w:rsidRPr="00CB32B1">
              <w:rPr>
                <w:rStyle w:val="FootnoteReference"/>
              </w:rPr>
              <w:footnoteReference w:id="384"/>
            </w:r>
          </w:p>
        </w:tc>
        <w:tc>
          <w:tcPr>
            <w:tcW w:w="1715" w:type="dxa"/>
          </w:tcPr>
          <w:p w:rsidR="00767B1A" w:rsidRPr="00CB32B1" w:rsidRDefault="00767B1A" w:rsidP="0001118E">
            <w:pPr>
              <w:pStyle w:val="TableTextNormal"/>
              <w:keepNext/>
              <w:keepLines/>
              <w:cnfStyle w:val="000000000000"/>
            </w:pPr>
            <w:r w:rsidRPr="00CB32B1">
              <w:t>2,612</w:t>
            </w:r>
            <w:r w:rsidRPr="00CB32B1">
              <w:rPr>
                <w:rStyle w:val="FootnoteReference"/>
              </w:rPr>
              <w:footnoteReference w:id="385"/>
            </w:r>
          </w:p>
        </w:tc>
        <w:tc>
          <w:tcPr>
            <w:tcW w:w="1300" w:type="dxa"/>
          </w:tcPr>
          <w:p w:rsidR="00767B1A" w:rsidRPr="00CB32B1" w:rsidRDefault="00767B1A" w:rsidP="0001118E">
            <w:pPr>
              <w:pStyle w:val="TableTextNormal"/>
              <w:keepNext/>
              <w:keepLines/>
              <w:cnfStyle w:val="000000000000"/>
            </w:pPr>
            <w:r w:rsidRPr="00CB32B1">
              <w:t>2,910</w:t>
            </w:r>
            <w:r w:rsidRPr="00CB32B1">
              <w:rPr>
                <w:rStyle w:val="FootnoteReference"/>
              </w:rPr>
              <w:footnoteReference w:id="386"/>
            </w:r>
          </w:p>
        </w:tc>
      </w:tr>
      <w:tr w:rsidR="00767B1A" w:rsidRPr="00CB32B1" w:rsidTr="0001118E">
        <w:trPr>
          <w:cantSplit/>
        </w:trPr>
        <w:tc>
          <w:tcPr>
            <w:cnfStyle w:val="001000000000"/>
            <w:tcW w:w="1640" w:type="dxa"/>
          </w:tcPr>
          <w:p w:rsidR="00767B1A" w:rsidRPr="00CB32B1" w:rsidRDefault="00767B1A" w:rsidP="0001118E">
            <w:pPr>
              <w:pStyle w:val="TableTextNormal"/>
              <w:keepNext/>
              <w:keepLines/>
            </w:pPr>
            <w:r w:rsidRPr="00CB32B1">
              <w:t>Cost of registration</w:t>
            </w:r>
          </w:p>
        </w:tc>
        <w:tc>
          <w:tcPr>
            <w:tcW w:w="1554" w:type="dxa"/>
          </w:tcPr>
          <w:p w:rsidR="00767B1A" w:rsidRPr="00CB32B1" w:rsidRDefault="00767B1A" w:rsidP="0001118E">
            <w:pPr>
              <w:pStyle w:val="TableTextNormal"/>
              <w:keepNext/>
              <w:keepLines/>
              <w:cnfStyle w:val="000000000000"/>
            </w:pPr>
            <w:r w:rsidRPr="00CB32B1">
              <w:t>$160</w:t>
            </w:r>
            <w:r w:rsidRPr="00CB32B1">
              <w:rPr>
                <w:rStyle w:val="FootnoteReference"/>
              </w:rPr>
              <w:footnoteReference w:id="387"/>
            </w:r>
          </w:p>
        </w:tc>
        <w:tc>
          <w:tcPr>
            <w:tcW w:w="1528" w:type="dxa"/>
          </w:tcPr>
          <w:p w:rsidR="00767B1A" w:rsidRPr="00CB32B1" w:rsidRDefault="00767B1A" w:rsidP="0001118E">
            <w:pPr>
              <w:pStyle w:val="TableTextNormal"/>
              <w:keepNext/>
              <w:keepLines/>
              <w:cnfStyle w:val="000000000000"/>
            </w:pPr>
            <w:r w:rsidRPr="00CB32B1">
              <w:t>£100</w:t>
            </w:r>
            <w:r w:rsidRPr="00CB32B1">
              <w:rPr>
                <w:rStyle w:val="FootnoteReference"/>
              </w:rPr>
              <w:footnoteReference w:id="388"/>
            </w:r>
          </w:p>
        </w:tc>
        <w:tc>
          <w:tcPr>
            <w:tcW w:w="1551" w:type="dxa"/>
          </w:tcPr>
          <w:p w:rsidR="00767B1A" w:rsidRPr="00CB32B1" w:rsidRDefault="00767B1A" w:rsidP="0001118E">
            <w:pPr>
              <w:pStyle w:val="TableTextNormal"/>
              <w:keepNext/>
              <w:keepLines/>
              <w:cnfStyle w:val="000000000000"/>
            </w:pPr>
            <w:r w:rsidRPr="00CB32B1">
              <w:t>$50 for application,</w:t>
            </w:r>
          </w:p>
          <w:p w:rsidR="00767B1A" w:rsidRPr="00CB32B1" w:rsidRDefault="00767B1A" w:rsidP="0001118E">
            <w:pPr>
              <w:pStyle w:val="TableTextNormal"/>
              <w:keepNext/>
              <w:keepLines/>
              <w:cnfStyle w:val="000000000000"/>
            </w:pPr>
            <w:r w:rsidRPr="00CB32B1">
              <w:t>$1,585 for registration fees</w:t>
            </w:r>
            <w:r w:rsidRPr="00CB32B1">
              <w:rPr>
                <w:rStyle w:val="FootnoteReference"/>
              </w:rPr>
              <w:footnoteReference w:id="389"/>
            </w:r>
            <w:r w:rsidRPr="00CB32B1">
              <w:t xml:space="preserve"> (CAD)</w:t>
            </w:r>
          </w:p>
        </w:tc>
        <w:tc>
          <w:tcPr>
            <w:tcW w:w="1715" w:type="dxa"/>
          </w:tcPr>
          <w:p w:rsidR="00767B1A" w:rsidRPr="00CB32B1" w:rsidRDefault="00D12B45" w:rsidP="0001118E">
            <w:pPr>
              <w:pStyle w:val="TableTextNormal"/>
              <w:keepNext/>
              <w:keepLines/>
              <w:cnfStyle w:val="000000000000"/>
            </w:pPr>
            <w:r w:rsidRPr="00CB32B1">
              <w:t>€</w:t>
            </w:r>
            <w:r w:rsidR="00767B1A" w:rsidRPr="00CB32B1">
              <w:t>80</w:t>
            </w:r>
            <w:r w:rsidR="00767B1A" w:rsidRPr="00CB32B1">
              <w:rPr>
                <w:rStyle w:val="FootnoteReference"/>
              </w:rPr>
              <w:footnoteReference w:id="390"/>
            </w:r>
          </w:p>
        </w:tc>
        <w:tc>
          <w:tcPr>
            <w:tcW w:w="1300" w:type="dxa"/>
          </w:tcPr>
          <w:p w:rsidR="00767B1A" w:rsidRPr="00CB32B1" w:rsidRDefault="00767B1A" w:rsidP="0001118E">
            <w:pPr>
              <w:pStyle w:val="TableTextNormal"/>
              <w:keepNext/>
              <w:keepLines/>
              <w:cnfStyle w:val="000000000000"/>
            </w:pPr>
            <w:r w:rsidRPr="00CB32B1">
              <w:t>Unable to determine</w:t>
            </w:r>
          </w:p>
        </w:tc>
      </w:tr>
      <w:tr w:rsidR="00767B1A" w:rsidRPr="00CB32B1" w:rsidTr="0001118E">
        <w:trPr>
          <w:cantSplit/>
        </w:trPr>
        <w:tc>
          <w:tcPr>
            <w:cnfStyle w:val="001000000000"/>
            <w:tcW w:w="1640" w:type="dxa"/>
          </w:tcPr>
          <w:p w:rsidR="00767B1A" w:rsidRPr="00CB32B1" w:rsidRDefault="00767B1A" w:rsidP="0001118E">
            <w:pPr>
              <w:pStyle w:val="TableTextNormal"/>
              <w:keepNext/>
              <w:keepLines/>
            </w:pPr>
            <w:r w:rsidRPr="00CB32B1">
              <w:t>Renewed</w:t>
            </w:r>
          </w:p>
        </w:tc>
        <w:tc>
          <w:tcPr>
            <w:tcW w:w="1554" w:type="dxa"/>
          </w:tcPr>
          <w:p w:rsidR="00767B1A" w:rsidRPr="00CB32B1" w:rsidRDefault="00767B1A" w:rsidP="0001118E">
            <w:pPr>
              <w:pStyle w:val="TableTextNormal"/>
              <w:keepNext/>
              <w:keepLines/>
              <w:cnfStyle w:val="000000000000"/>
            </w:pPr>
            <w:r w:rsidRPr="00CB32B1">
              <w:t>Every year</w:t>
            </w:r>
          </w:p>
        </w:tc>
        <w:tc>
          <w:tcPr>
            <w:tcW w:w="1528" w:type="dxa"/>
          </w:tcPr>
          <w:p w:rsidR="00767B1A" w:rsidRPr="00CB32B1" w:rsidRDefault="00767B1A" w:rsidP="0001118E">
            <w:pPr>
              <w:pStyle w:val="TableTextNormal"/>
              <w:keepNext/>
              <w:keepLines/>
              <w:cnfStyle w:val="000000000000"/>
            </w:pPr>
            <w:r w:rsidRPr="00CB32B1">
              <w:t>Every 3 years</w:t>
            </w:r>
          </w:p>
        </w:tc>
        <w:tc>
          <w:tcPr>
            <w:tcW w:w="1551" w:type="dxa"/>
          </w:tcPr>
          <w:p w:rsidR="00767B1A" w:rsidRPr="00CB32B1" w:rsidRDefault="00767B1A" w:rsidP="0001118E">
            <w:pPr>
              <w:pStyle w:val="TableTextNormal"/>
              <w:keepNext/>
              <w:keepLines/>
              <w:cnfStyle w:val="000000000000"/>
            </w:pPr>
            <w:r w:rsidRPr="00CB32B1">
              <w:t>Every year</w:t>
            </w:r>
          </w:p>
        </w:tc>
        <w:tc>
          <w:tcPr>
            <w:tcW w:w="1715" w:type="dxa"/>
          </w:tcPr>
          <w:p w:rsidR="00767B1A" w:rsidRPr="00CB32B1" w:rsidRDefault="00767B1A" w:rsidP="0001118E">
            <w:pPr>
              <w:pStyle w:val="TableTextNormal"/>
              <w:keepNext/>
              <w:keepLines/>
              <w:cnfStyle w:val="000000000000"/>
            </w:pPr>
            <w:r w:rsidRPr="00CB32B1">
              <w:t>Every 5 years</w:t>
            </w:r>
          </w:p>
        </w:tc>
        <w:tc>
          <w:tcPr>
            <w:tcW w:w="1300" w:type="dxa"/>
          </w:tcPr>
          <w:p w:rsidR="00767B1A" w:rsidRPr="00CB32B1" w:rsidRDefault="00767B1A" w:rsidP="0001118E">
            <w:pPr>
              <w:pStyle w:val="TableTextNormal"/>
              <w:keepNext/>
              <w:keepLines/>
              <w:cnfStyle w:val="000000000000"/>
            </w:pPr>
            <w:r w:rsidRPr="00CB32B1">
              <w:t>Unable to determine</w:t>
            </w:r>
          </w:p>
        </w:tc>
      </w:tr>
      <w:tr w:rsidR="00767B1A" w:rsidRPr="00CB32B1" w:rsidTr="0001118E">
        <w:trPr>
          <w:cantSplit/>
        </w:trPr>
        <w:tc>
          <w:tcPr>
            <w:cnfStyle w:val="001000000000"/>
            <w:tcW w:w="1640" w:type="dxa"/>
          </w:tcPr>
          <w:p w:rsidR="00767B1A" w:rsidRPr="00CB32B1" w:rsidRDefault="00767B1A" w:rsidP="0001118E">
            <w:pPr>
              <w:pStyle w:val="TableTextNormal"/>
              <w:keepNext/>
              <w:keepLines/>
            </w:pPr>
            <w:r w:rsidRPr="00CB32B1">
              <w:t>Notes about requirements for on-going registration</w:t>
            </w:r>
          </w:p>
        </w:tc>
        <w:tc>
          <w:tcPr>
            <w:tcW w:w="1554" w:type="dxa"/>
          </w:tcPr>
          <w:p w:rsidR="00767B1A" w:rsidRPr="00CB32B1" w:rsidRDefault="00767B1A" w:rsidP="0001118E">
            <w:pPr>
              <w:pStyle w:val="TableTextNormal"/>
              <w:keepNext/>
              <w:keepLines/>
              <w:cnfStyle w:val="000000000000"/>
            </w:pPr>
            <w:r w:rsidRPr="00CB32B1">
              <w:t>Must meet registration standards</w:t>
            </w:r>
          </w:p>
        </w:tc>
        <w:tc>
          <w:tcPr>
            <w:tcW w:w="1528" w:type="dxa"/>
          </w:tcPr>
          <w:p w:rsidR="00767B1A" w:rsidRPr="00CB32B1" w:rsidRDefault="00767B1A" w:rsidP="0001118E">
            <w:pPr>
              <w:pStyle w:val="TableTextNormal"/>
              <w:keepNext/>
              <w:keepLines/>
              <w:cnfStyle w:val="000000000000"/>
            </w:pPr>
            <w:r w:rsidRPr="00CB32B1">
              <w:t xml:space="preserve">Must </w:t>
            </w:r>
            <w:r w:rsidR="00D12B45" w:rsidRPr="00CB32B1">
              <w:t>have</w:t>
            </w:r>
            <w:r w:rsidRPr="00CB32B1">
              <w:t xml:space="preserve"> undertaken 450 hours</w:t>
            </w:r>
          </w:p>
        </w:tc>
        <w:tc>
          <w:tcPr>
            <w:tcW w:w="1551" w:type="dxa"/>
          </w:tcPr>
          <w:p w:rsidR="00767B1A" w:rsidRPr="00CB32B1" w:rsidRDefault="00767B1A" w:rsidP="0001118E">
            <w:pPr>
              <w:pStyle w:val="TableTextNormal"/>
              <w:keepNext/>
              <w:keepLines/>
              <w:cnfStyle w:val="000000000000"/>
            </w:pPr>
            <w:r w:rsidRPr="00CB32B1">
              <w:t>Must have membership and liability insurance arranged through AOM</w:t>
            </w:r>
          </w:p>
        </w:tc>
        <w:tc>
          <w:tcPr>
            <w:tcW w:w="1715" w:type="dxa"/>
          </w:tcPr>
          <w:p w:rsidR="00767B1A" w:rsidRPr="00CB32B1" w:rsidRDefault="00767B1A" w:rsidP="0001118E">
            <w:pPr>
              <w:pStyle w:val="TableTextNormal"/>
              <w:keepNext/>
              <w:keepLines/>
              <w:cnfStyle w:val="000000000000"/>
            </w:pPr>
            <w:r w:rsidRPr="00CB32B1">
              <w:t>Minimum hours spent working as a m</w:t>
            </w:r>
            <w:r w:rsidR="00D12B45" w:rsidRPr="00CB32B1">
              <w:t>idwife of 2080 hours in 5 years</w:t>
            </w:r>
          </w:p>
        </w:tc>
        <w:tc>
          <w:tcPr>
            <w:tcW w:w="1300" w:type="dxa"/>
          </w:tcPr>
          <w:p w:rsidR="00767B1A" w:rsidRPr="00CB32B1" w:rsidRDefault="00767B1A" w:rsidP="0001118E">
            <w:pPr>
              <w:pStyle w:val="TableTextNormal"/>
              <w:keepNext/>
              <w:keepLines/>
              <w:cnfStyle w:val="000000000000"/>
            </w:pPr>
            <w:r w:rsidRPr="00CB32B1">
              <w:t>Unable to determine</w:t>
            </w:r>
          </w:p>
        </w:tc>
      </w:tr>
      <w:tr w:rsidR="00767B1A" w:rsidRPr="00CB32B1" w:rsidTr="0001118E">
        <w:trPr>
          <w:cantSplit/>
        </w:trPr>
        <w:tc>
          <w:tcPr>
            <w:cnfStyle w:val="001000000000"/>
            <w:tcW w:w="1640" w:type="dxa"/>
          </w:tcPr>
          <w:p w:rsidR="00767B1A" w:rsidRPr="00CB32B1" w:rsidRDefault="00767B1A" w:rsidP="0001118E">
            <w:pPr>
              <w:pStyle w:val="TableTextNormal"/>
              <w:keepNext/>
              <w:keepLines/>
            </w:pPr>
            <w:r w:rsidRPr="00CB32B1">
              <w:t>Additional registration requirements for PPMs</w:t>
            </w:r>
          </w:p>
        </w:tc>
        <w:tc>
          <w:tcPr>
            <w:tcW w:w="1554" w:type="dxa"/>
          </w:tcPr>
          <w:p w:rsidR="00767B1A" w:rsidRPr="00CB32B1" w:rsidRDefault="00767B1A" w:rsidP="00107EF4">
            <w:pPr>
              <w:pStyle w:val="TableTextNormal"/>
              <w:keepNext/>
              <w:keepLines/>
              <w:cnfStyle w:val="000000000000"/>
            </w:pPr>
            <w:r w:rsidRPr="00CB32B1">
              <w:t xml:space="preserve">No, </w:t>
            </w:r>
            <w:r w:rsidR="00107EF4">
              <w:t xml:space="preserve">only as an </w:t>
            </w:r>
            <w:r w:rsidRPr="00CB32B1">
              <w:t>eligible midwife</w:t>
            </w:r>
          </w:p>
        </w:tc>
        <w:tc>
          <w:tcPr>
            <w:tcW w:w="1528" w:type="dxa"/>
          </w:tcPr>
          <w:p w:rsidR="00767B1A" w:rsidRPr="00CB32B1" w:rsidRDefault="00767B1A" w:rsidP="0001118E">
            <w:pPr>
              <w:pStyle w:val="TableTextNormal"/>
              <w:keepNext/>
              <w:keepLines/>
              <w:cnfStyle w:val="000000000000"/>
            </w:pPr>
            <w:r w:rsidRPr="00CB32B1">
              <w:t>No</w:t>
            </w:r>
          </w:p>
        </w:tc>
        <w:tc>
          <w:tcPr>
            <w:tcW w:w="1551" w:type="dxa"/>
          </w:tcPr>
          <w:p w:rsidR="00767B1A" w:rsidRPr="00CB32B1" w:rsidRDefault="00767B1A" w:rsidP="0001118E">
            <w:pPr>
              <w:pStyle w:val="TableTextNormal"/>
              <w:keepNext/>
              <w:keepLines/>
              <w:cnfStyle w:val="000000000000"/>
            </w:pPr>
            <w:r w:rsidRPr="00CB32B1">
              <w:t>No</w:t>
            </w:r>
          </w:p>
        </w:tc>
        <w:tc>
          <w:tcPr>
            <w:tcW w:w="1715" w:type="dxa"/>
          </w:tcPr>
          <w:p w:rsidR="00767B1A" w:rsidRPr="00CB32B1" w:rsidRDefault="00767B1A" w:rsidP="0001118E">
            <w:pPr>
              <w:pStyle w:val="TableTextNormal"/>
              <w:keepNext/>
              <w:keepLines/>
              <w:cnfStyle w:val="000000000000"/>
            </w:pPr>
            <w:r w:rsidRPr="00CB32B1">
              <w:t>No</w:t>
            </w:r>
          </w:p>
        </w:tc>
        <w:tc>
          <w:tcPr>
            <w:tcW w:w="1300" w:type="dxa"/>
          </w:tcPr>
          <w:p w:rsidR="00767B1A" w:rsidRPr="00CB32B1" w:rsidRDefault="00767B1A" w:rsidP="0001118E">
            <w:pPr>
              <w:pStyle w:val="TableTextNormal"/>
              <w:keepNext/>
              <w:keepLines/>
              <w:cnfStyle w:val="000000000000"/>
            </w:pPr>
            <w:r w:rsidRPr="00CB32B1">
              <w:t>No</w:t>
            </w:r>
          </w:p>
        </w:tc>
      </w:tr>
      <w:tr w:rsidR="00767B1A" w:rsidRPr="00CB32B1" w:rsidTr="0001118E">
        <w:trPr>
          <w:cantSplit/>
        </w:trPr>
        <w:tc>
          <w:tcPr>
            <w:cnfStyle w:val="001000000000"/>
            <w:tcW w:w="1640" w:type="dxa"/>
          </w:tcPr>
          <w:p w:rsidR="00767B1A" w:rsidRPr="00CB32B1" w:rsidRDefault="00767B1A" w:rsidP="0001118E">
            <w:pPr>
              <w:pStyle w:val="TableTextNormal"/>
              <w:keepNext/>
              <w:keepLines/>
            </w:pPr>
            <w:r w:rsidRPr="00CB32B1">
              <w:t>Other optional registers available</w:t>
            </w:r>
          </w:p>
        </w:tc>
        <w:tc>
          <w:tcPr>
            <w:tcW w:w="1554" w:type="dxa"/>
          </w:tcPr>
          <w:p w:rsidR="00767B1A" w:rsidRPr="00CB32B1" w:rsidRDefault="00767B1A" w:rsidP="0001118E">
            <w:pPr>
              <w:pStyle w:val="TableTextNormal"/>
              <w:keepNext/>
              <w:keepLines/>
              <w:cnfStyle w:val="000000000000"/>
            </w:pPr>
            <w:r w:rsidRPr="00CB32B1">
              <w:t>No</w:t>
            </w:r>
          </w:p>
        </w:tc>
        <w:tc>
          <w:tcPr>
            <w:tcW w:w="1528" w:type="dxa"/>
          </w:tcPr>
          <w:p w:rsidR="00767B1A" w:rsidRPr="00CB32B1" w:rsidRDefault="00767B1A" w:rsidP="0001118E">
            <w:pPr>
              <w:pStyle w:val="TableTextNormal"/>
              <w:keepNext/>
              <w:keepLines/>
              <w:cnfStyle w:val="000000000000"/>
            </w:pPr>
            <w:r w:rsidRPr="00CB32B1">
              <w:t>No</w:t>
            </w:r>
          </w:p>
        </w:tc>
        <w:tc>
          <w:tcPr>
            <w:tcW w:w="1551" w:type="dxa"/>
          </w:tcPr>
          <w:p w:rsidR="00767B1A" w:rsidRPr="00CB32B1" w:rsidRDefault="00767B1A" w:rsidP="0001118E">
            <w:pPr>
              <w:pStyle w:val="TableTextNormal"/>
              <w:keepNext/>
              <w:keepLines/>
              <w:cnfStyle w:val="000000000000"/>
            </w:pPr>
            <w:r w:rsidRPr="00CB32B1">
              <w:t>No</w:t>
            </w:r>
          </w:p>
        </w:tc>
        <w:tc>
          <w:tcPr>
            <w:tcW w:w="1715" w:type="dxa"/>
          </w:tcPr>
          <w:p w:rsidR="00767B1A" w:rsidRPr="00CB32B1" w:rsidRDefault="00767B1A" w:rsidP="0001118E">
            <w:pPr>
              <w:pStyle w:val="TableTextNormal"/>
              <w:keepNext/>
              <w:keepLines/>
              <w:cnfStyle w:val="000000000000"/>
            </w:pPr>
            <w:r w:rsidRPr="00CB32B1">
              <w:t xml:space="preserve">Yes, KNOV has a quality register </w:t>
            </w:r>
            <w:r w:rsidR="00D12B45" w:rsidRPr="00CB32B1">
              <w:t>which</w:t>
            </w:r>
            <w:r w:rsidRPr="00CB32B1">
              <w:t xml:space="preserve"> 80 p</w:t>
            </w:r>
            <w:r w:rsidR="00D12B45" w:rsidRPr="00CB32B1">
              <w:t>er cent of midwives are on</w:t>
            </w:r>
          </w:p>
        </w:tc>
        <w:tc>
          <w:tcPr>
            <w:tcW w:w="1300" w:type="dxa"/>
          </w:tcPr>
          <w:p w:rsidR="00767B1A" w:rsidRPr="00CB32B1" w:rsidRDefault="00767B1A" w:rsidP="0001118E">
            <w:pPr>
              <w:pStyle w:val="TableTextNormal"/>
              <w:keepNext/>
              <w:keepLines/>
              <w:cnfStyle w:val="000000000000"/>
            </w:pPr>
            <w:r w:rsidRPr="00CB32B1">
              <w:t>No</w:t>
            </w:r>
          </w:p>
        </w:tc>
      </w:tr>
    </w:tbl>
    <w:p w:rsidR="00107EF4" w:rsidRDefault="00767B1A" w:rsidP="00767B1A">
      <w:pPr>
        <w:pStyle w:val="Sources"/>
        <w:rPr>
          <w:color w:val="auto"/>
          <w:sz w:val="20"/>
        </w:rPr>
      </w:pPr>
      <w:r w:rsidRPr="00CB32B1">
        <w:rPr>
          <w:b/>
        </w:rPr>
        <w:t>Source</w:t>
      </w:r>
      <w:r w:rsidR="000A7B59" w:rsidRPr="00CB32B1">
        <w:rPr>
          <w:b/>
        </w:rPr>
        <w:t>s</w:t>
      </w:r>
      <w:r w:rsidRPr="00CB32B1">
        <w:rPr>
          <w:b/>
        </w:rPr>
        <w:t>:</w:t>
      </w:r>
      <w:r w:rsidRPr="00CB32B1">
        <w:t xml:space="preserve"> N</w:t>
      </w:r>
      <w:r w:rsidR="00CA4490" w:rsidRPr="00CB32B1">
        <w:t>ursing and Mid</w:t>
      </w:r>
      <w:r w:rsidR="00107EF4">
        <w:t>wifery Board of Australia</w:t>
      </w:r>
      <w:r w:rsidR="00E952DC">
        <w:t xml:space="preserve"> 2013d</w:t>
      </w:r>
      <w:r w:rsidR="00CA4490" w:rsidRPr="00CB32B1">
        <w:t>; Nursing and Midwifery Council UK 2013a;</w:t>
      </w:r>
      <w:r w:rsidR="00BE0EB6" w:rsidRPr="00CB32B1">
        <w:t xml:space="preserve"> College of Midwives of Ontario 2013c;</w:t>
      </w:r>
      <w:r w:rsidRPr="00CB32B1">
        <w:t xml:space="preserve"> KNOV</w:t>
      </w:r>
      <w:r w:rsidR="004D4F44" w:rsidRPr="00CB32B1">
        <w:t xml:space="preserve"> (The Royal Dutch </w:t>
      </w:r>
      <w:r w:rsidR="00107EF4">
        <w:t>Organisation of Midwives) 2012.</w:t>
      </w:r>
    </w:p>
    <w:p w:rsidR="00767B1A" w:rsidRPr="00CB32B1" w:rsidRDefault="00767B1A" w:rsidP="00767B1A">
      <w:pPr>
        <w:pStyle w:val="Sources"/>
        <w:rPr>
          <w:color w:val="auto"/>
          <w:sz w:val="20"/>
        </w:rPr>
      </w:pPr>
      <w:r w:rsidRPr="00CB32B1">
        <w:rPr>
          <w:color w:val="auto"/>
          <w:sz w:val="20"/>
        </w:rPr>
        <w:t xml:space="preserve">A brief overview is provided of each regulator and registration for a midwife for each </w:t>
      </w:r>
      <w:r w:rsidR="00496AD4">
        <w:rPr>
          <w:color w:val="auto"/>
          <w:sz w:val="20"/>
        </w:rPr>
        <w:t>jurisdiction</w:t>
      </w:r>
      <w:r w:rsidRPr="00CB32B1">
        <w:rPr>
          <w:color w:val="auto"/>
          <w:sz w:val="20"/>
        </w:rPr>
        <w:t>.</w:t>
      </w:r>
    </w:p>
    <w:p w:rsidR="00767B1A" w:rsidRPr="00CB32B1" w:rsidRDefault="00767B1A" w:rsidP="00767B1A">
      <w:pPr>
        <w:pStyle w:val="Minorheading"/>
      </w:pPr>
      <w:r w:rsidRPr="00CB32B1">
        <w:t>Australia</w:t>
      </w:r>
    </w:p>
    <w:p w:rsidR="00767B1A" w:rsidRPr="00CB32B1" w:rsidRDefault="00767B1A" w:rsidP="00767B1A">
      <w:pPr>
        <w:pStyle w:val="Caption"/>
      </w:pPr>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61</w:t>
      </w:r>
      <w:r w:rsidR="009129A6" w:rsidRPr="00CB32B1">
        <w:fldChar w:fldCharType="end"/>
      </w:r>
      <w:r w:rsidRPr="00CB32B1">
        <w:t>:</w:t>
      </w:r>
      <w:r w:rsidRPr="00CB32B1">
        <w:tab/>
        <w:t>Regulation of midwives – Australia</w:t>
      </w:r>
    </w:p>
    <w:tbl>
      <w:tblPr>
        <w:tblStyle w:val="PwCTableStyle1"/>
        <w:tblW w:w="5000" w:type="pct"/>
        <w:tblLook w:val="04A0"/>
      </w:tblPr>
      <w:tblGrid>
        <w:gridCol w:w="2659"/>
        <w:gridCol w:w="6626"/>
      </w:tblGrid>
      <w:tr w:rsidR="00767B1A" w:rsidRPr="00CB32B1" w:rsidTr="00107EF4">
        <w:trPr>
          <w:cnfStyle w:val="100000000000"/>
        </w:trPr>
        <w:tc>
          <w:tcPr>
            <w:cnfStyle w:val="001000000000"/>
            <w:tcW w:w="1432" w:type="pct"/>
            <w:tcBorders>
              <w:bottom w:val="single" w:sz="6" w:space="0" w:color="DC6900" w:themeColor="text2"/>
              <w:right w:val="single" w:sz="6" w:space="0" w:color="FFFFFF" w:themeColor="background2"/>
            </w:tcBorders>
            <w:shd w:val="clear" w:color="auto" w:fill="DC6900" w:themeFill="text2"/>
          </w:tcPr>
          <w:p w:rsidR="00767B1A" w:rsidRPr="00CB32B1" w:rsidRDefault="00767B1A" w:rsidP="00767B1A">
            <w:pPr>
              <w:pStyle w:val="TableColumnHeadingNormal"/>
            </w:pPr>
          </w:p>
        </w:tc>
        <w:tc>
          <w:tcPr>
            <w:tcW w:w="3568" w:type="pct"/>
            <w:tcBorders>
              <w:left w:val="single" w:sz="6" w:space="0" w:color="FFFFFF" w:themeColor="background2"/>
              <w:bottom w:val="single" w:sz="6" w:space="0" w:color="DC6900" w:themeColor="text2"/>
            </w:tcBorders>
            <w:shd w:val="clear" w:color="auto" w:fill="DC6900" w:themeFill="text2"/>
          </w:tcPr>
          <w:p w:rsidR="00767B1A" w:rsidRPr="00CB32B1" w:rsidRDefault="00767B1A" w:rsidP="00767B1A">
            <w:pPr>
              <w:pStyle w:val="TableColumnHeadingNormal"/>
              <w:cnfStyle w:val="100000000000"/>
            </w:pPr>
            <w:r w:rsidRPr="00CB32B1">
              <w:t>Australia</w:t>
            </w:r>
          </w:p>
        </w:tc>
      </w:tr>
      <w:tr w:rsidR="00767B1A" w:rsidRPr="00CB32B1" w:rsidTr="00107EF4">
        <w:tc>
          <w:tcPr>
            <w:cnfStyle w:val="001000000000"/>
            <w:tcW w:w="1432" w:type="pct"/>
            <w:tcBorders>
              <w:top w:val="single" w:sz="6" w:space="0" w:color="DC6900" w:themeColor="text2"/>
            </w:tcBorders>
          </w:tcPr>
          <w:p w:rsidR="00767B1A" w:rsidRPr="00CB32B1" w:rsidRDefault="00767B1A" w:rsidP="00767B1A">
            <w:pPr>
              <w:pStyle w:val="TableTextNormal"/>
            </w:pPr>
            <w:r w:rsidRPr="00CB32B1">
              <w:t>Regulator of Midwives</w:t>
            </w:r>
          </w:p>
        </w:tc>
        <w:tc>
          <w:tcPr>
            <w:tcW w:w="3568" w:type="pct"/>
            <w:tcBorders>
              <w:top w:val="single" w:sz="6" w:space="0" w:color="DC6900" w:themeColor="text2"/>
            </w:tcBorders>
          </w:tcPr>
          <w:p w:rsidR="00767B1A" w:rsidRPr="00CB32B1" w:rsidRDefault="00767B1A" w:rsidP="00767B1A">
            <w:pPr>
              <w:pStyle w:val="TableTextNormal"/>
              <w:cnfStyle w:val="000000000000"/>
            </w:pPr>
            <w:r w:rsidRPr="00CB32B1">
              <w:t>Nursing and Midwifery Board of Australia (NMBA)</w:t>
            </w:r>
          </w:p>
        </w:tc>
      </w:tr>
      <w:tr w:rsidR="00767B1A" w:rsidRPr="00CB32B1" w:rsidTr="00107EF4">
        <w:tc>
          <w:tcPr>
            <w:cnfStyle w:val="001000000000"/>
            <w:tcW w:w="1432" w:type="pct"/>
          </w:tcPr>
          <w:p w:rsidR="00767B1A" w:rsidRPr="00CB32B1" w:rsidRDefault="00767B1A" w:rsidP="00767B1A">
            <w:pPr>
              <w:pStyle w:val="TableTextNormal"/>
            </w:pPr>
            <w:r w:rsidRPr="00CB32B1">
              <w:t>Number of health professions regulated</w:t>
            </w:r>
          </w:p>
        </w:tc>
        <w:tc>
          <w:tcPr>
            <w:tcW w:w="3568" w:type="pct"/>
          </w:tcPr>
          <w:p w:rsidR="00767B1A" w:rsidRPr="00CB32B1" w:rsidRDefault="00767B1A" w:rsidP="00767B1A">
            <w:pPr>
              <w:pStyle w:val="TableTextNormal"/>
              <w:cnfStyle w:val="000000000000"/>
            </w:pPr>
            <w:r w:rsidRPr="00CB32B1">
              <w:t>2 – Nurses and Midwives</w:t>
            </w:r>
          </w:p>
        </w:tc>
      </w:tr>
      <w:tr w:rsidR="00767B1A" w:rsidRPr="00CB32B1" w:rsidTr="00107EF4">
        <w:tc>
          <w:tcPr>
            <w:cnfStyle w:val="001000000000"/>
            <w:tcW w:w="1432" w:type="pct"/>
          </w:tcPr>
          <w:p w:rsidR="00767B1A" w:rsidRPr="00CB32B1" w:rsidRDefault="00767B1A" w:rsidP="00767B1A">
            <w:pPr>
              <w:pStyle w:val="TableTextNormal"/>
            </w:pPr>
            <w:r w:rsidRPr="00CB32B1">
              <w:t>Legislation established by</w:t>
            </w:r>
          </w:p>
        </w:tc>
        <w:tc>
          <w:tcPr>
            <w:tcW w:w="3568" w:type="pct"/>
          </w:tcPr>
          <w:p w:rsidR="00767B1A" w:rsidRPr="00CB32B1" w:rsidRDefault="00767B1A" w:rsidP="00767B1A">
            <w:pPr>
              <w:pStyle w:val="TableTextNormal"/>
              <w:cnfStyle w:val="000000000000"/>
            </w:pPr>
            <w:r w:rsidRPr="00CB32B1">
              <w:t>Supported by National Law, the legislation which governs the NMBA and AHPRA</w:t>
            </w:r>
          </w:p>
        </w:tc>
      </w:tr>
      <w:tr w:rsidR="00767B1A" w:rsidRPr="00CB32B1" w:rsidTr="00107EF4">
        <w:tc>
          <w:tcPr>
            <w:cnfStyle w:val="001000000000"/>
            <w:tcW w:w="1432" w:type="pct"/>
          </w:tcPr>
          <w:p w:rsidR="00767B1A" w:rsidRPr="00CB32B1" w:rsidRDefault="00767B1A" w:rsidP="00767B1A">
            <w:pPr>
              <w:pStyle w:val="TableTextNormal"/>
            </w:pPr>
            <w:r w:rsidRPr="00CB32B1">
              <w:t xml:space="preserve">Role of Regulator </w:t>
            </w:r>
          </w:p>
        </w:tc>
        <w:tc>
          <w:tcPr>
            <w:tcW w:w="3568" w:type="pct"/>
          </w:tcPr>
          <w:p w:rsidR="00767B1A" w:rsidRPr="00CB32B1" w:rsidRDefault="00767B1A" w:rsidP="00767B1A">
            <w:pPr>
              <w:pStyle w:val="TableBullet1Normal"/>
              <w:cnfStyle w:val="000000000000"/>
            </w:pPr>
            <w:r w:rsidRPr="00CB32B1">
              <w:t xml:space="preserve">Registering nursing and midwifery practitioners and students </w:t>
            </w:r>
          </w:p>
          <w:p w:rsidR="00767B1A" w:rsidRPr="00CB32B1" w:rsidRDefault="00767B1A" w:rsidP="00767B1A">
            <w:pPr>
              <w:pStyle w:val="TableBullet1Normal"/>
              <w:cnfStyle w:val="000000000000"/>
            </w:pPr>
            <w:r w:rsidRPr="00CB32B1">
              <w:t xml:space="preserve">Developing standards, codes and guidelines for the nursing and midwifery profession </w:t>
            </w:r>
          </w:p>
          <w:p w:rsidR="00767B1A" w:rsidRPr="00CB32B1" w:rsidRDefault="00767B1A" w:rsidP="00767B1A">
            <w:pPr>
              <w:pStyle w:val="TableBullet1Normal"/>
              <w:cnfStyle w:val="000000000000"/>
            </w:pPr>
            <w:r w:rsidRPr="00CB32B1">
              <w:t xml:space="preserve">Handling notifications, complaints, investigations and disciplinary hearings </w:t>
            </w:r>
          </w:p>
          <w:p w:rsidR="00767B1A" w:rsidRPr="00CB32B1" w:rsidRDefault="00767B1A" w:rsidP="00767B1A">
            <w:pPr>
              <w:pStyle w:val="TableBullet1Normal"/>
              <w:cnfStyle w:val="000000000000"/>
            </w:pPr>
            <w:r w:rsidRPr="00CB32B1">
              <w:t xml:space="preserve">Assessing overseas trained practitioners who wish to practise in Australia </w:t>
            </w:r>
          </w:p>
          <w:p w:rsidR="00767B1A" w:rsidRPr="00CB32B1" w:rsidRDefault="00767B1A" w:rsidP="00767B1A">
            <w:pPr>
              <w:pStyle w:val="TableBullet1Normal"/>
              <w:cnfStyle w:val="000000000000"/>
            </w:pPr>
            <w:r w:rsidRPr="00CB32B1">
              <w:t xml:space="preserve">Approving accreditation standards </w:t>
            </w:r>
            <w:r w:rsidR="00230931">
              <w:t>and accredited courses of study</w:t>
            </w:r>
          </w:p>
        </w:tc>
      </w:tr>
      <w:tr w:rsidR="00767B1A" w:rsidRPr="00CB32B1" w:rsidTr="00107EF4">
        <w:tc>
          <w:tcPr>
            <w:cnfStyle w:val="001000000000"/>
            <w:tcW w:w="1432" w:type="pct"/>
          </w:tcPr>
          <w:p w:rsidR="00767B1A" w:rsidRPr="00CB32B1" w:rsidRDefault="00767B1A" w:rsidP="00767B1A">
            <w:pPr>
              <w:pStyle w:val="TableTextNormal"/>
            </w:pPr>
            <w:r w:rsidRPr="00CB32B1">
              <w:t>Registration with regulator</w:t>
            </w:r>
          </w:p>
        </w:tc>
        <w:tc>
          <w:tcPr>
            <w:tcW w:w="3568" w:type="pct"/>
          </w:tcPr>
          <w:p w:rsidR="00767B1A" w:rsidRPr="00CB32B1" w:rsidRDefault="00767B1A" w:rsidP="00767B1A">
            <w:pPr>
              <w:pStyle w:val="TableTextNormal"/>
              <w:cnfStyle w:val="000000000000"/>
            </w:pPr>
            <w:r w:rsidRPr="00CB32B1">
              <w:t>Yes</w:t>
            </w:r>
          </w:p>
        </w:tc>
      </w:tr>
      <w:tr w:rsidR="00767B1A" w:rsidRPr="00CB32B1" w:rsidTr="00107EF4">
        <w:tc>
          <w:tcPr>
            <w:cnfStyle w:val="001000000000"/>
            <w:tcW w:w="1432" w:type="pct"/>
          </w:tcPr>
          <w:p w:rsidR="00767B1A" w:rsidRPr="00CB32B1" w:rsidRDefault="00767B1A" w:rsidP="00767B1A">
            <w:pPr>
              <w:pStyle w:val="TableTextNormal"/>
            </w:pPr>
            <w:r w:rsidRPr="00CB32B1">
              <w:t>Registration is required to practice as a midwife</w:t>
            </w:r>
          </w:p>
        </w:tc>
        <w:tc>
          <w:tcPr>
            <w:tcW w:w="3568" w:type="pct"/>
          </w:tcPr>
          <w:p w:rsidR="00767B1A" w:rsidRPr="00CB32B1" w:rsidRDefault="00767B1A" w:rsidP="00767B1A">
            <w:pPr>
              <w:pStyle w:val="TableTextNormal"/>
              <w:cnfStyle w:val="000000000000"/>
            </w:pPr>
            <w:r w:rsidRPr="00CB32B1">
              <w:t>Yes</w:t>
            </w:r>
          </w:p>
        </w:tc>
      </w:tr>
      <w:tr w:rsidR="00767B1A" w:rsidRPr="00CB32B1" w:rsidTr="00107EF4">
        <w:tc>
          <w:tcPr>
            <w:cnfStyle w:val="001000000000"/>
            <w:tcW w:w="1432" w:type="pct"/>
          </w:tcPr>
          <w:p w:rsidR="00767B1A" w:rsidRPr="00CB32B1" w:rsidRDefault="00767B1A" w:rsidP="00767B1A">
            <w:pPr>
              <w:pStyle w:val="TableTextNormal"/>
            </w:pPr>
            <w:r w:rsidRPr="00CB32B1">
              <w:t>Specific registration requirements for private practice</w:t>
            </w:r>
          </w:p>
        </w:tc>
        <w:tc>
          <w:tcPr>
            <w:tcW w:w="3568" w:type="pct"/>
          </w:tcPr>
          <w:p w:rsidR="00767B1A" w:rsidRPr="00CB32B1" w:rsidRDefault="00767B1A" w:rsidP="00767B1A">
            <w:pPr>
              <w:pStyle w:val="TableTextNormal"/>
              <w:cnfStyle w:val="000000000000"/>
            </w:pPr>
            <w:r w:rsidRPr="00CB32B1">
              <w:t>No, but eligible midwife registration category available</w:t>
            </w:r>
          </w:p>
        </w:tc>
      </w:tr>
      <w:tr w:rsidR="00767B1A" w:rsidRPr="00CB32B1" w:rsidTr="00107EF4">
        <w:tc>
          <w:tcPr>
            <w:cnfStyle w:val="001000000000"/>
            <w:tcW w:w="1432" w:type="pct"/>
          </w:tcPr>
          <w:p w:rsidR="00767B1A" w:rsidRPr="00CB32B1" w:rsidRDefault="00767B1A" w:rsidP="00767B1A">
            <w:pPr>
              <w:pStyle w:val="TableTextNormal"/>
            </w:pPr>
            <w:r w:rsidRPr="00CB32B1">
              <w:t>Number of midwives on register</w:t>
            </w:r>
          </w:p>
        </w:tc>
        <w:tc>
          <w:tcPr>
            <w:tcW w:w="3568" w:type="pct"/>
          </w:tcPr>
          <w:p w:rsidR="00767B1A" w:rsidRPr="00CB32B1" w:rsidRDefault="001E2819" w:rsidP="00767B1A">
            <w:pPr>
              <w:pStyle w:val="TableTextNormal"/>
              <w:cnfStyle w:val="000000000000"/>
            </w:pPr>
            <w:r>
              <w:t>35,202</w:t>
            </w:r>
            <w:r w:rsidR="00767B1A" w:rsidRPr="00CB32B1">
              <w:t xml:space="preserve"> in December 2012 who are practising</w:t>
            </w:r>
            <w:r w:rsidR="00767B1A" w:rsidRPr="00CB32B1">
              <w:rPr>
                <w:rStyle w:val="FootnoteReference"/>
              </w:rPr>
              <w:footnoteReference w:id="391"/>
            </w:r>
          </w:p>
        </w:tc>
      </w:tr>
      <w:tr w:rsidR="00767B1A" w:rsidRPr="00CB32B1" w:rsidTr="00107EF4">
        <w:tc>
          <w:tcPr>
            <w:cnfStyle w:val="001000000000"/>
            <w:tcW w:w="1432" w:type="pct"/>
          </w:tcPr>
          <w:p w:rsidR="00767B1A" w:rsidRPr="00CB32B1" w:rsidRDefault="00767B1A" w:rsidP="00767B1A">
            <w:pPr>
              <w:pStyle w:val="TableTextNormal"/>
            </w:pPr>
            <w:r w:rsidRPr="00CB32B1">
              <w:t xml:space="preserve">Other registers available </w:t>
            </w:r>
          </w:p>
        </w:tc>
        <w:tc>
          <w:tcPr>
            <w:tcW w:w="3568" w:type="pct"/>
          </w:tcPr>
          <w:p w:rsidR="00767B1A" w:rsidRPr="00CB32B1" w:rsidRDefault="00767B1A" w:rsidP="00767B1A">
            <w:pPr>
              <w:pStyle w:val="TableTextNormal"/>
              <w:cnfStyle w:val="000000000000"/>
            </w:pPr>
            <w:r w:rsidRPr="00CB32B1">
              <w:t>No</w:t>
            </w:r>
          </w:p>
        </w:tc>
      </w:tr>
      <w:tr w:rsidR="00767B1A" w:rsidRPr="00CB32B1" w:rsidTr="00107EF4">
        <w:tc>
          <w:tcPr>
            <w:cnfStyle w:val="001000000000"/>
            <w:tcW w:w="1432" w:type="pct"/>
          </w:tcPr>
          <w:p w:rsidR="00767B1A" w:rsidRPr="00CB32B1" w:rsidRDefault="00767B1A" w:rsidP="00767B1A">
            <w:pPr>
              <w:pStyle w:val="TableTextNormal"/>
            </w:pPr>
            <w:r w:rsidRPr="00CB32B1">
              <w:t>Codes of conduct, standards and guidelines</w:t>
            </w:r>
          </w:p>
        </w:tc>
        <w:tc>
          <w:tcPr>
            <w:tcW w:w="3568" w:type="pct"/>
          </w:tcPr>
          <w:p w:rsidR="00767B1A" w:rsidRPr="00CB32B1" w:rsidRDefault="00767B1A" w:rsidP="00767B1A">
            <w:pPr>
              <w:pStyle w:val="TableBullet1Normal"/>
              <w:cnfStyle w:val="000000000000"/>
            </w:pPr>
            <w:r w:rsidRPr="00CB32B1">
              <w:t>Code of ethics for midwives in Australia</w:t>
            </w:r>
          </w:p>
          <w:p w:rsidR="00767B1A" w:rsidRPr="00CB32B1" w:rsidRDefault="00767B1A" w:rsidP="00767B1A">
            <w:pPr>
              <w:pStyle w:val="TableBullet1Normal"/>
              <w:cnfStyle w:val="000000000000"/>
            </w:pPr>
            <w:r w:rsidRPr="00CB32B1">
              <w:t>Code of professional conduct for midwives in Australia</w:t>
            </w:r>
          </w:p>
          <w:p w:rsidR="00767B1A" w:rsidRPr="00CB32B1" w:rsidRDefault="00767B1A" w:rsidP="00767B1A">
            <w:pPr>
              <w:pStyle w:val="TableBullet1Normal"/>
              <w:cnfStyle w:val="000000000000"/>
            </w:pPr>
            <w:r w:rsidRPr="00CB32B1">
              <w:t>Midwifery Com</w:t>
            </w:r>
            <w:r w:rsidR="00D12B45" w:rsidRPr="00CB32B1">
              <w:t>petency Standards, January 2006</w:t>
            </w:r>
          </w:p>
          <w:p w:rsidR="00767B1A" w:rsidRPr="00CB32B1" w:rsidRDefault="00767B1A" w:rsidP="00767B1A">
            <w:pPr>
              <w:pStyle w:val="TableBullet1Normal"/>
              <w:cnfStyle w:val="000000000000"/>
            </w:pPr>
            <w:r w:rsidRPr="00CB32B1">
              <w:t>Guidelines for Professional Indemnity Insurance Arrangements for Midwives</w:t>
            </w:r>
          </w:p>
          <w:p w:rsidR="00767B1A" w:rsidRPr="00CB32B1" w:rsidRDefault="00767B1A" w:rsidP="00767B1A">
            <w:pPr>
              <w:pStyle w:val="TableBullet1Normal"/>
              <w:cnfStyle w:val="000000000000"/>
            </w:pPr>
            <w:r w:rsidRPr="00CB32B1">
              <w:t>Nursing and Midwifery Professional Indemnity Insurance Arrangements Registration Standard</w:t>
            </w:r>
          </w:p>
          <w:p w:rsidR="00767B1A" w:rsidRPr="00CB32B1" w:rsidRDefault="00767B1A" w:rsidP="00767B1A">
            <w:pPr>
              <w:pStyle w:val="TableBullet1Normal"/>
              <w:cnfStyle w:val="000000000000"/>
            </w:pPr>
            <w:r w:rsidRPr="00CB32B1">
              <w:t>Guidelines and Assessment Framework for the registration Standard for Eligible Midwives and Endorsement for Scheduled Medicines</w:t>
            </w:r>
          </w:p>
          <w:p w:rsidR="00767B1A" w:rsidRPr="00CB32B1" w:rsidRDefault="00767B1A" w:rsidP="00767B1A">
            <w:pPr>
              <w:pStyle w:val="TableBullet1Normal"/>
              <w:cnfStyle w:val="000000000000"/>
            </w:pPr>
            <w:r w:rsidRPr="00CB32B1">
              <w:t>Professional Boundaries for Midwives</w:t>
            </w:r>
          </w:p>
        </w:tc>
      </w:tr>
    </w:tbl>
    <w:p w:rsidR="00767B1A" w:rsidRPr="00CB32B1" w:rsidRDefault="00767B1A" w:rsidP="00767B1A">
      <w:pPr>
        <w:pStyle w:val="Sources"/>
      </w:pPr>
      <w:r w:rsidRPr="00CB32B1">
        <w:rPr>
          <w:b/>
        </w:rPr>
        <w:t>Source</w:t>
      </w:r>
      <w:r w:rsidR="000A7B59" w:rsidRPr="00CB32B1">
        <w:rPr>
          <w:b/>
        </w:rPr>
        <w:t>s</w:t>
      </w:r>
      <w:r w:rsidRPr="00CB32B1">
        <w:rPr>
          <w:b/>
        </w:rPr>
        <w:t>:</w:t>
      </w:r>
      <w:r w:rsidRPr="00CB32B1">
        <w:t xml:space="preserve"> N</w:t>
      </w:r>
      <w:r w:rsidR="00107EF4">
        <w:t xml:space="preserve">ursing and Midwifery Board of Australia 2013a, </w:t>
      </w:r>
      <w:r w:rsidR="009646F7">
        <w:t>2013b, 2013c; Australian Health Practitioner Regulation Agency, 2013.</w:t>
      </w:r>
    </w:p>
    <w:p w:rsidR="00107EF4" w:rsidRPr="00CB32B1" w:rsidRDefault="009646F7" w:rsidP="00107EF4">
      <w:pPr>
        <w:pStyle w:val="Minorheading"/>
      </w:pPr>
      <w:r>
        <w:t>England</w:t>
      </w:r>
    </w:p>
    <w:p w:rsidR="00107EF4" w:rsidRPr="00CB32B1" w:rsidRDefault="00107EF4" w:rsidP="00107EF4">
      <w:pPr>
        <w:pStyle w:val="Caption"/>
      </w:pPr>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62</w:t>
      </w:r>
      <w:r w:rsidR="009129A6" w:rsidRPr="00CB32B1">
        <w:fldChar w:fldCharType="end"/>
      </w:r>
      <w:r w:rsidRPr="00CB32B1">
        <w:t>:</w:t>
      </w:r>
      <w:r w:rsidRPr="00CB32B1">
        <w:tab/>
        <w:t>Regulation of midwives – England</w:t>
      </w:r>
    </w:p>
    <w:tbl>
      <w:tblPr>
        <w:tblStyle w:val="PwCTableStyle1"/>
        <w:tblW w:w="5000" w:type="pct"/>
        <w:tblLook w:val="04A0"/>
      </w:tblPr>
      <w:tblGrid>
        <w:gridCol w:w="2518"/>
        <w:gridCol w:w="6767"/>
      </w:tblGrid>
      <w:tr w:rsidR="00107EF4" w:rsidRPr="00CB32B1" w:rsidTr="009646F7">
        <w:trPr>
          <w:cnfStyle w:val="100000000000"/>
        </w:trPr>
        <w:tc>
          <w:tcPr>
            <w:cnfStyle w:val="001000000000"/>
            <w:tcW w:w="1356" w:type="pct"/>
            <w:tcBorders>
              <w:bottom w:val="single" w:sz="6" w:space="0" w:color="DC6900" w:themeColor="text2"/>
              <w:right w:val="single" w:sz="6" w:space="0" w:color="FFFFFF" w:themeColor="background2"/>
            </w:tcBorders>
            <w:shd w:val="clear" w:color="auto" w:fill="DC6900" w:themeFill="text2"/>
          </w:tcPr>
          <w:p w:rsidR="00107EF4" w:rsidRPr="00CB32B1" w:rsidRDefault="00107EF4" w:rsidP="007927DB">
            <w:pPr>
              <w:pStyle w:val="TableColumnHeadingNormal"/>
            </w:pPr>
          </w:p>
        </w:tc>
        <w:tc>
          <w:tcPr>
            <w:tcW w:w="3644" w:type="pct"/>
            <w:tcBorders>
              <w:left w:val="single" w:sz="6" w:space="0" w:color="FFFFFF" w:themeColor="background2"/>
              <w:bottom w:val="single" w:sz="6" w:space="0" w:color="DC6900" w:themeColor="text2"/>
            </w:tcBorders>
            <w:shd w:val="clear" w:color="auto" w:fill="DC6900" w:themeFill="text2"/>
          </w:tcPr>
          <w:p w:rsidR="00107EF4" w:rsidRPr="00CB32B1" w:rsidRDefault="00107EF4" w:rsidP="009646F7">
            <w:pPr>
              <w:pStyle w:val="TableColumnHeadingNormal"/>
              <w:cnfStyle w:val="100000000000"/>
            </w:pPr>
            <w:r w:rsidRPr="00CB32B1">
              <w:t>England</w:t>
            </w:r>
          </w:p>
        </w:tc>
      </w:tr>
      <w:tr w:rsidR="00107EF4" w:rsidRPr="00CB32B1" w:rsidTr="009646F7">
        <w:tc>
          <w:tcPr>
            <w:cnfStyle w:val="001000000000"/>
            <w:tcW w:w="1356" w:type="pct"/>
            <w:tcBorders>
              <w:top w:val="single" w:sz="6" w:space="0" w:color="DC6900" w:themeColor="text2"/>
            </w:tcBorders>
          </w:tcPr>
          <w:p w:rsidR="00107EF4" w:rsidRPr="00CB32B1" w:rsidRDefault="00107EF4" w:rsidP="007927DB">
            <w:pPr>
              <w:pStyle w:val="TableTextNormal"/>
            </w:pPr>
            <w:r w:rsidRPr="00CB32B1">
              <w:t>Regulator of Midwives</w:t>
            </w:r>
          </w:p>
        </w:tc>
        <w:tc>
          <w:tcPr>
            <w:tcW w:w="3644" w:type="pct"/>
            <w:tcBorders>
              <w:top w:val="single" w:sz="6" w:space="0" w:color="DC6900" w:themeColor="text2"/>
            </w:tcBorders>
          </w:tcPr>
          <w:p w:rsidR="00107EF4" w:rsidRPr="00CB32B1" w:rsidRDefault="00107EF4" w:rsidP="007927DB">
            <w:pPr>
              <w:pStyle w:val="TableTextNormal"/>
              <w:cnfStyle w:val="000000000000"/>
            </w:pPr>
            <w:r w:rsidRPr="00CB32B1">
              <w:t>Nursing and Midwifery Council UK (NMC-UK)</w:t>
            </w:r>
          </w:p>
        </w:tc>
      </w:tr>
      <w:tr w:rsidR="00107EF4" w:rsidRPr="00CB32B1" w:rsidTr="009646F7">
        <w:tc>
          <w:tcPr>
            <w:cnfStyle w:val="001000000000"/>
            <w:tcW w:w="1356" w:type="pct"/>
          </w:tcPr>
          <w:p w:rsidR="00107EF4" w:rsidRPr="00CB32B1" w:rsidRDefault="00107EF4" w:rsidP="007927DB">
            <w:pPr>
              <w:pStyle w:val="TableTextNormal"/>
            </w:pPr>
            <w:r w:rsidRPr="00CB32B1">
              <w:t>Number of health professions regulated</w:t>
            </w:r>
          </w:p>
        </w:tc>
        <w:tc>
          <w:tcPr>
            <w:tcW w:w="3644" w:type="pct"/>
          </w:tcPr>
          <w:p w:rsidR="00107EF4" w:rsidRPr="00CB32B1" w:rsidRDefault="00107EF4" w:rsidP="007927DB">
            <w:pPr>
              <w:pStyle w:val="TableTextNormal"/>
              <w:cnfStyle w:val="000000000000"/>
            </w:pPr>
            <w:r w:rsidRPr="00CB32B1">
              <w:t>2 – Nurses and Midwives</w:t>
            </w:r>
          </w:p>
        </w:tc>
      </w:tr>
      <w:tr w:rsidR="00107EF4" w:rsidRPr="00CB32B1" w:rsidTr="009646F7">
        <w:tc>
          <w:tcPr>
            <w:cnfStyle w:val="001000000000"/>
            <w:tcW w:w="1356" w:type="pct"/>
          </w:tcPr>
          <w:p w:rsidR="00107EF4" w:rsidRPr="00CB32B1" w:rsidRDefault="00107EF4" w:rsidP="007927DB">
            <w:pPr>
              <w:pStyle w:val="TableTextNormal"/>
            </w:pPr>
            <w:r w:rsidRPr="00CB32B1">
              <w:t>Legislation established by</w:t>
            </w:r>
          </w:p>
        </w:tc>
        <w:tc>
          <w:tcPr>
            <w:tcW w:w="3644" w:type="pct"/>
          </w:tcPr>
          <w:p w:rsidR="00107EF4" w:rsidRPr="00CB32B1" w:rsidRDefault="00107EF4" w:rsidP="001E2819">
            <w:pPr>
              <w:pStyle w:val="TableTextNormal"/>
              <w:cnfStyle w:val="000000000000"/>
            </w:pPr>
            <w:r w:rsidRPr="00CB32B1">
              <w:t xml:space="preserve">Established by the </w:t>
            </w:r>
            <w:r w:rsidRPr="007F1F64">
              <w:rPr>
                <w:i/>
              </w:rPr>
              <w:t>Nursing and Midwifery Order 2001</w:t>
            </w:r>
            <w:r w:rsidRPr="00CB32B1">
              <w:t xml:space="preserve"> to safeguard the health and wellbeing of the public</w:t>
            </w:r>
          </w:p>
        </w:tc>
      </w:tr>
      <w:tr w:rsidR="00107EF4" w:rsidRPr="00CB32B1" w:rsidTr="009646F7">
        <w:tc>
          <w:tcPr>
            <w:cnfStyle w:val="001000000000"/>
            <w:tcW w:w="1356" w:type="pct"/>
          </w:tcPr>
          <w:p w:rsidR="00107EF4" w:rsidRPr="00CB32B1" w:rsidRDefault="00107EF4" w:rsidP="007927DB">
            <w:pPr>
              <w:pStyle w:val="TableTextNormal"/>
            </w:pPr>
            <w:r w:rsidRPr="00CB32B1">
              <w:t xml:space="preserve">Role of Regulator </w:t>
            </w:r>
          </w:p>
        </w:tc>
        <w:tc>
          <w:tcPr>
            <w:tcW w:w="3644" w:type="pct"/>
          </w:tcPr>
          <w:p w:rsidR="00107EF4" w:rsidRPr="00CB32B1" w:rsidRDefault="00107EF4" w:rsidP="007927DB">
            <w:pPr>
              <w:pStyle w:val="TableBullet1Normal"/>
              <w:cnfStyle w:val="000000000000"/>
            </w:pPr>
            <w:r w:rsidRPr="00CB32B1">
              <w:t>Keep the register of nurses and midwives who have the skills, knowledge, good health and good character to satisfy our requirements for registration</w:t>
            </w:r>
          </w:p>
          <w:p w:rsidR="00107EF4" w:rsidRPr="00CB32B1" w:rsidRDefault="00107EF4" w:rsidP="007927DB">
            <w:pPr>
              <w:pStyle w:val="TableBullet1Normal"/>
              <w:cnfStyle w:val="000000000000"/>
            </w:pPr>
            <w:r w:rsidRPr="00CB32B1">
              <w:t>Setting standards for education and practice</w:t>
            </w:r>
          </w:p>
          <w:p w:rsidR="00107EF4" w:rsidRPr="00CB32B1" w:rsidRDefault="00107EF4" w:rsidP="007927DB">
            <w:pPr>
              <w:pStyle w:val="TableBullet1Normal"/>
              <w:cnfStyle w:val="000000000000"/>
            </w:pPr>
            <w:r w:rsidRPr="00CB32B1">
              <w:t>Giving guidance and advice to the professions</w:t>
            </w:r>
          </w:p>
          <w:p w:rsidR="00107EF4" w:rsidRPr="00CB32B1" w:rsidDel="001319AC" w:rsidRDefault="00107EF4" w:rsidP="007927DB">
            <w:pPr>
              <w:pStyle w:val="TableBullet1Normal"/>
              <w:cnfStyle w:val="000000000000"/>
            </w:pPr>
            <w:r w:rsidRPr="00CB32B1">
              <w:t>Dealing appropriately with nurses and midwives whose fitness to practise is impaired</w:t>
            </w:r>
          </w:p>
        </w:tc>
      </w:tr>
      <w:tr w:rsidR="00107EF4" w:rsidRPr="00CB32B1" w:rsidTr="009646F7">
        <w:tc>
          <w:tcPr>
            <w:cnfStyle w:val="001000000000"/>
            <w:tcW w:w="1356" w:type="pct"/>
          </w:tcPr>
          <w:p w:rsidR="00107EF4" w:rsidRPr="00CB32B1" w:rsidRDefault="00107EF4" w:rsidP="007927DB">
            <w:pPr>
              <w:pStyle w:val="TableTextNormal"/>
              <w:keepNext/>
              <w:keepLines/>
            </w:pPr>
            <w:r w:rsidRPr="00CB32B1">
              <w:t>Registration with regulator</w:t>
            </w:r>
          </w:p>
        </w:tc>
        <w:tc>
          <w:tcPr>
            <w:tcW w:w="3644" w:type="pct"/>
          </w:tcPr>
          <w:p w:rsidR="00107EF4" w:rsidRPr="00CB32B1" w:rsidRDefault="00107EF4" w:rsidP="007927DB">
            <w:pPr>
              <w:pStyle w:val="TableTextNormal"/>
              <w:keepNext/>
              <w:keepLines/>
              <w:cnfStyle w:val="000000000000"/>
            </w:pPr>
            <w:r w:rsidRPr="00CB32B1">
              <w:t>Yes</w:t>
            </w:r>
          </w:p>
        </w:tc>
      </w:tr>
      <w:tr w:rsidR="00107EF4" w:rsidRPr="00CB32B1" w:rsidTr="009646F7">
        <w:tc>
          <w:tcPr>
            <w:cnfStyle w:val="001000000000"/>
            <w:tcW w:w="1356" w:type="pct"/>
          </w:tcPr>
          <w:p w:rsidR="00107EF4" w:rsidRPr="00CB32B1" w:rsidRDefault="00107EF4" w:rsidP="007927DB">
            <w:pPr>
              <w:pStyle w:val="TableTextNormal"/>
            </w:pPr>
            <w:r w:rsidRPr="00CB32B1">
              <w:t>Registration is required to practice as a midwife</w:t>
            </w:r>
          </w:p>
        </w:tc>
        <w:tc>
          <w:tcPr>
            <w:tcW w:w="3644" w:type="pct"/>
          </w:tcPr>
          <w:p w:rsidR="00107EF4" w:rsidRPr="00CB32B1" w:rsidRDefault="00107EF4" w:rsidP="007927DB">
            <w:pPr>
              <w:pStyle w:val="TableTextNormal"/>
              <w:cnfStyle w:val="000000000000"/>
            </w:pPr>
            <w:r w:rsidRPr="00CB32B1">
              <w:t>Yes</w:t>
            </w:r>
          </w:p>
        </w:tc>
      </w:tr>
      <w:tr w:rsidR="00107EF4" w:rsidRPr="00CB32B1" w:rsidTr="009646F7">
        <w:tc>
          <w:tcPr>
            <w:cnfStyle w:val="001000000000"/>
            <w:tcW w:w="1356" w:type="pct"/>
          </w:tcPr>
          <w:p w:rsidR="00107EF4" w:rsidRPr="00CB32B1" w:rsidRDefault="00107EF4" w:rsidP="007927DB">
            <w:pPr>
              <w:pStyle w:val="TableTextNormal"/>
            </w:pPr>
            <w:r w:rsidRPr="00CB32B1">
              <w:t>Specific registration requirements for private practice</w:t>
            </w:r>
          </w:p>
        </w:tc>
        <w:tc>
          <w:tcPr>
            <w:tcW w:w="3644" w:type="pct"/>
          </w:tcPr>
          <w:p w:rsidR="00107EF4" w:rsidRPr="00CB32B1" w:rsidRDefault="00107EF4" w:rsidP="007927DB">
            <w:pPr>
              <w:pStyle w:val="TableTextNormal"/>
              <w:cnfStyle w:val="000000000000"/>
            </w:pPr>
            <w:r w:rsidRPr="00CB32B1">
              <w:t>No</w:t>
            </w:r>
          </w:p>
        </w:tc>
      </w:tr>
      <w:tr w:rsidR="00107EF4" w:rsidRPr="00CB32B1" w:rsidTr="009646F7">
        <w:tc>
          <w:tcPr>
            <w:cnfStyle w:val="001000000000"/>
            <w:tcW w:w="1356" w:type="pct"/>
          </w:tcPr>
          <w:p w:rsidR="00107EF4" w:rsidRPr="00CB32B1" w:rsidRDefault="00107EF4" w:rsidP="007927DB">
            <w:pPr>
              <w:pStyle w:val="TableTextNormal"/>
            </w:pPr>
            <w:r w:rsidRPr="00CB32B1">
              <w:t>Number of midwives on register</w:t>
            </w:r>
          </w:p>
        </w:tc>
        <w:tc>
          <w:tcPr>
            <w:tcW w:w="3644" w:type="pct"/>
          </w:tcPr>
          <w:p w:rsidR="00107EF4" w:rsidRPr="00CB32B1" w:rsidRDefault="00107EF4" w:rsidP="007927DB">
            <w:pPr>
              <w:pStyle w:val="TableTextNormal"/>
              <w:cnfStyle w:val="000000000000"/>
            </w:pPr>
            <w:r w:rsidRPr="00CB32B1">
              <w:t>28,030 in 2008 with the intention to practice (ITP)</w:t>
            </w:r>
            <w:r w:rsidRPr="00CB32B1">
              <w:rPr>
                <w:rStyle w:val="FootnoteReference"/>
              </w:rPr>
              <w:footnoteReference w:id="392"/>
            </w:r>
          </w:p>
        </w:tc>
      </w:tr>
      <w:tr w:rsidR="00107EF4" w:rsidRPr="00CB32B1" w:rsidTr="009646F7">
        <w:tc>
          <w:tcPr>
            <w:cnfStyle w:val="001000000000"/>
            <w:tcW w:w="1356" w:type="pct"/>
          </w:tcPr>
          <w:p w:rsidR="00107EF4" w:rsidRPr="00CB32B1" w:rsidRDefault="00107EF4" w:rsidP="007927DB">
            <w:pPr>
              <w:pStyle w:val="TableTextNormal"/>
            </w:pPr>
            <w:r w:rsidRPr="00CB32B1">
              <w:t xml:space="preserve">Other registers available </w:t>
            </w:r>
          </w:p>
        </w:tc>
        <w:tc>
          <w:tcPr>
            <w:tcW w:w="3644" w:type="pct"/>
          </w:tcPr>
          <w:p w:rsidR="00107EF4" w:rsidRPr="00CB32B1" w:rsidRDefault="00107EF4" w:rsidP="007927DB">
            <w:pPr>
              <w:pStyle w:val="TableTextNormal"/>
              <w:cnfStyle w:val="000000000000"/>
            </w:pPr>
            <w:r w:rsidRPr="00CB32B1">
              <w:t>No</w:t>
            </w:r>
          </w:p>
        </w:tc>
      </w:tr>
      <w:tr w:rsidR="00107EF4" w:rsidRPr="00CB32B1" w:rsidTr="009646F7">
        <w:tc>
          <w:tcPr>
            <w:cnfStyle w:val="001000000000"/>
            <w:tcW w:w="1356" w:type="pct"/>
          </w:tcPr>
          <w:p w:rsidR="00107EF4" w:rsidRPr="00CB32B1" w:rsidRDefault="00107EF4" w:rsidP="007927DB">
            <w:pPr>
              <w:pStyle w:val="TableTextNormal"/>
            </w:pPr>
            <w:bookmarkStart w:id="184" w:name="_Toc356220859"/>
            <w:r w:rsidRPr="00CB32B1">
              <w:t>Standards of conduct</w:t>
            </w:r>
            <w:bookmarkEnd w:id="184"/>
          </w:p>
        </w:tc>
        <w:tc>
          <w:tcPr>
            <w:tcW w:w="3644" w:type="pct"/>
          </w:tcPr>
          <w:p w:rsidR="00107EF4" w:rsidRPr="00CB32B1" w:rsidRDefault="00107EF4" w:rsidP="007927DB">
            <w:pPr>
              <w:pStyle w:val="TableBullet1Normal"/>
              <w:cnfStyle w:val="000000000000"/>
            </w:pPr>
            <w:r w:rsidRPr="00CB32B1">
              <w:t>The code: Standards of Conduct, performance and ethics for Nurses and Midwives</w:t>
            </w:r>
          </w:p>
          <w:p w:rsidR="00107EF4" w:rsidRPr="00CB32B1" w:rsidRDefault="00107EF4" w:rsidP="007927DB">
            <w:pPr>
              <w:pStyle w:val="TableBullet1Normal"/>
              <w:cnfStyle w:val="000000000000"/>
            </w:pPr>
            <w:r w:rsidRPr="00CB32B1">
              <w:t>Standards for medicines management</w:t>
            </w:r>
          </w:p>
          <w:p w:rsidR="00107EF4" w:rsidRPr="00CB32B1" w:rsidRDefault="00107EF4" w:rsidP="007927DB">
            <w:pPr>
              <w:pStyle w:val="TableBullet1Normal"/>
              <w:cnfStyle w:val="000000000000"/>
            </w:pPr>
            <w:r w:rsidRPr="00CB32B1">
              <w:t>Midwives rules and standards</w:t>
            </w:r>
          </w:p>
          <w:p w:rsidR="00107EF4" w:rsidRPr="00CB32B1" w:rsidRDefault="00107EF4" w:rsidP="007927DB">
            <w:pPr>
              <w:pStyle w:val="TableBullet1Normal"/>
              <w:cnfStyle w:val="000000000000"/>
            </w:pPr>
            <w:r w:rsidRPr="00CB32B1">
              <w:t>Standard to support learning and practice</w:t>
            </w:r>
          </w:p>
          <w:p w:rsidR="00107EF4" w:rsidRPr="00CB32B1" w:rsidRDefault="00107EF4" w:rsidP="007927DB">
            <w:pPr>
              <w:pStyle w:val="TableBullet1Normal"/>
              <w:cnfStyle w:val="000000000000"/>
            </w:pPr>
            <w:r w:rsidRPr="00CB32B1">
              <w:t>Standards to support learning and assessment in practice</w:t>
            </w:r>
          </w:p>
          <w:p w:rsidR="00107EF4" w:rsidRPr="00CB32B1" w:rsidRDefault="00107EF4" w:rsidP="007927DB">
            <w:pPr>
              <w:pStyle w:val="TableBullet1Normal"/>
              <w:cnfStyle w:val="000000000000"/>
            </w:pPr>
            <w:r w:rsidRPr="00CB32B1">
              <w:t>Standards of proficiency for nurse and midwife prescribers</w:t>
            </w:r>
          </w:p>
        </w:tc>
      </w:tr>
      <w:tr w:rsidR="00107EF4" w:rsidRPr="00CB32B1" w:rsidTr="009646F7">
        <w:tc>
          <w:tcPr>
            <w:cnfStyle w:val="001000000000"/>
            <w:tcW w:w="1356" w:type="pct"/>
          </w:tcPr>
          <w:p w:rsidR="00107EF4" w:rsidRPr="00CB32B1" w:rsidRDefault="00107EF4" w:rsidP="007927DB">
            <w:pPr>
              <w:pStyle w:val="TableTextNormal"/>
            </w:pPr>
            <w:r w:rsidRPr="00CB32B1">
              <w:t>Guidance</w:t>
            </w:r>
          </w:p>
        </w:tc>
        <w:tc>
          <w:tcPr>
            <w:tcW w:w="3644" w:type="pct"/>
          </w:tcPr>
          <w:p w:rsidR="00107EF4" w:rsidRPr="00CB32B1" w:rsidRDefault="00107EF4" w:rsidP="007927DB">
            <w:pPr>
              <w:pStyle w:val="TableBullet1Normal"/>
              <w:cnfStyle w:val="000000000000"/>
            </w:pPr>
            <w:r w:rsidRPr="00CB32B1">
              <w:t>Record keeping: Guidance for nurses and midwives</w:t>
            </w:r>
          </w:p>
          <w:p w:rsidR="00107EF4" w:rsidRPr="00CB32B1" w:rsidRDefault="00107EF4" w:rsidP="007927DB">
            <w:pPr>
              <w:pStyle w:val="TableBullet1Normal"/>
              <w:cnfStyle w:val="000000000000"/>
            </w:pPr>
            <w:r w:rsidRPr="00CB32B1">
              <w:t>Raising and escalating concerns: Guidance for nurses and midwives</w:t>
            </w:r>
          </w:p>
          <w:p w:rsidR="00107EF4" w:rsidRPr="00CB32B1" w:rsidRDefault="00107EF4" w:rsidP="007927DB">
            <w:pPr>
              <w:pStyle w:val="TableBullet1Normal"/>
              <w:cnfStyle w:val="000000000000"/>
            </w:pPr>
            <w:r w:rsidRPr="00CB32B1">
              <w:t>Guidance on professional conduct for nursing and midwifery students</w:t>
            </w:r>
          </w:p>
        </w:tc>
      </w:tr>
    </w:tbl>
    <w:p w:rsidR="00107EF4" w:rsidRPr="00CB32B1" w:rsidRDefault="00107EF4" w:rsidP="00107EF4">
      <w:pPr>
        <w:pStyle w:val="Sources"/>
      </w:pPr>
      <w:r w:rsidRPr="00CB32B1">
        <w:rPr>
          <w:b/>
        </w:rPr>
        <w:t>Sources:</w:t>
      </w:r>
      <w:r w:rsidRPr="00CB32B1">
        <w:t xml:space="preserve"> Nursing and Midwifery Council UK, 2013b; Nursing and Midwifery Council UK, 2013c; Nursing and Midwifery Council UK, 2013d.</w:t>
      </w:r>
    </w:p>
    <w:p w:rsidR="00767B1A" w:rsidRPr="00CB32B1" w:rsidRDefault="00107EF4" w:rsidP="00767B1A">
      <w:pPr>
        <w:pStyle w:val="Minorheading"/>
      </w:pPr>
      <w:r w:rsidRPr="007F1F64">
        <w:t xml:space="preserve">Province of </w:t>
      </w:r>
      <w:r w:rsidR="00767B1A" w:rsidRPr="007F1F64">
        <w:t>Ontario</w:t>
      </w:r>
    </w:p>
    <w:p w:rsidR="00767B1A" w:rsidRPr="00CB32B1" w:rsidRDefault="00767B1A" w:rsidP="00767B1A">
      <w:pPr>
        <w:pStyle w:val="Caption"/>
      </w:pPr>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63</w:t>
      </w:r>
      <w:r w:rsidR="009129A6" w:rsidRPr="00CB32B1">
        <w:fldChar w:fldCharType="end"/>
      </w:r>
      <w:r w:rsidRPr="00CB32B1">
        <w:t>:</w:t>
      </w:r>
      <w:r w:rsidRPr="00CB32B1">
        <w:tab/>
        <w:t xml:space="preserve">Regulation of midwives – </w:t>
      </w:r>
      <w:r w:rsidR="00107EF4">
        <w:t xml:space="preserve">Province of </w:t>
      </w:r>
      <w:r w:rsidRPr="00CB32B1">
        <w:t>Ontario</w:t>
      </w:r>
    </w:p>
    <w:tbl>
      <w:tblPr>
        <w:tblStyle w:val="PwCTableStyle1"/>
        <w:tblW w:w="5000" w:type="pct"/>
        <w:tblLook w:val="04A0"/>
      </w:tblPr>
      <w:tblGrid>
        <w:gridCol w:w="3094"/>
        <w:gridCol w:w="6191"/>
      </w:tblGrid>
      <w:tr w:rsidR="00767B1A" w:rsidRPr="00CB32B1" w:rsidTr="00767B1A">
        <w:trPr>
          <w:cnfStyle w:val="100000000000"/>
        </w:trPr>
        <w:tc>
          <w:tcPr>
            <w:cnfStyle w:val="001000000000"/>
            <w:tcW w:w="1666" w:type="pct"/>
            <w:tcBorders>
              <w:bottom w:val="single" w:sz="6" w:space="0" w:color="DC6900" w:themeColor="text2"/>
              <w:right w:val="single" w:sz="6" w:space="0" w:color="FFFFFF" w:themeColor="background2"/>
            </w:tcBorders>
            <w:shd w:val="clear" w:color="auto" w:fill="DC6900" w:themeFill="text2"/>
          </w:tcPr>
          <w:p w:rsidR="00767B1A" w:rsidRPr="00CB32B1" w:rsidRDefault="00767B1A" w:rsidP="00767B1A">
            <w:pPr>
              <w:pStyle w:val="TableColumnHeadingNormal"/>
            </w:pPr>
          </w:p>
        </w:tc>
        <w:tc>
          <w:tcPr>
            <w:tcW w:w="3334" w:type="pct"/>
            <w:tcBorders>
              <w:left w:val="single" w:sz="6" w:space="0" w:color="FFFFFF" w:themeColor="background2"/>
              <w:bottom w:val="single" w:sz="6" w:space="0" w:color="DC6900" w:themeColor="text2"/>
            </w:tcBorders>
            <w:shd w:val="clear" w:color="auto" w:fill="DC6900" w:themeFill="text2"/>
          </w:tcPr>
          <w:p w:rsidR="00767B1A" w:rsidRPr="00CB32B1" w:rsidRDefault="00107EF4" w:rsidP="00107EF4">
            <w:pPr>
              <w:pStyle w:val="TableColumnHeadingNormal"/>
              <w:cnfStyle w:val="100000000000"/>
            </w:pPr>
            <w:r>
              <w:t xml:space="preserve">Province of </w:t>
            </w:r>
            <w:r w:rsidR="00767B1A" w:rsidRPr="00CB32B1">
              <w:t>Ontario</w:t>
            </w:r>
          </w:p>
        </w:tc>
      </w:tr>
      <w:tr w:rsidR="00767B1A" w:rsidRPr="00CB32B1" w:rsidTr="00767B1A">
        <w:tc>
          <w:tcPr>
            <w:cnfStyle w:val="001000000000"/>
            <w:tcW w:w="1666" w:type="pct"/>
            <w:tcBorders>
              <w:top w:val="single" w:sz="6" w:space="0" w:color="DC6900" w:themeColor="text2"/>
            </w:tcBorders>
          </w:tcPr>
          <w:p w:rsidR="00767B1A" w:rsidRPr="00CB32B1" w:rsidRDefault="00767B1A" w:rsidP="00767B1A">
            <w:pPr>
              <w:pStyle w:val="TableTextNormal"/>
            </w:pPr>
            <w:r w:rsidRPr="00CB32B1">
              <w:t>Regulator of Midwives</w:t>
            </w:r>
          </w:p>
        </w:tc>
        <w:tc>
          <w:tcPr>
            <w:tcW w:w="3334" w:type="pct"/>
            <w:tcBorders>
              <w:top w:val="single" w:sz="6" w:space="0" w:color="DC6900" w:themeColor="text2"/>
            </w:tcBorders>
          </w:tcPr>
          <w:p w:rsidR="00767B1A" w:rsidRPr="00CB32B1" w:rsidRDefault="007F1F64" w:rsidP="00767B1A">
            <w:pPr>
              <w:pStyle w:val="TableTextNormal"/>
              <w:cnfStyle w:val="000000000000"/>
            </w:pPr>
            <w:r>
              <w:t>College of Midwives of</w:t>
            </w:r>
            <w:r w:rsidR="00767B1A" w:rsidRPr="00CB32B1">
              <w:t xml:space="preserve"> Ontario (CMO)</w:t>
            </w:r>
          </w:p>
        </w:tc>
      </w:tr>
      <w:tr w:rsidR="00767B1A" w:rsidRPr="00CB32B1" w:rsidTr="00767B1A">
        <w:tc>
          <w:tcPr>
            <w:cnfStyle w:val="001000000000"/>
            <w:tcW w:w="1666" w:type="pct"/>
          </w:tcPr>
          <w:p w:rsidR="00767B1A" w:rsidRPr="00CB32B1" w:rsidRDefault="00767B1A" w:rsidP="00767B1A">
            <w:pPr>
              <w:pStyle w:val="TableTextNormal"/>
            </w:pPr>
            <w:r w:rsidRPr="00CB32B1">
              <w:t>Number of health professions regulated</w:t>
            </w:r>
          </w:p>
        </w:tc>
        <w:tc>
          <w:tcPr>
            <w:tcW w:w="3334" w:type="pct"/>
          </w:tcPr>
          <w:p w:rsidR="00767B1A" w:rsidRPr="00CB32B1" w:rsidRDefault="00767B1A" w:rsidP="00767B1A">
            <w:pPr>
              <w:pStyle w:val="TableTextNormal"/>
              <w:cnfStyle w:val="000000000000"/>
            </w:pPr>
            <w:r w:rsidRPr="00CB32B1">
              <w:t>1</w:t>
            </w:r>
            <w:r w:rsidR="00854DEF" w:rsidRPr="00CB32B1">
              <w:t xml:space="preserve"> – </w:t>
            </w:r>
            <w:r w:rsidRPr="00CB32B1">
              <w:t>Midwives</w:t>
            </w:r>
          </w:p>
        </w:tc>
      </w:tr>
      <w:tr w:rsidR="00767B1A" w:rsidRPr="00CB32B1" w:rsidTr="00767B1A">
        <w:tc>
          <w:tcPr>
            <w:cnfStyle w:val="001000000000"/>
            <w:tcW w:w="1666" w:type="pct"/>
          </w:tcPr>
          <w:p w:rsidR="00767B1A" w:rsidRPr="00CB32B1" w:rsidRDefault="00767B1A" w:rsidP="00767B1A">
            <w:pPr>
              <w:pStyle w:val="TableTextNormal"/>
            </w:pPr>
            <w:r w:rsidRPr="00CB32B1">
              <w:t>Legislation established by</w:t>
            </w:r>
          </w:p>
        </w:tc>
        <w:tc>
          <w:tcPr>
            <w:tcW w:w="3334" w:type="pct"/>
          </w:tcPr>
          <w:p w:rsidR="00767B1A" w:rsidRPr="00CB32B1" w:rsidRDefault="00767B1A" w:rsidP="001E2819">
            <w:pPr>
              <w:pStyle w:val="TableTextNormal"/>
              <w:cnfStyle w:val="000000000000"/>
            </w:pPr>
            <w:r w:rsidRPr="00CB32B1">
              <w:t xml:space="preserve">Established with the proclamation of the </w:t>
            </w:r>
            <w:r w:rsidRPr="007F1F64">
              <w:rPr>
                <w:i/>
              </w:rPr>
              <w:t>Regulated Health Professions Act</w:t>
            </w:r>
            <w:r w:rsidRPr="00CB32B1">
              <w:t xml:space="preserve"> and the </w:t>
            </w:r>
            <w:r w:rsidRPr="007F1F64">
              <w:rPr>
                <w:i/>
              </w:rPr>
              <w:t>Midwifery Act</w:t>
            </w:r>
            <w:r w:rsidRPr="00CB32B1">
              <w:t xml:space="preserve"> on December 31, 1993</w:t>
            </w:r>
          </w:p>
        </w:tc>
      </w:tr>
      <w:tr w:rsidR="00767B1A" w:rsidRPr="00CB32B1" w:rsidTr="00767B1A">
        <w:tc>
          <w:tcPr>
            <w:cnfStyle w:val="001000000000"/>
            <w:tcW w:w="1666" w:type="pct"/>
          </w:tcPr>
          <w:p w:rsidR="00767B1A" w:rsidRPr="00CB32B1" w:rsidRDefault="00767B1A" w:rsidP="00767B1A">
            <w:pPr>
              <w:pStyle w:val="TableTextNormal"/>
            </w:pPr>
            <w:r w:rsidRPr="00CB32B1">
              <w:t xml:space="preserve">Role of Regulator </w:t>
            </w:r>
          </w:p>
        </w:tc>
        <w:tc>
          <w:tcPr>
            <w:tcW w:w="3334" w:type="pct"/>
          </w:tcPr>
          <w:p w:rsidR="00767B1A" w:rsidRPr="00CB32B1" w:rsidRDefault="00767B1A" w:rsidP="00767B1A">
            <w:pPr>
              <w:pStyle w:val="TableBullet1Normal"/>
              <w:cnfStyle w:val="000000000000"/>
            </w:pPr>
            <w:r w:rsidRPr="00CB32B1">
              <w:t>Regulating the practice of the profession and governing members according to legislation, regulations, and by-laws</w:t>
            </w:r>
          </w:p>
          <w:p w:rsidR="00767B1A" w:rsidRPr="00CB32B1" w:rsidRDefault="00767B1A" w:rsidP="00767B1A">
            <w:pPr>
              <w:pStyle w:val="TableBullet1Normal"/>
              <w:cnfStyle w:val="000000000000"/>
            </w:pPr>
            <w:r w:rsidRPr="00CB32B1">
              <w:t>Setting standards of qualification for persons to be issued certificates of registration</w:t>
            </w:r>
          </w:p>
          <w:p w:rsidR="00767B1A" w:rsidRPr="00CB32B1" w:rsidRDefault="00767B1A" w:rsidP="00767B1A">
            <w:pPr>
              <w:pStyle w:val="TableBullet1Normal"/>
              <w:cnfStyle w:val="000000000000"/>
            </w:pPr>
            <w:r w:rsidRPr="00CB32B1">
              <w:t>Developing, establishing and maintaining standards of professional ethics for members</w:t>
            </w:r>
          </w:p>
          <w:p w:rsidR="00767B1A" w:rsidRPr="00CB32B1" w:rsidRDefault="00767B1A" w:rsidP="00767B1A">
            <w:pPr>
              <w:pStyle w:val="TableBullet1Normal"/>
              <w:cnfStyle w:val="000000000000"/>
            </w:pPr>
            <w:r w:rsidRPr="00CB32B1">
              <w:t>Responding to complaints from the public regarding</w:t>
            </w:r>
            <w:r w:rsidR="00854DEF" w:rsidRPr="00CB32B1">
              <w:t xml:space="preserve"> </w:t>
            </w:r>
            <w:r w:rsidRPr="00CB32B1">
              <w:t>pract</w:t>
            </w:r>
            <w:r w:rsidR="00230931">
              <w:t>ice</w:t>
            </w:r>
          </w:p>
        </w:tc>
      </w:tr>
      <w:tr w:rsidR="00767B1A" w:rsidRPr="00CB32B1" w:rsidTr="00767B1A">
        <w:tc>
          <w:tcPr>
            <w:cnfStyle w:val="001000000000"/>
            <w:tcW w:w="1666" w:type="pct"/>
          </w:tcPr>
          <w:p w:rsidR="00767B1A" w:rsidRPr="00CB32B1" w:rsidRDefault="00767B1A" w:rsidP="00767B1A">
            <w:pPr>
              <w:pStyle w:val="TableTextNormal"/>
            </w:pPr>
            <w:r w:rsidRPr="00CB32B1">
              <w:t>Registration with regulator</w:t>
            </w:r>
          </w:p>
        </w:tc>
        <w:tc>
          <w:tcPr>
            <w:tcW w:w="3334" w:type="pct"/>
          </w:tcPr>
          <w:p w:rsidR="00767B1A" w:rsidRPr="00CB32B1" w:rsidRDefault="00767B1A" w:rsidP="00767B1A">
            <w:pPr>
              <w:pStyle w:val="TableTextNormal"/>
              <w:cnfStyle w:val="000000000000"/>
            </w:pPr>
            <w:r w:rsidRPr="00CB32B1">
              <w:t>Yes</w:t>
            </w:r>
          </w:p>
        </w:tc>
      </w:tr>
      <w:tr w:rsidR="00767B1A" w:rsidRPr="00CB32B1" w:rsidTr="00767B1A">
        <w:tc>
          <w:tcPr>
            <w:cnfStyle w:val="001000000000"/>
            <w:tcW w:w="1666" w:type="pct"/>
          </w:tcPr>
          <w:p w:rsidR="00767B1A" w:rsidRPr="00CB32B1" w:rsidRDefault="00767B1A" w:rsidP="00767B1A">
            <w:pPr>
              <w:pStyle w:val="TableTextNormal"/>
            </w:pPr>
            <w:r w:rsidRPr="00CB32B1">
              <w:t>Registration is required to practice as a midwife</w:t>
            </w:r>
          </w:p>
        </w:tc>
        <w:tc>
          <w:tcPr>
            <w:tcW w:w="3334" w:type="pct"/>
          </w:tcPr>
          <w:p w:rsidR="00767B1A" w:rsidRPr="00CB32B1" w:rsidRDefault="00767B1A" w:rsidP="00767B1A">
            <w:pPr>
              <w:pStyle w:val="TableTextNormal"/>
              <w:cnfStyle w:val="000000000000"/>
            </w:pPr>
            <w:r w:rsidRPr="00CB32B1">
              <w:t>Yes</w:t>
            </w:r>
          </w:p>
        </w:tc>
      </w:tr>
      <w:tr w:rsidR="00767B1A" w:rsidRPr="00CB32B1" w:rsidTr="00767B1A">
        <w:tc>
          <w:tcPr>
            <w:cnfStyle w:val="001000000000"/>
            <w:tcW w:w="1666" w:type="pct"/>
          </w:tcPr>
          <w:p w:rsidR="00767B1A" w:rsidRPr="00CB32B1" w:rsidRDefault="00767B1A" w:rsidP="00767B1A">
            <w:pPr>
              <w:pStyle w:val="TableTextNormal"/>
            </w:pPr>
            <w:r w:rsidRPr="00CB32B1">
              <w:t>Specific registration requirements for private practice</w:t>
            </w:r>
          </w:p>
        </w:tc>
        <w:tc>
          <w:tcPr>
            <w:tcW w:w="3334" w:type="pct"/>
          </w:tcPr>
          <w:p w:rsidR="00767B1A" w:rsidRPr="00CB32B1" w:rsidRDefault="00767B1A" w:rsidP="00767B1A">
            <w:pPr>
              <w:pStyle w:val="TableTextNormal"/>
              <w:cnfStyle w:val="000000000000"/>
            </w:pPr>
            <w:r w:rsidRPr="00CB32B1">
              <w:t>No</w:t>
            </w:r>
          </w:p>
        </w:tc>
      </w:tr>
      <w:tr w:rsidR="00767B1A" w:rsidRPr="00CB32B1" w:rsidTr="00767B1A">
        <w:tc>
          <w:tcPr>
            <w:cnfStyle w:val="001000000000"/>
            <w:tcW w:w="1666" w:type="pct"/>
          </w:tcPr>
          <w:p w:rsidR="00767B1A" w:rsidRPr="00CB32B1" w:rsidRDefault="00767B1A" w:rsidP="00767B1A">
            <w:pPr>
              <w:pStyle w:val="TableTextNormal"/>
            </w:pPr>
            <w:r w:rsidRPr="00CB32B1">
              <w:t>Number of midwives on register</w:t>
            </w:r>
          </w:p>
        </w:tc>
        <w:tc>
          <w:tcPr>
            <w:tcW w:w="3334" w:type="pct"/>
          </w:tcPr>
          <w:p w:rsidR="00767B1A" w:rsidRPr="00CB32B1" w:rsidRDefault="00767B1A" w:rsidP="00767B1A">
            <w:pPr>
              <w:pStyle w:val="TableTextNormal"/>
              <w:cnfStyle w:val="000000000000"/>
            </w:pPr>
            <w:r w:rsidRPr="00CB32B1">
              <w:t>405</w:t>
            </w:r>
            <w:r w:rsidRPr="00CB32B1">
              <w:rPr>
                <w:rStyle w:val="FootnoteReference"/>
              </w:rPr>
              <w:footnoteReference w:id="393"/>
            </w:r>
          </w:p>
        </w:tc>
      </w:tr>
      <w:tr w:rsidR="00767B1A" w:rsidRPr="00CB32B1" w:rsidTr="00767B1A">
        <w:tc>
          <w:tcPr>
            <w:cnfStyle w:val="001000000000"/>
            <w:tcW w:w="1666" w:type="pct"/>
          </w:tcPr>
          <w:p w:rsidR="00767B1A" w:rsidRPr="00CB32B1" w:rsidRDefault="00767B1A" w:rsidP="00767B1A">
            <w:pPr>
              <w:pStyle w:val="TableTextNormal"/>
            </w:pPr>
            <w:r w:rsidRPr="00CB32B1">
              <w:t xml:space="preserve">Other registers available </w:t>
            </w:r>
          </w:p>
        </w:tc>
        <w:tc>
          <w:tcPr>
            <w:tcW w:w="3334" w:type="pct"/>
          </w:tcPr>
          <w:p w:rsidR="00767B1A" w:rsidRPr="00CB32B1" w:rsidRDefault="00767B1A" w:rsidP="00767B1A">
            <w:pPr>
              <w:pStyle w:val="TableTextNormal"/>
              <w:cnfStyle w:val="000000000000"/>
            </w:pPr>
            <w:r w:rsidRPr="00CB32B1">
              <w:t>No</w:t>
            </w:r>
          </w:p>
        </w:tc>
      </w:tr>
      <w:tr w:rsidR="00767B1A" w:rsidRPr="00CB32B1" w:rsidTr="00767B1A">
        <w:tc>
          <w:tcPr>
            <w:cnfStyle w:val="001000000000"/>
            <w:tcW w:w="1666" w:type="pct"/>
          </w:tcPr>
          <w:p w:rsidR="00767B1A" w:rsidRPr="00CB32B1" w:rsidRDefault="00767B1A" w:rsidP="00767B1A">
            <w:pPr>
              <w:pStyle w:val="TableTextNormal"/>
              <w:keepNext/>
              <w:keepLines/>
            </w:pPr>
            <w:r w:rsidRPr="00CB32B1">
              <w:t>Standards</w:t>
            </w:r>
          </w:p>
        </w:tc>
        <w:tc>
          <w:tcPr>
            <w:tcW w:w="3334" w:type="pct"/>
          </w:tcPr>
          <w:p w:rsidR="00767B1A" w:rsidRPr="00CB32B1" w:rsidRDefault="00767B1A" w:rsidP="00767B1A">
            <w:pPr>
              <w:pStyle w:val="TableBullet1Normal"/>
              <w:keepNext/>
              <w:keepLines/>
              <w:cnfStyle w:val="000000000000"/>
            </w:pPr>
            <w:r w:rsidRPr="00CB32B1">
              <w:t>Philosophy of Midwifery Care</w:t>
            </w:r>
          </w:p>
          <w:p w:rsidR="00767B1A" w:rsidRPr="00CB32B1" w:rsidRDefault="00767B1A" w:rsidP="00767B1A">
            <w:pPr>
              <w:pStyle w:val="TableBullet1Normal"/>
              <w:keepNext/>
              <w:keepLines/>
              <w:cnfStyle w:val="000000000000"/>
            </w:pPr>
            <w:r w:rsidRPr="00CB32B1">
              <w:t>Code of Ethics</w:t>
            </w:r>
          </w:p>
          <w:p w:rsidR="00767B1A" w:rsidRPr="00CB32B1" w:rsidRDefault="00767B1A" w:rsidP="00767B1A">
            <w:pPr>
              <w:pStyle w:val="TableBullet1Normal"/>
              <w:keepNext/>
              <w:keepLines/>
              <w:cnfStyle w:val="000000000000"/>
            </w:pPr>
            <w:r w:rsidRPr="00CB32B1">
              <w:t>Continuity of Care</w:t>
            </w:r>
          </w:p>
          <w:p w:rsidR="00767B1A" w:rsidRPr="00CB32B1" w:rsidRDefault="00767B1A" w:rsidP="00767B1A">
            <w:pPr>
              <w:pStyle w:val="TableBullet1Normal"/>
              <w:keepNext/>
              <w:keepLines/>
              <w:cnfStyle w:val="000000000000"/>
            </w:pPr>
            <w:r w:rsidRPr="00CB32B1">
              <w:t>Indications for Mandatory Discussion Consultation and Transfer</w:t>
            </w:r>
          </w:p>
          <w:p w:rsidR="00767B1A" w:rsidRPr="00CB32B1" w:rsidRDefault="00767B1A" w:rsidP="00767B1A">
            <w:pPr>
              <w:pStyle w:val="TableBullet1Normal"/>
              <w:keepNext/>
              <w:keepLines/>
              <w:cnfStyle w:val="000000000000"/>
            </w:pPr>
            <w:r w:rsidRPr="00CB32B1">
              <w:t>Essential Equipment Supplies Medication</w:t>
            </w:r>
          </w:p>
          <w:p w:rsidR="00767B1A" w:rsidRPr="00CB32B1" w:rsidRDefault="00767B1A" w:rsidP="00767B1A">
            <w:pPr>
              <w:pStyle w:val="TableBullet1Normal"/>
              <w:keepNext/>
              <w:keepLines/>
              <w:cnfStyle w:val="000000000000"/>
            </w:pPr>
            <w:r w:rsidRPr="00CB32B1">
              <w:t>Number of Midwife Attendants</w:t>
            </w:r>
          </w:p>
          <w:p w:rsidR="00767B1A" w:rsidRPr="00CB32B1" w:rsidRDefault="00767B1A" w:rsidP="00767B1A">
            <w:pPr>
              <w:pStyle w:val="TableBullet1Normal"/>
              <w:keepNext/>
              <w:keepLines/>
              <w:cnfStyle w:val="000000000000"/>
            </w:pPr>
            <w:r w:rsidRPr="00CB32B1">
              <w:t>When Client Chooses Care Outside</w:t>
            </w:r>
          </w:p>
          <w:p w:rsidR="00767B1A" w:rsidRPr="00CB32B1" w:rsidRDefault="00767B1A" w:rsidP="00767B1A">
            <w:pPr>
              <w:pStyle w:val="TableBullet1Normal"/>
              <w:keepNext/>
              <w:keepLines/>
              <w:cnfStyle w:val="000000000000"/>
            </w:pPr>
            <w:r w:rsidRPr="00CB32B1">
              <w:t>Temporary Alternate Practice Arrangements</w:t>
            </w:r>
          </w:p>
          <w:p w:rsidR="00767B1A" w:rsidRPr="00CB32B1" w:rsidRDefault="00767B1A" w:rsidP="00767B1A">
            <w:pPr>
              <w:pStyle w:val="TableBullet1Normal"/>
              <w:keepNext/>
              <w:keepLines/>
              <w:cnfStyle w:val="000000000000"/>
            </w:pPr>
            <w:r w:rsidRPr="00CB32B1">
              <w:t>Standard on Second Birth Attendant</w:t>
            </w:r>
          </w:p>
          <w:p w:rsidR="00767B1A" w:rsidRPr="00CB32B1" w:rsidRDefault="00767B1A" w:rsidP="00767B1A">
            <w:pPr>
              <w:pStyle w:val="TableBullet1Normal"/>
              <w:keepNext/>
              <w:keepLines/>
              <w:cnfStyle w:val="000000000000"/>
            </w:pPr>
            <w:r w:rsidRPr="00CB32B1">
              <w:t>Standard on Shared Primary Care</w:t>
            </w:r>
          </w:p>
          <w:p w:rsidR="00767B1A" w:rsidRPr="00CB32B1" w:rsidRDefault="00767B1A" w:rsidP="00767B1A">
            <w:pPr>
              <w:pStyle w:val="TableBullet1Normal"/>
              <w:keepNext/>
              <w:keepLines/>
              <w:cnfStyle w:val="000000000000"/>
            </w:pPr>
            <w:r w:rsidRPr="00CB32B1">
              <w:t>Supportive Care</w:t>
            </w:r>
          </w:p>
          <w:p w:rsidR="00767B1A" w:rsidRPr="00CB32B1" w:rsidRDefault="00767B1A" w:rsidP="00767B1A">
            <w:pPr>
              <w:pStyle w:val="TableBullet1Normal"/>
              <w:keepNext/>
              <w:keepLines/>
              <w:cnfStyle w:val="000000000000"/>
            </w:pPr>
            <w:r w:rsidRPr="00CB32B1">
              <w:t>Informed Choice Standard</w:t>
            </w:r>
          </w:p>
          <w:p w:rsidR="00767B1A" w:rsidRPr="00CB32B1" w:rsidRDefault="00767B1A" w:rsidP="00767B1A">
            <w:pPr>
              <w:pStyle w:val="TableBullet1Normal"/>
              <w:keepNext/>
              <w:keepLines/>
              <w:cnfStyle w:val="000000000000"/>
            </w:pPr>
            <w:r w:rsidRPr="00CB32B1">
              <w:t>Standard on Prescribing Drugs</w:t>
            </w:r>
          </w:p>
          <w:p w:rsidR="00767B1A" w:rsidRPr="00CB32B1" w:rsidRDefault="00767B1A" w:rsidP="00767B1A">
            <w:pPr>
              <w:pStyle w:val="TableBullet1Normal"/>
              <w:keepNext/>
              <w:keepLines/>
              <w:cnfStyle w:val="000000000000"/>
            </w:pPr>
            <w:r w:rsidRPr="00CB32B1">
              <w:t>Standard on Certification for Prescribing and or Administering Drugs Designated in the Regulation</w:t>
            </w:r>
          </w:p>
          <w:p w:rsidR="00767B1A" w:rsidRPr="00CB32B1" w:rsidRDefault="00767B1A" w:rsidP="00767B1A">
            <w:pPr>
              <w:pStyle w:val="TableBullet1Normal"/>
              <w:keepNext/>
              <w:keepLines/>
              <w:cnfStyle w:val="000000000000"/>
            </w:pPr>
            <w:r w:rsidRPr="00CB32B1">
              <w:t>Record Keeping Standard for Midwives</w:t>
            </w:r>
          </w:p>
        </w:tc>
      </w:tr>
    </w:tbl>
    <w:p w:rsidR="00767B1A" w:rsidRPr="00CB32B1" w:rsidRDefault="00767B1A" w:rsidP="00767B1A">
      <w:pPr>
        <w:pStyle w:val="Sources"/>
      </w:pPr>
      <w:r w:rsidRPr="00CB32B1">
        <w:rPr>
          <w:b/>
        </w:rPr>
        <w:t>Source</w:t>
      </w:r>
      <w:r w:rsidR="000A7B59" w:rsidRPr="00CB32B1">
        <w:rPr>
          <w:b/>
        </w:rPr>
        <w:t>s</w:t>
      </w:r>
      <w:r w:rsidRPr="00CB32B1">
        <w:rPr>
          <w:b/>
        </w:rPr>
        <w:t>:</w:t>
      </w:r>
      <w:r w:rsidR="00230931">
        <w:t xml:space="preserve"> College of Midwives of </w:t>
      </w:r>
      <w:r w:rsidRPr="00CB32B1">
        <w:t>Ontario</w:t>
      </w:r>
      <w:r w:rsidR="004D4F44" w:rsidRPr="00CB32B1">
        <w:t xml:space="preserve"> 2013a</w:t>
      </w:r>
      <w:r w:rsidRPr="00CB32B1">
        <w:t xml:space="preserve">; </w:t>
      </w:r>
      <w:r w:rsidR="004243F2" w:rsidRPr="00CB32B1">
        <w:t xml:space="preserve">College of Midwives of </w:t>
      </w:r>
      <w:r w:rsidRPr="00CB32B1">
        <w:t>Ontario</w:t>
      </w:r>
      <w:r w:rsidR="004243F2" w:rsidRPr="00CB32B1">
        <w:t xml:space="preserve"> 2013d.</w:t>
      </w:r>
    </w:p>
    <w:p w:rsidR="00767B1A" w:rsidRPr="00CB32B1" w:rsidRDefault="00767B1A" w:rsidP="00767B1A">
      <w:pPr>
        <w:pStyle w:val="Minorheading"/>
      </w:pPr>
      <w:r w:rsidRPr="00CB32B1">
        <w:t>The Netherlands</w:t>
      </w:r>
    </w:p>
    <w:p w:rsidR="00767B1A" w:rsidRPr="00CB32B1" w:rsidRDefault="00767B1A" w:rsidP="00767B1A">
      <w:pPr>
        <w:pStyle w:val="Caption"/>
      </w:pPr>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64</w:t>
      </w:r>
      <w:r w:rsidR="009129A6" w:rsidRPr="00CB32B1">
        <w:fldChar w:fldCharType="end"/>
      </w:r>
      <w:r w:rsidRPr="00CB32B1">
        <w:t>:</w:t>
      </w:r>
      <w:r w:rsidRPr="00CB32B1">
        <w:tab/>
        <w:t>Regulation of midwives – the Netherlands</w:t>
      </w:r>
    </w:p>
    <w:tbl>
      <w:tblPr>
        <w:tblStyle w:val="PwCTableStyle1"/>
        <w:tblW w:w="5000" w:type="pct"/>
        <w:tblLook w:val="04A0"/>
      </w:tblPr>
      <w:tblGrid>
        <w:gridCol w:w="3094"/>
        <w:gridCol w:w="6191"/>
      </w:tblGrid>
      <w:tr w:rsidR="00767B1A" w:rsidRPr="00CB32B1" w:rsidTr="00767B1A">
        <w:trPr>
          <w:cnfStyle w:val="100000000000"/>
        </w:trPr>
        <w:tc>
          <w:tcPr>
            <w:cnfStyle w:val="001000000000"/>
            <w:tcW w:w="1666" w:type="pct"/>
            <w:tcBorders>
              <w:bottom w:val="single" w:sz="6" w:space="0" w:color="DC6900" w:themeColor="text2"/>
              <w:right w:val="single" w:sz="6" w:space="0" w:color="FFFFFF" w:themeColor="background2"/>
            </w:tcBorders>
            <w:shd w:val="clear" w:color="auto" w:fill="DC6900" w:themeFill="text2"/>
          </w:tcPr>
          <w:p w:rsidR="00767B1A" w:rsidRPr="00CB32B1" w:rsidRDefault="00767B1A" w:rsidP="00767B1A">
            <w:pPr>
              <w:pStyle w:val="TableColumnHeadingNormal"/>
            </w:pPr>
          </w:p>
        </w:tc>
        <w:tc>
          <w:tcPr>
            <w:tcW w:w="3334" w:type="pct"/>
            <w:tcBorders>
              <w:left w:val="single" w:sz="6" w:space="0" w:color="FFFFFF" w:themeColor="background2"/>
              <w:bottom w:val="single" w:sz="6" w:space="0" w:color="DC6900" w:themeColor="text2"/>
            </w:tcBorders>
            <w:shd w:val="clear" w:color="auto" w:fill="DC6900" w:themeFill="text2"/>
          </w:tcPr>
          <w:p w:rsidR="00767B1A" w:rsidRPr="00CB32B1" w:rsidRDefault="00767B1A" w:rsidP="00767B1A">
            <w:pPr>
              <w:pStyle w:val="TableColumnHeadingNormal"/>
              <w:cnfStyle w:val="100000000000"/>
            </w:pPr>
            <w:r w:rsidRPr="00CB32B1">
              <w:t>the Netherlands</w:t>
            </w:r>
          </w:p>
        </w:tc>
      </w:tr>
      <w:tr w:rsidR="00767B1A" w:rsidRPr="00CB32B1" w:rsidTr="00767B1A">
        <w:tc>
          <w:tcPr>
            <w:cnfStyle w:val="001000000000"/>
            <w:tcW w:w="1666" w:type="pct"/>
            <w:tcBorders>
              <w:top w:val="single" w:sz="6" w:space="0" w:color="DC6900" w:themeColor="text2"/>
            </w:tcBorders>
          </w:tcPr>
          <w:p w:rsidR="00767B1A" w:rsidRPr="00CB32B1" w:rsidRDefault="00767B1A" w:rsidP="00767B1A">
            <w:pPr>
              <w:pStyle w:val="TableTextNormal"/>
            </w:pPr>
            <w:r w:rsidRPr="00CB32B1">
              <w:t>Regulator of Midwives</w:t>
            </w:r>
          </w:p>
        </w:tc>
        <w:tc>
          <w:tcPr>
            <w:tcW w:w="3334" w:type="pct"/>
            <w:tcBorders>
              <w:top w:val="single" w:sz="6" w:space="0" w:color="DC6900" w:themeColor="text2"/>
            </w:tcBorders>
          </w:tcPr>
          <w:p w:rsidR="00767B1A" w:rsidRPr="00CB32B1" w:rsidRDefault="00767B1A" w:rsidP="00767B1A">
            <w:pPr>
              <w:pStyle w:val="TableTextNormal"/>
              <w:cnfStyle w:val="000000000000"/>
            </w:pPr>
            <w:r w:rsidRPr="00CB32B1">
              <w:t>The Royal Dutch Organisation of Midwives (KNOV),</w:t>
            </w:r>
          </w:p>
          <w:p w:rsidR="00767B1A" w:rsidRPr="00CB32B1" w:rsidRDefault="00767B1A" w:rsidP="00767B1A">
            <w:pPr>
              <w:pStyle w:val="TableTextNormal"/>
              <w:cnfStyle w:val="000000000000"/>
            </w:pPr>
            <w:r w:rsidRPr="00CB32B1">
              <w:t>Also monitored externally by the Health Care Inspectorate</w:t>
            </w:r>
          </w:p>
        </w:tc>
      </w:tr>
      <w:tr w:rsidR="00767B1A" w:rsidRPr="00CB32B1" w:rsidTr="00767B1A">
        <w:tc>
          <w:tcPr>
            <w:cnfStyle w:val="001000000000"/>
            <w:tcW w:w="1666" w:type="pct"/>
          </w:tcPr>
          <w:p w:rsidR="00767B1A" w:rsidRPr="00CB32B1" w:rsidRDefault="00767B1A" w:rsidP="00767B1A">
            <w:pPr>
              <w:pStyle w:val="TableTextNormal"/>
            </w:pPr>
            <w:r w:rsidRPr="00CB32B1">
              <w:t>Number of health professions regulated</w:t>
            </w:r>
          </w:p>
        </w:tc>
        <w:tc>
          <w:tcPr>
            <w:tcW w:w="3334" w:type="pct"/>
          </w:tcPr>
          <w:p w:rsidR="00767B1A" w:rsidRPr="00CB32B1" w:rsidRDefault="00767B1A" w:rsidP="00767B1A">
            <w:pPr>
              <w:pStyle w:val="TableTextNormal"/>
              <w:cnfStyle w:val="000000000000"/>
            </w:pPr>
            <w:r w:rsidRPr="00CB32B1">
              <w:t>1 – Midwives</w:t>
            </w:r>
          </w:p>
        </w:tc>
      </w:tr>
      <w:tr w:rsidR="00767B1A" w:rsidRPr="00CB32B1" w:rsidTr="00767B1A">
        <w:tc>
          <w:tcPr>
            <w:cnfStyle w:val="001000000000"/>
            <w:tcW w:w="1666" w:type="pct"/>
          </w:tcPr>
          <w:p w:rsidR="00767B1A" w:rsidRPr="00CB32B1" w:rsidRDefault="00767B1A" w:rsidP="00767B1A">
            <w:pPr>
              <w:pStyle w:val="TableTextNormal"/>
            </w:pPr>
            <w:r w:rsidRPr="00CB32B1">
              <w:t>Legislation established by</w:t>
            </w:r>
          </w:p>
        </w:tc>
        <w:tc>
          <w:tcPr>
            <w:tcW w:w="3334" w:type="pct"/>
          </w:tcPr>
          <w:p w:rsidR="00767B1A" w:rsidRPr="00CB32B1" w:rsidRDefault="00767B1A" w:rsidP="00767B1A">
            <w:pPr>
              <w:pStyle w:val="TableTextNormal"/>
              <w:cnfStyle w:val="000000000000"/>
            </w:pPr>
            <w:r w:rsidRPr="00CB32B1">
              <w:t>Established in 1898</w:t>
            </w:r>
          </w:p>
        </w:tc>
      </w:tr>
      <w:tr w:rsidR="00767B1A" w:rsidRPr="00CB32B1" w:rsidTr="00767B1A">
        <w:tc>
          <w:tcPr>
            <w:cnfStyle w:val="001000000000"/>
            <w:tcW w:w="1666" w:type="pct"/>
          </w:tcPr>
          <w:p w:rsidR="00767B1A" w:rsidRPr="00CB32B1" w:rsidRDefault="00767B1A" w:rsidP="00767B1A">
            <w:pPr>
              <w:pStyle w:val="TableTextNormal"/>
              <w:keepNext/>
              <w:keepLines/>
            </w:pPr>
            <w:r w:rsidRPr="00CB32B1">
              <w:t>Role of Regulator (KNOV)</w:t>
            </w:r>
          </w:p>
        </w:tc>
        <w:tc>
          <w:tcPr>
            <w:tcW w:w="3334" w:type="pct"/>
          </w:tcPr>
          <w:p w:rsidR="00767B1A" w:rsidRPr="00CB32B1" w:rsidRDefault="00767B1A" w:rsidP="00767B1A">
            <w:pPr>
              <w:pStyle w:val="TableBullet1Normal"/>
              <w:keepNext/>
              <w:keepLines/>
              <w:cnfStyle w:val="000000000000"/>
            </w:pPr>
            <w:r w:rsidRPr="00CB32B1">
              <w:t>Strengthen the position of midwives in the health care system (union work)</w:t>
            </w:r>
          </w:p>
          <w:p w:rsidR="00767B1A" w:rsidRPr="00CB32B1" w:rsidRDefault="00767B1A" w:rsidP="00767B1A">
            <w:pPr>
              <w:pStyle w:val="TableBullet1Normal"/>
              <w:keepNext/>
              <w:keepLines/>
              <w:cnfStyle w:val="000000000000"/>
            </w:pPr>
            <w:r w:rsidRPr="00CB32B1">
              <w:t>Improving quality of care</w:t>
            </w:r>
          </w:p>
          <w:p w:rsidR="00767B1A" w:rsidRPr="00CB32B1" w:rsidRDefault="00767B1A" w:rsidP="00767B1A">
            <w:pPr>
              <w:pStyle w:val="TableBullet1Normal"/>
              <w:keepNext/>
              <w:keepLines/>
              <w:cnfStyle w:val="000000000000"/>
            </w:pPr>
            <w:r w:rsidRPr="00CB32B1">
              <w:t>Developing standards and guidelines</w:t>
            </w:r>
          </w:p>
          <w:p w:rsidR="00767B1A" w:rsidRPr="00CB32B1" w:rsidRDefault="00767B1A" w:rsidP="00767B1A">
            <w:pPr>
              <w:pStyle w:val="TableBullet1Normal"/>
              <w:keepNext/>
              <w:keepLines/>
              <w:cnfStyle w:val="000000000000"/>
            </w:pPr>
            <w:r w:rsidRPr="00CB32B1">
              <w:t>Representing midwives in official policymaking bodies</w:t>
            </w:r>
          </w:p>
          <w:p w:rsidR="00767B1A" w:rsidRPr="00CB32B1" w:rsidDel="001319AC" w:rsidRDefault="00767B1A" w:rsidP="00767B1A">
            <w:pPr>
              <w:pStyle w:val="TableBullet1Normal"/>
              <w:keepNext/>
              <w:keepLines/>
              <w:cnfStyle w:val="000000000000"/>
            </w:pPr>
            <w:r w:rsidRPr="00CB32B1">
              <w:t>Representing midwives in organisations with health care insurances, with other medical professionals and taking care of common interests</w:t>
            </w:r>
          </w:p>
        </w:tc>
      </w:tr>
      <w:tr w:rsidR="00767B1A" w:rsidRPr="00CB32B1" w:rsidTr="00767B1A">
        <w:tc>
          <w:tcPr>
            <w:cnfStyle w:val="001000000000"/>
            <w:tcW w:w="1666" w:type="pct"/>
          </w:tcPr>
          <w:p w:rsidR="00767B1A" w:rsidRPr="00CB32B1" w:rsidRDefault="00767B1A" w:rsidP="00767B1A">
            <w:pPr>
              <w:pStyle w:val="TableTextNormal"/>
            </w:pPr>
            <w:r w:rsidRPr="00CB32B1">
              <w:t>Registration with regulator</w:t>
            </w:r>
          </w:p>
        </w:tc>
        <w:tc>
          <w:tcPr>
            <w:tcW w:w="3334" w:type="pct"/>
          </w:tcPr>
          <w:p w:rsidR="00767B1A" w:rsidRPr="00CB32B1" w:rsidRDefault="00230931" w:rsidP="00230931">
            <w:pPr>
              <w:pStyle w:val="TableTextNormal"/>
              <w:cnfStyle w:val="000000000000"/>
            </w:pPr>
            <w:r>
              <w:t>No, through the BIG</w:t>
            </w:r>
            <w:r w:rsidR="00767B1A" w:rsidRPr="00CB32B1">
              <w:t xml:space="preserve"> Register</w:t>
            </w:r>
          </w:p>
        </w:tc>
      </w:tr>
      <w:tr w:rsidR="00767B1A" w:rsidRPr="00CB32B1" w:rsidTr="00767B1A">
        <w:tc>
          <w:tcPr>
            <w:cnfStyle w:val="001000000000"/>
            <w:tcW w:w="1666" w:type="pct"/>
          </w:tcPr>
          <w:p w:rsidR="00767B1A" w:rsidRPr="00CB32B1" w:rsidRDefault="00767B1A" w:rsidP="00767B1A">
            <w:pPr>
              <w:pStyle w:val="TableTextNormal"/>
            </w:pPr>
            <w:r w:rsidRPr="00CB32B1">
              <w:t>Registration is required to practice as a midwife</w:t>
            </w:r>
          </w:p>
        </w:tc>
        <w:tc>
          <w:tcPr>
            <w:tcW w:w="3334" w:type="pct"/>
          </w:tcPr>
          <w:p w:rsidR="00767B1A" w:rsidRPr="00CB32B1" w:rsidRDefault="00767B1A" w:rsidP="00767B1A">
            <w:pPr>
              <w:pStyle w:val="TableTextNormal"/>
              <w:cnfStyle w:val="000000000000"/>
            </w:pPr>
            <w:r w:rsidRPr="00CB32B1">
              <w:t>Yes</w:t>
            </w:r>
          </w:p>
        </w:tc>
      </w:tr>
      <w:tr w:rsidR="00767B1A" w:rsidRPr="00CB32B1" w:rsidTr="00767B1A">
        <w:tc>
          <w:tcPr>
            <w:cnfStyle w:val="001000000000"/>
            <w:tcW w:w="1666" w:type="pct"/>
          </w:tcPr>
          <w:p w:rsidR="00767B1A" w:rsidRPr="00CB32B1" w:rsidRDefault="00767B1A" w:rsidP="00767B1A">
            <w:pPr>
              <w:pStyle w:val="TableTextNormal"/>
            </w:pPr>
            <w:r w:rsidRPr="00CB32B1">
              <w:t>Specific registration requirements for private practice</w:t>
            </w:r>
          </w:p>
        </w:tc>
        <w:tc>
          <w:tcPr>
            <w:tcW w:w="3334" w:type="pct"/>
          </w:tcPr>
          <w:p w:rsidR="00767B1A" w:rsidRPr="00CB32B1" w:rsidRDefault="00767B1A" w:rsidP="00767B1A">
            <w:pPr>
              <w:pStyle w:val="TableTextNormal"/>
              <w:cnfStyle w:val="000000000000"/>
            </w:pPr>
            <w:r w:rsidRPr="00CB32B1">
              <w:t>No</w:t>
            </w:r>
          </w:p>
        </w:tc>
      </w:tr>
      <w:tr w:rsidR="00767B1A" w:rsidRPr="00CB32B1" w:rsidTr="00767B1A">
        <w:tc>
          <w:tcPr>
            <w:cnfStyle w:val="001000000000"/>
            <w:tcW w:w="1666" w:type="pct"/>
          </w:tcPr>
          <w:p w:rsidR="00767B1A" w:rsidRPr="00CB32B1" w:rsidRDefault="00767B1A" w:rsidP="00767B1A">
            <w:pPr>
              <w:pStyle w:val="TableTextNormal"/>
            </w:pPr>
            <w:r w:rsidRPr="00CB32B1">
              <w:t>Number of midwives on register</w:t>
            </w:r>
          </w:p>
        </w:tc>
        <w:tc>
          <w:tcPr>
            <w:tcW w:w="3334" w:type="pct"/>
          </w:tcPr>
          <w:p w:rsidR="00767B1A" w:rsidRPr="00CB32B1" w:rsidRDefault="00767B1A" w:rsidP="00767B1A">
            <w:pPr>
              <w:pStyle w:val="TableTextNormal"/>
              <w:cnfStyle w:val="000000000000"/>
            </w:pPr>
            <w:r w:rsidRPr="004C4FF1">
              <w:t>2,612</w:t>
            </w:r>
            <w:r w:rsidRPr="004C4FF1">
              <w:rPr>
                <w:rStyle w:val="FootnoteReference"/>
              </w:rPr>
              <w:footnoteReference w:id="394"/>
            </w:r>
          </w:p>
        </w:tc>
      </w:tr>
      <w:tr w:rsidR="00767B1A" w:rsidRPr="00CB32B1" w:rsidTr="00767B1A">
        <w:tc>
          <w:tcPr>
            <w:cnfStyle w:val="001000000000"/>
            <w:tcW w:w="1666" w:type="pct"/>
          </w:tcPr>
          <w:p w:rsidR="00767B1A" w:rsidRPr="00CB32B1" w:rsidRDefault="00767B1A" w:rsidP="00767B1A">
            <w:pPr>
              <w:pStyle w:val="TableTextNormal"/>
            </w:pPr>
            <w:r w:rsidRPr="00CB32B1">
              <w:t xml:space="preserve">Other registers available </w:t>
            </w:r>
          </w:p>
        </w:tc>
        <w:tc>
          <w:tcPr>
            <w:tcW w:w="3334" w:type="pct"/>
          </w:tcPr>
          <w:p w:rsidR="00767B1A" w:rsidRPr="00CB32B1" w:rsidRDefault="00767B1A" w:rsidP="00767B1A">
            <w:pPr>
              <w:pStyle w:val="TableTextNormal"/>
              <w:cnfStyle w:val="000000000000"/>
            </w:pPr>
            <w:r w:rsidRPr="00CB32B1">
              <w:t>Yes, KNOV has an additional register as a form of quality register since 2006</w:t>
            </w:r>
            <w:r w:rsidR="00D12B45" w:rsidRPr="00CB32B1">
              <w:t>. T</w:t>
            </w:r>
            <w:r w:rsidRPr="00CB32B1">
              <w:t>his is not compulsory</w:t>
            </w:r>
            <w:r w:rsidR="00D12B45" w:rsidRPr="00CB32B1">
              <w:t>.</w:t>
            </w:r>
          </w:p>
        </w:tc>
      </w:tr>
      <w:tr w:rsidR="00767B1A" w:rsidRPr="00CB32B1" w:rsidTr="00767B1A">
        <w:tc>
          <w:tcPr>
            <w:cnfStyle w:val="001000000000"/>
            <w:tcW w:w="1666" w:type="pct"/>
          </w:tcPr>
          <w:p w:rsidR="00767B1A" w:rsidRPr="00CB32B1" w:rsidRDefault="00767B1A" w:rsidP="00767B1A">
            <w:pPr>
              <w:pStyle w:val="TableTextNormal"/>
            </w:pPr>
            <w:r w:rsidRPr="00CB32B1">
              <w:t>Number of midwives on register</w:t>
            </w:r>
          </w:p>
        </w:tc>
        <w:tc>
          <w:tcPr>
            <w:tcW w:w="3334" w:type="pct"/>
          </w:tcPr>
          <w:p w:rsidR="00767B1A" w:rsidRPr="00CB32B1" w:rsidRDefault="00767B1A" w:rsidP="00767B1A">
            <w:pPr>
              <w:pStyle w:val="TableTextNormal"/>
              <w:cnfStyle w:val="000000000000"/>
            </w:pPr>
            <w:r w:rsidRPr="00CB32B1">
              <w:t>80%</w:t>
            </w:r>
          </w:p>
        </w:tc>
      </w:tr>
    </w:tbl>
    <w:p w:rsidR="00767B1A" w:rsidRPr="00CB32B1" w:rsidRDefault="00767B1A" w:rsidP="00767B1A">
      <w:pPr>
        <w:pStyle w:val="Sources"/>
      </w:pPr>
      <w:r w:rsidRPr="00CB32B1">
        <w:rPr>
          <w:b/>
        </w:rPr>
        <w:t>Source</w:t>
      </w:r>
      <w:r w:rsidR="000A7B59" w:rsidRPr="00CB32B1">
        <w:rPr>
          <w:b/>
        </w:rPr>
        <w:t>s</w:t>
      </w:r>
      <w:r w:rsidRPr="00CB32B1">
        <w:rPr>
          <w:b/>
        </w:rPr>
        <w:t>:</w:t>
      </w:r>
      <w:r w:rsidRPr="00CB32B1">
        <w:t xml:space="preserve"> KNOV</w:t>
      </w:r>
      <w:r w:rsidR="00B8628B" w:rsidRPr="00CB32B1">
        <w:t xml:space="preserve"> </w:t>
      </w:r>
      <w:r w:rsidR="00230931">
        <w:t xml:space="preserve">(The Royal Dutch Organisation of Midwives) </w:t>
      </w:r>
      <w:r w:rsidR="00B8628B" w:rsidRPr="00CB32B1">
        <w:t xml:space="preserve">2012; </w:t>
      </w:r>
      <w:r w:rsidRPr="00CB32B1">
        <w:t xml:space="preserve">NIVEL: Netherlands Institute for health services research, </w:t>
      </w:r>
      <w:r w:rsidR="00230931">
        <w:t xml:space="preserve">2013; </w:t>
      </w:r>
      <w:r w:rsidRPr="00CB32B1">
        <w:t xml:space="preserve">KNOV </w:t>
      </w:r>
      <w:r w:rsidR="00230931">
        <w:t>(The Royal Dutch Organisation of Midwives) 2013b.</w:t>
      </w:r>
    </w:p>
    <w:p w:rsidR="00767B1A" w:rsidRPr="00CB32B1" w:rsidRDefault="00767B1A" w:rsidP="00767B1A">
      <w:pPr>
        <w:pStyle w:val="Minorheading"/>
      </w:pPr>
      <w:r w:rsidRPr="00CB32B1">
        <w:t>New Zealand</w:t>
      </w:r>
    </w:p>
    <w:p w:rsidR="00767B1A" w:rsidRPr="00CB32B1" w:rsidRDefault="00767B1A" w:rsidP="00767B1A">
      <w:pPr>
        <w:pStyle w:val="Caption"/>
      </w:pPr>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65</w:t>
      </w:r>
      <w:r w:rsidR="009129A6" w:rsidRPr="00CB32B1">
        <w:fldChar w:fldCharType="end"/>
      </w:r>
      <w:r w:rsidRPr="00CB32B1">
        <w:t>:</w:t>
      </w:r>
      <w:r w:rsidRPr="00CB32B1">
        <w:tab/>
        <w:t>Regulation of midwives – New Zealand</w:t>
      </w:r>
    </w:p>
    <w:tbl>
      <w:tblPr>
        <w:tblStyle w:val="PwCTableStyle1"/>
        <w:tblW w:w="5000" w:type="pct"/>
        <w:tblLook w:val="04A0"/>
      </w:tblPr>
      <w:tblGrid>
        <w:gridCol w:w="3094"/>
        <w:gridCol w:w="6191"/>
      </w:tblGrid>
      <w:tr w:rsidR="00767B1A" w:rsidRPr="00CB32B1" w:rsidTr="00767B1A">
        <w:trPr>
          <w:cnfStyle w:val="100000000000"/>
        </w:trPr>
        <w:tc>
          <w:tcPr>
            <w:cnfStyle w:val="001000000000"/>
            <w:tcW w:w="1666" w:type="pct"/>
            <w:tcBorders>
              <w:bottom w:val="single" w:sz="6" w:space="0" w:color="DC6900" w:themeColor="text2"/>
              <w:right w:val="single" w:sz="6" w:space="0" w:color="FFFFFF" w:themeColor="background2"/>
            </w:tcBorders>
            <w:shd w:val="clear" w:color="auto" w:fill="DC6900" w:themeFill="text2"/>
          </w:tcPr>
          <w:p w:rsidR="00767B1A" w:rsidRPr="00CB32B1" w:rsidRDefault="00767B1A" w:rsidP="00767B1A">
            <w:pPr>
              <w:pStyle w:val="TableColumnHeadingNormal"/>
            </w:pPr>
          </w:p>
        </w:tc>
        <w:tc>
          <w:tcPr>
            <w:tcW w:w="3334" w:type="pct"/>
            <w:tcBorders>
              <w:left w:val="single" w:sz="6" w:space="0" w:color="FFFFFF" w:themeColor="background2"/>
              <w:bottom w:val="single" w:sz="6" w:space="0" w:color="DC6900" w:themeColor="text2"/>
            </w:tcBorders>
            <w:shd w:val="clear" w:color="auto" w:fill="DC6900" w:themeFill="text2"/>
          </w:tcPr>
          <w:p w:rsidR="00767B1A" w:rsidRPr="00CB32B1" w:rsidRDefault="00767B1A" w:rsidP="00767B1A">
            <w:pPr>
              <w:pStyle w:val="TableColumnHeadingNormal"/>
              <w:cnfStyle w:val="100000000000"/>
            </w:pPr>
            <w:r w:rsidRPr="00CB32B1">
              <w:t>New Zealand</w:t>
            </w:r>
          </w:p>
        </w:tc>
      </w:tr>
      <w:tr w:rsidR="00767B1A" w:rsidRPr="00CB32B1" w:rsidTr="00767B1A">
        <w:tc>
          <w:tcPr>
            <w:cnfStyle w:val="001000000000"/>
            <w:tcW w:w="1666" w:type="pct"/>
            <w:tcBorders>
              <w:top w:val="single" w:sz="6" w:space="0" w:color="DC6900" w:themeColor="text2"/>
            </w:tcBorders>
          </w:tcPr>
          <w:p w:rsidR="00767B1A" w:rsidRPr="00CB32B1" w:rsidRDefault="00767B1A" w:rsidP="00767B1A">
            <w:pPr>
              <w:pStyle w:val="TableTextNormal"/>
            </w:pPr>
            <w:r w:rsidRPr="00CB32B1">
              <w:t>Regulator of Midwives</w:t>
            </w:r>
          </w:p>
        </w:tc>
        <w:tc>
          <w:tcPr>
            <w:tcW w:w="3334" w:type="pct"/>
            <w:tcBorders>
              <w:top w:val="single" w:sz="6" w:space="0" w:color="DC6900" w:themeColor="text2"/>
            </w:tcBorders>
          </w:tcPr>
          <w:p w:rsidR="00767B1A" w:rsidRPr="00CB32B1" w:rsidRDefault="00767B1A" w:rsidP="00767B1A">
            <w:pPr>
              <w:pStyle w:val="TableTextNormal"/>
              <w:cnfStyle w:val="000000000000"/>
            </w:pPr>
            <w:r w:rsidRPr="00CB32B1">
              <w:t>Midwifery Council of New Zealand</w:t>
            </w:r>
          </w:p>
        </w:tc>
      </w:tr>
      <w:tr w:rsidR="00767B1A" w:rsidRPr="00CB32B1" w:rsidTr="00767B1A">
        <w:tc>
          <w:tcPr>
            <w:cnfStyle w:val="001000000000"/>
            <w:tcW w:w="1666" w:type="pct"/>
          </w:tcPr>
          <w:p w:rsidR="00767B1A" w:rsidRPr="00CB32B1" w:rsidRDefault="00767B1A" w:rsidP="00767B1A">
            <w:pPr>
              <w:pStyle w:val="TableTextNormal"/>
            </w:pPr>
            <w:r w:rsidRPr="00CB32B1">
              <w:t>Number of health professions regulated</w:t>
            </w:r>
          </w:p>
        </w:tc>
        <w:tc>
          <w:tcPr>
            <w:tcW w:w="3334" w:type="pct"/>
          </w:tcPr>
          <w:p w:rsidR="00767B1A" w:rsidRPr="00CB32B1" w:rsidRDefault="00767B1A" w:rsidP="00767B1A">
            <w:pPr>
              <w:pStyle w:val="TableTextNormal"/>
              <w:cnfStyle w:val="000000000000"/>
            </w:pPr>
            <w:r w:rsidRPr="00CB32B1">
              <w:t>1 – Midwives</w:t>
            </w:r>
          </w:p>
        </w:tc>
      </w:tr>
      <w:tr w:rsidR="00767B1A" w:rsidRPr="00CB32B1" w:rsidTr="00767B1A">
        <w:tc>
          <w:tcPr>
            <w:cnfStyle w:val="001000000000"/>
            <w:tcW w:w="1666" w:type="pct"/>
          </w:tcPr>
          <w:p w:rsidR="00767B1A" w:rsidRPr="00CB32B1" w:rsidRDefault="00767B1A" w:rsidP="00767B1A">
            <w:pPr>
              <w:pStyle w:val="TableTextNormal"/>
            </w:pPr>
            <w:r w:rsidRPr="00CB32B1">
              <w:t>Legislation established by</w:t>
            </w:r>
          </w:p>
        </w:tc>
        <w:tc>
          <w:tcPr>
            <w:tcW w:w="3334" w:type="pct"/>
          </w:tcPr>
          <w:p w:rsidR="00767B1A" w:rsidRPr="00CB32B1" w:rsidRDefault="00767B1A" w:rsidP="00767B1A">
            <w:pPr>
              <w:pStyle w:val="TableTextNormal"/>
              <w:cnfStyle w:val="000000000000"/>
            </w:pPr>
            <w:r w:rsidRPr="00CB32B1">
              <w:t xml:space="preserve">Set out under section 118 of the </w:t>
            </w:r>
            <w:r w:rsidRPr="004C4FF1">
              <w:rPr>
                <w:i/>
              </w:rPr>
              <w:t>Health Practitioners Competence Assurance Act 2003</w:t>
            </w:r>
          </w:p>
        </w:tc>
      </w:tr>
      <w:tr w:rsidR="00767B1A" w:rsidRPr="00CB32B1" w:rsidTr="00767B1A">
        <w:tc>
          <w:tcPr>
            <w:cnfStyle w:val="001000000000"/>
            <w:tcW w:w="1666" w:type="pct"/>
          </w:tcPr>
          <w:p w:rsidR="00767B1A" w:rsidRPr="00CB32B1" w:rsidRDefault="00767B1A" w:rsidP="00767B1A">
            <w:pPr>
              <w:pStyle w:val="TableTextNormal"/>
              <w:keepNext/>
              <w:keepLines/>
            </w:pPr>
            <w:r w:rsidRPr="00CB32B1">
              <w:t xml:space="preserve">Role of Regulator </w:t>
            </w:r>
          </w:p>
        </w:tc>
        <w:tc>
          <w:tcPr>
            <w:tcW w:w="3334" w:type="pct"/>
          </w:tcPr>
          <w:p w:rsidR="00767B1A" w:rsidRPr="00CB32B1" w:rsidRDefault="00767B1A" w:rsidP="00767B1A">
            <w:pPr>
              <w:pStyle w:val="TableBullet1Normal"/>
              <w:keepNext/>
              <w:keepLines/>
              <w:cnfStyle w:val="000000000000"/>
            </w:pPr>
            <w:r w:rsidRPr="00CB32B1">
              <w:t>Define the Midwifery Scope(s) of Practice and prescribe the qualifications required of registered midwives</w:t>
            </w:r>
          </w:p>
          <w:p w:rsidR="00767B1A" w:rsidRPr="00CB32B1" w:rsidRDefault="00767B1A" w:rsidP="00767B1A">
            <w:pPr>
              <w:pStyle w:val="TableBullet1Normal"/>
              <w:keepNext/>
              <w:keepLines/>
              <w:cnfStyle w:val="000000000000"/>
            </w:pPr>
            <w:r w:rsidRPr="00CB32B1">
              <w:t>Accredit and midwifery educational institutions and programmes</w:t>
            </w:r>
          </w:p>
          <w:p w:rsidR="00767B1A" w:rsidRPr="00CB32B1" w:rsidRDefault="00767B1A" w:rsidP="00767B1A">
            <w:pPr>
              <w:pStyle w:val="TableBullet1Normal"/>
              <w:keepNext/>
              <w:keepLines/>
              <w:cnfStyle w:val="000000000000"/>
            </w:pPr>
            <w:r w:rsidRPr="00CB32B1">
              <w:t>Maintain a public Register of midwives who have the required qualifications and are competent and fit to practise</w:t>
            </w:r>
          </w:p>
          <w:p w:rsidR="00767B1A" w:rsidRPr="00CB32B1" w:rsidRDefault="00767B1A" w:rsidP="00767B1A">
            <w:pPr>
              <w:pStyle w:val="TableBullet1Normal"/>
              <w:keepNext/>
              <w:keepLines/>
              <w:cnfStyle w:val="000000000000"/>
            </w:pPr>
            <w:r w:rsidRPr="00CB32B1">
              <w:t>Issue practising certificates to midwives who maintain their competence</w:t>
            </w:r>
          </w:p>
          <w:p w:rsidR="00767B1A" w:rsidRPr="00CB32B1" w:rsidRDefault="00767B1A" w:rsidP="00767B1A">
            <w:pPr>
              <w:pStyle w:val="TableBullet1Normal"/>
              <w:keepNext/>
              <w:keepLines/>
              <w:cnfStyle w:val="000000000000"/>
            </w:pPr>
            <w:r w:rsidRPr="00CB32B1">
              <w:t>Establish programmes to assess and promote midwives’ ongoing competence</w:t>
            </w:r>
          </w:p>
          <w:p w:rsidR="00767B1A" w:rsidRPr="00CB32B1" w:rsidRDefault="00767B1A" w:rsidP="00767B1A">
            <w:pPr>
              <w:pStyle w:val="TableBullet1Normal"/>
              <w:keepNext/>
              <w:keepLines/>
              <w:cnfStyle w:val="000000000000"/>
            </w:pPr>
            <w:r w:rsidRPr="00CB32B1">
              <w:t>Deal with complaints and concerns about midwives’ conduct, competence and health</w:t>
            </w:r>
          </w:p>
          <w:p w:rsidR="00767B1A" w:rsidRPr="00CB32B1" w:rsidRDefault="00767B1A" w:rsidP="00767B1A">
            <w:pPr>
              <w:pStyle w:val="TableBullet1Normal"/>
              <w:keepNext/>
              <w:keepLines/>
              <w:cnfStyle w:val="000000000000"/>
            </w:pPr>
            <w:r w:rsidRPr="00CB32B1">
              <w:t>Set the midwifery profession’s standards for clinical and cultural competence and ethical conduct</w:t>
            </w:r>
          </w:p>
          <w:p w:rsidR="00767B1A" w:rsidRPr="00CB32B1" w:rsidRDefault="00767B1A" w:rsidP="00767B1A">
            <w:pPr>
              <w:pStyle w:val="TableBullet1Normal"/>
              <w:keepNext/>
              <w:keepLines/>
              <w:cnfStyle w:val="000000000000"/>
            </w:pPr>
            <w:r w:rsidRPr="00CB32B1">
              <w:t>Promote education and training in midwifery</w:t>
            </w:r>
          </w:p>
          <w:p w:rsidR="00767B1A" w:rsidRPr="00CB32B1" w:rsidDel="001319AC" w:rsidRDefault="00767B1A" w:rsidP="00767B1A">
            <w:pPr>
              <w:pStyle w:val="TableBullet1Normal"/>
              <w:keepNext/>
              <w:keepLines/>
              <w:cnfStyle w:val="000000000000"/>
            </w:pPr>
            <w:r w:rsidRPr="00CB32B1">
              <w:t>Promote public awareness of the Council’s responsibilities</w:t>
            </w:r>
          </w:p>
        </w:tc>
      </w:tr>
      <w:tr w:rsidR="00767B1A" w:rsidRPr="00CB32B1" w:rsidTr="00767B1A">
        <w:tc>
          <w:tcPr>
            <w:cnfStyle w:val="001000000000"/>
            <w:tcW w:w="1666" w:type="pct"/>
          </w:tcPr>
          <w:p w:rsidR="00767B1A" w:rsidRPr="00CB32B1" w:rsidRDefault="00767B1A" w:rsidP="00767B1A">
            <w:pPr>
              <w:pStyle w:val="TableTextNormal"/>
            </w:pPr>
            <w:r w:rsidRPr="00CB32B1">
              <w:t>Registration with regulator</w:t>
            </w:r>
          </w:p>
        </w:tc>
        <w:tc>
          <w:tcPr>
            <w:tcW w:w="3334" w:type="pct"/>
          </w:tcPr>
          <w:p w:rsidR="00767B1A" w:rsidRPr="00CB32B1" w:rsidRDefault="00767B1A" w:rsidP="00767B1A">
            <w:pPr>
              <w:pStyle w:val="TableTextNormal"/>
              <w:cnfStyle w:val="000000000000"/>
            </w:pPr>
            <w:r w:rsidRPr="00CB32B1">
              <w:t>Yes</w:t>
            </w:r>
          </w:p>
        </w:tc>
      </w:tr>
      <w:tr w:rsidR="00767B1A" w:rsidRPr="00CB32B1" w:rsidTr="00767B1A">
        <w:tc>
          <w:tcPr>
            <w:cnfStyle w:val="001000000000"/>
            <w:tcW w:w="1666" w:type="pct"/>
          </w:tcPr>
          <w:p w:rsidR="00767B1A" w:rsidRPr="00CB32B1" w:rsidRDefault="00767B1A" w:rsidP="00767B1A">
            <w:pPr>
              <w:pStyle w:val="TableTextNormal"/>
            </w:pPr>
            <w:r w:rsidRPr="00CB32B1">
              <w:t>Registration is required to practice as a midwife</w:t>
            </w:r>
          </w:p>
        </w:tc>
        <w:tc>
          <w:tcPr>
            <w:tcW w:w="3334" w:type="pct"/>
          </w:tcPr>
          <w:p w:rsidR="00767B1A" w:rsidRPr="00CB32B1" w:rsidRDefault="00767B1A" w:rsidP="00767B1A">
            <w:pPr>
              <w:pStyle w:val="TableTextNormal"/>
              <w:cnfStyle w:val="000000000000"/>
            </w:pPr>
            <w:r w:rsidRPr="00CB32B1">
              <w:t>Yes all midwives must have practising certificates</w:t>
            </w:r>
          </w:p>
        </w:tc>
      </w:tr>
      <w:tr w:rsidR="00767B1A" w:rsidRPr="00CB32B1" w:rsidTr="00767B1A">
        <w:tc>
          <w:tcPr>
            <w:cnfStyle w:val="001000000000"/>
            <w:tcW w:w="1666" w:type="pct"/>
          </w:tcPr>
          <w:p w:rsidR="00767B1A" w:rsidRPr="00CB32B1" w:rsidRDefault="00767B1A" w:rsidP="00767B1A">
            <w:pPr>
              <w:pStyle w:val="TableTextNormal"/>
            </w:pPr>
            <w:r w:rsidRPr="00CB32B1">
              <w:t>Specific registration requirements for private practice</w:t>
            </w:r>
          </w:p>
        </w:tc>
        <w:tc>
          <w:tcPr>
            <w:tcW w:w="3334" w:type="pct"/>
          </w:tcPr>
          <w:p w:rsidR="00767B1A" w:rsidRPr="00CB32B1" w:rsidRDefault="00767B1A" w:rsidP="00767B1A">
            <w:pPr>
              <w:pStyle w:val="TableTextNormal"/>
              <w:cnfStyle w:val="000000000000"/>
            </w:pPr>
            <w:r w:rsidRPr="00CB32B1">
              <w:t>No</w:t>
            </w:r>
          </w:p>
        </w:tc>
      </w:tr>
      <w:tr w:rsidR="00767B1A" w:rsidRPr="00CB32B1" w:rsidTr="00767B1A">
        <w:tc>
          <w:tcPr>
            <w:cnfStyle w:val="001000000000"/>
            <w:tcW w:w="1666" w:type="pct"/>
          </w:tcPr>
          <w:p w:rsidR="00767B1A" w:rsidRPr="00CB32B1" w:rsidRDefault="00767B1A" w:rsidP="00767B1A">
            <w:pPr>
              <w:pStyle w:val="TableTextNormal"/>
            </w:pPr>
            <w:r w:rsidRPr="00CB32B1">
              <w:t>Number of midwives on register</w:t>
            </w:r>
          </w:p>
        </w:tc>
        <w:tc>
          <w:tcPr>
            <w:tcW w:w="3334" w:type="pct"/>
          </w:tcPr>
          <w:p w:rsidR="00767B1A" w:rsidRPr="00CB32B1" w:rsidRDefault="00767B1A" w:rsidP="00767B1A">
            <w:pPr>
              <w:pStyle w:val="TableTextNormal"/>
              <w:cnfStyle w:val="000000000000"/>
            </w:pPr>
            <w:r w:rsidRPr="00CB32B1">
              <w:t>2,910 midwives in 201</w:t>
            </w:r>
            <w:r w:rsidR="004A25D1">
              <w:t>2 with a practising certificate</w:t>
            </w:r>
            <w:r w:rsidRPr="00CB32B1">
              <w:rPr>
                <w:vertAlign w:val="superscript"/>
              </w:rPr>
              <w:footnoteReference w:id="395"/>
            </w:r>
          </w:p>
        </w:tc>
      </w:tr>
      <w:tr w:rsidR="00767B1A" w:rsidRPr="00CB32B1" w:rsidTr="00767B1A">
        <w:tc>
          <w:tcPr>
            <w:cnfStyle w:val="001000000000"/>
            <w:tcW w:w="1666" w:type="pct"/>
          </w:tcPr>
          <w:p w:rsidR="00767B1A" w:rsidRPr="00CB32B1" w:rsidRDefault="00767B1A" w:rsidP="00767B1A">
            <w:pPr>
              <w:pStyle w:val="TableTextNormal"/>
            </w:pPr>
            <w:r w:rsidRPr="00CB32B1">
              <w:t xml:space="preserve">Other registers available </w:t>
            </w:r>
          </w:p>
        </w:tc>
        <w:tc>
          <w:tcPr>
            <w:tcW w:w="3334" w:type="pct"/>
          </w:tcPr>
          <w:p w:rsidR="00767B1A" w:rsidRPr="00CB32B1" w:rsidRDefault="00767B1A" w:rsidP="00767B1A">
            <w:pPr>
              <w:pStyle w:val="TableTextNormal"/>
              <w:cnfStyle w:val="000000000000"/>
            </w:pPr>
            <w:r w:rsidRPr="00CB32B1">
              <w:t>No</w:t>
            </w:r>
          </w:p>
        </w:tc>
      </w:tr>
      <w:tr w:rsidR="00767B1A" w:rsidRPr="00CB32B1" w:rsidTr="00767B1A">
        <w:tc>
          <w:tcPr>
            <w:cnfStyle w:val="001000000000"/>
            <w:tcW w:w="1666" w:type="pct"/>
          </w:tcPr>
          <w:p w:rsidR="00767B1A" w:rsidRPr="00CB32B1" w:rsidRDefault="00767B1A" w:rsidP="00767B1A">
            <w:pPr>
              <w:pStyle w:val="TableTextNormal"/>
            </w:pPr>
            <w:r w:rsidRPr="00CB32B1">
              <w:t>Code of conduct</w:t>
            </w:r>
          </w:p>
        </w:tc>
        <w:tc>
          <w:tcPr>
            <w:tcW w:w="3334" w:type="pct"/>
          </w:tcPr>
          <w:p w:rsidR="00767B1A" w:rsidRPr="00CB32B1" w:rsidRDefault="00767B1A" w:rsidP="00767B1A">
            <w:pPr>
              <w:pStyle w:val="TableTextNormal"/>
              <w:cnfStyle w:val="000000000000"/>
            </w:pPr>
            <w:r w:rsidRPr="00CB32B1">
              <w:t>Midwifery Council of New Zealand, Code of Conduct</w:t>
            </w:r>
          </w:p>
        </w:tc>
      </w:tr>
    </w:tbl>
    <w:p w:rsidR="00767B1A" w:rsidRPr="00CB32B1" w:rsidRDefault="00767B1A" w:rsidP="00767B1A">
      <w:pPr>
        <w:pStyle w:val="Sources"/>
      </w:pPr>
      <w:r w:rsidRPr="00CB32B1">
        <w:rPr>
          <w:b/>
        </w:rPr>
        <w:t>Source</w:t>
      </w:r>
      <w:r w:rsidR="000A7B59" w:rsidRPr="00CB32B1">
        <w:rPr>
          <w:b/>
        </w:rPr>
        <w:t>s</w:t>
      </w:r>
      <w:r w:rsidRPr="00CB32B1">
        <w:rPr>
          <w:b/>
        </w:rPr>
        <w:t>:</w:t>
      </w:r>
      <w:r w:rsidRPr="00CB32B1">
        <w:t xml:space="preserve"> Midwifery Council </w:t>
      </w:r>
      <w:r w:rsidR="00E952DC">
        <w:t>of New Zealand,</w:t>
      </w:r>
      <w:r w:rsidRPr="00CB32B1">
        <w:t xml:space="preserve"> 2012, </w:t>
      </w:r>
      <w:r w:rsidR="00E952DC">
        <w:t>2013a</w:t>
      </w:r>
      <w:r w:rsidR="004C4FF1">
        <w:t>,</w:t>
      </w:r>
      <w:r w:rsidR="00E952DC">
        <w:t xml:space="preserve"> 2013b.</w:t>
      </w:r>
    </w:p>
    <w:p w:rsidR="00767B1A" w:rsidRPr="00CB32B1" w:rsidRDefault="00767B1A" w:rsidP="00767B1A">
      <w:pPr>
        <w:pStyle w:val="Majorheading"/>
      </w:pPr>
      <w:r w:rsidRPr="00CB32B1">
        <w:t>5.</w:t>
      </w:r>
      <w:r w:rsidRPr="00CB32B1">
        <w:tab/>
        <w:t>Insurance market</w:t>
      </w:r>
    </w:p>
    <w:p w:rsidR="00767B1A" w:rsidRPr="00CB32B1" w:rsidRDefault="00767B1A" w:rsidP="00767B1A">
      <w:pPr>
        <w:pStyle w:val="Minorheading"/>
      </w:pPr>
      <w:r w:rsidRPr="00CB32B1">
        <w:t>Overview of insurance systems</w:t>
      </w:r>
    </w:p>
    <w:p w:rsidR="00767B1A" w:rsidRPr="00CB32B1" w:rsidRDefault="00767B1A" w:rsidP="00767B1A">
      <w:pPr>
        <w:pStyle w:val="PwCNormal"/>
        <w:keepNext/>
        <w:keepLines/>
      </w:pPr>
      <w:r w:rsidRPr="00CB32B1">
        <w:t xml:space="preserve">An overview of each insurance system saw that different systems had components which could impact the product offered. Key components outlined in </w:t>
      </w:r>
      <w:r w:rsidR="009129A6">
        <w:fldChar w:fldCharType="begin"/>
      </w:r>
      <w:r w:rsidR="009A0649">
        <w:instrText xml:space="preserve"> REF _Ref362893886 \h </w:instrText>
      </w:r>
      <w:r w:rsidR="009129A6">
        <w:fldChar w:fldCharType="separate"/>
      </w:r>
      <w:r w:rsidR="008816B4" w:rsidRPr="00CB32B1">
        <w:t xml:space="preserve">Table </w:t>
      </w:r>
      <w:r w:rsidR="008816B4">
        <w:rPr>
          <w:noProof/>
        </w:rPr>
        <w:t>66</w:t>
      </w:r>
      <w:r w:rsidR="009129A6">
        <w:fldChar w:fldCharType="end"/>
      </w:r>
      <w:r w:rsidR="009A0649">
        <w:t xml:space="preserve"> </w:t>
      </w:r>
      <w:r w:rsidRPr="00CB32B1">
        <w:t>include:</w:t>
      </w:r>
    </w:p>
    <w:p w:rsidR="00767B1A" w:rsidRPr="00CB32B1" w:rsidRDefault="00767B1A" w:rsidP="00767B1A">
      <w:pPr>
        <w:pStyle w:val="ListBullet"/>
        <w:keepNext/>
        <w:keepLines/>
      </w:pPr>
      <w:r w:rsidRPr="00CB32B1">
        <w:t>Compulsory social insurance is mandated in the Netherlands as well as a co-payment for insurance. The Netherlands has multiple insurers in the market for intrapartum care</w:t>
      </w:r>
    </w:p>
    <w:p w:rsidR="00767B1A" w:rsidRPr="00CB32B1" w:rsidRDefault="00767B1A" w:rsidP="00767B1A">
      <w:pPr>
        <w:pStyle w:val="ListBullet"/>
        <w:keepNext/>
        <w:keepLines/>
      </w:pPr>
      <w:r w:rsidRPr="00CB32B1">
        <w:t xml:space="preserve">Publicly funded care operating in </w:t>
      </w:r>
      <w:r w:rsidR="009A0649">
        <w:t xml:space="preserve">the province of </w:t>
      </w:r>
      <w:r w:rsidRPr="00CB32B1">
        <w:t>Ontario</w:t>
      </w:r>
      <w:r w:rsidR="009A0649">
        <w:t xml:space="preserve"> a</w:t>
      </w:r>
      <w:r w:rsidRPr="00CB32B1">
        <w:t xml:space="preserve">nd New Zealand involve an insurer who provides a product. Both products are negotiated through midwifery organisations either through the AOM in </w:t>
      </w:r>
      <w:r w:rsidR="009A0649">
        <w:t xml:space="preserve">the province of </w:t>
      </w:r>
      <w:r w:rsidRPr="00CB32B1">
        <w:t xml:space="preserve">Ontario </w:t>
      </w:r>
      <w:r w:rsidR="00CB1BAB" w:rsidRPr="00CB32B1">
        <w:t>or through NZCOM in New Zealand</w:t>
      </w:r>
    </w:p>
    <w:p w:rsidR="00767B1A" w:rsidRPr="00CB32B1" w:rsidRDefault="00767B1A" w:rsidP="00767B1A">
      <w:pPr>
        <w:pStyle w:val="ListBullet"/>
      </w:pPr>
      <w:r w:rsidRPr="00CB32B1">
        <w:t>England does not require independent practice to have insurance. Insurance can be provided to independent midwives but under a group practice model rather than as sole operators.</w:t>
      </w:r>
    </w:p>
    <w:p w:rsidR="00767B1A" w:rsidRPr="00CB32B1" w:rsidRDefault="00767B1A" w:rsidP="00767B1A">
      <w:pPr>
        <w:pStyle w:val="Caption"/>
      </w:pPr>
      <w:bookmarkStart w:id="185" w:name="_Ref362893886"/>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66</w:t>
      </w:r>
      <w:r w:rsidR="009129A6" w:rsidRPr="00CB32B1">
        <w:fldChar w:fldCharType="end"/>
      </w:r>
      <w:bookmarkEnd w:id="185"/>
      <w:r w:rsidRPr="00CB32B1">
        <w:t>:</w:t>
      </w:r>
      <w:r w:rsidRPr="00CB32B1">
        <w:tab/>
        <w:t>Overview of insurance systems</w:t>
      </w:r>
    </w:p>
    <w:tbl>
      <w:tblPr>
        <w:tblStyle w:val="PwCTableStyle1"/>
        <w:tblW w:w="5000" w:type="pct"/>
        <w:tblLook w:val="04A0"/>
      </w:tblPr>
      <w:tblGrid>
        <w:gridCol w:w="2416"/>
        <w:gridCol w:w="1408"/>
        <w:gridCol w:w="1146"/>
        <w:gridCol w:w="1222"/>
        <w:gridCol w:w="1918"/>
        <w:gridCol w:w="1175"/>
      </w:tblGrid>
      <w:tr w:rsidR="009A0649" w:rsidRPr="00CB32B1" w:rsidTr="009A0649">
        <w:trPr>
          <w:cnfStyle w:val="100000000000"/>
        </w:trPr>
        <w:tc>
          <w:tcPr>
            <w:cnfStyle w:val="001000000000"/>
            <w:tcW w:w="1301" w:type="pct"/>
            <w:tcBorders>
              <w:bottom w:val="single" w:sz="6" w:space="0" w:color="DC6900" w:themeColor="text2"/>
              <w:right w:val="single" w:sz="6" w:space="0" w:color="FFFFFF" w:themeColor="background2"/>
            </w:tcBorders>
            <w:shd w:val="clear" w:color="auto" w:fill="DC6900" w:themeFill="text2"/>
          </w:tcPr>
          <w:p w:rsidR="009A0649" w:rsidRPr="00CB32B1" w:rsidRDefault="009A0649" w:rsidP="00747120">
            <w:pPr>
              <w:pStyle w:val="TableColumnHeadingNormal"/>
              <w:jc w:val="center"/>
            </w:pPr>
          </w:p>
        </w:tc>
        <w:tc>
          <w:tcPr>
            <w:tcW w:w="758"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hideMark/>
          </w:tcPr>
          <w:p w:rsidR="009A0649" w:rsidRPr="00CB32B1" w:rsidRDefault="009A0649" w:rsidP="00747120">
            <w:pPr>
              <w:pStyle w:val="TableColumnHeadingNormal"/>
              <w:jc w:val="center"/>
              <w:cnfStyle w:val="100000000000"/>
            </w:pPr>
            <w:r w:rsidRPr="00CB32B1">
              <w:t>Australia</w:t>
            </w:r>
          </w:p>
        </w:tc>
        <w:tc>
          <w:tcPr>
            <w:tcW w:w="617"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tcPr>
          <w:p w:rsidR="009A0649" w:rsidRPr="00CB32B1" w:rsidRDefault="009A0649" w:rsidP="009A0649">
            <w:pPr>
              <w:pStyle w:val="TableColumnHeadingNormal"/>
              <w:jc w:val="center"/>
              <w:cnfStyle w:val="100000000000"/>
            </w:pPr>
            <w:r w:rsidRPr="00CB32B1">
              <w:t>England</w:t>
            </w:r>
          </w:p>
        </w:tc>
        <w:tc>
          <w:tcPr>
            <w:tcW w:w="658"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hideMark/>
          </w:tcPr>
          <w:p w:rsidR="009A0649" w:rsidRPr="00CB32B1" w:rsidRDefault="009A0649" w:rsidP="00747120">
            <w:pPr>
              <w:pStyle w:val="TableColumnHeadingNormal"/>
              <w:jc w:val="center"/>
              <w:cnfStyle w:val="100000000000"/>
            </w:pPr>
            <w:r w:rsidRPr="00CB32B1">
              <w:t>Ontario, Canada</w:t>
            </w:r>
          </w:p>
        </w:tc>
        <w:tc>
          <w:tcPr>
            <w:tcW w:w="1033"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hideMark/>
          </w:tcPr>
          <w:p w:rsidR="009A0649" w:rsidRPr="00CB32B1" w:rsidRDefault="009A0649" w:rsidP="00747120">
            <w:pPr>
              <w:pStyle w:val="TableColumnHeadingNormal"/>
              <w:jc w:val="center"/>
              <w:cnfStyle w:val="100000000000"/>
            </w:pPr>
            <w:r w:rsidRPr="00CB32B1">
              <w:t>the Netherlands</w:t>
            </w:r>
          </w:p>
        </w:tc>
        <w:tc>
          <w:tcPr>
            <w:tcW w:w="633"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hideMark/>
          </w:tcPr>
          <w:p w:rsidR="009A0649" w:rsidRPr="00CB32B1" w:rsidRDefault="009A0649" w:rsidP="00747120">
            <w:pPr>
              <w:pStyle w:val="TableColumnHeadingNormal"/>
              <w:jc w:val="center"/>
              <w:cnfStyle w:val="100000000000"/>
            </w:pPr>
            <w:r w:rsidRPr="00CB32B1">
              <w:t>New Zealand</w:t>
            </w:r>
          </w:p>
        </w:tc>
      </w:tr>
      <w:tr w:rsidR="009A0649" w:rsidRPr="00CB32B1" w:rsidTr="009A0649">
        <w:tc>
          <w:tcPr>
            <w:cnfStyle w:val="001000000000"/>
            <w:tcW w:w="1301" w:type="pct"/>
            <w:tcBorders>
              <w:top w:val="single" w:sz="6" w:space="0" w:color="DC6900" w:themeColor="text2"/>
            </w:tcBorders>
            <w:hideMark/>
          </w:tcPr>
          <w:p w:rsidR="009A0649" w:rsidRPr="00CB32B1" w:rsidRDefault="009A0649" w:rsidP="00767B1A">
            <w:pPr>
              <w:pStyle w:val="TableTextNormal"/>
            </w:pPr>
            <w:r w:rsidRPr="00CB32B1">
              <w:t>Publicly-funded</w:t>
            </w:r>
          </w:p>
        </w:tc>
        <w:tc>
          <w:tcPr>
            <w:tcW w:w="758" w:type="pct"/>
            <w:tcBorders>
              <w:top w:val="single" w:sz="6" w:space="0" w:color="DC6900" w:themeColor="text2"/>
            </w:tcBorders>
            <w:hideMark/>
          </w:tcPr>
          <w:p w:rsidR="009A0649" w:rsidRPr="00CB32B1" w:rsidRDefault="009A0649" w:rsidP="00767B1A">
            <w:pPr>
              <w:pStyle w:val="TableTextNormal"/>
              <w:cnfStyle w:val="000000000000"/>
            </w:pPr>
            <w:r w:rsidRPr="00CB32B1">
              <w:t>If eligible midwife</w:t>
            </w:r>
          </w:p>
        </w:tc>
        <w:tc>
          <w:tcPr>
            <w:tcW w:w="617" w:type="pct"/>
            <w:tcBorders>
              <w:top w:val="single" w:sz="6" w:space="0" w:color="DC6900" w:themeColor="text2"/>
            </w:tcBorders>
          </w:tcPr>
          <w:p w:rsidR="009A0649" w:rsidRPr="00CB32B1" w:rsidRDefault="009A0649" w:rsidP="007927DB">
            <w:pPr>
              <w:pStyle w:val="TableTextNormal"/>
              <w:cnfStyle w:val="000000000000"/>
            </w:pPr>
            <w:r w:rsidRPr="00CB32B1">
              <w:t>No</w:t>
            </w:r>
          </w:p>
        </w:tc>
        <w:tc>
          <w:tcPr>
            <w:tcW w:w="658" w:type="pct"/>
            <w:tcBorders>
              <w:top w:val="single" w:sz="6" w:space="0" w:color="DC6900" w:themeColor="text2"/>
            </w:tcBorders>
          </w:tcPr>
          <w:p w:rsidR="009A0649" w:rsidRPr="00CB32B1" w:rsidRDefault="009A0649" w:rsidP="00767B1A">
            <w:pPr>
              <w:pStyle w:val="TableTextNormal"/>
              <w:cnfStyle w:val="000000000000"/>
            </w:pPr>
            <w:r w:rsidRPr="00CB32B1">
              <w:t>Yes</w:t>
            </w:r>
          </w:p>
        </w:tc>
        <w:tc>
          <w:tcPr>
            <w:tcW w:w="1033" w:type="pct"/>
            <w:tcBorders>
              <w:top w:val="single" w:sz="6" w:space="0" w:color="DC6900" w:themeColor="text2"/>
            </w:tcBorders>
            <w:hideMark/>
          </w:tcPr>
          <w:p w:rsidR="009A0649" w:rsidRPr="00CB32B1" w:rsidRDefault="009A0649" w:rsidP="00767B1A">
            <w:pPr>
              <w:pStyle w:val="TableTextNormal"/>
              <w:cnfStyle w:val="000000000000"/>
            </w:pPr>
            <w:r w:rsidRPr="00CB32B1">
              <w:t>No</w:t>
            </w:r>
          </w:p>
        </w:tc>
        <w:tc>
          <w:tcPr>
            <w:tcW w:w="633" w:type="pct"/>
            <w:tcBorders>
              <w:top w:val="single" w:sz="6" w:space="0" w:color="DC6900" w:themeColor="text2"/>
            </w:tcBorders>
            <w:hideMark/>
          </w:tcPr>
          <w:p w:rsidR="009A0649" w:rsidRPr="00CB32B1" w:rsidRDefault="009A0649" w:rsidP="00767B1A">
            <w:pPr>
              <w:pStyle w:val="TableTextNormal"/>
              <w:cnfStyle w:val="000000000000"/>
            </w:pPr>
            <w:r w:rsidRPr="00CB32B1">
              <w:t>Yes</w:t>
            </w:r>
          </w:p>
        </w:tc>
      </w:tr>
      <w:tr w:rsidR="009A0649" w:rsidRPr="00CB32B1" w:rsidTr="009A0649">
        <w:tc>
          <w:tcPr>
            <w:cnfStyle w:val="001000000000"/>
            <w:tcW w:w="1301" w:type="pct"/>
          </w:tcPr>
          <w:p w:rsidR="009A0649" w:rsidRPr="00CB32B1" w:rsidRDefault="009A0649" w:rsidP="00767B1A">
            <w:pPr>
              <w:pStyle w:val="TableTextNormal"/>
            </w:pPr>
            <w:r w:rsidRPr="00CB32B1">
              <w:t>Co-payment for insurance</w:t>
            </w:r>
          </w:p>
        </w:tc>
        <w:tc>
          <w:tcPr>
            <w:tcW w:w="758" w:type="pct"/>
          </w:tcPr>
          <w:p w:rsidR="009A0649" w:rsidRPr="00CB32B1" w:rsidRDefault="009A0649" w:rsidP="00767B1A">
            <w:pPr>
              <w:pStyle w:val="TableTextNormal"/>
              <w:cnfStyle w:val="000000000000"/>
            </w:pPr>
            <w:r w:rsidRPr="00CB32B1">
              <w:t>No</w:t>
            </w:r>
          </w:p>
        </w:tc>
        <w:tc>
          <w:tcPr>
            <w:tcW w:w="617" w:type="pct"/>
          </w:tcPr>
          <w:p w:rsidR="009A0649" w:rsidRPr="00CB32B1" w:rsidRDefault="009A0649" w:rsidP="007927DB">
            <w:pPr>
              <w:pStyle w:val="TableTextNormal"/>
              <w:cnfStyle w:val="000000000000"/>
            </w:pPr>
            <w:r w:rsidRPr="00CB32B1">
              <w:t>No</w:t>
            </w:r>
          </w:p>
        </w:tc>
        <w:tc>
          <w:tcPr>
            <w:tcW w:w="658" w:type="pct"/>
          </w:tcPr>
          <w:p w:rsidR="009A0649" w:rsidRPr="00CB32B1" w:rsidRDefault="009A0649" w:rsidP="00767B1A">
            <w:pPr>
              <w:pStyle w:val="TableTextNormal"/>
              <w:cnfStyle w:val="000000000000"/>
            </w:pPr>
            <w:r w:rsidRPr="00CB32B1">
              <w:t>No</w:t>
            </w:r>
          </w:p>
        </w:tc>
        <w:tc>
          <w:tcPr>
            <w:tcW w:w="1033" w:type="pct"/>
          </w:tcPr>
          <w:p w:rsidR="009A0649" w:rsidRPr="00CB32B1" w:rsidRDefault="009A0649" w:rsidP="00767B1A">
            <w:pPr>
              <w:pStyle w:val="TableTextNormal"/>
              <w:cnfStyle w:val="000000000000"/>
            </w:pPr>
            <w:r w:rsidRPr="00CB32B1">
              <w:t>Yes</w:t>
            </w:r>
          </w:p>
        </w:tc>
        <w:tc>
          <w:tcPr>
            <w:tcW w:w="633" w:type="pct"/>
          </w:tcPr>
          <w:p w:rsidR="009A0649" w:rsidRPr="00CB32B1" w:rsidRDefault="009A0649" w:rsidP="00767B1A">
            <w:pPr>
              <w:pStyle w:val="TableTextNormal"/>
              <w:cnfStyle w:val="000000000000"/>
            </w:pPr>
            <w:r w:rsidRPr="00CB32B1">
              <w:t>No</w:t>
            </w:r>
          </w:p>
        </w:tc>
      </w:tr>
      <w:tr w:rsidR="009A0649" w:rsidRPr="00CB32B1" w:rsidTr="009A0649">
        <w:tc>
          <w:tcPr>
            <w:cnfStyle w:val="001000000000"/>
            <w:tcW w:w="1301" w:type="pct"/>
          </w:tcPr>
          <w:p w:rsidR="009A0649" w:rsidRPr="00CB32B1" w:rsidRDefault="009A0649" w:rsidP="00767B1A">
            <w:pPr>
              <w:pStyle w:val="TableTextNormal"/>
            </w:pPr>
            <w:r w:rsidRPr="00CB32B1">
              <w:t>Liability or indemnity insurance required for private or independent midwives providing homebirth</w:t>
            </w:r>
          </w:p>
        </w:tc>
        <w:tc>
          <w:tcPr>
            <w:tcW w:w="758" w:type="pct"/>
          </w:tcPr>
          <w:p w:rsidR="009A0649" w:rsidRPr="00CB32B1" w:rsidRDefault="009A0649" w:rsidP="00767B1A">
            <w:pPr>
              <w:pStyle w:val="TableTextNormal"/>
              <w:cnfStyle w:val="000000000000"/>
            </w:pPr>
            <w:r w:rsidRPr="00CB32B1">
              <w:t>No – current exemption in Law</w:t>
            </w:r>
          </w:p>
        </w:tc>
        <w:tc>
          <w:tcPr>
            <w:tcW w:w="617" w:type="pct"/>
          </w:tcPr>
          <w:p w:rsidR="009A0649" w:rsidRPr="00CB32B1" w:rsidRDefault="009A0649" w:rsidP="007927DB">
            <w:pPr>
              <w:pStyle w:val="TableTextNormal"/>
              <w:cnfStyle w:val="000000000000"/>
            </w:pPr>
            <w:r w:rsidRPr="00CB32B1">
              <w:t>No</w:t>
            </w:r>
          </w:p>
        </w:tc>
        <w:tc>
          <w:tcPr>
            <w:tcW w:w="658" w:type="pct"/>
          </w:tcPr>
          <w:p w:rsidR="009A0649" w:rsidRPr="00CB32B1" w:rsidRDefault="009A0649" w:rsidP="00767B1A">
            <w:pPr>
              <w:pStyle w:val="TableTextNormal"/>
              <w:cnfStyle w:val="000000000000"/>
            </w:pPr>
            <w:r w:rsidRPr="00CB32B1">
              <w:t>Yes</w:t>
            </w:r>
          </w:p>
        </w:tc>
        <w:tc>
          <w:tcPr>
            <w:tcW w:w="1033" w:type="pct"/>
          </w:tcPr>
          <w:p w:rsidR="009A0649" w:rsidRPr="00CB32B1" w:rsidRDefault="009A0649" w:rsidP="00767B1A">
            <w:pPr>
              <w:pStyle w:val="TableTextNormal"/>
              <w:cnfStyle w:val="000000000000"/>
            </w:pPr>
            <w:r w:rsidRPr="00CB32B1">
              <w:t>No but difficult to get registered without insurance</w:t>
            </w:r>
          </w:p>
        </w:tc>
        <w:tc>
          <w:tcPr>
            <w:tcW w:w="633" w:type="pct"/>
          </w:tcPr>
          <w:p w:rsidR="009A0649" w:rsidRPr="00CB32B1" w:rsidRDefault="009A0649" w:rsidP="00767B1A">
            <w:pPr>
              <w:pStyle w:val="TableTextNormal"/>
              <w:cnfStyle w:val="000000000000"/>
            </w:pPr>
            <w:r w:rsidRPr="00CB32B1">
              <w:t>Yes</w:t>
            </w:r>
          </w:p>
        </w:tc>
      </w:tr>
      <w:tr w:rsidR="009A0649" w:rsidRPr="00CB32B1" w:rsidTr="009A0649">
        <w:tc>
          <w:tcPr>
            <w:cnfStyle w:val="001000000000"/>
            <w:tcW w:w="1301" w:type="pct"/>
          </w:tcPr>
          <w:p w:rsidR="009A0649" w:rsidRPr="00CB32B1" w:rsidRDefault="009A0649" w:rsidP="00767B1A">
            <w:pPr>
              <w:pStyle w:val="TableTextNormal"/>
            </w:pPr>
            <w:r w:rsidRPr="00CB32B1">
              <w:t>Number of insurers for sole-operators providing intrapartum care</w:t>
            </w:r>
          </w:p>
        </w:tc>
        <w:tc>
          <w:tcPr>
            <w:tcW w:w="758" w:type="pct"/>
          </w:tcPr>
          <w:p w:rsidR="009A0649" w:rsidRPr="00CB32B1" w:rsidRDefault="009A0649" w:rsidP="00767B1A">
            <w:pPr>
              <w:pStyle w:val="TableTextNormal"/>
              <w:cnfStyle w:val="000000000000"/>
            </w:pPr>
            <w:r w:rsidRPr="00CB32B1">
              <w:t>None</w:t>
            </w:r>
          </w:p>
        </w:tc>
        <w:tc>
          <w:tcPr>
            <w:tcW w:w="617" w:type="pct"/>
          </w:tcPr>
          <w:p w:rsidR="009A0649" w:rsidRPr="00CB32B1" w:rsidRDefault="009A0649" w:rsidP="007927DB">
            <w:pPr>
              <w:pStyle w:val="TableTextNormal"/>
              <w:cnfStyle w:val="000000000000"/>
            </w:pPr>
            <w:r w:rsidRPr="00CB32B1">
              <w:t>None</w:t>
            </w:r>
          </w:p>
        </w:tc>
        <w:tc>
          <w:tcPr>
            <w:tcW w:w="658" w:type="pct"/>
          </w:tcPr>
          <w:p w:rsidR="009A0649" w:rsidRPr="00CB32B1" w:rsidRDefault="009A0649" w:rsidP="00767B1A">
            <w:pPr>
              <w:pStyle w:val="TableTextNormal"/>
              <w:cnfStyle w:val="000000000000"/>
            </w:pPr>
            <w:r>
              <w:t>One</w:t>
            </w:r>
          </w:p>
        </w:tc>
        <w:tc>
          <w:tcPr>
            <w:tcW w:w="1033" w:type="pct"/>
          </w:tcPr>
          <w:p w:rsidR="009A0649" w:rsidRPr="00CB32B1" w:rsidRDefault="009A0649" w:rsidP="00767B1A">
            <w:pPr>
              <w:pStyle w:val="TableTextNormal"/>
              <w:cnfStyle w:val="000000000000"/>
            </w:pPr>
            <w:r w:rsidRPr="00CB32B1">
              <w:t>Multiple</w:t>
            </w:r>
          </w:p>
        </w:tc>
        <w:tc>
          <w:tcPr>
            <w:tcW w:w="633" w:type="pct"/>
          </w:tcPr>
          <w:p w:rsidR="009A0649" w:rsidRPr="00CB32B1" w:rsidRDefault="009A0649" w:rsidP="00767B1A">
            <w:pPr>
              <w:pStyle w:val="TableTextNormal"/>
              <w:cnfStyle w:val="000000000000"/>
            </w:pPr>
            <w:r>
              <w:t>One</w:t>
            </w:r>
          </w:p>
        </w:tc>
      </w:tr>
      <w:tr w:rsidR="009A0649" w:rsidRPr="00CB32B1" w:rsidTr="009A0649">
        <w:tc>
          <w:tcPr>
            <w:cnfStyle w:val="001000000000"/>
            <w:tcW w:w="1301" w:type="pct"/>
          </w:tcPr>
          <w:p w:rsidR="009A0649" w:rsidRPr="00CB32B1" w:rsidRDefault="009A0649" w:rsidP="00767B1A">
            <w:pPr>
              <w:pStyle w:val="TableTextNormal"/>
            </w:pPr>
            <w:r w:rsidRPr="00CB32B1">
              <w:t>If insurance not provided for sole-operators then provided for group practice providing intrapartum care</w:t>
            </w:r>
          </w:p>
        </w:tc>
        <w:tc>
          <w:tcPr>
            <w:tcW w:w="758" w:type="pct"/>
          </w:tcPr>
          <w:p w:rsidR="009A0649" w:rsidRPr="00CB32B1" w:rsidRDefault="009A0649" w:rsidP="00767B1A">
            <w:pPr>
              <w:pStyle w:val="TableTextNormal"/>
              <w:cnfStyle w:val="000000000000"/>
            </w:pPr>
            <w:r w:rsidRPr="00CB32B1">
              <w:t>No</w:t>
            </w:r>
          </w:p>
        </w:tc>
        <w:tc>
          <w:tcPr>
            <w:tcW w:w="617" w:type="pct"/>
          </w:tcPr>
          <w:p w:rsidR="009A0649" w:rsidRPr="00CB32B1" w:rsidRDefault="009A0649" w:rsidP="007927DB">
            <w:pPr>
              <w:pStyle w:val="TableTextNormal"/>
              <w:cnfStyle w:val="000000000000"/>
            </w:pPr>
            <w:r w:rsidRPr="00CB32B1">
              <w:t>Yes</w:t>
            </w:r>
          </w:p>
        </w:tc>
        <w:tc>
          <w:tcPr>
            <w:tcW w:w="658" w:type="pct"/>
          </w:tcPr>
          <w:p w:rsidR="009A0649" w:rsidRPr="00CB32B1" w:rsidRDefault="009A0649" w:rsidP="00767B1A">
            <w:pPr>
              <w:pStyle w:val="TableTextNormal"/>
              <w:cnfStyle w:val="000000000000"/>
            </w:pPr>
            <w:r w:rsidRPr="00CB32B1">
              <w:t>Not applicable</w:t>
            </w:r>
          </w:p>
        </w:tc>
        <w:tc>
          <w:tcPr>
            <w:tcW w:w="1033" w:type="pct"/>
          </w:tcPr>
          <w:p w:rsidR="009A0649" w:rsidRPr="00CB32B1" w:rsidRDefault="009A0649" w:rsidP="00767B1A">
            <w:pPr>
              <w:pStyle w:val="TableTextNormal"/>
              <w:cnfStyle w:val="000000000000"/>
            </w:pPr>
            <w:r w:rsidRPr="00CB32B1">
              <w:t>Not applicable</w:t>
            </w:r>
          </w:p>
        </w:tc>
        <w:tc>
          <w:tcPr>
            <w:tcW w:w="633" w:type="pct"/>
          </w:tcPr>
          <w:p w:rsidR="009A0649" w:rsidRPr="00CB32B1" w:rsidRDefault="009A0649" w:rsidP="00767B1A">
            <w:pPr>
              <w:pStyle w:val="TableTextNormal"/>
              <w:cnfStyle w:val="000000000000"/>
            </w:pPr>
            <w:r w:rsidRPr="00CB32B1">
              <w:t>Not applicable</w:t>
            </w:r>
          </w:p>
        </w:tc>
      </w:tr>
    </w:tbl>
    <w:p w:rsidR="00767B1A" w:rsidRPr="00CB32B1" w:rsidRDefault="00767B1A" w:rsidP="00767B1A">
      <w:pPr>
        <w:pStyle w:val="PwCNormal"/>
        <w:spacing w:before="120"/>
      </w:pPr>
      <w:r w:rsidRPr="00CB32B1">
        <w:t xml:space="preserve">A brief overview of the insurance products available for each </w:t>
      </w:r>
      <w:r w:rsidR="009A0649">
        <w:t>jurisdiction</w:t>
      </w:r>
      <w:r w:rsidRPr="00CB32B1">
        <w:t xml:space="preserve"> is outlined below. </w:t>
      </w:r>
    </w:p>
    <w:p w:rsidR="009A0649" w:rsidRPr="00CB32B1" w:rsidRDefault="009A0649" w:rsidP="009A0649">
      <w:pPr>
        <w:pStyle w:val="Minorheading"/>
      </w:pPr>
      <w:r w:rsidRPr="00CB32B1">
        <w:t>England</w:t>
      </w:r>
    </w:p>
    <w:p w:rsidR="009A0649" w:rsidRPr="00CB32B1" w:rsidRDefault="009A0649" w:rsidP="009A0649">
      <w:pPr>
        <w:pStyle w:val="Minorheading2"/>
      </w:pPr>
      <w:r w:rsidRPr="00CB32B1">
        <w:t>Insurance product offered</w:t>
      </w:r>
    </w:p>
    <w:p w:rsidR="009A0649" w:rsidRPr="00CB32B1" w:rsidRDefault="009A0649" w:rsidP="009A0649">
      <w:pPr>
        <w:pStyle w:val="PwCNormal"/>
      </w:pPr>
      <w:r w:rsidRPr="00CB32B1">
        <w:t>The</w:t>
      </w:r>
      <w:r>
        <w:t xml:space="preserve">re is currently </w:t>
      </w:r>
      <w:r w:rsidRPr="00CB32B1">
        <w:t>no insurance product available currently for midwives practising independently (sole practitioners</w:t>
      </w:r>
      <w:r>
        <w:t>) in England</w:t>
      </w:r>
      <w:r w:rsidRPr="00CB32B1">
        <w:t xml:space="preserve">. </w:t>
      </w:r>
      <w:r>
        <w:t xml:space="preserve">One insurer, RK Harris Insurance Limited, </w:t>
      </w:r>
      <w:r w:rsidRPr="00CB32B1">
        <w:t>offers an insurance product for other midwifery entities, Clinical Negligence Trust Schemes, a Private Midwifery Practice and a Not-for-Profit Midwifery Practice.</w:t>
      </w:r>
    </w:p>
    <w:p w:rsidR="009A0649" w:rsidRPr="00CB32B1" w:rsidRDefault="009A0649" w:rsidP="009A0649">
      <w:pPr>
        <w:pStyle w:val="Caption"/>
      </w:pPr>
      <w:bookmarkStart w:id="186" w:name="_Ref361225020"/>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67</w:t>
      </w:r>
      <w:r w:rsidR="009129A6" w:rsidRPr="00CB32B1">
        <w:fldChar w:fldCharType="end"/>
      </w:r>
      <w:bookmarkEnd w:id="186"/>
      <w:r w:rsidRPr="00CB32B1">
        <w:t>:</w:t>
      </w:r>
      <w:r w:rsidRPr="00CB32B1">
        <w:tab/>
        <w:t>Insurance product – RK Harris Insurance Services Limited</w:t>
      </w:r>
    </w:p>
    <w:tbl>
      <w:tblPr>
        <w:tblStyle w:val="PwCTableStyle1"/>
        <w:tblW w:w="5000" w:type="pct"/>
        <w:tblLook w:val="04A0"/>
      </w:tblPr>
      <w:tblGrid>
        <w:gridCol w:w="1859"/>
        <w:gridCol w:w="7426"/>
      </w:tblGrid>
      <w:tr w:rsidR="009A0649" w:rsidRPr="00CB32B1" w:rsidTr="007927DB">
        <w:trPr>
          <w:cnfStyle w:val="100000000000"/>
          <w:trHeight w:val="282"/>
        </w:trPr>
        <w:tc>
          <w:tcPr>
            <w:cnfStyle w:val="001000000000"/>
            <w:tcW w:w="5000" w:type="pct"/>
            <w:gridSpan w:val="2"/>
            <w:shd w:val="clear" w:color="auto" w:fill="DC6900" w:themeFill="text2"/>
            <w:hideMark/>
          </w:tcPr>
          <w:p w:rsidR="009A0649" w:rsidRPr="00CB32B1" w:rsidRDefault="009A0649" w:rsidP="007927DB">
            <w:pPr>
              <w:pStyle w:val="TableColumnHeadingNormal"/>
            </w:pPr>
            <w:r>
              <w:t>England</w:t>
            </w:r>
          </w:p>
        </w:tc>
      </w:tr>
      <w:tr w:rsidR="009A0649" w:rsidRPr="00CB32B1" w:rsidTr="007927DB">
        <w:trPr>
          <w:trHeight w:val="270"/>
        </w:trPr>
        <w:tc>
          <w:tcPr>
            <w:cnfStyle w:val="001000000000"/>
            <w:tcW w:w="1001" w:type="pct"/>
            <w:hideMark/>
          </w:tcPr>
          <w:p w:rsidR="009A0649" w:rsidRPr="00CB32B1" w:rsidRDefault="009A0649" w:rsidP="007927DB">
            <w:pPr>
              <w:pStyle w:val="TableTextNormal"/>
              <w:rPr>
                <w:b/>
                <w:color w:val="DC6900" w:themeColor="text2"/>
              </w:rPr>
            </w:pPr>
            <w:r w:rsidRPr="00CB32B1">
              <w:rPr>
                <w:b/>
                <w:color w:val="DC6900" w:themeColor="text2"/>
              </w:rPr>
              <w:t xml:space="preserve">Insurer </w:t>
            </w:r>
          </w:p>
        </w:tc>
        <w:tc>
          <w:tcPr>
            <w:tcW w:w="3999" w:type="pct"/>
            <w:hideMark/>
          </w:tcPr>
          <w:p w:rsidR="009A0649" w:rsidRPr="00CB32B1" w:rsidRDefault="009A0649" w:rsidP="009A0649">
            <w:pPr>
              <w:pStyle w:val="TableTextNormal"/>
              <w:cnfStyle w:val="000000000000"/>
            </w:pPr>
            <w:r w:rsidRPr="00CB32B1">
              <w:t xml:space="preserve">R K Harris Insurance Services Limited </w:t>
            </w:r>
          </w:p>
        </w:tc>
      </w:tr>
      <w:tr w:rsidR="009A0649" w:rsidRPr="00CB32B1" w:rsidTr="007927DB">
        <w:trPr>
          <w:trHeight w:val="408"/>
        </w:trPr>
        <w:tc>
          <w:tcPr>
            <w:cnfStyle w:val="001000000000"/>
            <w:tcW w:w="1001" w:type="pct"/>
            <w:hideMark/>
          </w:tcPr>
          <w:p w:rsidR="009A0649" w:rsidRPr="00CB32B1" w:rsidRDefault="009A0649" w:rsidP="007927DB">
            <w:pPr>
              <w:pStyle w:val="TableTextNormal"/>
              <w:rPr>
                <w:b/>
                <w:color w:val="DC6900" w:themeColor="text2"/>
              </w:rPr>
            </w:pPr>
            <w:r w:rsidRPr="00CB32B1">
              <w:rPr>
                <w:b/>
                <w:color w:val="DC6900" w:themeColor="text2"/>
              </w:rPr>
              <w:t xml:space="preserve">Insurer information </w:t>
            </w:r>
          </w:p>
        </w:tc>
        <w:tc>
          <w:tcPr>
            <w:tcW w:w="3999" w:type="pct"/>
            <w:hideMark/>
          </w:tcPr>
          <w:p w:rsidR="009A0649" w:rsidRPr="00CB32B1" w:rsidRDefault="009A0649" w:rsidP="007927DB">
            <w:pPr>
              <w:pStyle w:val="TableTextNormal"/>
              <w:cnfStyle w:val="000000000000"/>
            </w:pPr>
            <w:r w:rsidRPr="00CB32B1">
              <w:t>Private company that works closely with the NHS</w:t>
            </w:r>
          </w:p>
          <w:p w:rsidR="009A0649" w:rsidRPr="00CB32B1" w:rsidRDefault="009A0649" w:rsidP="007927DB">
            <w:pPr>
              <w:pStyle w:val="TableTextNormal"/>
              <w:cnfStyle w:val="000000000000"/>
            </w:pPr>
            <w:r w:rsidRPr="00CB32B1">
              <w:t>Entered in to this area based on being approached by the Government</w:t>
            </w:r>
          </w:p>
        </w:tc>
      </w:tr>
      <w:tr w:rsidR="009A0649" w:rsidRPr="00CB32B1" w:rsidTr="007927DB">
        <w:trPr>
          <w:trHeight w:val="270"/>
        </w:trPr>
        <w:tc>
          <w:tcPr>
            <w:cnfStyle w:val="001000000000"/>
            <w:tcW w:w="5000" w:type="pct"/>
            <w:gridSpan w:val="2"/>
            <w:shd w:val="clear" w:color="auto" w:fill="FFA351" w:themeFill="text2" w:themeFillTint="99"/>
            <w:hideMark/>
          </w:tcPr>
          <w:p w:rsidR="009A0649" w:rsidRPr="00CB32B1" w:rsidRDefault="009A0649" w:rsidP="007927DB">
            <w:pPr>
              <w:pStyle w:val="TableColumnHeadingNormal"/>
            </w:pPr>
            <w:r w:rsidRPr="00CB32B1">
              <w:t xml:space="preserve">Product features: </w:t>
            </w:r>
          </w:p>
        </w:tc>
      </w:tr>
      <w:tr w:rsidR="009A0649" w:rsidRPr="00CB32B1" w:rsidTr="007927DB">
        <w:trPr>
          <w:trHeight w:val="565"/>
        </w:trPr>
        <w:tc>
          <w:tcPr>
            <w:cnfStyle w:val="001000000000"/>
            <w:tcW w:w="1001" w:type="pct"/>
            <w:hideMark/>
          </w:tcPr>
          <w:p w:rsidR="009A0649" w:rsidRPr="00CB32B1" w:rsidRDefault="009A0649" w:rsidP="007927DB">
            <w:pPr>
              <w:pStyle w:val="TableTextNormal"/>
            </w:pPr>
            <w:r w:rsidRPr="00CB32B1">
              <w:t xml:space="preserve">Premium pool </w:t>
            </w:r>
          </w:p>
        </w:tc>
        <w:tc>
          <w:tcPr>
            <w:tcW w:w="3999" w:type="pct"/>
            <w:hideMark/>
          </w:tcPr>
          <w:p w:rsidR="009A0649" w:rsidRPr="00CB32B1" w:rsidRDefault="009A0649" w:rsidP="007927DB">
            <w:pPr>
              <w:pStyle w:val="TableTextNormal"/>
              <w:cnfStyle w:val="000000000000"/>
            </w:pPr>
            <w:r>
              <w:t>No</w:t>
            </w:r>
          </w:p>
          <w:p w:rsidR="009A0649" w:rsidRPr="00CB32B1" w:rsidRDefault="009A0649" w:rsidP="007927DB">
            <w:pPr>
              <w:pStyle w:val="TableTextNormal"/>
              <w:cnfStyle w:val="000000000000"/>
            </w:pPr>
            <w:r w:rsidRPr="00CB32B1">
              <w:t>Common</w:t>
            </w:r>
            <w:r>
              <w:t xml:space="preserve"> pool exists to share the risk</w:t>
            </w:r>
          </w:p>
        </w:tc>
      </w:tr>
      <w:tr w:rsidR="009A0649" w:rsidRPr="00CB32B1" w:rsidTr="007927DB">
        <w:trPr>
          <w:trHeight w:val="270"/>
        </w:trPr>
        <w:tc>
          <w:tcPr>
            <w:cnfStyle w:val="001000000000"/>
            <w:tcW w:w="1001" w:type="pct"/>
            <w:hideMark/>
          </w:tcPr>
          <w:p w:rsidR="009A0649" w:rsidRPr="00CB32B1" w:rsidRDefault="009A0649" w:rsidP="007927DB">
            <w:pPr>
              <w:pStyle w:val="TableTextNormal"/>
            </w:pPr>
            <w:r w:rsidRPr="00CB32B1">
              <w:t xml:space="preserve">Run off cover </w:t>
            </w:r>
          </w:p>
        </w:tc>
        <w:tc>
          <w:tcPr>
            <w:tcW w:w="3999" w:type="pct"/>
            <w:hideMark/>
          </w:tcPr>
          <w:p w:rsidR="009A0649" w:rsidRPr="00CB32B1" w:rsidRDefault="009A0649" w:rsidP="007927DB">
            <w:pPr>
              <w:pStyle w:val="TableTextNormal"/>
              <w:cnfStyle w:val="000000000000"/>
            </w:pPr>
            <w:r w:rsidRPr="00CB32B1">
              <w:t>None provided, NHS is liable for all past claims</w:t>
            </w:r>
          </w:p>
        </w:tc>
      </w:tr>
      <w:tr w:rsidR="009A0649" w:rsidRPr="00CB32B1" w:rsidTr="007927DB">
        <w:trPr>
          <w:trHeight w:val="270"/>
        </w:trPr>
        <w:tc>
          <w:tcPr>
            <w:cnfStyle w:val="001000000000"/>
            <w:tcW w:w="1001" w:type="pct"/>
            <w:hideMark/>
          </w:tcPr>
          <w:p w:rsidR="009A0649" w:rsidRPr="00CB32B1" w:rsidRDefault="009A0649" w:rsidP="007927DB">
            <w:pPr>
              <w:pStyle w:val="TableTextNormal"/>
            </w:pPr>
            <w:r w:rsidRPr="00CB32B1">
              <w:t xml:space="preserve">Quantum of cover </w:t>
            </w:r>
          </w:p>
        </w:tc>
        <w:tc>
          <w:tcPr>
            <w:tcW w:w="3999" w:type="pct"/>
            <w:hideMark/>
          </w:tcPr>
          <w:p w:rsidR="009A0649" w:rsidRPr="00CB32B1" w:rsidRDefault="009A0649" w:rsidP="007927DB">
            <w:pPr>
              <w:pStyle w:val="TableTextNormal"/>
              <w:cnfStyle w:val="000000000000"/>
            </w:pPr>
            <w:r w:rsidRPr="00CB32B1">
              <w:t>Over £12.5 million</w:t>
            </w:r>
          </w:p>
        </w:tc>
      </w:tr>
      <w:tr w:rsidR="009A0649" w:rsidRPr="00CB32B1" w:rsidTr="007927DB">
        <w:trPr>
          <w:trHeight w:val="270"/>
        </w:trPr>
        <w:tc>
          <w:tcPr>
            <w:cnfStyle w:val="001000000000"/>
            <w:tcW w:w="1001" w:type="pct"/>
            <w:hideMark/>
          </w:tcPr>
          <w:p w:rsidR="009A0649" w:rsidRPr="00CB32B1" w:rsidRDefault="009A0649" w:rsidP="007927DB">
            <w:pPr>
              <w:pStyle w:val="TableTextNormal"/>
            </w:pPr>
            <w:r w:rsidRPr="00CB32B1">
              <w:t xml:space="preserve">Excess </w:t>
            </w:r>
          </w:p>
        </w:tc>
        <w:tc>
          <w:tcPr>
            <w:tcW w:w="3999" w:type="pct"/>
            <w:hideMark/>
          </w:tcPr>
          <w:p w:rsidR="009A0649" w:rsidRPr="00CB32B1" w:rsidRDefault="009A0649" w:rsidP="007927DB">
            <w:pPr>
              <w:pStyle w:val="TableTextNormal"/>
              <w:cnfStyle w:val="000000000000"/>
            </w:pPr>
            <w:r w:rsidRPr="00CB32B1">
              <w:t>£50,000</w:t>
            </w:r>
          </w:p>
        </w:tc>
      </w:tr>
      <w:tr w:rsidR="009A0649" w:rsidRPr="00CB32B1" w:rsidTr="007927DB">
        <w:trPr>
          <w:trHeight w:val="408"/>
        </w:trPr>
        <w:tc>
          <w:tcPr>
            <w:cnfStyle w:val="001000000000"/>
            <w:tcW w:w="1001" w:type="pct"/>
            <w:hideMark/>
          </w:tcPr>
          <w:p w:rsidR="009A0649" w:rsidRPr="00CB32B1" w:rsidRDefault="009A0649" w:rsidP="007927DB">
            <w:pPr>
              <w:pStyle w:val="TableTextNormal"/>
            </w:pPr>
            <w:r w:rsidRPr="00CB32B1">
              <w:t xml:space="preserve">Cost </w:t>
            </w:r>
          </w:p>
        </w:tc>
        <w:tc>
          <w:tcPr>
            <w:tcW w:w="3999" w:type="pct"/>
            <w:hideMark/>
          </w:tcPr>
          <w:p w:rsidR="009A0649" w:rsidRPr="00CB32B1" w:rsidRDefault="009A0649" w:rsidP="007927DB">
            <w:pPr>
              <w:pStyle w:val="TableTextNormal"/>
              <w:cnfStyle w:val="000000000000"/>
            </w:pPr>
            <w:r w:rsidRPr="00CB32B1">
              <w:t>An element is based on the number of midwives in the organisation, the location of births and number of births</w:t>
            </w:r>
          </w:p>
          <w:p w:rsidR="009A0649" w:rsidRPr="00CB32B1" w:rsidRDefault="009A0649" w:rsidP="009A0649">
            <w:pPr>
              <w:pStyle w:val="TableTextNormal"/>
              <w:cnfStyle w:val="000000000000"/>
            </w:pPr>
            <w:r w:rsidRPr="00CB32B1">
              <w:t>Based on a minimum deposit that is payable upfront (</w:t>
            </w:r>
            <w:r w:rsidRPr="004A25D1">
              <w:rPr>
                <w:rFonts w:ascii="Times New Roman" w:hAnsi="Times New Roman" w:cs="Times New Roman"/>
                <w:color w:val="000000"/>
              </w:rPr>
              <w:t>£</w:t>
            </w:r>
            <w:r>
              <w:t>25,000-</w:t>
            </w:r>
            <w:r w:rsidRPr="004A25D1">
              <w:rPr>
                <w:rFonts w:ascii="Times New Roman" w:hAnsi="Times New Roman" w:cs="Times New Roman"/>
                <w:color w:val="000000"/>
              </w:rPr>
              <w:t>£</w:t>
            </w:r>
            <w:r>
              <w:t>50,000)</w:t>
            </w:r>
            <w:r w:rsidRPr="00CB32B1">
              <w:t xml:space="preserve"> and the number of births that are completed which is paid monthly (up to 35 births/year)</w:t>
            </w:r>
          </w:p>
        </w:tc>
      </w:tr>
      <w:tr w:rsidR="009A0649" w:rsidRPr="00CB32B1" w:rsidTr="007927DB">
        <w:trPr>
          <w:trHeight w:val="276"/>
        </w:trPr>
        <w:tc>
          <w:tcPr>
            <w:cnfStyle w:val="001000000000"/>
            <w:tcW w:w="5000" w:type="pct"/>
            <w:gridSpan w:val="2"/>
            <w:shd w:val="clear" w:color="auto" w:fill="FFA351" w:themeFill="text2" w:themeFillTint="99"/>
            <w:hideMark/>
          </w:tcPr>
          <w:p w:rsidR="009A0649" w:rsidRPr="00CB32B1" w:rsidRDefault="009A0649" w:rsidP="007927DB">
            <w:pPr>
              <w:pStyle w:val="TableColumnHeadingNormal"/>
            </w:pPr>
            <w:r w:rsidRPr="00CB32B1">
              <w:t xml:space="preserve">Perceived enablers of service by stakeholders: </w:t>
            </w:r>
          </w:p>
        </w:tc>
      </w:tr>
      <w:tr w:rsidR="009A0649" w:rsidRPr="00CB32B1" w:rsidTr="007927DB">
        <w:trPr>
          <w:trHeight w:val="879"/>
        </w:trPr>
        <w:tc>
          <w:tcPr>
            <w:cnfStyle w:val="001000000000"/>
            <w:tcW w:w="1001" w:type="pct"/>
            <w:hideMark/>
          </w:tcPr>
          <w:p w:rsidR="009A0649" w:rsidRPr="00CB32B1" w:rsidRDefault="009A0649" w:rsidP="007927DB">
            <w:pPr>
              <w:pStyle w:val="TableTextNormal"/>
            </w:pPr>
            <w:r w:rsidRPr="00CB32B1">
              <w:t xml:space="preserve">Insurance: </w:t>
            </w:r>
          </w:p>
        </w:tc>
        <w:tc>
          <w:tcPr>
            <w:tcW w:w="3999" w:type="pct"/>
            <w:hideMark/>
          </w:tcPr>
          <w:p w:rsidR="009A0649" w:rsidRPr="00CB32B1" w:rsidRDefault="009A0649" w:rsidP="007927DB">
            <w:pPr>
              <w:pStyle w:val="TableTextNormal"/>
              <w:cnfStyle w:val="000000000000"/>
            </w:pPr>
            <w:r w:rsidRPr="00CB32B1">
              <w:t>Classification of what was ‘risk’ and could be related to the midwives as part of their</w:t>
            </w:r>
            <w:r>
              <w:t xml:space="preserve"> duty of care</w:t>
            </w:r>
          </w:p>
          <w:p w:rsidR="009A0649" w:rsidRPr="00CB32B1" w:rsidRDefault="009A0649" w:rsidP="007927DB">
            <w:pPr>
              <w:pStyle w:val="TableTextNormal"/>
              <w:cnfStyle w:val="000000000000"/>
            </w:pPr>
            <w:r w:rsidRPr="00CB32B1">
              <w:t>Availability of information from NHS to have comfort over the actuary risk profile and be able to quantify risks</w:t>
            </w:r>
          </w:p>
          <w:p w:rsidR="009A0649" w:rsidRPr="00CB32B1" w:rsidRDefault="009A0649" w:rsidP="007927DB">
            <w:pPr>
              <w:pStyle w:val="TableTextNormal"/>
              <w:cnfStyle w:val="000000000000"/>
            </w:pPr>
            <w:r w:rsidRPr="00CB32B1">
              <w:t>Clinical risk and quality framework exists to provide comfort over risk to the underwriters</w:t>
            </w:r>
          </w:p>
        </w:tc>
      </w:tr>
      <w:tr w:rsidR="009A0649" w:rsidRPr="00CB32B1" w:rsidTr="007927DB">
        <w:trPr>
          <w:trHeight w:val="565"/>
        </w:trPr>
        <w:tc>
          <w:tcPr>
            <w:cnfStyle w:val="001000000000"/>
            <w:tcW w:w="1001" w:type="pct"/>
            <w:hideMark/>
          </w:tcPr>
          <w:p w:rsidR="009A0649" w:rsidRPr="00CB32B1" w:rsidRDefault="009A0649" w:rsidP="007927DB">
            <w:pPr>
              <w:pStyle w:val="TableTextNormal"/>
            </w:pPr>
            <w:r w:rsidRPr="00CB32B1">
              <w:t xml:space="preserve">Practising environment: </w:t>
            </w:r>
          </w:p>
        </w:tc>
        <w:tc>
          <w:tcPr>
            <w:tcW w:w="3999" w:type="pct"/>
            <w:hideMark/>
          </w:tcPr>
          <w:p w:rsidR="009A0649" w:rsidRPr="00CB32B1" w:rsidRDefault="009A0649" w:rsidP="007927DB">
            <w:pPr>
              <w:pStyle w:val="TableTextNormal"/>
              <w:cnfStyle w:val="000000000000"/>
            </w:pPr>
            <w:r w:rsidRPr="00CB32B1">
              <w:t>Independent midwives are insured through either company or social enterprise models</w:t>
            </w:r>
          </w:p>
          <w:p w:rsidR="009A0649" w:rsidRDefault="009A0649" w:rsidP="007927DB">
            <w:pPr>
              <w:pStyle w:val="TableTextNormal"/>
              <w:cnfStyle w:val="000000000000"/>
            </w:pPr>
            <w:r>
              <w:t>Independent midwives oper</w:t>
            </w:r>
            <w:r w:rsidRPr="00CB32B1">
              <w:t>ating independently have not been insured since around 1994</w:t>
            </w:r>
            <w:r>
              <w:t>.</w:t>
            </w:r>
            <w:r w:rsidRPr="00CB32B1">
              <w:t xml:space="preserve"> </w:t>
            </w:r>
            <w:r>
              <w:t>W</w:t>
            </w:r>
            <w:r w:rsidRPr="00CB32B1">
              <w:t xml:space="preserve">ith the </w:t>
            </w:r>
            <w:r w:rsidRPr="009A0649">
              <w:rPr>
                <w:i/>
              </w:rPr>
              <w:t>EU Directive</w:t>
            </w:r>
            <w:r w:rsidRPr="00CB32B1">
              <w:t xml:space="preserve"> imminent PPMs are working to form a social enterprise</w:t>
            </w:r>
          </w:p>
          <w:p w:rsidR="009A0649" w:rsidRPr="00CB32B1" w:rsidRDefault="009A0649" w:rsidP="007927DB">
            <w:pPr>
              <w:pStyle w:val="TableTextNormal"/>
              <w:cnfStyle w:val="000000000000"/>
            </w:pPr>
            <w:r>
              <w:t>SOM</w:t>
            </w:r>
            <w:r w:rsidRPr="00CB32B1">
              <w:t xml:space="preserve"> helps support midwives operating in the community</w:t>
            </w:r>
          </w:p>
          <w:p w:rsidR="009A0649" w:rsidRPr="00CB32B1" w:rsidRDefault="009A0649" w:rsidP="007927DB">
            <w:pPr>
              <w:pStyle w:val="TableTextNormal"/>
              <w:cnfStyle w:val="000000000000"/>
            </w:pPr>
            <w:r w:rsidRPr="00CB32B1">
              <w:t>Limited number of independent midwives, but the risk and premium pool assessed support the products being offered</w:t>
            </w:r>
          </w:p>
        </w:tc>
      </w:tr>
    </w:tbl>
    <w:p w:rsidR="009A0649" w:rsidRPr="00CB32B1" w:rsidRDefault="009A0649" w:rsidP="009A0649">
      <w:pPr>
        <w:pStyle w:val="Sources"/>
      </w:pPr>
      <w:r w:rsidRPr="00CB32B1">
        <w:rPr>
          <w:b/>
        </w:rPr>
        <w:t>Source:</w:t>
      </w:r>
      <w:r w:rsidRPr="00CB32B1">
        <w:t xml:space="preserve"> Personal Communication, </w:t>
      </w:r>
      <w:r>
        <w:t>November 2012, March 2013.</w:t>
      </w:r>
    </w:p>
    <w:p w:rsidR="00767B1A" w:rsidRPr="00CB32B1" w:rsidRDefault="004A25D1" w:rsidP="00767B1A">
      <w:pPr>
        <w:pStyle w:val="Minorheading"/>
      </w:pPr>
      <w:r>
        <w:t xml:space="preserve">Province of </w:t>
      </w:r>
      <w:r w:rsidR="00767B1A" w:rsidRPr="00CB32B1">
        <w:t>Ontario</w:t>
      </w:r>
    </w:p>
    <w:p w:rsidR="00767B1A" w:rsidRPr="00CB32B1" w:rsidRDefault="00767B1A" w:rsidP="00767B1A">
      <w:pPr>
        <w:pStyle w:val="Minorheading2"/>
      </w:pPr>
      <w:r w:rsidRPr="00CB32B1">
        <w:t xml:space="preserve">Insurance product offered </w:t>
      </w:r>
    </w:p>
    <w:p w:rsidR="00767B1A" w:rsidRPr="00CB32B1" w:rsidRDefault="00767B1A" w:rsidP="00767B1A">
      <w:pPr>
        <w:pStyle w:val="PwCNormal"/>
        <w:keepNext/>
        <w:keepLines/>
      </w:pPr>
      <w:r w:rsidRPr="00CB32B1">
        <w:t>The in</w:t>
      </w:r>
      <w:r w:rsidR="009A0649">
        <w:t>surance product offered in the province of Ontario</w:t>
      </w:r>
      <w:r w:rsidRPr="00CB32B1">
        <w:t xml:space="preserve"> is provided through a NFP arrangement between the insurer, HIROC and the Professional association, AMO. Details of the product are provided in </w:t>
      </w:r>
      <w:r w:rsidR="009129A6" w:rsidRPr="00CB32B1">
        <w:fldChar w:fldCharType="begin"/>
      </w:r>
      <w:r w:rsidR="00D44BC2" w:rsidRPr="00CB32B1">
        <w:instrText xml:space="preserve"> REF _Ref361225030 \h </w:instrText>
      </w:r>
      <w:r w:rsidR="009129A6" w:rsidRPr="00CB32B1">
        <w:fldChar w:fldCharType="separate"/>
      </w:r>
      <w:r w:rsidR="008816B4" w:rsidRPr="00CB32B1">
        <w:t xml:space="preserve">Table </w:t>
      </w:r>
      <w:r w:rsidR="008816B4">
        <w:rPr>
          <w:noProof/>
        </w:rPr>
        <w:t>68</w:t>
      </w:r>
      <w:r w:rsidR="009129A6" w:rsidRPr="00CB32B1">
        <w:fldChar w:fldCharType="end"/>
      </w:r>
      <w:r w:rsidRPr="00CB32B1">
        <w:t>.</w:t>
      </w:r>
    </w:p>
    <w:p w:rsidR="00767B1A" w:rsidRPr="00CB32B1" w:rsidRDefault="00767B1A" w:rsidP="00767B1A">
      <w:pPr>
        <w:pStyle w:val="Caption"/>
      </w:pPr>
      <w:bookmarkStart w:id="187" w:name="_Ref361225030"/>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68</w:t>
      </w:r>
      <w:r w:rsidR="009129A6" w:rsidRPr="00CB32B1">
        <w:fldChar w:fldCharType="end"/>
      </w:r>
      <w:bookmarkEnd w:id="187"/>
      <w:r w:rsidRPr="00CB32B1">
        <w:t>:</w:t>
      </w:r>
      <w:r w:rsidRPr="00CB32B1">
        <w:tab/>
        <w:t>Insurance product – HIROC</w:t>
      </w:r>
    </w:p>
    <w:tbl>
      <w:tblPr>
        <w:tblStyle w:val="PwCTableStyle1"/>
        <w:tblW w:w="5000" w:type="pct"/>
        <w:tblLook w:val="04A0"/>
      </w:tblPr>
      <w:tblGrid>
        <w:gridCol w:w="1859"/>
        <w:gridCol w:w="7426"/>
      </w:tblGrid>
      <w:tr w:rsidR="00767B1A" w:rsidRPr="00CB32B1" w:rsidTr="00767B1A">
        <w:trPr>
          <w:cnfStyle w:val="100000000000"/>
          <w:trHeight w:val="282"/>
        </w:trPr>
        <w:tc>
          <w:tcPr>
            <w:cnfStyle w:val="001000000000"/>
            <w:tcW w:w="5000" w:type="pct"/>
            <w:gridSpan w:val="2"/>
            <w:shd w:val="clear" w:color="auto" w:fill="DC6900" w:themeFill="text2"/>
            <w:hideMark/>
          </w:tcPr>
          <w:p w:rsidR="00767B1A" w:rsidRPr="00CB32B1" w:rsidRDefault="009A0649" w:rsidP="00767B1A">
            <w:pPr>
              <w:pStyle w:val="TableColumnHeadingNormal"/>
            </w:pPr>
            <w:r>
              <w:t>Province of Ontario</w:t>
            </w:r>
          </w:p>
        </w:tc>
      </w:tr>
      <w:tr w:rsidR="00767B1A" w:rsidRPr="00CB32B1" w:rsidTr="00767B1A">
        <w:trPr>
          <w:trHeight w:val="270"/>
        </w:trPr>
        <w:tc>
          <w:tcPr>
            <w:cnfStyle w:val="001000000000"/>
            <w:tcW w:w="1001" w:type="pct"/>
            <w:hideMark/>
          </w:tcPr>
          <w:p w:rsidR="00767B1A" w:rsidRPr="00CB32B1" w:rsidRDefault="00767B1A" w:rsidP="00767B1A">
            <w:pPr>
              <w:pStyle w:val="TableTextNormal"/>
              <w:rPr>
                <w:b/>
                <w:color w:val="DC6900" w:themeColor="text2"/>
              </w:rPr>
            </w:pPr>
            <w:r w:rsidRPr="00CB32B1">
              <w:rPr>
                <w:b/>
                <w:color w:val="DC6900" w:themeColor="text2"/>
              </w:rPr>
              <w:t xml:space="preserve">Insurer </w:t>
            </w:r>
          </w:p>
        </w:tc>
        <w:tc>
          <w:tcPr>
            <w:tcW w:w="3999" w:type="pct"/>
            <w:hideMark/>
          </w:tcPr>
          <w:p w:rsidR="00767B1A" w:rsidRPr="00CB32B1" w:rsidRDefault="00767B1A" w:rsidP="00767B1A">
            <w:pPr>
              <w:pStyle w:val="TableTextNormal"/>
              <w:cnfStyle w:val="000000000000"/>
            </w:pPr>
            <w:r w:rsidRPr="00CB32B1">
              <w:t xml:space="preserve">Health insurance reciprocal of Canada (HIROC) </w:t>
            </w:r>
          </w:p>
        </w:tc>
      </w:tr>
      <w:tr w:rsidR="00767B1A" w:rsidRPr="00CB32B1" w:rsidTr="00767B1A">
        <w:trPr>
          <w:trHeight w:val="408"/>
        </w:trPr>
        <w:tc>
          <w:tcPr>
            <w:cnfStyle w:val="001000000000"/>
            <w:tcW w:w="1001" w:type="pct"/>
            <w:hideMark/>
          </w:tcPr>
          <w:p w:rsidR="00767B1A" w:rsidRPr="00CB32B1" w:rsidRDefault="00767B1A" w:rsidP="00767B1A">
            <w:pPr>
              <w:pStyle w:val="TableTextNormal"/>
              <w:rPr>
                <w:b/>
                <w:color w:val="DC6900" w:themeColor="text2"/>
              </w:rPr>
            </w:pPr>
            <w:r w:rsidRPr="00CB32B1">
              <w:rPr>
                <w:b/>
                <w:color w:val="DC6900" w:themeColor="text2"/>
              </w:rPr>
              <w:t xml:space="preserve">Insurer information </w:t>
            </w:r>
          </w:p>
        </w:tc>
        <w:tc>
          <w:tcPr>
            <w:tcW w:w="3999" w:type="pct"/>
            <w:hideMark/>
          </w:tcPr>
          <w:p w:rsidR="00767B1A" w:rsidRPr="00CB32B1" w:rsidRDefault="004A25D1" w:rsidP="00767B1A">
            <w:pPr>
              <w:pStyle w:val="TableTextNormal"/>
              <w:cnfStyle w:val="000000000000"/>
            </w:pPr>
            <w:r>
              <w:t>Not for profit</w:t>
            </w:r>
          </w:p>
          <w:p w:rsidR="00767B1A" w:rsidRPr="00CB32B1" w:rsidRDefault="00767B1A" w:rsidP="00767B1A">
            <w:pPr>
              <w:pStyle w:val="TableTextNormal"/>
              <w:cnfStyle w:val="000000000000"/>
            </w:pPr>
            <w:r w:rsidRPr="00CB32B1">
              <w:t>An insurance arrangement held between hospitals and no</w:t>
            </w:r>
            <w:r w:rsidR="004A25D1">
              <w:t>w includes independent midwives</w:t>
            </w:r>
          </w:p>
          <w:p w:rsidR="00767B1A" w:rsidRPr="00CB32B1" w:rsidRDefault="00767B1A" w:rsidP="00767B1A">
            <w:pPr>
              <w:pStyle w:val="TableTextNormal"/>
              <w:cnfStyle w:val="000000000000"/>
            </w:pPr>
            <w:r w:rsidRPr="00CB32B1">
              <w:t>Entered in to this area based on being approached by t</w:t>
            </w:r>
            <w:r w:rsidR="00D12B45" w:rsidRPr="00CB32B1">
              <w:t>he Ontario Midwives Association</w:t>
            </w:r>
          </w:p>
        </w:tc>
      </w:tr>
      <w:tr w:rsidR="00767B1A" w:rsidRPr="00CB32B1" w:rsidTr="00767B1A">
        <w:trPr>
          <w:trHeight w:val="270"/>
        </w:trPr>
        <w:tc>
          <w:tcPr>
            <w:cnfStyle w:val="001000000000"/>
            <w:tcW w:w="5000" w:type="pct"/>
            <w:gridSpan w:val="2"/>
            <w:shd w:val="clear" w:color="auto" w:fill="FFA351" w:themeFill="text2" w:themeFillTint="99"/>
            <w:hideMark/>
          </w:tcPr>
          <w:p w:rsidR="00767B1A" w:rsidRPr="00CB32B1" w:rsidRDefault="00767B1A" w:rsidP="00767B1A">
            <w:pPr>
              <w:pStyle w:val="TableColumnHeadingNormal"/>
            </w:pPr>
            <w:r w:rsidRPr="00CB32B1">
              <w:t xml:space="preserve">Product features: </w:t>
            </w:r>
          </w:p>
        </w:tc>
      </w:tr>
      <w:tr w:rsidR="00767B1A" w:rsidRPr="00CB32B1" w:rsidTr="00767B1A">
        <w:trPr>
          <w:trHeight w:val="565"/>
        </w:trPr>
        <w:tc>
          <w:tcPr>
            <w:cnfStyle w:val="001000000000"/>
            <w:tcW w:w="1001" w:type="pct"/>
            <w:hideMark/>
          </w:tcPr>
          <w:p w:rsidR="00767B1A" w:rsidRPr="00CB32B1" w:rsidRDefault="00767B1A" w:rsidP="00767B1A">
            <w:pPr>
              <w:pStyle w:val="TableTextNormal"/>
            </w:pPr>
            <w:r w:rsidRPr="00CB32B1">
              <w:t xml:space="preserve">Premium pool </w:t>
            </w:r>
          </w:p>
        </w:tc>
        <w:tc>
          <w:tcPr>
            <w:tcW w:w="3999" w:type="pct"/>
            <w:hideMark/>
          </w:tcPr>
          <w:p w:rsidR="00767B1A" w:rsidRPr="00CB32B1" w:rsidRDefault="00767B1A" w:rsidP="00767B1A">
            <w:pPr>
              <w:pStyle w:val="TableTextNormal"/>
              <w:cnfStyle w:val="000000000000"/>
            </w:pPr>
            <w:r w:rsidRPr="00CB32B1">
              <w:t>No premium pool</w:t>
            </w:r>
            <w:r w:rsidR="004A25D1">
              <w:t xml:space="preserve"> and therefore risks are spread</w:t>
            </w:r>
          </w:p>
          <w:p w:rsidR="00767B1A" w:rsidRPr="00CB32B1" w:rsidRDefault="00767B1A" w:rsidP="00767B1A">
            <w:pPr>
              <w:pStyle w:val="TableTextNormal"/>
              <w:cnfStyle w:val="000000000000"/>
            </w:pPr>
            <w:r w:rsidRPr="00CB32B1">
              <w:t>All monies are shared and provided returned to members at the end of the year when felt th</w:t>
            </w:r>
            <w:r w:rsidR="004A25D1">
              <w:t>at no further claims will occur</w:t>
            </w:r>
          </w:p>
        </w:tc>
      </w:tr>
      <w:tr w:rsidR="00767B1A" w:rsidRPr="00CB32B1" w:rsidTr="00767B1A">
        <w:trPr>
          <w:trHeight w:val="270"/>
        </w:trPr>
        <w:tc>
          <w:tcPr>
            <w:cnfStyle w:val="001000000000"/>
            <w:tcW w:w="1001" w:type="pct"/>
            <w:hideMark/>
          </w:tcPr>
          <w:p w:rsidR="00767B1A" w:rsidRPr="00CB32B1" w:rsidRDefault="00767B1A" w:rsidP="00767B1A">
            <w:pPr>
              <w:pStyle w:val="TableTextNormal"/>
            </w:pPr>
            <w:r w:rsidRPr="00CB32B1">
              <w:t xml:space="preserve">Run off cover </w:t>
            </w:r>
          </w:p>
        </w:tc>
        <w:tc>
          <w:tcPr>
            <w:tcW w:w="3999" w:type="pct"/>
            <w:hideMark/>
          </w:tcPr>
          <w:p w:rsidR="00767B1A" w:rsidRPr="00CB32B1" w:rsidRDefault="00767B1A" w:rsidP="00767B1A">
            <w:pPr>
              <w:pStyle w:val="TableTextNormal"/>
              <w:cnfStyle w:val="000000000000"/>
            </w:pPr>
            <w:r w:rsidRPr="00CB32B1">
              <w:t>No. However premiums need to continue to be paid beyond providing cover</w:t>
            </w:r>
          </w:p>
        </w:tc>
      </w:tr>
      <w:tr w:rsidR="00767B1A" w:rsidRPr="00CB32B1" w:rsidTr="00767B1A">
        <w:trPr>
          <w:trHeight w:val="270"/>
        </w:trPr>
        <w:tc>
          <w:tcPr>
            <w:cnfStyle w:val="001000000000"/>
            <w:tcW w:w="1001" w:type="pct"/>
            <w:hideMark/>
          </w:tcPr>
          <w:p w:rsidR="00767B1A" w:rsidRPr="00CB32B1" w:rsidRDefault="00767B1A" w:rsidP="00767B1A">
            <w:pPr>
              <w:pStyle w:val="TableTextNormal"/>
            </w:pPr>
            <w:r w:rsidRPr="00CB32B1">
              <w:t xml:space="preserve">Quantum of cover </w:t>
            </w:r>
          </w:p>
        </w:tc>
        <w:tc>
          <w:tcPr>
            <w:tcW w:w="3999" w:type="pct"/>
            <w:hideMark/>
          </w:tcPr>
          <w:p w:rsidR="00767B1A" w:rsidRPr="00CB32B1" w:rsidRDefault="00767B1A" w:rsidP="00767B1A">
            <w:pPr>
              <w:pStyle w:val="TableTextNormal"/>
              <w:cnfStyle w:val="000000000000"/>
            </w:pPr>
            <w:r w:rsidRPr="00CB32B1">
              <w:t>Policy limits are minimum coverage of $15 million and a max</w:t>
            </w:r>
            <w:r w:rsidR="00D12B45" w:rsidRPr="00CB32B1">
              <w:t>imum of $25 – $30 million (CAD)</w:t>
            </w:r>
          </w:p>
        </w:tc>
      </w:tr>
      <w:tr w:rsidR="00767B1A" w:rsidRPr="00CB32B1" w:rsidTr="00767B1A">
        <w:trPr>
          <w:trHeight w:val="408"/>
        </w:trPr>
        <w:tc>
          <w:tcPr>
            <w:cnfStyle w:val="001000000000"/>
            <w:tcW w:w="1001" w:type="pct"/>
            <w:hideMark/>
          </w:tcPr>
          <w:p w:rsidR="00767B1A" w:rsidRPr="00CB32B1" w:rsidRDefault="00767B1A" w:rsidP="00767B1A">
            <w:pPr>
              <w:pStyle w:val="TableTextNormal"/>
            </w:pPr>
            <w:r w:rsidRPr="00CB32B1">
              <w:t xml:space="preserve">Cost </w:t>
            </w:r>
          </w:p>
        </w:tc>
        <w:tc>
          <w:tcPr>
            <w:tcW w:w="3999" w:type="pct"/>
            <w:hideMark/>
          </w:tcPr>
          <w:p w:rsidR="00767B1A" w:rsidRPr="00CB32B1" w:rsidRDefault="00767B1A" w:rsidP="00767B1A">
            <w:pPr>
              <w:pStyle w:val="TableTextNormal"/>
              <w:cnfStyle w:val="000000000000"/>
            </w:pPr>
            <w:r w:rsidRPr="00CB32B1">
              <w:t>Premiums range dependent on the province but are set between $16,000</w:t>
            </w:r>
            <w:r w:rsidR="00D12B45" w:rsidRPr="00CB32B1">
              <w:t>-</w:t>
            </w:r>
            <w:r w:rsidRPr="00CB32B1">
              <w:t>$25,000 (CAD)</w:t>
            </w:r>
          </w:p>
          <w:p w:rsidR="00767B1A" w:rsidRPr="00CB32B1" w:rsidRDefault="00767B1A" w:rsidP="00767B1A">
            <w:pPr>
              <w:pStyle w:val="TableTextNormal"/>
              <w:cnfStyle w:val="000000000000"/>
            </w:pPr>
            <w:r w:rsidRPr="00CB32B1">
              <w:t>The premium for an individual are set based</w:t>
            </w:r>
            <w:r w:rsidR="009A0649">
              <w:t xml:space="preserve"> on experience and the exposure</w:t>
            </w:r>
          </w:p>
          <w:p w:rsidR="00767B1A" w:rsidRPr="00CB32B1" w:rsidRDefault="00767B1A" w:rsidP="00767B1A">
            <w:pPr>
              <w:pStyle w:val="TableTextNormal"/>
              <w:cnfStyle w:val="000000000000"/>
            </w:pPr>
            <w:r w:rsidRPr="00CB32B1">
              <w:t>Because it is a NFP, HIROC seek to make cover affordable</w:t>
            </w:r>
          </w:p>
        </w:tc>
      </w:tr>
      <w:tr w:rsidR="00767B1A" w:rsidRPr="00CB32B1" w:rsidTr="00767B1A">
        <w:trPr>
          <w:trHeight w:val="305"/>
        </w:trPr>
        <w:tc>
          <w:tcPr>
            <w:cnfStyle w:val="001000000000"/>
            <w:tcW w:w="5000" w:type="pct"/>
            <w:gridSpan w:val="2"/>
            <w:shd w:val="clear" w:color="auto" w:fill="FFA351" w:themeFill="text2" w:themeFillTint="99"/>
            <w:hideMark/>
          </w:tcPr>
          <w:p w:rsidR="00767B1A" w:rsidRPr="00CB32B1" w:rsidRDefault="00767B1A" w:rsidP="00767B1A">
            <w:pPr>
              <w:pStyle w:val="TableColumnHeadingNormal"/>
            </w:pPr>
            <w:r w:rsidRPr="00CB32B1">
              <w:t xml:space="preserve">Perceived enablers of service by stakeholders: </w:t>
            </w:r>
          </w:p>
        </w:tc>
      </w:tr>
      <w:tr w:rsidR="00767B1A" w:rsidRPr="00CB32B1" w:rsidTr="009A0649">
        <w:trPr>
          <w:trHeight w:val="339"/>
        </w:trPr>
        <w:tc>
          <w:tcPr>
            <w:cnfStyle w:val="001000000000"/>
            <w:tcW w:w="1001" w:type="pct"/>
            <w:hideMark/>
          </w:tcPr>
          <w:p w:rsidR="00767B1A" w:rsidRPr="00CB32B1" w:rsidRDefault="004A25D1" w:rsidP="004A25D1">
            <w:pPr>
              <w:pStyle w:val="TableTextNormal"/>
            </w:pPr>
            <w:r>
              <w:t>Insurance</w:t>
            </w:r>
          </w:p>
        </w:tc>
        <w:tc>
          <w:tcPr>
            <w:tcW w:w="3999" w:type="pct"/>
            <w:hideMark/>
          </w:tcPr>
          <w:p w:rsidR="00767B1A" w:rsidRPr="00CB32B1" w:rsidRDefault="00767B1A" w:rsidP="00767B1A">
            <w:pPr>
              <w:pStyle w:val="TableTextNormal"/>
              <w:cnfStyle w:val="000000000000"/>
            </w:pPr>
            <w:r w:rsidRPr="00CB32B1">
              <w:t xml:space="preserve">Active working relationship between insurer and </w:t>
            </w:r>
            <w:r w:rsidR="009A0649">
              <w:t>AMO</w:t>
            </w:r>
            <w:r w:rsidRPr="00CB32B1">
              <w:t xml:space="preserve"> (incl</w:t>
            </w:r>
            <w:r w:rsidR="009A0649">
              <w:t>uding</w:t>
            </w:r>
            <w:r w:rsidRPr="00CB32B1">
              <w:t xml:space="preserve"> the development of a risk management frameworks) and clear scope of practice developed</w:t>
            </w:r>
          </w:p>
          <w:p w:rsidR="00767B1A" w:rsidRPr="00CB32B1" w:rsidRDefault="00D12B45" w:rsidP="00767B1A">
            <w:pPr>
              <w:pStyle w:val="TableTextNormal"/>
              <w:cnfStyle w:val="000000000000"/>
            </w:pPr>
            <w:r w:rsidRPr="00CB32B1">
              <w:t xml:space="preserve">Premiums are the </w:t>
            </w:r>
            <w:r w:rsidR="009A0649">
              <w:t>same</w:t>
            </w:r>
          </w:p>
          <w:p w:rsidR="00767B1A" w:rsidRPr="00CB32B1" w:rsidRDefault="00767B1A" w:rsidP="00767B1A">
            <w:pPr>
              <w:pStyle w:val="TableTextNormal"/>
              <w:cnfStyle w:val="000000000000"/>
            </w:pPr>
            <w:r w:rsidRPr="00CB32B1">
              <w:t>Midwives are not seen to practice outside their frameworks – requires a second</w:t>
            </w:r>
            <w:r w:rsidR="009A0649">
              <w:t xml:space="preserve"> midwife in attendance at birth</w:t>
            </w:r>
          </w:p>
          <w:p w:rsidR="00767B1A" w:rsidRPr="00CB32B1" w:rsidRDefault="00767B1A" w:rsidP="00767B1A">
            <w:pPr>
              <w:pStyle w:val="TableTextNormal"/>
              <w:cnfStyle w:val="000000000000"/>
            </w:pPr>
            <w:r w:rsidRPr="00CB32B1">
              <w:t>Same ethos held between insurer and registration body</w:t>
            </w:r>
          </w:p>
          <w:p w:rsidR="00767B1A" w:rsidRPr="00CB32B1" w:rsidRDefault="00767B1A" w:rsidP="00767B1A">
            <w:pPr>
              <w:pStyle w:val="TableTextNormal"/>
              <w:cnfStyle w:val="000000000000"/>
            </w:pPr>
            <w:r w:rsidRPr="00CB32B1">
              <w:t>Had claims data available to assist in setting the first premium. Subsequent pr</w:t>
            </w:r>
            <w:r w:rsidR="00D12B45" w:rsidRPr="00CB32B1">
              <w:t>emiums driven from past history</w:t>
            </w:r>
          </w:p>
        </w:tc>
      </w:tr>
      <w:tr w:rsidR="00767B1A" w:rsidRPr="00CB32B1" w:rsidTr="00767B1A">
        <w:trPr>
          <w:trHeight w:val="565"/>
        </w:trPr>
        <w:tc>
          <w:tcPr>
            <w:cnfStyle w:val="001000000000"/>
            <w:tcW w:w="1001" w:type="pct"/>
            <w:hideMark/>
          </w:tcPr>
          <w:p w:rsidR="00767B1A" w:rsidRPr="00CB32B1" w:rsidRDefault="00767B1A" w:rsidP="00767B1A">
            <w:pPr>
              <w:pStyle w:val="TableTextNormal"/>
            </w:pPr>
            <w:r w:rsidRPr="00CB32B1">
              <w:t>Practising environment</w:t>
            </w:r>
          </w:p>
        </w:tc>
        <w:tc>
          <w:tcPr>
            <w:tcW w:w="3999" w:type="pct"/>
            <w:hideMark/>
          </w:tcPr>
          <w:p w:rsidR="00767B1A" w:rsidRPr="00CB32B1" w:rsidRDefault="00767B1A" w:rsidP="00767B1A">
            <w:pPr>
              <w:pStyle w:val="TableTextNormal"/>
              <w:cnfStyle w:val="000000000000"/>
            </w:pPr>
            <w:r w:rsidRPr="00CB32B1">
              <w:t>All midwives are independent (ie there are no public midwives)</w:t>
            </w:r>
          </w:p>
          <w:p w:rsidR="00767B1A" w:rsidRPr="00CB32B1" w:rsidRDefault="00767B1A" w:rsidP="00767B1A">
            <w:pPr>
              <w:pStyle w:val="TableTextNormal"/>
              <w:cnfStyle w:val="000000000000"/>
            </w:pPr>
            <w:r w:rsidRPr="00CB32B1">
              <w:t>Visiting rights exist</w:t>
            </w:r>
          </w:p>
          <w:p w:rsidR="00767B1A" w:rsidRPr="00CB32B1" w:rsidRDefault="00767B1A" w:rsidP="009A0649">
            <w:pPr>
              <w:pStyle w:val="TableTextNormal"/>
              <w:cnfStyle w:val="000000000000"/>
            </w:pPr>
            <w:r w:rsidRPr="00CB32B1">
              <w:t>A perception that there is not a</w:t>
            </w:r>
            <w:r w:rsidR="009A0649">
              <w:t xml:space="preserve"> respective</w:t>
            </w:r>
            <w:r w:rsidRPr="00CB32B1">
              <w:t xml:space="preserve"> culture between medical professionals and independent midwives</w:t>
            </w:r>
            <w:r w:rsidR="00D12B45" w:rsidRPr="00CB32B1">
              <w:t>.</w:t>
            </w:r>
          </w:p>
        </w:tc>
      </w:tr>
    </w:tbl>
    <w:p w:rsidR="009A0649" w:rsidRPr="00CB32B1" w:rsidRDefault="009A0649" w:rsidP="009A0649">
      <w:pPr>
        <w:pStyle w:val="Sources"/>
      </w:pPr>
      <w:r w:rsidRPr="00CB32B1">
        <w:rPr>
          <w:b/>
        </w:rPr>
        <w:t>Source:</w:t>
      </w:r>
      <w:r w:rsidRPr="00CB32B1">
        <w:t xml:space="preserve"> </w:t>
      </w:r>
      <w:r>
        <w:t>Personal communication November 2012, March 2013.</w:t>
      </w:r>
    </w:p>
    <w:p w:rsidR="00767B1A" w:rsidRPr="00CB32B1" w:rsidRDefault="00767B1A" w:rsidP="00767B1A">
      <w:pPr>
        <w:pStyle w:val="Minorheading"/>
      </w:pPr>
      <w:r w:rsidRPr="00CB32B1">
        <w:t>The Netherlands</w:t>
      </w:r>
    </w:p>
    <w:p w:rsidR="00767B1A" w:rsidRPr="00CB32B1" w:rsidRDefault="00767B1A" w:rsidP="00767B1A">
      <w:pPr>
        <w:pStyle w:val="Minorheading2"/>
      </w:pPr>
      <w:r w:rsidRPr="00CB32B1">
        <w:t>Insurance product offered</w:t>
      </w:r>
    </w:p>
    <w:p w:rsidR="00767B1A" w:rsidRPr="00CB32B1" w:rsidRDefault="00767B1A" w:rsidP="00767B1A">
      <w:pPr>
        <w:pStyle w:val="PwCNormal"/>
      </w:pPr>
      <w:r w:rsidRPr="00CB32B1">
        <w:t xml:space="preserve">The Netherlands has compulsory health insurance for residents of the </w:t>
      </w:r>
      <w:r w:rsidR="00496AD4">
        <w:t>jurisdiction</w:t>
      </w:r>
      <w:r w:rsidRPr="00CB32B1">
        <w:t xml:space="preserve">. The health insurance system protects residents of the Netherlands by making it a statutory obligation to take out basic insurance. The relevant legislation is outlined in </w:t>
      </w:r>
      <w:r w:rsidR="009129A6" w:rsidRPr="00CB32B1">
        <w:fldChar w:fldCharType="begin"/>
      </w:r>
      <w:r w:rsidR="00D44BC2" w:rsidRPr="00CB32B1">
        <w:instrText xml:space="preserve"> REF _Ref361225041 \h </w:instrText>
      </w:r>
      <w:r w:rsidR="009129A6" w:rsidRPr="00CB32B1">
        <w:fldChar w:fldCharType="separate"/>
      </w:r>
      <w:r w:rsidR="008816B4" w:rsidRPr="00CB32B1">
        <w:t xml:space="preserve">Table </w:t>
      </w:r>
      <w:r w:rsidR="008816B4">
        <w:rPr>
          <w:noProof/>
        </w:rPr>
        <w:t>69</w:t>
      </w:r>
      <w:r w:rsidR="009129A6" w:rsidRPr="00CB32B1">
        <w:fldChar w:fldCharType="end"/>
      </w:r>
      <w:r w:rsidRPr="00CB32B1">
        <w:t>.</w:t>
      </w:r>
    </w:p>
    <w:p w:rsidR="00767B1A" w:rsidRPr="00CB32B1" w:rsidRDefault="00767B1A" w:rsidP="00767B1A">
      <w:pPr>
        <w:pStyle w:val="Caption"/>
      </w:pPr>
      <w:bookmarkStart w:id="188" w:name="_Ref361225041"/>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69</w:t>
      </w:r>
      <w:r w:rsidR="009129A6" w:rsidRPr="00CB32B1">
        <w:fldChar w:fldCharType="end"/>
      </w:r>
      <w:bookmarkEnd w:id="188"/>
      <w:r w:rsidRPr="00CB32B1">
        <w:t>:</w:t>
      </w:r>
      <w:r w:rsidRPr="00CB32B1">
        <w:tab/>
        <w:t>The Netherlands Health Insurance Legislation</w:t>
      </w:r>
    </w:p>
    <w:tbl>
      <w:tblPr>
        <w:tblStyle w:val="PwCTableStyle1"/>
        <w:tblW w:w="0" w:type="auto"/>
        <w:tblLayout w:type="fixed"/>
        <w:tblLook w:val="04A0"/>
      </w:tblPr>
      <w:tblGrid>
        <w:gridCol w:w="2478"/>
        <w:gridCol w:w="6810"/>
      </w:tblGrid>
      <w:tr w:rsidR="00767B1A" w:rsidRPr="00CB32B1" w:rsidTr="00767B1A">
        <w:trPr>
          <w:cnfStyle w:val="100000000000"/>
          <w:trHeight w:val="282"/>
        </w:trPr>
        <w:tc>
          <w:tcPr>
            <w:cnfStyle w:val="001000000000"/>
            <w:tcW w:w="9288" w:type="dxa"/>
            <w:gridSpan w:val="2"/>
            <w:shd w:val="clear" w:color="auto" w:fill="DC6900" w:themeFill="text2"/>
            <w:hideMark/>
          </w:tcPr>
          <w:p w:rsidR="00767B1A" w:rsidRPr="00CB32B1" w:rsidRDefault="00767B1A" w:rsidP="00767B1A">
            <w:pPr>
              <w:pStyle w:val="TableColumnHeadingNormal"/>
            </w:pPr>
            <w:r w:rsidRPr="00CB32B1">
              <w:t>the Netherlands Health Insurance Legislation</w:t>
            </w:r>
          </w:p>
        </w:tc>
      </w:tr>
      <w:tr w:rsidR="00767B1A" w:rsidRPr="00CB32B1" w:rsidTr="00767B1A">
        <w:trPr>
          <w:trHeight w:val="270"/>
        </w:trPr>
        <w:tc>
          <w:tcPr>
            <w:cnfStyle w:val="001000000000"/>
            <w:tcW w:w="2478" w:type="dxa"/>
            <w:hideMark/>
          </w:tcPr>
          <w:p w:rsidR="00767B1A" w:rsidRPr="00CB32B1" w:rsidRDefault="00767B1A" w:rsidP="009A0649">
            <w:pPr>
              <w:pStyle w:val="TableTextNormal"/>
            </w:pPr>
            <w:r w:rsidRPr="00CB32B1">
              <w:t>Exceptional Medical Expenses Act</w:t>
            </w:r>
            <w:r w:rsidR="009A0649">
              <w:t xml:space="preserve"> </w:t>
            </w:r>
            <w:r w:rsidRPr="00CB32B1">
              <w:t>(AWBZ)</w:t>
            </w:r>
          </w:p>
        </w:tc>
        <w:tc>
          <w:tcPr>
            <w:tcW w:w="6810" w:type="dxa"/>
            <w:hideMark/>
          </w:tcPr>
          <w:p w:rsidR="00767B1A" w:rsidRPr="00CB32B1" w:rsidRDefault="00767B1A" w:rsidP="00767B1A">
            <w:pPr>
              <w:pStyle w:val="TableTextNormal"/>
              <w:cnfStyle w:val="000000000000"/>
            </w:pPr>
            <w:r w:rsidRPr="00CB32B1">
              <w:t>Publicly provided insurance</w:t>
            </w:r>
          </w:p>
          <w:p w:rsidR="00767B1A" w:rsidRPr="00CB32B1" w:rsidRDefault="00767B1A" w:rsidP="00767B1A">
            <w:pPr>
              <w:pStyle w:val="TableTextNormal"/>
              <w:cnfStyle w:val="000000000000"/>
            </w:pPr>
            <w:r w:rsidRPr="00CB32B1">
              <w:t>Mandatory for all legal residents aged 18 years and above</w:t>
            </w:r>
          </w:p>
          <w:p w:rsidR="00767B1A" w:rsidRPr="00CB32B1" w:rsidRDefault="00767B1A" w:rsidP="00767B1A">
            <w:pPr>
              <w:pStyle w:val="TableTextNormal"/>
              <w:cnfStyle w:val="000000000000"/>
            </w:pPr>
            <w:r w:rsidRPr="00CB32B1">
              <w:t>Mainly long-term care</w:t>
            </w:r>
          </w:p>
        </w:tc>
      </w:tr>
      <w:tr w:rsidR="00767B1A" w:rsidRPr="00CB32B1" w:rsidTr="00767B1A">
        <w:trPr>
          <w:trHeight w:val="408"/>
        </w:trPr>
        <w:tc>
          <w:tcPr>
            <w:cnfStyle w:val="001000000000"/>
            <w:tcW w:w="2478" w:type="dxa"/>
            <w:hideMark/>
          </w:tcPr>
          <w:p w:rsidR="00767B1A" w:rsidRPr="00CB32B1" w:rsidRDefault="00767B1A" w:rsidP="00767B1A">
            <w:pPr>
              <w:pStyle w:val="TableTextNormal"/>
            </w:pPr>
            <w:r w:rsidRPr="00CB32B1">
              <w:t xml:space="preserve">Health Insurance Act </w:t>
            </w:r>
          </w:p>
        </w:tc>
        <w:tc>
          <w:tcPr>
            <w:tcW w:w="6810" w:type="dxa"/>
            <w:hideMark/>
          </w:tcPr>
          <w:p w:rsidR="00767B1A" w:rsidRPr="00CB32B1" w:rsidRDefault="00767B1A" w:rsidP="00767B1A">
            <w:pPr>
              <w:pStyle w:val="TableTextNormal"/>
              <w:cnfStyle w:val="000000000000"/>
            </w:pPr>
            <w:r w:rsidRPr="00CB32B1">
              <w:t>Quasi-private</w:t>
            </w:r>
          </w:p>
          <w:p w:rsidR="00767B1A" w:rsidRPr="00CB32B1" w:rsidRDefault="00767B1A" w:rsidP="00767B1A">
            <w:pPr>
              <w:pStyle w:val="TableTextNormal"/>
              <w:cnfStyle w:val="000000000000"/>
            </w:pPr>
            <w:r w:rsidRPr="00CB32B1">
              <w:t>Mandatory covering all legal residents although under the age of 18 years the premium is not expected to be paid</w:t>
            </w:r>
          </w:p>
          <w:p w:rsidR="00767B1A" w:rsidRPr="00CB32B1" w:rsidRDefault="00767B1A" w:rsidP="00767B1A">
            <w:pPr>
              <w:pStyle w:val="TableTextNormal"/>
              <w:cnfStyle w:val="000000000000"/>
            </w:pPr>
            <w:r w:rsidRPr="00CB32B1">
              <w:t>Includes maternity care</w:t>
            </w:r>
          </w:p>
          <w:p w:rsidR="00767B1A" w:rsidRPr="00CB32B1" w:rsidRDefault="00767B1A" w:rsidP="00767B1A">
            <w:pPr>
              <w:pStyle w:val="TableTextNormal"/>
              <w:cnfStyle w:val="000000000000"/>
            </w:pPr>
            <w:r w:rsidRPr="00CB32B1">
              <w:t>There is an obligatory excess deductible</w:t>
            </w:r>
          </w:p>
        </w:tc>
      </w:tr>
    </w:tbl>
    <w:p w:rsidR="00767B1A" w:rsidRPr="00CB32B1" w:rsidRDefault="009129A6" w:rsidP="00767B1A">
      <w:pPr>
        <w:pStyle w:val="PwCNormal"/>
        <w:spacing w:before="120"/>
      </w:pPr>
      <w:r w:rsidRPr="00CB32B1">
        <w:fldChar w:fldCharType="begin"/>
      </w:r>
      <w:r w:rsidR="00D44BC2" w:rsidRPr="00CB32B1">
        <w:instrText xml:space="preserve"> REF _Ref361225051 \h </w:instrText>
      </w:r>
      <w:r w:rsidRPr="00CB32B1">
        <w:fldChar w:fldCharType="separate"/>
      </w:r>
      <w:r w:rsidR="008816B4" w:rsidRPr="00CB32B1">
        <w:t xml:space="preserve">Table </w:t>
      </w:r>
      <w:r w:rsidR="008816B4">
        <w:rPr>
          <w:noProof/>
        </w:rPr>
        <w:t>70</w:t>
      </w:r>
      <w:r w:rsidRPr="00CB32B1">
        <w:fldChar w:fldCharType="end"/>
      </w:r>
      <w:r w:rsidR="00767B1A" w:rsidRPr="00CB32B1">
        <w:t xml:space="preserve"> and </w:t>
      </w:r>
      <w:r w:rsidRPr="00CB32B1">
        <w:fldChar w:fldCharType="begin"/>
      </w:r>
      <w:r w:rsidR="00D44BC2" w:rsidRPr="00CB32B1">
        <w:instrText xml:space="preserve"> REF _Ref361225058 \h </w:instrText>
      </w:r>
      <w:r w:rsidRPr="00CB32B1">
        <w:fldChar w:fldCharType="separate"/>
      </w:r>
      <w:r w:rsidR="008816B4" w:rsidRPr="00CB32B1">
        <w:t xml:space="preserve">Table </w:t>
      </w:r>
      <w:r w:rsidR="008816B4">
        <w:rPr>
          <w:noProof/>
        </w:rPr>
        <w:t>71</w:t>
      </w:r>
      <w:r w:rsidRPr="00CB32B1">
        <w:fldChar w:fldCharType="end"/>
      </w:r>
      <w:r w:rsidR="00D44BC2" w:rsidRPr="00CB32B1">
        <w:t xml:space="preserve"> </w:t>
      </w:r>
      <w:r w:rsidR="00767B1A" w:rsidRPr="00CB32B1">
        <w:t xml:space="preserve">outline the insurance products provided in more detail. Note that there are numerous commercial insurers in the market. </w:t>
      </w:r>
      <w:r w:rsidRPr="00CB32B1">
        <w:fldChar w:fldCharType="begin"/>
      </w:r>
      <w:r w:rsidR="00D44BC2" w:rsidRPr="00CB32B1">
        <w:instrText xml:space="preserve"> REF _Ref361225058 \h </w:instrText>
      </w:r>
      <w:r w:rsidRPr="00CB32B1">
        <w:fldChar w:fldCharType="separate"/>
      </w:r>
      <w:r w:rsidR="008816B4" w:rsidRPr="00CB32B1">
        <w:t xml:space="preserve">Table </w:t>
      </w:r>
      <w:r w:rsidR="008816B4">
        <w:rPr>
          <w:noProof/>
        </w:rPr>
        <w:t>71</w:t>
      </w:r>
      <w:r w:rsidRPr="00CB32B1">
        <w:fldChar w:fldCharType="end"/>
      </w:r>
      <w:r w:rsidR="00D44BC2" w:rsidRPr="00CB32B1">
        <w:t xml:space="preserve"> </w:t>
      </w:r>
      <w:r w:rsidR="009A0649">
        <w:t>outlines a sample of</w:t>
      </w:r>
      <w:r w:rsidR="00767B1A" w:rsidRPr="00CB32B1">
        <w:t xml:space="preserve"> three products that are offered.</w:t>
      </w:r>
    </w:p>
    <w:p w:rsidR="00767B1A" w:rsidRPr="00CB32B1" w:rsidRDefault="00767B1A" w:rsidP="00767B1A">
      <w:pPr>
        <w:pStyle w:val="Caption"/>
      </w:pPr>
      <w:bookmarkStart w:id="189" w:name="_Ref361225051"/>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70</w:t>
      </w:r>
      <w:r w:rsidR="009129A6" w:rsidRPr="00CB32B1">
        <w:fldChar w:fldCharType="end"/>
      </w:r>
      <w:bookmarkEnd w:id="189"/>
      <w:r w:rsidRPr="00CB32B1">
        <w:t>:</w:t>
      </w:r>
      <w:r w:rsidRPr="00CB32B1">
        <w:tab/>
        <w:t>Insurance products – the Netherlands (summary)</w:t>
      </w:r>
    </w:p>
    <w:tbl>
      <w:tblPr>
        <w:tblStyle w:val="PwCTableStyle1"/>
        <w:tblW w:w="0" w:type="auto"/>
        <w:tblLayout w:type="fixed"/>
        <w:tblLook w:val="04A0"/>
      </w:tblPr>
      <w:tblGrid>
        <w:gridCol w:w="1815"/>
        <w:gridCol w:w="7473"/>
      </w:tblGrid>
      <w:tr w:rsidR="00767B1A" w:rsidRPr="00CB32B1" w:rsidTr="00767B1A">
        <w:trPr>
          <w:cnfStyle w:val="100000000000"/>
        </w:trPr>
        <w:tc>
          <w:tcPr>
            <w:cnfStyle w:val="001000000000"/>
            <w:tcW w:w="9288" w:type="dxa"/>
            <w:gridSpan w:val="2"/>
            <w:shd w:val="clear" w:color="auto" w:fill="DC6900" w:themeFill="text2"/>
            <w:hideMark/>
          </w:tcPr>
          <w:p w:rsidR="00767B1A" w:rsidRPr="00CB32B1" w:rsidRDefault="00767B1A" w:rsidP="00767B1A">
            <w:pPr>
              <w:pStyle w:val="TableColumnHeadingNormal"/>
            </w:pPr>
            <w:r w:rsidRPr="00CB32B1">
              <w:t>the Netherlands (summary)</w:t>
            </w:r>
          </w:p>
        </w:tc>
      </w:tr>
      <w:tr w:rsidR="00767B1A" w:rsidRPr="00CB32B1" w:rsidTr="00767B1A">
        <w:tc>
          <w:tcPr>
            <w:cnfStyle w:val="001000000000"/>
            <w:tcW w:w="1815" w:type="dxa"/>
            <w:hideMark/>
          </w:tcPr>
          <w:p w:rsidR="00767B1A" w:rsidRPr="00CB32B1" w:rsidRDefault="00767B1A" w:rsidP="00767B1A">
            <w:pPr>
              <w:pStyle w:val="TableTextNormal"/>
              <w:rPr>
                <w:b/>
                <w:color w:val="DC6900" w:themeColor="text2"/>
              </w:rPr>
            </w:pPr>
            <w:r w:rsidRPr="00CB32B1">
              <w:rPr>
                <w:b/>
                <w:color w:val="DC6900" w:themeColor="text2"/>
              </w:rPr>
              <w:t xml:space="preserve">Insurer </w:t>
            </w:r>
          </w:p>
        </w:tc>
        <w:tc>
          <w:tcPr>
            <w:tcW w:w="7473" w:type="dxa"/>
            <w:hideMark/>
          </w:tcPr>
          <w:p w:rsidR="00767B1A" w:rsidRPr="00CB32B1" w:rsidRDefault="00767B1A" w:rsidP="00767B1A">
            <w:pPr>
              <w:pStyle w:val="TableTextNormal"/>
              <w:cnfStyle w:val="000000000000"/>
            </w:pPr>
            <w:r w:rsidRPr="00CB32B1">
              <w:t xml:space="preserve">Multiple </w:t>
            </w:r>
          </w:p>
        </w:tc>
      </w:tr>
      <w:tr w:rsidR="00767B1A" w:rsidRPr="00CB32B1" w:rsidTr="00767B1A">
        <w:tc>
          <w:tcPr>
            <w:cnfStyle w:val="001000000000"/>
            <w:tcW w:w="1815" w:type="dxa"/>
            <w:hideMark/>
          </w:tcPr>
          <w:p w:rsidR="00767B1A" w:rsidRPr="00CB32B1" w:rsidRDefault="00767B1A" w:rsidP="00767B1A">
            <w:pPr>
              <w:pStyle w:val="TableTextNormal"/>
              <w:rPr>
                <w:b/>
                <w:color w:val="DC6900" w:themeColor="text2"/>
              </w:rPr>
            </w:pPr>
            <w:r w:rsidRPr="00CB32B1">
              <w:rPr>
                <w:b/>
                <w:color w:val="DC6900" w:themeColor="text2"/>
              </w:rPr>
              <w:t xml:space="preserve">Insurer information </w:t>
            </w:r>
          </w:p>
        </w:tc>
        <w:tc>
          <w:tcPr>
            <w:tcW w:w="7473" w:type="dxa"/>
            <w:hideMark/>
          </w:tcPr>
          <w:p w:rsidR="00767B1A" w:rsidRPr="00CB32B1" w:rsidRDefault="00767B1A" w:rsidP="00767B1A">
            <w:pPr>
              <w:pStyle w:val="TableTextNormal"/>
              <w:cnfStyle w:val="000000000000"/>
            </w:pPr>
            <w:r w:rsidRPr="00CB32B1">
              <w:t xml:space="preserve">There is a market for PII for independent midwives </w:t>
            </w:r>
          </w:p>
        </w:tc>
      </w:tr>
      <w:tr w:rsidR="00767B1A" w:rsidRPr="00CB32B1" w:rsidTr="00767B1A">
        <w:tc>
          <w:tcPr>
            <w:cnfStyle w:val="001000000000"/>
            <w:tcW w:w="9288" w:type="dxa"/>
            <w:gridSpan w:val="2"/>
            <w:shd w:val="clear" w:color="auto" w:fill="FFA351" w:themeFill="text2" w:themeFillTint="99"/>
            <w:hideMark/>
          </w:tcPr>
          <w:p w:rsidR="00767B1A" w:rsidRPr="00CB32B1" w:rsidRDefault="00767B1A" w:rsidP="00767B1A">
            <w:pPr>
              <w:pStyle w:val="TableColumnHeadingNormal"/>
            </w:pPr>
            <w:r w:rsidRPr="00CB32B1">
              <w:t xml:space="preserve">Product features: </w:t>
            </w:r>
          </w:p>
        </w:tc>
      </w:tr>
      <w:tr w:rsidR="00767B1A" w:rsidRPr="00CB32B1" w:rsidTr="00767B1A">
        <w:tc>
          <w:tcPr>
            <w:cnfStyle w:val="001000000000"/>
            <w:tcW w:w="1815" w:type="dxa"/>
            <w:hideMark/>
          </w:tcPr>
          <w:p w:rsidR="00767B1A" w:rsidRPr="00CB32B1" w:rsidRDefault="00767B1A" w:rsidP="00767B1A">
            <w:pPr>
              <w:pStyle w:val="TableTextNormal"/>
            </w:pPr>
            <w:r w:rsidRPr="00CB32B1">
              <w:t xml:space="preserve">Premium pool </w:t>
            </w:r>
          </w:p>
        </w:tc>
        <w:tc>
          <w:tcPr>
            <w:tcW w:w="7473" w:type="dxa"/>
            <w:hideMark/>
          </w:tcPr>
          <w:p w:rsidR="00767B1A" w:rsidRPr="00CB32B1" w:rsidRDefault="00767B1A" w:rsidP="00767B1A">
            <w:pPr>
              <w:pStyle w:val="TableTextNormal"/>
              <w:cnfStyle w:val="000000000000"/>
            </w:pPr>
            <w:r w:rsidRPr="00CB32B1">
              <w:t xml:space="preserve">Multiple insurers in the market </w:t>
            </w:r>
          </w:p>
        </w:tc>
      </w:tr>
      <w:tr w:rsidR="00767B1A" w:rsidRPr="00CB32B1" w:rsidTr="00767B1A">
        <w:tc>
          <w:tcPr>
            <w:cnfStyle w:val="001000000000"/>
            <w:tcW w:w="1815" w:type="dxa"/>
            <w:hideMark/>
          </w:tcPr>
          <w:p w:rsidR="00767B1A" w:rsidRPr="00CB32B1" w:rsidRDefault="00767B1A" w:rsidP="00767B1A">
            <w:pPr>
              <w:pStyle w:val="TableTextNormal"/>
            </w:pPr>
            <w:r w:rsidRPr="00CB32B1">
              <w:t xml:space="preserve">Run off cover </w:t>
            </w:r>
          </w:p>
        </w:tc>
        <w:tc>
          <w:tcPr>
            <w:tcW w:w="7473" w:type="dxa"/>
            <w:hideMark/>
          </w:tcPr>
          <w:p w:rsidR="00767B1A" w:rsidRPr="00CB32B1" w:rsidRDefault="009A0649" w:rsidP="00767B1A">
            <w:pPr>
              <w:pStyle w:val="TableTextNormal"/>
              <w:cnfStyle w:val="000000000000"/>
            </w:pPr>
            <w:r>
              <w:t>Not applicable</w:t>
            </w:r>
          </w:p>
        </w:tc>
      </w:tr>
      <w:tr w:rsidR="00767B1A" w:rsidRPr="00CB32B1" w:rsidTr="00767B1A">
        <w:tc>
          <w:tcPr>
            <w:cnfStyle w:val="001000000000"/>
            <w:tcW w:w="1815" w:type="dxa"/>
            <w:hideMark/>
          </w:tcPr>
          <w:p w:rsidR="00767B1A" w:rsidRPr="00CB32B1" w:rsidRDefault="00767B1A" w:rsidP="00767B1A">
            <w:pPr>
              <w:pStyle w:val="TableTextNormal"/>
            </w:pPr>
            <w:r w:rsidRPr="00CB32B1">
              <w:t xml:space="preserve">Quantum of cover </w:t>
            </w:r>
          </w:p>
        </w:tc>
        <w:tc>
          <w:tcPr>
            <w:tcW w:w="7473" w:type="dxa"/>
            <w:hideMark/>
          </w:tcPr>
          <w:p w:rsidR="00767B1A" w:rsidRPr="00CB32B1" w:rsidRDefault="009A0649" w:rsidP="009A0649">
            <w:pPr>
              <w:pStyle w:val="TableTextNormal"/>
              <w:cnfStyle w:val="000000000000"/>
            </w:pPr>
            <w:r w:rsidRPr="00CB32B1">
              <w:t>€</w:t>
            </w:r>
            <w:r w:rsidR="00767B1A" w:rsidRPr="00CB32B1">
              <w:t xml:space="preserve">1 million – </w:t>
            </w:r>
            <w:r w:rsidRPr="00CB32B1">
              <w:t>€</w:t>
            </w:r>
            <w:r w:rsidR="00767B1A" w:rsidRPr="00CB32B1">
              <w:t>1.5 million</w:t>
            </w:r>
          </w:p>
        </w:tc>
      </w:tr>
      <w:tr w:rsidR="00767B1A" w:rsidRPr="00CB32B1" w:rsidTr="00767B1A">
        <w:tc>
          <w:tcPr>
            <w:cnfStyle w:val="001000000000"/>
            <w:tcW w:w="1815" w:type="dxa"/>
            <w:hideMark/>
          </w:tcPr>
          <w:p w:rsidR="00767B1A" w:rsidRPr="00CB32B1" w:rsidRDefault="00767B1A" w:rsidP="00767B1A">
            <w:pPr>
              <w:pStyle w:val="TableTextNormal"/>
            </w:pPr>
            <w:r w:rsidRPr="00CB32B1">
              <w:t xml:space="preserve">Cost </w:t>
            </w:r>
          </w:p>
        </w:tc>
        <w:tc>
          <w:tcPr>
            <w:tcW w:w="7473" w:type="dxa"/>
            <w:hideMark/>
          </w:tcPr>
          <w:p w:rsidR="00767B1A" w:rsidRPr="00CB32B1" w:rsidRDefault="009A0649" w:rsidP="009A0649">
            <w:pPr>
              <w:pStyle w:val="TableTextNormal"/>
              <w:cnfStyle w:val="000000000000"/>
            </w:pPr>
            <w:r w:rsidRPr="00CB32B1">
              <w:t>€</w:t>
            </w:r>
            <w:r w:rsidR="00767B1A" w:rsidRPr="00CB32B1">
              <w:t>350-400</w:t>
            </w:r>
          </w:p>
        </w:tc>
      </w:tr>
      <w:tr w:rsidR="00767B1A" w:rsidRPr="00CB32B1" w:rsidTr="00767B1A">
        <w:tc>
          <w:tcPr>
            <w:cnfStyle w:val="001000000000"/>
            <w:tcW w:w="9288" w:type="dxa"/>
            <w:gridSpan w:val="2"/>
            <w:shd w:val="clear" w:color="auto" w:fill="FFA351" w:themeFill="text2" w:themeFillTint="99"/>
            <w:hideMark/>
          </w:tcPr>
          <w:p w:rsidR="00767B1A" w:rsidRPr="00CB32B1" w:rsidRDefault="00767B1A" w:rsidP="00767B1A">
            <w:pPr>
              <w:pStyle w:val="TableColumnHeadingNormal"/>
            </w:pPr>
            <w:r w:rsidRPr="00CB32B1">
              <w:t xml:space="preserve">Perceived enablers of service by stakeholders: </w:t>
            </w:r>
          </w:p>
        </w:tc>
      </w:tr>
      <w:tr w:rsidR="00767B1A" w:rsidRPr="00CB32B1" w:rsidTr="00767B1A">
        <w:tc>
          <w:tcPr>
            <w:cnfStyle w:val="001000000000"/>
            <w:tcW w:w="1815" w:type="dxa"/>
            <w:hideMark/>
          </w:tcPr>
          <w:p w:rsidR="00767B1A" w:rsidRPr="00CB32B1" w:rsidRDefault="00767B1A" w:rsidP="00767B1A">
            <w:pPr>
              <w:pStyle w:val="TableTextNormal"/>
            </w:pPr>
            <w:r w:rsidRPr="00CB32B1">
              <w:t xml:space="preserve">Insurance: </w:t>
            </w:r>
          </w:p>
        </w:tc>
        <w:tc>
          <w:tcPr>
            <w:tcW w:w="7473" w:type="dxa"/>
            <w:hideMark/>
          </w:tcPr>
          <w:p w:rsidR="00767B1A" w:rsidRPr="00CB32B1" w:rsidRDefault="00767B1A" w:rsidP="00767B1A">
            <w:pPr>
              <w:pStyle w:val="TableTextNormal"/>
              <w:cnfStyle w:val="000000000000"/>
            </w:pPr>
            <w:r w:rsidRPr="00CB32B1">
              <w:t>Clear and common risk management frameworks (including when to transfer, how far to be from a health service) exist that decrease risk</w:t>
            </w:r>
          </w:p>
          <w:p w:rsidR="00767B1A" w:rsidRPr="00CB32B1" w:rsidRDefault="00767B1A" w:rsidP="00CD6271">
            <w:pPr>
              <w:pStyle w:val="TableTextNormal"/>
              <w:cnfStyle w:val="000000000000"/>
            </w:pPr>
            <w:r w:rsidRPr="00CB32B1">
              <w:t xml:space="preserve">Mandatory insurance for all citizens of the country is required. Private insurance companies operate with </w:t>
            </w:r>
            <w:r w:rsidR="00CD6271" w:rsidRPr="00CB32B1">
              <w:t>su</w:t>
            </w:r>
            <w:r w:rsidR="004A25D1">
              <w:t>b</w:t>
            </w:r>
            <w:r w:rsidR="00CD6271" w:rsidRPr="00CB32B1">
              <w:t>stantial</w:t>
            </w:r>
            <w:r w:rsidR="009A0649">
              <w:t xml:space="preserve"> government regulations</w:t>
            </w:r>
          </w:p>
        </w:tc>
      </w:tr>
      <w:tr w:rsidR="00767B1A" w:rsidRPr="00CB32B1" w:rsidTr="00767B1A">
        <w:tc>
          <w:tcPr>
            <w:cnfStyle w:val="001000000000"/>
            <w:tcW w:w="1815" w:type="dxa"/>
            <w:hideMark/>
          </w:tcPr>
          <w:p w:rsidR="00767B1A" w:rsidRPr="00CB32B1" w:rsidRDefault="00767B1A" w:rsidP="00767B1A">
            <w:pPr>
              <w:pStyle w:val="TableTextNormal"/>
              <w:keepNext/>
              <w:keepLines/>
            </w:pPr>
            <w:r w:rsidRPr="00CB32B1">
              <w:t xml:space="preserve">Practising environment: </w:t>
            </w:r>
          </w:p>
        </w:tc>
        <w:tc>
          <w:tcPr>
            <w:tcW w:w="7473" w:type="dxa"/>
            <w:hideMark/>
          </w:tcPr>
          <w:p w:rsidR="00767B1A" w:rsidRPr="00CB32B1" w:rsidRDefault="00767B1A" w:rsidP="00767B1A">
            <w:pPr>
              <w:pStyle w:val="TableTextNormal"/>
              <w:keepNext/>
              <w:keepLines/>
              <w:cnfStyle w:val="000000000000"/>
            </w:pPr>
            <w:r w:rsidRPr="00CB32B1">
              <w:t>While PII is optional, registration requirements encourage it being taken up</w:t>
            </w:r>
          </w:p>
          <w:p w:rsidR="00767B1A" w:rsidRPr="00CB32B1" w:rsidRDefault="00767B1A" w:rsidP="00767B1A">
            <w:pPr>
              <w:pStyle w:val="TableTextNormal"/>
              <w:keepNext/>
              <w:keepLines/>
              <w:cnfStyle w:val="000000000000"/>
            </w:pPr>
            <w:r w:rsidRPr="00CB32B1">
              <w:t xml:space="preserve">Culture that birthing is natural and </w:t>
            </w:r>
            <w:r w:rsidR="004A25D1">
              <w:t>there is a culture that supports women giving birth at home</w:t>
            </w:r>
            <w:r w:rsidR="00CD6271" w:rsidRPr="00CB32B1">
              <w:t xml:space="preserve">. This </w:t>
            </w:r>
            <w:r w:rsidRPr="00CB32B1">
              <w:t xml:space="preserve">coupled with the relationship formed between woman and midwife </w:t>
            </w:r>
            <w:r w:rsidR="004A25D1">
              <w:t>has</w:t>
            </w:r>
            <w:r w:rsidRPr="00CB32B1">
              <w:t xml:space="preserve"> been suggested</w:t>
            </w:r>
            <w:r w:rsidR="004A25D1">
              <w:t xml:space="preserve"> in consultations</w:t>
            </w:r>
            <w:r w:rsidRPr="00CB32B1">
              <w:t xml:space="preserve"> to have led to low claims (less than 10</w:t>
            </w:r>
            <w:r w:rsidR="00CD6271" w:rsidRPr="00CB32B1">
              <w:t xml:space="preserve"> known</w:t>
            </w:r>
            <w:r w:rsidRPr="00CB32B1">
              <w:t>)</w:t>
            </w:r>
          </w:p>
          <w:p w:rsidR="00767B1A" w:rsidRPr="00CB32B1" w:rsidRDefault="00767B1A" w:rsidP="00767B1A">
            <w:pPr>
              <w:pStyle w:val="TableTextNormal"/>
              <w:keepNext/>
              <w:keepLines/>
              <w:cnfStyle w:val="000000000000"/>
            </w:pPr>
            <w:r w:rsidRPr="00CB32B1">
              <w:t>Visiting rights exist in hospitals</w:t>
            </w:r>
          </w:p>
          <w:p w:rsidR="00767B1A" w:rsidRPr="00CB32B1" w:rsidRDefault="00767B1A" w:rsidP="004A25D1">
            <w:pPr>
              <w:pStyle w:val="TableTextNormal"/>
              <w:keepNext/>
              <w:keepLines/>
              <w:cnfStyle w:val="000000000000"/>
            </w:pPr>
            <w:r w:rsidRPr="00CB32B1">
              <w:t>National social tax by citizens for long term disability meaning that on</w:t>
            </w:r>
            <w:r w:rsidR="004A25D1">
              <w:t>ly</w:t>
            </w:r>
            <w:r w:rsidR="009A0649">
              <w:t xml:space="preserve"> 20% of claims are paid by indemnity insurance</w:t>
            </w:r>
          </w:p>
        </w:tc>
      </w:tr>
    </w:tbl>
    <w:p w:rsidR="00767B1A" w:rsidRPr="00CB32B1" w:rsidRDefault="00767B1A" w:rsidP="00767B1A">
      <w:pPr>
        <w:pStyle w:val="Caption"/>
      </w:pPr>
      <w:bookmarkStart w:id="190" w:name="_Ref361225058"/>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71</w:t>
      </w:r>
      <w:r w:rsidR="009129A6" w:rsidRPr="00CB32B1">
        <w:fldChar w:fldCharType="end"/>
      </w:r>
      <w:bookmarkEnd w:id="190"/>
      <w:r w:rsidRPr="00CB32B1">
        <w:t>:</w:t>
      </w:r>
      <w:r w:rsidRPr="00CB32B1">
        <w:tab/>
        <w:t>Insurance products – the Netherlands (by product)</w:t>
      </w:r>
    </w:p>
    <w:tbl>
      <w:tblPr>
        <w:tblStyle w:val="PwCTableStyle1"/>
        <w:tblW w:w="0" w:type="auto"/>
        <w:tblLayout w:type="fixed"/>
        <w:tblLook w:val="04A0"/>
      </w:tblPr>
      <w:tblGrid>
        <w:gridCol w:w="1599"/>
        <w:gridCol w:w="2211"/>
        <w:gridCol w:w="2502"/>
        <w:gridCol w:w="2976"/>
      </w:tblGrid>
      <w:tr w:rsidR="00767B1A" w:rsidRPr="00CB32B1" w:rsidTr="00767B1A">
        <w:trPr>
          <w:cnfStyle w:val="100000000000"/>
          <w:trHeight w:val="282"/>
        </w:trPr>
        <w:tc>
          <w:tcPr>
            <w:cnfStyle w:val="001000000000"/>
            <w:tcW w:w="9288" w:type="dxa"/>
            <w:gridSpan w:val="4"/>
            <w:shd w:val="clear" w:color="auto" w:fill="DC6900" w:themeFill="text2"/>
            <w:hideMark/>
          </w:tcPr>
          <w:p w:rsidR="00767B1A" w:rsidRPr="00CB32B1" w:rsidRDefault="00767B1A" w:rsidP="00767B1A">
            <w:pPr>
              <w:pStyle w:val="TableColumnHeadingNormal"/>
            </w:pPr>
            <w:r w:rsidRPr="00CB32B1">
              <w:t>the Netherlands (by product)</w:t>
            </w:r>
          </w:p>
        </w:tc>
      </w:tr>
      <w:tr w:rsidR="00767B1A" w:rsidRPr="00CB32B1" w:rsidTr="00767B1A">
        <w:trPr>
          <w:trHeight w:val="270"/>
        </w:trPr>
        <w:tc>
          <w:tcPr>
            <w:cnfStyle w:val="001000000000"/>
            <w:tcW w:w="1599" w:type="dxa"/>
            <w:hideMark/>
          </w:tcPr>
          <w:p w:rsidR="00767B1A" w:rsidRPr="00CB32B1" w:rsidRDefault="00767B1A" w:rsidP="00767B1A">
            <w:pPr>
              <w:pStyle w:val="TableTextNormal"/>
              <w:rPr>
                <w:b/>
                <w:color w:val="DC6900" w:themeColor="text2"/>
              </w:rPr>
            </w:pPr>
            <w:r w:rsidRPr="00CB32B1">
              <w:rPr>
                <w:b/>
                <w:color w:val="DC6900" w:themeColor="text2"/>
              </w:rPr>
              <w:t xml:space="preserve">Insurer </w:t>
            </w:r>
          </w:p>
        </w:tc>
        <w:tc>
          <w:tcPr>
            <w:tcW w:w="2211" w:type="dxa"/>
            <w:hideMark/>
          </w:tcPr>
          <w:p w:rsidR="00767B1A" w:rsidRPr="00CB32B1" w:rsidRDefault="00767B1A" w:rsidP="00767B1A">
            <w:pPr>
              <w:pStyle w:val="TableTextNormal"/>
              <w:cnfStyle w:val="000000000000"/>
            </w:pPr>
            <w:r w:rsidRPr="00CB32B1">
              <w:t>De Goudse</w:t>
            </w:r>
          </w:p>
        </w:tc>
        <w:tc>
          <w:tcPr>
            <w:tcW w:w="2502" w:type="dxa"/>
          </w:tcPr>
          <w:p w:rsidR="00767B1A" w:rsidRPr="00CB32B1" w:rsidRDefault="00767B1A" w:rsidP="00767B1A">
            <w:pPr>
              <w:pStyle w:val="TableTextNormal"/>
              <w:cnfStyle w:val="000000000000"/>
            </w:pPr>
            <w:r w:rsidRPr="00CB32B1">
              <w:t>Meeùs (intermediary for Interpolis)</w:t>
            </w:r>
          </w:p>
        </w:tc>
        <w:tc>
          <w:tcPr>
            <w:tcW w:w="2976" w:type="dxa"/>
          </w:tcPr>
          <w:p w:rsidR="00767B1A" w:rsidRPr="00CB32B1" w:rsidRDefault="00767B1A" w:rsidP="00767B1A">
            <w:pPr>
              <w:pStyle w:val="TableTextNormal"/>
              <w:cnfStyle w:val="000000000000"/>
            </w:pPr>
            <w:r w:rsidRPr="00CB32B1">
              <w:t>VVAA</w:t>
            </w:r>
          </w:p>
        </w:tc>
      </w:tr>
      <w:tr w:rsidR="00767B1A" w:rsidRPr="00CB32B1" w:rsidTr="00767B1A">
        <w:trPr>
          <w:trHeight w:val="408"/>
        </w:trPr>
        <w:tc>
          <w:tcPr>
            <w:cnfStyle w:val="001000000000"/>
            <w:tcW w:w="1599" w:type="dxa"/>
            <w:hideMark/>
          </w:tcPr>
          <w:p w:rsidR="00767B1A" w:rsidRPr="00CB32B1" w:rsidRDefault="00767B1A" w:rsidP="00767B1A">
            <w:pPr>
              <w:pStyle w:val="TableTextNormal"/>
              <w:rPr>
                <w:b/>
                <w:color w:val="DC6900" w:themeColor="text2"/>
              </w:rPr>
            </w:pPr>
            <w:r w:rsidRPr="00CB32B1">
              <w:rPr>
                <w:b/>
                <w:color w:val="DC6900" w:themeColor="text2"/>
              </w:rPr>
              <w:t xml:space="preserve">Insurer information </w:t>
            </w:r>
          </w:p>
        </w:tc>
        <w:tc>
          <w:tcPr>
            <w:tcW w:w="2211" w:type="dxa"/>
            <w:hideMark/>
          </w:tcPr>
          <w:p w:rsidR="00767B1A" w:rsidRPr="00CB32B1" w:rsidRDefault="004A25D1" w:rsidP="00767B1A">
            <w:pPr>
              <w:pStyle w:val="TableTextNormal"/>
              <w:cnfStyle w:val="000000000000"/>
            </w:pPr>
            <w:r>
              <w:t>Profit o</w:t>
            </w:r>
            <w:r w:rsidR="00767B1A" w:rsidRPr="00CB32B1">
              <w:t>rganisation</w:t>
            </w:r>
          </w:p>
        </w:tc>
        <w:tc>
          <w:tcPr>
            <w:tcW w:w="2502" w:type="dxa"/>
          </w:tcPr>
          <w:p w:rsidR="00767B1A" w:rsidRPr="00CB32B1" w:rsidRDefault="00767B1A" w:rsidP="00767B1A">
            <w:pPr>
              <w:pStyle w:val="TableTextNormal"/>
              <w:cnfStyle w:val="000000000000"/>
            </w:pPr>
            <w:r w:rsidRPr="00CB32B1">
              <w:t>Profit organisation</w:t>
            </w:r>
          </w:p>
        </w:tc>
        <w:tc>
          <w:tcPr>
            <w:tcW w:w="2976" w:type="dxa"/>
          </w:tcPr>
          <w:p w:rsidR="00767B1A" w:rsidRPr="00CB32B1" w:rsidRDefault="00767B1A" w:rsidP="00767B1A">
            <w:pPr>
              <w:pStyle w:val="TableTextNormal"/>
              <w:cnfStyle w:val="000000000000"/>
            </w:pPr>
            <w:r w:rsidRPr="00CB32B1">
              <w:t>Membership organisation</w:t>
            </w:r>
          </w:p>
        </w:tc>
      </w:tr>
      <w:tr w:rsidR="00767B1A" w:rsidRPr="00CB32B1" w:rsidTr="00767B1A">
        <w:trPr>
          <w:trHeight w:val="270"/>
        </w:trPr>
        <w:tc>
          <w:tcPr>
            <w:cnfStyle w:val="001000000000"/>
            <w:tcW w:w="1599" w:type="dxa"/>
            <w:hideMark/>
          </w:tcPr>
          <w:p w:rsidR="00767B1A" w:rsidRPr="00CB32B1" w:rsidRDefault="00767B1A" w:rsidP="00767B1A">
            <w:pPr>
              <w:pStyle w:val="TableTextNormal"/>
            </w:pPr>
            <w:r w:rsidRPr="00CB32B1">
              <w:rPr>
                <w:b/>
                <w:color w:val="DC6900" w:themeColor="text2"/>
              </w:rPr>
              <w:t>Product:</w:t>
            </w:r>
            <w:r w:rsidRPr="00CB32B1">
              <w:t xml:space="preserve"> </w:t>
            </w:r>
          </w:p>
        </w:tc>
        <w:tc>
          <w:tcPr>
            <w:tcW w:w="2211" w:type="dxa"/>
          </w:tcPr>
          <w:p w:rsidR="00767B1A" w:rsidRPr="00CB32B1" w:rsidRDefault="00767B1A" w:rsidP="00767B1A">
            <w:pPr>
              <w:pStyle w:val="TableTextNormal"/>
              <w:cnfStyle w:val="000000000000"/>
            </w:pPr>
            <w:r w:rsidRPr="00CB32B1">
              <w:t>Indemnity insurance for midwives</w:t>
            </w:r>
          </w:p>
        </w:tc>
        <w:tc>
          <w:tcPr>
            <w:tcW w:w="2502" w:type="dxa"/>
          </w:tcPr>
          <w:p w:rsidR="00767B1A" w:rsidRPr="00CB32B1" w:rsidRDefault="00767B1A" w:rsidP="00767B1A">
            <w:pPr>
              <w:pStyle w:val="TableTextNormal"/>
              <w:cnfStyle w:val="000000000000"/>
            </w:pPr>
            <w:r w:rsidRPr="00CB32B1">
              <w:t>Indemnity insurance</w:t>
            </w:r>
          </w:p>
        </w:tc>
        <w:tc>
          <w:tcPr>
            <w:tcW w:w="2976" w:type="dxa"/>
          </w:tcPr>
          <w:p w:rsidR="00767B1A" w:rsidRPr="00CB32B1" w:rsidRDefault="00767B1A" w:rsidP="00767B1A">
            <w:pPr>
              <w:pStyle w:val="TableTextNormal"/>
              <w:cnfStyle w:val="000000000000"/>
            </w:pPr>
            <w:r w:rsidRPr="00CB32B1">
              <w:t>Indemnity insurance for medical professions, including midwives</w:t>
            </w:r>
          </w:p>
        </w:tc>
      </w:tr>
      <w:tr w:rsidR="00767B1A" w:rsidRPr="00CB32B1" w:rsidTr="00767B1A">
        <w:trPr>
          <w:trHeight w:val="565"/>
        </w:trPr>
        <w:tc>
          <w:tcPr>
            <w:cnfStyle w:val="001000000000"/>
            <w:tcW w:w="1599" w:type="dxa"/>
            <w:hideMark/>
          </w:tcPr>
          <w:p w:rsidR="00767B1A" w:rsidRPr="00CB32B1" w:rsidRDefault="00767B1A" w:rsidP="00767B1A">
            <w:pPr>
              <w:pStyle w:val="TableTextNormal"/>
            </w:pPr>
            <w:r w:rsidRPr="00CB32B1">
              <w:t xml:space="preserve">Premium pool </w:t>
            </w:r>
          </w:p>
        </w:tc>
        <w:tc>
          <w:tcPr>
            <w:tcW w:w="2211" w:type="dxa"/>
            <w:hideMark/>
          </w:tcPr>
          <w:p w:rsidR="00767B1A" w:rsidRPr="00CB32B1" w:rsidRDefault="00767B1A" w:rsidP="00767B1A">
            <w:pPr>
              <w:pStyle w:val="TableTextNormal"/>
              <w:cnfStyle w:val="000000000000"/>
            </w:pPr>
            <w:r w:rsidRPr="00CB32B1">
              <w:t>Yes</w:t>
            </w:r>
          </w:p>
        </w:tc>
        <w:tc>
          <w:tcPr>
            <w:tcW w:w="2502" w:type="dxa"/>
          </w:tcPr>
          <w:p w:rsidR="00767B1A" w:rsidRPr="00CB32B1" w:rsidRDefault="00767B1A" w:rsidP="00767B1A">
            <w:pPr>
              <w:pStyle w:val="TableTextNormal"/>
              <w:cnfStyle w:val="000000000000"/>
            </w:pPr>
            <w:r w:rsidRPr="00CB32B1">
              <w:t xml:space="preserve">N/A </w:t>
            </w:r>
          </w:p>
        </w:tc>
        <w:tc>
          <w:tcPr>
            <w:tcW w:w="2976" w:type="dxa"/>
          </w:tcPr>
          <w:p w:rsidR="00767B1A" w:rsidRPr="00CB32B1" w:rsidRDefault="00767B1A" w:rsidP="00767B1A">
            <w:pPr>
              <w:pStyle w:val="TableTextNormal"/>
              <w:cnfStyle w:val="000000000000"/>
            </w:pPr>
            <w:r w:rsidRPr="00CB32B1">
              <w:t>N/A</w:t>
            </w:r>
          </w:p>
        </w:tc>
      </w:tr>
      <w:tr w:rsidR="00767B1A" w:rsidRPr="00CB32B1" w:rsidTr="00767B1A">
        <w:trPr>
          <w:trHeight w:val="270"/>
        </w:trPr>
        <w:tc>
          <w:tcPr>
            <w:cnfStyle w:val="001000000000"/>
            <w:tcW w:w="1599" w:type="dxa"/>
            <w:hideMark/>
          </w:tcPr>
          <w:p w:rsidR="00767B1A" w:rsidRPr="00CB32B1" w:rsidRDefault="00767B1A" w:rsidP="00767B1A">
            <w:pPr>
              <w:pStyle w:val="TableTextNormal"/>
            </w:pPr>
            <w:r w:rsidRPr="00CB32B1">
              <w:t xml:space="preserve">Run off cover </w:t>
            </w:r>
          </w:p>
        </w:tc>
        <w:tc>
          <w:tcPr>
            <w:tcW w:w="2211" w:type="dxa"/>
            <w:hideMark/>
          </w:tcPr>
          <w:p w:rsidR="00767B1A" w:rsidRPr="00CB32B1" w:rsidRDefault="00767B1A" w:rsidP="00767B1A">
            <w:pPr>
              <w:pStyle w:val="TableTextNormal"/>
              <w:cnfStyle w:val="000000000000"/>
            </w:pPr>
            <w:r w:rsidRPr="00CB32B1">
              <w:t>N/A</w:t>
            </w:r>
          </w:p>
        </w:tc>
        <w:tc>
          <w:tcPr>
            <w:tcW w:w="2502" w:type="dxa"/>
          </w:tcPr>
          <w:p w:rsidR="00767B1A" w:rsidRPr="00CB32B1" w:rsidRDefault="00767B1A" w:rsidP="00767B1A">
            <w:pPr>
              <w:pStyle w:val="TableTextNormal"/>
              <w:cnfStyle w:val="000000000000"/>
            </w:pPr>
            <w:r w:rsidRPr="00CB32B1">
              <w:t>N/A</w:t>
            </w:r>
          </w:p>
        </w:tc>
        <w:tc>
          <w:tcPr>
            <w:tcW w:w="2976" w:type="dxa"/>
          </w:tcPr>
          <w:p w:rsidR="00767B1A" w:rsidRPr="00CB32B1" w:rsidRDefault="00767B1A" w:rsidP="00767B1A">
            <w:pPr>
              <w:pStyle w:val="TableTextNormal"/>
              <w:cnfStyle w:val="000000000000"/>
            </w:pPr>
            <w:r w:rsidRPr="00CB32B1">
              <w:t>Insurance covers indemnity up to 20 years after finishing practice with a condition that the damage is done during the practice.</w:t>
            </w:r>
          </w:p>
        </w:tc>
      </w:tr>
      <w:tr w:rsidR="00767B1A" w:rsidRPr="00CB32B1" w:rsidTr="00767B1A">
        <w:trPr>
          <w:trHeight w:val="270"/>
        </w:trPr>
        <w:tc>
          <w:tcPr>
            <w:cnfStyle w:val="001000000000"/>
            <w:tcW w:w="1599" w:type="dxa"/>
            <w:hideMark/>
          </w:tcPr>
          <w:p w:rsidR="00767B1A" w:rsidRPr="00CB32B1" w:rsidRDefault="00767B1A" w:rsidP="00767B1A">
            <w:pPr>
              <w:pStyle w:val="TableTextNormal"/>
            </w:pPr>
            <w:r w:rsidRPr="00CB32B1">
              <w:t xml:space="preserve">Quantum of cover </w:t>
            </w:r>
          </w:p>
        </w:tc>
        <w:tc>
          <w:tcPr>
            <w:tcW w:w="2211" w:type="dxa"/>
            <w:hideMark/>
          </w:tcPr>
          <w:p w:rsidR="00767B1A" w:rsidRPr="00CB32B1" w:rsidRDefault="009A0649" w:rsidP="00767B1A">
            <w:pPr>
              <w:pStyle w:val="TableBullet1Normal"/>
              <w:cnfStyle w:val="000000000000"/>
            </w:pPr>
            <w:r>
              <w:t>Insures a midwife up to €</w:t>
            </w:r>
            <w:r w:rsidR="00767B1A" w:rsidRPr="00CB32B1">
              <w:t>2.5 million with each claim and</w:t>
            </w:r>
            <w:r w:rsidR="00632EB8">
              <w:t xml:space="preserve"> </w:t>
            </w:r>
            <w:r w:rsidR="00632EB8" w:rsidRPr="00632EB8">
              <w:rPr>
                <w:rFonts w:ascii="Times New Roman" w:hAnsi="Times New Roman" w:cs="Times New Roman"/>
                <w:color w:val="000000"/>
              </w:rPr>
              <w:t>€</w:t>
            </w:r>
            <w:r w:rsidR="00767B1A" w:rsidRPr="00CB32B1">
              <w:t>5 million a year</w:t>
            </w:r>
          </w:p>
          <w:p w:rsidR="00767B1A" w:rsidRPr="00CB32B1" w:rsidRDefault="00632EB8" w:rsidP="00767B1A">
            <w:pPr>
              <w:pStyle w:val="TableBullet1Normal"/>
              <w:cnfStyle w:val="000000000000"/>
            </w:pPr>
            <w:r>
              <w:t>Only for homebirths</w:t>
            </w:r>
          </w:p>
          <w:p w:rsidR="00767B1A" w:rsidRPr="00CB32B1" w:rsidRDefault="00767B1A" w:rsidP="00767B1A">
            <w:pPr>
              <w:pStyle w:val="TableBullet1Normal"/>
              <w:cnfStyle w:val="000000000000"/>
            </w:pPr>
            <w:r w:rsidRPr="00CB32B1">
              <w:t>Risks during birth-giving in hospital</w:t>
            </w:r>
            <w:r w:rsidR="00632EB8">
              <w:t>s are covered by hospital policy</w:t>
            </w:r>
          </w:p>
        </w:tc>
        <w:tc>
          <w:tcPr>
            <w:tcW w:w="2502" w:type="dxa"/>
          </w:tcPr>
          <w:p w:rsidR="00767B1A" w:rsidRPr="00CB32B1" w:rsidRDefault="009A0649" w:rsidP="00767B1A">
            <w:pPr>
              <w:pStyle w:val="TableBullet1Normal"/>
              <w:cnfStyle w:val="000000000000"/>
            </w:pPr>
            <w:r>
              <w:t>Insures a midwife up to €</w:t>
            </w:r>
            <w:r w:rsidR="00767B1A" w:rsidRPr="00CB32B1">
              <w:t>1.2 million with each</w:t>
            </w:r>
            <w:r>
              <w:t xml:space="preserve"> claim and €</w:t>
            </w:r>
            <w:r w:rsidR="00632EB8">
              <w:t>2.5 million a year</w:t>
            </w:r>
          </w:p>
          <w:p w:rsidR="00767B1A" w:rsidRPr="00CB32B1" w:rsidRDefault="00767B1A" w:rsidP="00767B1A">
            <w:pPr>
              <w:pStyle w:val="TableBullet1Normal"/>
              <w:cnfStyle w:val="000000000000"/>
            </w:pPr>
            <w:r w:rsidRPr="00CB32B1">
              <w:t>Only for homebirth</w:t>
            </w:r>
            <w:r w:rsidR="00632EB8">
              <w:t>s</w:t>
            </w:r>
          </w:p>
          <w:p w:rsidR="00767B1A" w:rsidRPr="00CB32B1" w:rsidRDefault="00767B1A" w:rsidP="00767B1A">
            <w:pPr>
              <w:pStyle w:val="TableBullet1Normal"/>
              <w:cnfStyle w:val="000000000000"/>
            </w:pPr>
            <w:r w:rsidRPr="00CB32B1">
              <w:t>Risks during birth-giving in hospitals are covered by hospital poli</w:t>
            </w:r>
            <w:r w:rsidR="00632EB8">
              <w:t>cy</w:t>
            </w:r>
          </w:p>
        </w:tc>
        <w:tc>
          <w:tcPr>
            <w:tcW w:w="2976" w:type="dxa"/>
          </w:tcPr>
          <w:p w:rsidR="00767B1A" w:rsidRPr="00CB32B1" w:rsidRDefault="009A0649" w:rsidP="00767B1A">
            <w:pPr>
              <w:pStyle w:val="TableBullet1Normal"/>
              <w:cnfStyle w:val="000000000000"/>
            </w:pPr>
            <w:r>
              <w:t>Insures a midwife up to €</w:t>
            </w:r>
            <w:r w:rsidR="00767B1A" w:rsidRPr="00CB32B1">
              <w:t>1.</w:t>
            </w:r>
            <w:r>
              <w:t>25 million with each claim or €</w:t>
            </w:r>
            <w:r w:rsidR="00632EB8">
              <w:t>2.5 million with each claim (12.</w:t>
            </w:r>
            <w:r w:rsidR="00767B1A" w:rsidRPr="00CB32B1">
              <w:t>5% higher premium)</w:t>
            </w:r>
          </w:p>
          <w:p w:rsidR="00767B1A" w:rsidRPr="00CB32B1" w:rsidRDefault="00767B1A" w:rsidP="00767B1A">
            <w:pPr>
              <w:pStyle w:val="TableBullet1Normal"/>
              <w:cnfStyle w:val="000000000000"/>
            </w:pPr>
            <w:r w:rsidRPr="00CB32B1">
              <w:t>Only for homebirths</w:t>
            </w:r>
          </w:p>
          <w:p w:rsidR="00767B1A" w:rsidRPr="00CB32B1" w:rsidRDefault="00767B1A" w:rsidP="00767B1A">
            <w:pPr>
              <w:pStyle w:val="TableBullet1Normal"/>
              <w:cnfStyle w:val="000000000000"/>
            </w:pPr>
            <w:r w:rsidRPr="00CB32B1">
              <w:t xml:space="preserve">Risks during birth-giving in hospitals are covered </w:t>
            </w:r>
            <w:r w:rsidR="00632EB8">
              <w:t>by hospital policy</w:t>
            </w:r>
          </w:p>
        </w:tc>
      </w:tr>
      <w:tr w:rsidR="00767B1A" w:rsidRPr="00CB32B1" w:rsidTr="00767B1A">
        <w:trPr>
          <w:trHeight w:val="408"/>
        </w:trPr>
        <w:tc>
          <w:tcPr>
            <w:cnfStyle w:val="001000000000"/>
            <w:tcW w:w="1599" w:type="dxa"/>
            <w:hideMark/>
          </w:tcPr>
          <w:p w:rsidR="00767B1A" w:rsidRPr="00CB32B1" w:rsidRDefault="00767B1A" w:rsidP="00767B1A">
            <w:pPr>
              <w:pStyle w:val="TableTextNormal"/>
            </w:pPr>
            <w:r w:rsidRPr="00CB32B1">
              <w:t xml:space="preserve">Cost </w:t>
            </w:r>
          </w:p>
        </w:tc>
        <w:tc>
          <w:tcPr>
            <w:tcW w:w="2211" w:type="dxa"/>
            <w:hideMark/>
          </w:tcPr>
          <w:p w:rsidR="00767B1A" w:rsidRPr="00CB32B1" w:rsidRDefault="00CD6271" w:rsidP="00767B1A">
            <w:pPr>
              <w:pStyle w:val="TableTextNormal"/>
              <w:cnfStyle w:val="000000000000"/>
            </w:pPr>
            <w:r w:rsidRPr="00CB32B1">
              <w:t>€</w:t>
            </w:r>
            <w:r w:rsidR="009A0649">
              <w:t>324 a year.</w:t>
            </w:r>
          </w:p>
          <w:p w:rsidR="00767B1A" w:rsidRPr="00CB32B1" w:rsidRDefault="00767B1A" w:rsidP="00767B1A">
            <w:pPr>
              <w:pStyle w:val="TableTextNormal"/>
              <w:cnfStyle w:val="000000000000"/>
            </w:pPr>
            <w:r w:rsidRPr="00CB32B1">
              <w:t>Medical assistants pay 70%, non-medical assistants 20%.</w:t>
            </w:r>
          </w:p>
        </w:tc>
        <w:tc>
          <w:tcPr>
            <w:tcW w:w="2502" w:type="dxa"/>
          </w:tcPr>
          <w:p w:rsidR="00767B1A" w:rsidRPr="00CB32B1" w:rsidRDefault="00767B1A" w:rsidP="00767B1A">
            <w:pPr>
              <w:pStyle w:val="TableTextNormal"/>
              <w:cnfStyle w:val="000000000000"/>
            </w:pPr>
            <w:r w:rsidRPr="00CB32B1">
              <w:t>Not able to be ascertained</w:t>
            </w:r>
          </w:p>
        </w:tc>
        <w:tc>
          <w:tcPr>
            <w:tcW w:w="2976" w:type="dxa"/>
          </w:tcPr>
          <w:p w:rsidR="00767B1A" w:rsidRPr="00CB32B1" w:rsidRDefault="00767B1A" w:rsidP="00CD6271">
            <w:pPr>
              <w:pStyle w:val="TableTextNormal"/>
              <w:cnfStyle w:val="000000000000"/>
            </w:pPr>
            <w:r w:rsidRPr="00CB32B1">
              <w:t>€349 a year</w:t>
            </w:r>
          </w:p>
        </w:tc>
      </w:tr>
      <w:tr w:rsidR="00767B1A" w:rsidRPr="00CB32B1" w:rsidTr="00767B1A">
        <w:trPr>
          <w:trHeight w:val="408"/>
        </w:trPr>
        <w:tc>
          <w:tcPr>
            <w:cnfStyle w:val="001000000000"/>
            <w:tcW w:w="9288" w:type="dxa"/>
            <w:gridSpan w:val="4"/>
            <w:shd w:val="clear" w:color="auto" w:fill="FFA351" w:themeFill="text2" w:themeFillTint="99"/>
            <w:hideMark/>
          </w:tcPr>
          <w:p w:rsidR="00767B1A" w:rsidRPr="00CB32B1" w:rsidRDefault="00767B1A" w:rsidP="00767B1A">
            <w:pPr>
              <w:pStyle w:val="TableColumnHeadingNormal"/>
            </w:pPr>
            <w:r w:rsidRPr="00CB32B1">
              <w:t xml:space="preserve">Additional features of the insurance: </w:t>
            </w:r>
          </w:p>
        </w:tc>
      </w:tr>
      <w:tr w:rsidR="00767B1A" w:rsidRPr="00CB32B1" w:rsidTr="00767B1A">
        <w:trPr>
          <w:trHeight w:val="879"/>
        </w:trPr>
        <w:tc>
          <w:tcPr>
            <w:cnfStyle w:val="001000000000"/>
            <w:tcW w:w="1599" w:type="dxa"/>
            <w:hideMark/>
          </w:tcPr>
          <w:p w:rsidR="00767B1A" w:rsidRPr="00CB32B1" w:rsidRDefault="00767B1A" w:rsidP="00767B1A">
            <w:pPr>
              <w:pStyle w:val="TableTextNormal"/>
            </w:pPr>
            <w:r w:rsidRPr="00CB32B1">
              <w:t xml:space="preserve">Insurance: </w:t>
            </w:r>
          </w:p>
        </w:tc>
        <w:tc>
          <w:tcPr>
            <w:tcW w:w="2211" w:type="dxa"/>
            <w:hideMark/>
          </w:tcPr>
          <w:p w:rsidR="00767B1A" w:rsidRPr="00CB32B1" w:rsidRDefault="00767B1A" w:rsidP="00767B1A">
            <w:pPr>
              <w:pStyle w:val="TableBullet1Normal"/>
              <w:cnfStyle w:val="000000000000"/>
            </w:pPr>
            <w:r w:rsidRPr="00CB32B1">
              <w:t>Includes interns</w:t>
            </w:r>
          </w:p>
          <w:p w:rsidR="00767B1A" w:rsidRPr="00CB32B1" w:rsidRDefault="00767B1A" w:rsidP="00767B1A">
            <w:pPr>
              <w:pStyle w:val="TableBullet1Normal"/>
              <w:cnfStyle w:val="000000000000"/>
            </w:pPr>
            <w:r w:rsidRPr="00CB32B1">
              <w:t xml:space="preserve">Number of claims: ‘very few’ </w:t>
            </w:r>
          </w:p>
        </w:tc>
        <w:tc>
          <w:tcPr>
            <w:tcW w:w="2502" w:type="dxa"/>
          </w:tcPr>
          <w:p w:rsidR="00767B1A" w:rsidRPr="00CB32B1" w:rsidRDefault="00767B1A" w:rsidP="00767B1A">
            <w:pPr>
              <w:pStyle w:val="TableBullet1Normal"/>
              <w:cnfStyle w:val="000000000000"/>
            </w:pPr>
            <w:r w:rsidRPr="00CB32B1">
              <w:t>Basic package and a package where liabilities during prenatal screening are insured.</w:t>
            </w:r>
          </w:p>
          <w:p w:rsidR="00767B1A" w:rsidRPr="00CB32B1" w:rsidRDefault="00767B1A" w:rsidP="00767B1A">
            <w:pPr>
              <w:pStyle w:val="TableBullet1Normal"/>
              <w:cnfStyle w:val="000000000000"/>
            </w:pPr>
            <w:r w:rsidRPr="00CB32B1">
              <w:t>Temporary practitioners are included into the insurance during actual practising period.</w:t>
            </w:r>
          </w:p>
        </w:tc>
        <w:tc>
          <w:tcPr>
            <w:tcW w:w="2976" w:type="dxa"/>
          </w:tcPr>
          <w:p w:rsidR="00767B1A" w:rsidRPr="00CB32B1" w:rsidRDefault="00767B1A" w:rsidP="00767B1A">
            <w:pPr>
              <w:pStyle w:val="TableBullet1Normal"/>
              <w:cnfStyle w:val="000000000000"/>
            </w:pPr>
            <w:r w:rsidRPr="00CB32B1">
              <w:t>Temporary practitioners (including interns) are included into the insurance during actual practising period.</w:t>
            </w:r>
          </w:p>
          <w:p w:rsidR="00767B1A" w:rsidRPr="00CB32B1" w:rsidRDefault="00767B1A" w:rsidP="00767B1A">
            <w:pPr>
              <w:pStyle w:val="TableBullet1Normal"/>
              <w:cnfStyle w:val="000000000000"/>
            </w:pPr>
            <w:r w:rsidRPr="00CB32B1">
              <w:t>Legal aid by VVAA is included in the insurance to the extent that it refers to the claim for which indemnity is made upon.</w:t>
            </w:r>
          </w:p>
        </w:tc>
      </w:tr>
    </w:tbl>
    <w:p w:rsidR="00767B1A" w:rsidRPr="00CB32B1" w:rsidRDefault="00767B1A" w:rsidP="00767B1A">
      <w:pPr>
        <w:pStyle w:val="Sources"/>
      </w:pPr>
      <w:r w:rsidRPr="00CB32B1">
        <w:rPr>
          <w:b/>
        </w:rPr>
        <w:t>Source:</w:t>
      </w:r>
      <w:r w:rsidRPr="00CB32B1">
        <w:t xml:space="preserve"> Personal Communications, </w:t>
      </w:r>
      <w:r w:rsidR="000A7B59" w:rsidRPr="00CB32B1">
        <w:t xml:space="preserve">March </w:t>
      </w:r>
      <w:r w:rsidRPr="00CB32B1">
        <w:t>2013.</w:t>
      </w:r>
    </w:p>
    <w:p w:rsidR="00767B1A" w:rsidRPr="00CB32B1" w:rsidRDefault="00767B1A" w:rsidP="00767B1A">
      <w:pPr>
        <w:pStyle w:val="Minorheading"/>
      </w:pPr>
      <w:r w:rsidRPr="00CB32B1">
        <w:t>New Zealand</w:t>
      </w:r>
    </w:p>
    <w:p w:rsidR="00767B1A" w:rsidRDefault="00767B1A" w:rsidP="00767B1A">
      <w:pPr>
        <w:pStyle w:val="Minorheading2"/>
      </w:pPr>
      <w:r w:rsidRPr="00CB32B1">
        <w:t>Insurance product offered</w:t>
      </w:r>
    </w:p>
    <w:p w:rsidR="00006FCD" w:rsidRPr="00CB32B1" w:rsidRDefault="00006FCD" w:rsidP="00006FCD">
      <w:pPr>
        <w:pStyle w:val="PwCNormal"/>
      </w:pPr>
      <w:r>
        <w:t>New Zealand has an insurance product offered through one insurer, QBE. This product is offered through the New Zealand College of Midwives, who work with the insurer and broker to support the provision of the product to its members</w:t>
      </w:r>
      <w:r w:rsidRPr="00CB32B1">
        <w:t>. Details of the product are provided in</w:t>
      </w:r>
      <w:r>
        <w:t xml:space="preserve"> </w:t>
      </w:r>
      <w:r w:rsidR="009129A6">
        <w:fldChar w:fldCharType="begin"/>
      </w:r>
      <w:r>
        <w:instrText xml:space="preserve"> REF _Ref362894474 \h </w:instrText>
      </w:r>
      <w:r w:rsidR="009129A6">
        <w:fldChar w:fldCharType="separate"/>
      </w:r>
      <w:r w:rsidR="008816B4" w:rsidRPr="00CB32B1">
        <w:t xml:space="preserve">Table </w:t>
      </w:r>
      <w:r w:rsidR="008816B4">
        <w:rPr>
          <w:noProof/>
        </w:rPr>
        <w:t>72</w:t>
      </w:r>
      <w:r w:rsidR="009129A6">
        <w:fldChar w:fldCharType="end"/>
      </w:r>
      <w:r w:rsidRPr="00CB32B1">
        <w:t>.</w:t>
      </w:r>
    </w:p>
    <w:p w:rsidR="00767B1A" w:rsidRPr="00CB32B1" w:rsidRDefault="00767B1A" w:rsidP="00767B1A">
      <w:pPr>
        <w:pStyle w:val="Caption"/>
      </w:pPr>
      <w:bookmarkStart w:id="191" w:name="_Ref362894474"/>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72</w:t>
      </w:r>
      <w:r w:rsidR="009129A6" w:rsidRPr="00CB32B1">
        <w:fldChar w:fldCharType="end"/>
      </w:r>
      <w:bookmarkEnd w:id="191"/>
      <w:r w:rsidRPr="00CB32B1">
        <w:t>:</w:t>
      </w:r>
      <w:r w:rsidRPr="00CB32B1">
        <w:tab/>
        <w:t>Insurance product – QBE</w:t>
      </w:r>
    </w:p>
    <w:tbl>
      <w:tblPr>
        <w:tblStyle w:val="PwCTableStyle1"/>
        <w:tblW w:w="9288" w:type="dxa"/>
        <w:tblLayout w:type="fixed"/>
        <w:tblLook w:val="04A0"/>
      </w:tblPr>
      <w:tblGrid>
        <w:gridCol w:w="1702"/>
        <w:gridCol w:w="7586"/>
      </w:tblGrid>
      <w:tr w:rsidR="00767B1A" w:rsidRPr="00CB32B1" w:rsidTr="008B4DE7">
        <w:trPr>
          <w:cnfStyle w:val="100000000000"/>
          <w:trHeight w:val="282"/>
        </w:trPr>
        <w:tc>
          <w:tcPr>
            <w:cnfStyle w:val="001000000000"/>
            <w:tcW w:w="9288" w:type="dxa"/>
            <w:gridSpan w:val="2"/>
            <w:shd w:val="clear" w:color="auto" w:fill="DC6900" w:themeFill="text2"/>
            <w:hideMark/>
          </w:tcPr>
          <w:p w:rsidR="00767B1A" w:rsidRPr="00CB32B1" w:rsidRDefault="00767B1A" w:rsidP="00767B1A">
            <w:pPr>
              <w:pStyle w:val="TableColumnHeadingNormal"/>
            </w:pPr>
            <w:r w:rsidRPr="00CB32B1">
              <w:t xml:space="preserve">New Zealand </w:t>
            </w:r>
          </w:p>
        </w:tc>
      </w:tr>
      <w:tr w:rsidR="00767B1A" w:rsidRPr="00CB32B1" w:rsidTr="008B4DE7">
        <w:trPr>
          <w:trHeight w:val="270"/>
        </w:trPr>
        <w:tc>
          <w:tcPr>
            <w:cnfStyle w:val="001000000000"/>
            <w:tcW w:w="1702" w:type="dxa"/>
            <w:hideMark/>
          </w:tcPr>
          <w:p w:rsidR="00767B1A" w:rsidRPr="00CB32B1" w:rsidRDefault="00767B1A" w:rsidP="00767B1A">
            <w:pPr>
              <w:pStyle w:val="TableTextNormal"/>
              <w:rPr>
                <w:b/>
                <w:color w:val="DC6900" w:themeColor="text2"/>
              </w:rPr>
            </w:pPr>
            <w:r w:rsidRPr="00CB32B1">
              <w:rPr>
                <w:b/>
                <w:color w:val="DC6900" w:themeColor="text2"/>
              </w:rPr>
              <w:t xml:space="preserve">Insurer </w:t>
            </w:r>
          </w:p>
        </w:tc>
        <w:tc>
          <w:tcPr>
            <w:tcW w:w="7586" w:type="dxa"/>
            <w:hideMark/>
          </w:tcPr>
          <w:p w:rsidR="00767B1A" w:rsidRPr="00CB32B1" w:rsidRDefault="00767B1A" w:rsidP="00767B1A">
            <w:pPr>
              <w:pStyle w:val="TableTextNormal"/>
              <w:cnfStyle w:val="000000000000"/>
            </w:pPr>
            <w:r w:rsidRPr="00CB32B1">
              <w:t xml:space="preserve">QBE </w:t>
            </w:r>
          </w:p>
        </w:tc>
      </w:tr>
      <w:tr w:rsidR="00767B1A" w:rsidRPr="00CB32B1" w:rsidTr="008B4DE7">
        <w:trPr>
          <w:trHeight w:val="408"/>
        </w:trPr>
        <w:tc>
          <w:tcPr>
            <w:cnfStyle w:val="001000000000"/>
            <w:tcW w:w="1702" w:type="dxa"/>
            <w:hideMark/>
          </w:tcPr>
          <w:p w:rsidR="00767B1A" w:rsidRPr="00CB32B1" w:rsidRDefault="00767B1A" w:rsidP="00767B1A">
            <w:pPr>
              <w:pStyle w:val="TableTextNormal"/>
              <w:rPr>
                <w:b/>
                <w:color w:val="DC6900" w:themeColor="text2"/>
              </w:rPr>
            </w:pPr>
            <w:r w:rsidRPr="00CB32B1">
              <w:rPr>
                <w:b/>
                <w:color w:val="DC6900" w:themeColor="text2"/>
              </w:rPr>
              <w:t xml:space="preserve">Insurer information </w:t>
            </w:r>
          </w:p>
        </w:tc>
        <w:tc>
          <w:tcPr>
            <w:tcW w:w="7586" w:type="dxa"/>
            <w:hideMark/>
          </w:tcPr>
          <w:p w:rsidR="00767B1A" w:rsidRPr="00CB32B1" w:rsidRDefault="00767B1A" w:rsidP="00767B1A">
            <w:pPr>
              <w:pStyle w:val="TableTextNormal"/>
              <w:cnfStyle w:val="000000000000"/>
            </w:pPr>
            <w:r w:rsidRPr="00CB32B1">
              <w:t xml:space="preserve">QBE is subsidised by the New Zealand College of Midwives (NZCOM) through </w:t>
            </w:r>
            <w:r w:rsidR="00006FCD">
              <w:t>a risk-cost sharing arrangement</w:t>
            </w:r>
          </w:p>
          <w:p w:rsidR="00767B1A" w:rsidRPr="00CB32B1" w:rsidRDefault="00767B1A" w:rsidP="00767B1A">
            <w:pPr>
              <w:pStyle w:val="TableTextNormal"/>
              <w:cnfStyle w:val="000000000000"/>
            </w:pPr>
            <w:r w:rsidRPr="00CB32B1">
              <w:t>QBE profit</w:t>
            </w:r>
            <w:r w:rsidR="00006FCD">
              <w:t>s under the current arrangement</w:t>
            </w:r>
          </w:p>
          <w:p w:rsidR="00767B1A" w:rsidRPr="00CB32B1" w:rsidRDefault="00767B1A" w:rsidP="00767B1A">
            <w:pPr>
              <w:pStyle w:val="TableTextNormal"/>
              <w:cnfStyle w:val="000000000000"/>
            </w:pPr>
            <w:r w:rsidRPr="00CB32B1">
              <w:t>NZCOM works as a not for profit and therefore reinvests b</w:t>
            </w:r>
            <w:r w:rsidR="00006FCD">
              <w:t>ack into the College activities</w:t>
            </w:r>
          </w:p>
        </w:tc>
      </w:tr>
      <w:tr w:rsidR="00767B1A" w:rsidRPr="00CB32B1" w:rsidTr="008B4DE7">
        <w:trPr>
          <w:trHeight w:val="270"/>
        </w:trPr>
        <w:tc>
          <w:tcPr>
            <w:cnfStyle w:val="001000000000"/>
            <w:tcW w:w="9288" w:type="dxa"/>
            <w:gridSpan w:val="2"/>
            <w:shd w:val="clear" w:color="auto" w:fill="FFA351" w:themeFill="text2" w:themeFillTint="99"/>
            <w:hideMark/>
          </w:tcPr>
          <w:p w:rsidR="00767B1A" w:rsidRPr="00CB32B1" w:rsidRDefault="00767B1A" w:rsidP="00767B1A">
            <w:pPr>
              <w:pStyle w:val="TableColumnHeadingNormal"/>
            </w:pPr>
            <w:r w:rsidRPr="00CB32B1">
              <w:t xml:space="preserve">Product features: </w:t>
            </w:r>
          </w:p>
        </w:tc>
      </w:tr>
      <w:tr w:rsidR="00767B1A" w:rsidRPr="00CB32B1" w:rsidTr="008B4DE7">
        <w:trPr>
          <w:trHeight w:val="349"/>
        </w:trPr>
        <w:tc>
          <w:tcPr>
            <w:cnfStyle w:val="001000000000"/>
            <w:tcW w:w="1702" w:type="dxa"/>
            <w:hideMark/>
          </w:tcPr>
          <w:p w:rsidR="00767B1A" w:rsidRPr="00CB32B1" w:rsidRDefault="00767B1A" w:rsidP="00767B1A">
            <w:pPr>
              <w:pStyle w:val="TableTextNormal"/>
            </w:pPr>
            <w:r w:rsidRPr="00CB32B1">
              <w:t xml:space="preserve">Premium pool </w:t>
            </w:r>
          </w:p>
        </w:tc>
        <w:tc>
          <w:tcPr>
            <w:tcW w:w="7586" w:type="dxa"/>
            <w:hideMark/>
          </w:tcPr>
          <w:p w:rsidR="00767B1A" w:rsidRPr="00CB32B1" w:rsidRDefault="00767B1A" w:rsidP="00767B1A">
            <w:pPr>
              <w:pStyle w:val="TableTextNormal"/>
              <w:cnfStyle w:val="000000000000"/>
            </w:pPr>
            <w:r w:rsidRPr="00CB32B1">
              <w:t>Yes</w:t>
            </w:r>
          </w:p>
        </w:tc>
      </w:tr>
      <w:tr w:rsidR="00767B1A" w:rsidRPr="00CB32B1" w:rsidTr="008B4DE7">
        <w:trPr>
          <w:trHeight w:val="270"/>
        </w:trPr>
        <w:tc>
          <w:tcPr>
            <w:cnfStyle w:val="001000000000"/>
            <w:tcW w:w="1702" w:type="dxa"/>
            <w:hideMark/>
          </w:tcPr>
          <w:p w:rsidR="00767B1A" w:rsidRPr="00CB32B1" w:rsidRDefault="00767B1A" w:rsidP="00767B1A">
            <w:pPr>
              <w:pStyle w:val="TableTextNormal"/>
            </w:pPr>
            <w:r w:rsidRPr="00CB32B1">
              <w:t xml:space="preserve">Run off cover </w:t>
            </w:r>
          </w:p>
        </w:tc>
        <w:tc>
          <w:tcPr>
            <w:tcW w:w="7586" w:type="dxa"/>
            <w:hideMark/>
          </w:tcPr>
          <w:p w:rsidR="00767B1A" w:rsidRPr="00CB32B1" w:rsidRDefault="00767B1A" w:rsidP="00767B1A">
            <w:pPr>
              <w:pStyle w:val="TableTextNormal"/>
              <w:cnfStyle w:val="000000000000"/>
            </w:pPr>
            <w:r w:rsidRPr="00CB32B1">
              <w:t>Yes when the midwife lea</w:t>
            </w:r>
            <w:r w:rsidR="00006FCD">
              <w:t>ves the profession then covered</w:t>
            </w:r>
          </w:p>
        </w:tc>
      </w:tr>
      <w:tr w:rsidR="00767B1A" w:rsidRPr="00CB32B1" w:rsidTr="008B4DE7">
        <w:trPr>
          <w:trHeight w:val="270"/>
        </w:trPr>
        <w:tc>
          <w:tcPr>
            <w:cnfStyle w:val="001000000000"/>
            <w:tcW w:w="1702" w:type="dxa"/>
            <w:hideMark/>
          </w:tcPr>
          <w:p w:rsidR="00767B1A" w:rsidRPr="00CB32B1" w:rsidRDefault="00767B1A" w:rsidP="00767B1A">
            <w:pPr>
              <w:pStyle w:val="TableTextNormal"/>
            </w:pPr>
            <w:r w:rsidRPr="00CB32B1">
              <w:t xml:space="preserve">Quantum of cover </w:t>
            </w:r>
          </w:p>
        </w:tc>
        <w:tc>
          <w:tcPr>
            <w:tcW w:w="7586" w:type="dxa"/>
            <w:hideMark/>
          </w:tcPr>
          <w:p w:rsidR="00767B1A" w:rsidRPr="00CB32B1" w:rsidRDefault="00767B1A" w:rsidP="00767B1A">
            <w:pPr>
              <w:pStyle w:val="TableTextNormal"/>
              <w:cnfStyle w:val="000000000000"/>
            </w:pPr>
            <w:r w:rsidRPr="00CB32B1">
              <w:t>Insures midwife up to $1</w:t>
            </w:r>
            <w:r w:rsidR="00006FCD">
              <w:t xml:space="preserve"> million</w:t>
            </w:r>
            <w:r w:rsidRPr="00CB32B1">
              <w:t xml:space="preserve"> (NZ</w:t>
            </w:r>
            <w:r w:rsidR="00006FCD">
              <w:t>D</w:t>
            </w:r>
            <w:r w:rsidRPr="00CB32B1">
              <w:t>) with each claim. However, there is no limit on</w:t>
            </w:r>
            <w:r w:rsidR="00006FCD">
              <w:t xml:space="preserve"> the number of claims per year</w:t>
            </w:r>
          </w:p>
          <w:p w:rsidR="00767B1A" w:rsidRPr="00CB32B1" w:rsidRDefault="00006FCD" w:rsidP="00006FCD">
            <w:pPr>
              <w:pStyle w:val="TableTextNormal"/>
              <w:cnfStyle w:val="000000000000"/>
            </w:pPr>
            <w:r>
              <w:t>Also, provides a midwife with $1 million</w:t>
            </w:r>
            <w:r w:rsidR="00767B1A" w:rsidRPr="00CB32B1">
              <w:t xml:space="preserve"> (NZ</w:t>
            </w:r>
            <w:r>
              <w:t>D</w:t>
            </w:r>
            <w:r w:rsidR="00767B1A" w:rsidRPr="00CB32B1">
              <w:t>) public liability cover which is required to access hospitals</w:t>
            </w:r>
          </w:p>
        </w:tc>
      </w:tr>
      <w:tr w:rsidR="00767B1A" w:rsidRPr="00CB32B1" w:rsidTr="008B4DE7">
        <w:trPr>
          <w:trHeight w:val="270"/>
        </w:trPr>
        <w:tc>
          <w:tcPr>
            <w:cnfStyle w:val="001000000000"/>
            <w:tcW w:w="1702" w:type="dxa"/>
            <w:hideMark/>
          </w:tcPr>
          <w:p w:rsidR="00767B1A" w:rsidRPr="00CB32B1" w:rsidRDefault="00767B1A" w:rsidP="00767B1A">
            <w:pPr>
              <w:pStyle w:val="TableTextNormal"/>
            </w:pPr>
            <w:r w:rsidRPr="00CB32B1">
              <w:t>Excess</w:t>
            </w:r>
          </w:p>
        </w:tc>
        <w:tc>
          <w:tcPr>
            <w:tcW w:w="7586" w:type="dxa"/>
            <w:hideMark/>
          </w:tcPr>
          <w:p w:rsidR="00767B1A" w:rsidRPr="00CB32B1" w:rsidRDefault="00767B1A" w:rsidP="00767B1A">
            <w:pPr>
              <w:pStyle w:val="TableTextNormal"/>
              <w:cnfStyle w:val="000000000000"/>
            </w:pPr>
            <w:r w:rsidRPr="00CB32B1">
              <w:t>None</w:t>
            </w:r>
          </w:p>
        </w:tc>
      </w:tr>
      <w:tr w:rsidR="00767B1A" w:rsidRPr="00CB32B1" w:rsidTr="008B4DE7">
        <w:trPr>
          <w:trHeight w:val="408"/>
        </w:trPr>
        <w:tc>
          <w:tcPr>
            <w:cnfStyle w:val="001000000000"/>
            <w:tcW w:w="1702" w:type="dxa"/>
            <w:hideMark/>
          </w:tcPr>
          <w:p w:rsidR="00767B1A" w:rsidRPr="00CB32B1" w:rsidRDefault="00767B1A" w:rsidP="00767B1A">
            <w:pPr>
              <w:pStyle w:val="TableTextNormal"/>
            </w:pPr>
            <w:r w:rsidRPr="00CB32B1">
              <w:t xml:space="preserve">Cost </w:t>
            </w:r>
          </w:p>
        </w:tc>
        <w:tc>
          <w:tcPr>
            <w:tcW w:w="7586" w:type="dxa"/>
            <w:hideMark/>
          </w:tcPr>
          <w:p w:rsidR="00767B1A" w:rsidRPr="00CB32B1" w:rsidRDefault="00767B1A" w:rsidP="00006FCD">
            <w:pPr>
              <w:pStyle w:val="TableTextNormal"/>
              <w:cnfStyle w:val="000000000000"/>
            </w:pPr>
            <w:r w:rsidRPr="00CB32B1">
              <w:t>$100</w:t>
            </w:r>
            <w:r w:rsidR="00006FCD">
              <w:t>-$</w:t>
            </w:r>
            <w:r w:rsidRPr="00CB32B1">
              <w:t>110 (NZ</w:t>
            </w:r>
            <w:r w:rsidR="00006FCD">
              <w:t>D</w:t>
            </w:r>
            <w:r w:rsidRPr="00CB32B1">
              <w:t>) which is included in the membership fee of approximately $800</w:t>
            </w:r>
            <w:r w:rsidR="00006FCD">
              <w:t>-</w:t>
            </w:r>
            <w:r w:rsidRPr="00CB32B1">
              <w:t>$900 (NZ</w:t>
            </w:r>
            <w:r w:rsidR="00006FCD">
              <w:t>D</w:t>
            </w:r>
            <w:r w:rsidRPr="00CB32B1">
              <w:t>) per year</w:t>
            </w:r>
          </w:p>
        </w:tc>
      </w:tr>
      <w:tr w:rsidR="00767B1A" w:rsidRPr="00CB32B1" w:rsidTr="008B4DE7">
        <w:trPr>
          <w:trHeight w:val="408"/>
        </w:trPr>
        <w:tc>
          <w:tcPr>
            <w:cnfStyle w:val="001000000000"/>
            <w:tcW w:w="9288" w:type="dxa"/>
            <w:gridSpan w:val="2"/>
            <w:shd w:val="clear" w:color="auto" w:fill="FFA351" w:themeFill="text2" w:themeFillTint="99"/>
            <w:hideMark/>
          </w:tcPr>
          <w:p w:rsidR="00767B1A" w:rsidRPr="00CB32B1" w:rsidRDefault="00767B1A" w:rsidP="00767B1A">
            <w:pPr>
              <w:pStyle w:val="TableColumnHeadingNormal"/>
            </w:pPr>
            <w:r w:rsidRPr="00CB32B1">
              <w:t xml:space="preserve">Perceived enablers of service by stakeholders: </w:t>
            </w:r>
          </w:p>
        </w:tc>
      </w:tr>
      <w:tr w:rsidR="00767B1A" w:rsidRPr="00CB32B1" w:rsidTr="008B4DE7">
        <w:trPr>
          <w:trHeight w:val="879"/>
        </w:trPr>
        <w:tc>
          <w:tcPr>
            <w:cnfStyle w:val="001000000000"/>
            <w:tcW w:w="1702" w:type="dxa"/>
            <w:hideMark/>
          </w:tcPr>
          <w:p w:rsidR="00767B1A" w:rsidRPr="00CB32B1" w:rsidRDefault="00767B1A" w:rsidP="00767B1A">
            <w:pPr>
              <w:pStyle w:val="TableTextNormal"/>
              <w:keepNext/>
              <w:keepLines/>
            </w:pPr>
            <w:r w:rsidRPr="00CB32B1">
              <w:t xml:space="preserve">Insurance: </w:t>
            </w:r>
          </w:p>
        </w:tc>
        <w:tc>
          <w:tcPr>
            <w:tcW w:w="7586" w:type="dxa"/>
            <w:hideMark/>
          </w:tcPr>
          <w:p w:rsidR="00767B1A" w:rsidRPr="00CB32B1" w:rsidRDefault="00767B1A" w:rsidP="00767B1A">
            <w:pPr>
              <w:pStyle w:val="TableTextNormal"/>
              <w:keepNext/>
              <w:keepLines/>
              <w:cnfStyle w:val="000000000000"/>
            </w:pPr>
            <w:r w:rsidRPr="00CB32B1">
              <w:t>No fault policy under the personal injury compensation system – as this covers future disability</w:t>
            </w:r>
            <w:r w:rsidR="008870E6">
              <w:t>,</w:t>
            </w:r>
            <w:r w:rsidRPr="00CB32B1">
              <w:t xml:space="preserve"> claims are low (because this is the most costly </w:t>
            </w:r>
            <w:r w:rsidR="008870E6">
              <w:t>portion</w:t>
            </w:r>
            <w:r w:rsidR="008B4DE7">
              <w:t xml:space="preserve"> of claims)</w:t>
            </w:r>
          </w:p>
          <w:p w:rsidR="00767B1A" w:rsidRPr="00CB32B1" w:rsidRDefault="00767B1A" w:rsidP="00767B1A">
            <w:pPr>
              <w:pStyle w:val="TableTextNormal"/>
              <w:keepNext/>
              <w:keepLines/>
              <w:cnfStyle w:val="000000000000"/>
            </w:pPr>
            <w:r w:rsidRPr="00CB32B1">
              <w:t>Claims are normally around $1,000</w:t>
            </w:r>
            <w:r w:rsidR="008B4DE7">
              <w:t>-$</w:t>
            </w:r>
            <w:r w:rsidRPr="00CB32B1">
              <w:t>1,500 (NZ</w:t>
            </w:r>
            <w:r w:rsidR="008B4DE7">
              <w:t>D</w:t>
            </w:r>
            <w:r w:rsidRPr="00CB32B1">
              <w:t xml:space="preserve">). </w:t>
            </w:r>
            <w:r w:rsidR="008B4DE7">
              <w:t xml:space="preserve">Consultations identified that there are approximately 30 claims, but the largest claim has been estimated at </w:t>
            </w:r>
            <w:r w:rsidRPr="00CB32B1">
              <w:t>$300,000 (NZ</w:t>
            </w:r>
            <w:r w:rsidR="008B4DE7">
              <w:t>D)</w:t>
            </w:r>
            <w:r w:rsidR="008B4DE7">
              <w:rPr>
                <w:rStyle w:val="FootnoteReference"/>
              </w:rPr>
              <w:footnoteReference w:id="396"/>
            </w:r>
          </w:p>
          <w:p w:rsidR="00767B1A" w:rsidRPr="00CB32B1" w:rsidRDefault="00767B1A" w:rsidP="00767B1A">
            <w:pPr>
              <w:pStyle w:val="TableTextNormal"/>
              <w:keepNext/>
              <w:keepLines/>
              <w:cnfStyle w:val="000000000000"/>
            </w:pPr>
            <w:r w:rsidRPr="00CB32B1">
              <w:t>The NZCOM filters the cases which are given to QBE th</w:t>
            </w:r>
            <w:r w:rsidR="008B4DE7">
              <w:t>rough preliminary investigation which assists in the administrative time and costs for QBE, affecting the premium</w:t>
            </w:r>
          </w:p>
        </w:tc>
      </w:tr>
      <w:tr w:rsidR="00767B1A" w:rsidRPr="00CB32B1" w:rsidTr="008B4DE7">
        <w:trPr>
          <w:trHeight w:val="825"/>
        </w:trPr>
        <w:tc>
          <w:tcPr>
            <w:cnfStyle w:val="001000000000"/>
            <w:tcW w:w="1702" w:type="dxa"/>
            <w:hideMark/>
          </w:tcPr>
          <w:p w:rsidR="00767B1A" w:rsidRPr="00CB32B1" w:rsidRDefault="00767B1A" w:rsidP="00767B1A">
            <w:pPr>
              <w:pStyle w:val="TableTextNormal"/>
            </w:pPr>
            <w:r w:rsidRPr="00CB32B1">
              <w:t xml:space="preserve">Practising environment: </w:t>
            </w:r>
          </w:p>
        </w:tc>
        <w:tc>
          <w:tcPr>
            <w:tcW w:w="7586" w:type="dxa"/>
            <w:hideMark/>
          </w:tcPr>
          <w:p w:rsidR="00767B1A" w:rsidRPr="00CB32B1" w:rsidRDefault="00767B1A" w:rsidP="00767B1A">
            <w:pPr>
              <w:pStyle w:val="TableTextNormal"/>
              <w:cnfStyle w:val="000000000000"/>
            </w:pPr>
            <w:r w:rsidRPr="00CB32B1">
              <w:t>Woman makes the decision about who is her lead maternity carer</w:t>
            </w:r>
          </w:p>
          <w:p w:rsidR="00767B1A" w:rsidRPr="00CB32B1" w:rsidRDefault="00767B1A" w:rsidP="00767B1A">
            <w:pPr>
              <w:pStyle w:val="TableTextNormal"/>
              <w:cnfStyle w:val="000000000000"/>
            </w:pPr>
            <w:r w:rsidRPr="00CB32B1">
              <w:t>PII is not mandatory</w:t>
            </w:r>
            <w:r w:rsidR="008B4DE7">
              <w:t xml:space="preserve"> for midwives, but </w:t>
            </w:r>
            <w:r w:rsidR="008B4DE7" w:rsidRPr="00CB32B1">
              <w:t>required by the Ministry of Health for all health practitioners holding an access arrangement with a public health service.</w:t>
            </w:r>
          </w:p>
        </w:tc>
      </w:tr>
    </w:tbl>
    <w:p w:rsidR="008B4DE7" w:rsidRPr="00CB32B1" w:rsidRDefault="008B4DE7" w:rsidP="008B4DE7">
      <w:pPr>
        <w:pStyle w:val="Sources"/>
      </w:pPr>
      <w:r w:rsidRPr="00CB32B1">
        <w:rPr>
          <w:b/>
        </w:rPr>
        <w:t>Source:</w:t>
      </w:r>
      <w:r w:rsidRPr="00CB32B1">
        <w:t xml:space="preserve"> </w:t>
      </w:r>
      <w:r>
        <w:t>Personal communication November 2012, March 2013.</w:t>
      </w:r>
    </w:p>
    <w:p w:rsidR="00767B1A" w:rsidRPr="00CB32B1" w:rsidRDefault="00767B1A" w:rsidP="00767B1A">
      <w:pPr>
        <w:pStyle w:val="Majorheading"/>
      </w:pPr>
      <w:r w:rsidRPr="00CB32B1">
        <w:t>6.</w:t>
      </w:r>
      <w:r w:rsidRPr="00CB32B1">
        <w:tab/>
        <w:t>Legal structures</w:t>
      </w:r>
    </w:p>
    <w:p w:rsidR="00767B1A" w:rsidRPr="00CB32B1" w:rsidRDefault="00767B1A" w:rsidP="00767B1A">
      <w:pPr>
        <w:pStyle w:val="Minorheading"/>
      </w:pPr>
      <w:r w:rsidRPr="00CB32B1">
        <w:t>Overview of litigation culture</w:t>
      </w:r>
    </w:p>
    <w:p w:rsidR="00767B1A" w:rsidRPr="00CB32B1" w:rsidRDefault="00767B1A" w:rsidP="00767B1A">
      <w:pPr>
        <w:pStyle w:val="PwCNormal"/>
      </w:pPr>
      <w:r w:rsidRPr="00CB32B1">
        <w:t xml:space="preserve">In order to understand the legal systems impacting upon practice and the number of claims that may be raised as a result of the litigious culture of the </w:t>
      </w:r>
      <w:r w:rsidR="00AD74BA">
        <w:t>jurisdiction</w:t>
      </w:r>
      <w:r w:rsidRPr="00CB32B1">
        <w:t xml:space="preserve">, information on the court systems for each </w:t>
      </w:r>
      <w:r w:rsidR="00496AD4">
        <w:t>jurisdiction</w:t>
      </w:r>
      <w:r w:rsidRPr="00CB32B1">
        <w:t xml:space="preserve"> was collected and supplemented through consultations with insurers, regulators and </w:t>
      </w:r>
      <w:r w:rsidR="00AD74BA">
        <w:t>C</w:t>
      </w:r>
      <w:r w:rsidRPr="00CB32B1">
        <w:t xml:space="preserve">olleges. A summary is provided in </w:t>
      </w:r>
      <w:r w:rsidR="009129A6" w:rsidRPr="00CB32B1">
        <w:fldChar w:fldCharType="begin"/>
      </w:r>
      <w:r w:rsidR="00D44BC2" w:rsidRPr="00CB32B1">
        <w:instrText xml:space="preserve"> REF _Ref361225081 \h </w:instrText>
      </w:r>
      <w:r w:rsidR="009129A6" w:rsidRPr="00CB32B1">
        <w:fldChar w:fldCharType="separate"/>
      </w:r>
      <w:r w:rsidR="008816B4" w:rsidRPr="00CB32B1">
        <w:t xml:space="preserve">Table </w:t>
      </w:r>
      <w:r w:rsidR="008816B4">
        <w:rPr>
          <w:noProof/>
        </w:rPr>
        <w:t>73</w:t>
      </w:r>
      <w:r w:rsidR="009129A6" w:rsidRPr="00CB32B1">
        <w:fldChar w:fldCharType="end"/>
      </w:r>
      <w:r w:rsidRPr="00CB32B1">
        <w:t>.</w:t>
      </w:r>
    </w:p>
    <w:p w:rsidR="00767B1A" w:rsidRPr="00CB32B1" w:rsidRDefault="00767B1A" w:rsidP="00767B1A">
      <w:pPr>
        <w:pStyle w:val="PwCNormal"/>
      </w:pPr>
      <w:r w:rsidRPr="00CB32B1">
        <w:t xml:space="preserve">Key findings about the litigation culture in each </w:t>
      </w:r>
      <w:r w:rsidR="00496AD4">
        <w:t>jurisdiction</w:t>
      </w:r>
      <w:r w:rsidRPr="00CB32B1">
        <w:t xml:space="preserve"> include:</w:t>
      </w:r>
    </w:p>
    <w:p w:rsidR="00767B1A" w:rsidRPr="00CB32B1" w:rsidRDefault="00767B1A" w:rsidP="00767B1A">
      <w:pPr>
        <w:pStyle w:val="ListBullet"/>
      </w:pPr>
      <w:r w:rsidRPr="00CB32B1">
        <w:t xml:space="preserve">In </w:t>
      </w:r>
      <w:r w:rsidR="00AD74BA">
        <w:t xml:space="preserve">the province of </w:t>
      </w:r>
      <w:r w:rsidRPr="00CB32B1">
        <w:t>Ontario, the Netherlands and New Zealand the number of claims was found to be low although evidence from insurers has only been provided for two of the jurisdictions (</w:t>
      </w:r>
      <w:r w:rsidR="00AD74BA">
        <w:t xml:space="preserve">province of </w:t>
      </w:r>
      <w:r w:rsidRPr="00CB32B1">
        <w:t>Ontari</w:t>
      </w:r>
      <w:r w:rsidR="00AD74BA">
        <w:t>o</w:t>
      </w:r>
      <w:r w:rsidRPr="00CB32B1">
        <w:t xml:space="preserve"> and New Zealand)</w:t>
      </w:r>
    </w:p>
    <w:p w:rsidR="00767B1A" w:rsidRPr="00CB32B1" w:rsidRDefault="00767B1A" w:rsidP="00767B1A">
      <w:pPr>
        <w:pStyle w:val="ListBullet"/>
      </w:pPr>
      <w:r w:rsidRPr="00CB32B1">
        <w:t xml:space="preserve">For Australia and England, the number of claims was difficult to assess given limitations on data quality and neither </w:t>
      </w:r>
      <w:r w:rsidR="00AD74BA">
        <w:t>jurisdiction had offered</w:t>
      </w:r>
      <w:r w:rsidRPr="00CB32B1">
        <w:t xml:space="preserve"> </w:t>
      </w:r>
      <w:r w:rsidR="008870E6">
        <w:t>a relevant</w:t>
      </w:r>
      <w:r w:rsidRPr="00CB32B1">
        <w:t xml:space="preserve"> insurance product for an extended period of time.</w:t>
      </w:r>
    </w:p>
    <w:p w:rsidR="00767B1A" w:rsidRPr="00CB32B1" w:rsidRDefault="00767B1A" w:rsidP="00767B1A">
      <w:pPr>
        <w:pStyle w:val="Caption"/>
      </w:pPr>
      <w:bookmarkStart w:id="192" w:name="_Ref361225081"/>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73</w:t>
      </w:r>
      <w:r w:rsidR="009129A6" w:rsidRPr="00CB32B1">
        <w:fldChar w:fldCharType="end"/>
      </w:r>
      <w:bookmarkEnd w:id="192"/>
      <w:r w:rsidRPr="00CB32B1">
        <w:t>:</w:t>
      </w:r>
      <w:r w:rsidRPr="00CB32B1">
        <w:tab/>
        <w:t xml:space="preserve">Summary of litigation for each </w:t>
      </w:r>
      <w:r w:rsidR="00496AD4">
        <w:t>jurisdiction</w:t>
      </w:r>
    </w:p>
    <w:tbl>
      <w:tblPr>
        <w:tblStyle w:val="PwCTableStyle1"/>
        <w:tblW w:w="5000" w:type="pct"/>
        <w:tblLook w:val="04A0"/>
      </w:tblPr>
      <w:tblGrid>
        <w:gridCol w:w="1224"/>
        <w:gridCol w:w="1611"/>
        <w:gridCol w:w="1612"/>
        <w:gridCol w:w="1612"/>
        <w:gridCol w:w="1612"/>
        <w:gridCol w:w="1614"/>
      </w:tblGrid>
      <w:tr w:rsidR="00AD74BA" w:rsidRPr="00CB32B1" w:rsidTr="00AD74BA">
        <w:trPr>
          <w:cnfStyle w:val="100000000000"/>
        </w:trPr>
        <w:tc>
          <w:tcPr>
            <w:cnfStyle w:val="001000000000"/>
            <w:tcW w:w="659" w:type="pct"/>
            <w:tcBorders>
              <w:bottom w:val="single" w:sz="6" w:space="0" w:color="DC6900" w:themeColor="text2"/>
              <w:right w:val="single" w:sz="6" w:space="0" w:color="FFFFFF" w:themeColor="background2"/>
            </w:tcBorders>
            <w:shd w:val="clear" w:color="auto" w:fill="DC6900" w:themeFill="text2"/>
            <w:vAlign w:val="bottom"/>
          </w:tcPr>
          <w:p w:rsidR="00AD74BA" w:rsidRPr="00CB32B1" w:rsidRDefault="00AD74BA" w:rsidP="00747120">
            <w:pPr>
              <w:pStyle w:val="TableColumnHeadingNormal"/>
              <w:jc w:val="center"/>
            </w:pPr>
            <w:r w:rsidRPr="00CB32B1">
              <w:t>Litigation culture</w:t>
            </w:r>
          </w:p>
        </w:tc>
        <w:tc>
          <w:tcPr>
            <w:tcW w:w="868"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hideMark/>
          </w:tcPr>
          <w:p w:rsidR="00AD74BA" w:rsidRPr="00CB32B1" w:rsidRDefault="00AD74BA" w:rsidP="00747120">
            <w:pPr>
              <w:pStyle w:val="TableColumnHeadingNormal"/>
              <w:jc w:val="center"/>
              <w:cnfStyle w:val="100000000000"/>
            </w:pPr>
            <w:r w:rsidRPr="00CB32B1">
              <w:t>Australia</w:t>
            </w:r>
          </w:p>
        </w:tc>
        <w:tc>
          <w:tcPr>
            <w:tcW w:w="868"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tcPr>
          <w:p w:rsidR="00AD74BA" w:rsidRPr="00CB32B1" w:rsidRDefault="00AD74BA" w:rsidP="00AD74BA">
            <w:pPr>
              <w:pStyle w:val="TableColumnHeadingNormal"/>
              <w:jc w:val="center"/>
              <w:cnfStyle w:val="100000000000"/>
            </w:pPr>
            <w:r w:rsidRPr="00CB32B1">
              <w:t>England</w:t>
            </w:r>
          </w:p>
        </w:tc>
        <w:tc>
          <w:tcPr>
            <w:tcW w:w="868"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hideMark/>
          </w:tcPr>
          <w:p w:rsidR="00AD74BA" w:rsidRPr="00CB32B1" w:rsidRDefault="00AD74BA" w:rsidP="00747120">
            <w:pPr>
              <w:pStyle w:val="TableColumnHeadingNormal"/>
              <w:jc w:val="center"/>
              <w:cnfStyle w:val="100000000000"/>
            </w:pPr>
            <w:r w:rsidRPr="00CB32B1">
              <w:t>Ontario, Canada</w:t>
            </w:r>
          </w:p>
        </w:tc>
        <w:tc>
          <w:tcPr>
            <w:tcW w:w="868"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hideMark/>
          </w:tcPr>
          <w:p w:rsidR="00AD74BA" w:rsidRPr="00CB32B1" w:rsidRDefault="00AD74BA" w:rsidP="00747120">
            <w:pPr>
              <w:pStyle w:val="TableColumnHeadingNormal"/>
              <w:jc w:val="center"/>
              <w:cnfStyle w:val="100000000000"/>
            </w:pPr>
            <w:r w:rsidRPr="00CB32B1">
              <w:t>the Netherlands</w:t>
            </w:r>
          </w:p>
        </w:tc>
        <w:tc>
          <w:tcPr>
            <w:tcW w:w="869"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hideMark/>
          </w:tcPr>
          <w:p w:rsidR="00AD74BA" w:rsidRPr="00CB32B1" w:rsidRDefault="00AD74BA" w:rsidP="00747120">
            <w:pPr>
              <w:pStyle w:val="TableColumnHeadingNormal"/>
              <w:jc w:val="center"/>
              <w:cnfStyle w:val="100000000000"/>
            </w:pPr>
            <w:r w:rsidRPr="00CB32B1">
              <w:t>New Zealand</w:t>
            </w:r>
          </w:p>
        </w:tc>
      </w:tr>
      <w:tr w:rsidR="00AD74BA" w:rsidRPr="00CB32B1" w:rsidTr="00AD74BA">
        <w:tc>
          <w:tcPr>
            <w:cnfStyle w:val="001000000000"/>
            <w:tcW w:w="659" w:type="pct"/>
            <w:tcBorders>
              <w:top w:val="single" w:sz="6" w:space="0" w:color="DC6900" w:themeColor="text2"/>
            </w:tcBorders>
            <w:hideMark/>
          </w:tcPr>
          <w:p w:rsidR="00AD74BA" w:rsidRPr="00CB32B1" w:rsidRDefault="00AD74BA" w:rsidP="00767B1A">
            <w:pPr>
              <w:pStyle w:val="TableTextNormal"/>
            </w:pPr>
            <w:r w:rsidRPr="00CB32B1">
              <w:t>Number of claims</w:t>
            </w:r>
          </w:p>
        </w:tc>
        <w:tc>
          <w:tcPr>
            <w:tcW w:w="868" w:type="pct"/>
            <w:tcBorders>
              <w:top w:val="single" w:sz="6" w:space="0" w:color="DC6900" w:themeColor="text2"/>
            </w:tcBorders>
            <w:hideMark/>
          </w:tcPr>
          <w:p w:rsidR="00AD74BA" w:rsidRPr="00CB32B1" w:rsidRDefault="00AD74BA" w:rsidP="00767B1A">
            <w:pPr>
              <w:pStyle w:val="TableTextNormal"/>
              <w:cnfStyle w:val="000000000000"/>
            </w:pPr>
            <w:r w:rsidRPr="00CB32B1">
              <w:t>Claims culture unknown due to insurance product being unavailable for long time</w:t>
            </w:r>
          </w:p>
        </w:tc>
        <w:tc>
          <w:tcPr>
            <w:tcW w:w="868" w:type="pct"/>
            <w:tcBorders>
              <w:top w:val="single" w:sz="6" w:space="0" w:color="DC6900" w:themeColor="text2"/>
            </w:tcBorders>
          </w:tcPr>
          <w:p w:rsidR="00AD74BA" w:rsidRPr="00CB32B1" w:rsidRDefault="00AD74BA" w:rsidP="007927DB">
            <w:pPr>
              <w:pStyle w:val="TableTextNormal"/>
              <w:cnfStyle w:val="000000000000"/>
            </w:pPr>
            <w:r w:rsidRPr="00CB32B1">
              <w:t>Limitations on data quality makes litigation environment difficult to interpret for independent midwives</w:t>
            </w:r>
          </w:p>
        </w:tc>
        <w:tc>
          <w:tcPr>
            <w:tcW w:w="868" w:type="pct"/>
            <w:tcBorders>
              <w:top w:val="single" w:sz="6" w:space="0" w:color="DC6900" w:themeColor="text2"/>
            </w:tcBorders>
          </w:tcPr>
          <w:p w:rsidR="00AD74BA" w:rsidRPr="00CB32B1" w:rsidRDefault="00AD74BA" w:rsidP="00767B1A">
            <w:pPr>
              <w:pStyle w:val="TableTextNormal"/>
              <w:cnfStyle w:val="000000000000"/>
            </w:pPr>
            <w:r w:rsidRPr="00CB32B1">
              <w:t>Low claims culture seen by HIROC</w:t>
            </w:r>
          </w:p>
        </w:tc>
        <w:tc>
          <w:tcPr>
            <w:tcW w:w="868" w:type="pct"/>
            <w:tcBorders>
              <w:top w:val="single" w:sz="6" w:space="0" w:color="DC6900" w:themeColor="text2"/>
            </w:tcBorders>
            <w:hideMark/>
          </w:tcPr>
          <w:p w:rsidR="00AD74BA" w:rsidRPr="00CB32B1" w:rsidRDefault="00AD74BA" w:rsidP="008870E6">
            <w:pPr>
              <w:pStyle w:val="TableTextNormal"/>
              <w:cnfStyle w:val="000000000000"/>
            </w:pPr>
            <w:r w:rsidRPr="00CB32B1">
              <w:t>Low litigious culture as judges are very reluctant</w:t>
            </w:r>
            <w:r>
              <w:t xml:space="preserve"> to find against midwives</w:t>
            </w:r>
            <w:r w:rsidRPr="00CB32B1">
              <w:t xml:space="preserve"> </w:t>
            </w:r>
            <w:r>
              <w:t>in</w:t>
            </w:r>
            <w:r w:rsidRPr="00CB32B1">
              <w:t xml:space="preserve"> malpractice claims</w:t>
            </w:r>
          </w:p>
        </w:tc>
        <w:tc>
          <w:tcPr>
            <w:tcW w:w="869" w:type="pct"/>
            <w:tcBorders>
              <w:top w:val="single" w:sz="6" w:space="0" w:color="DC6900" w:themeColor="text2"/>
            </w:tcBorders>
            <w:hideMark/>
          </w:tcPr>
          <w:p w:rsidR="00AD74BA" w:rsidRPr="00CB32B1" w:rsidRDefault="00AD74BA" w:rsidP="00767B1A">
            <w:pPr>
              <w:pStyle w:val="TableTextNormal"/>
              <w:cnfStyle w:val="000000000000"/>
            </w:pPr>
            <w:r w:rsidRPr="00CB32B1">
              <w:t>Low number of claims seen by insurance broker</w:t>
            </w:r>
          </w:p>
        </w:tc>
      </w:tr>
      <w:tr w:rsidR="00AD74BA" w:rsidRPr="00CB32B1" w:rsidTr="00AD74BA">
        <w:tc>
          <w:tcPr>
            <w:cnfStyle w:val="001000000000"/>
            <w:tcW w:w="659" w:type="pct"/>
          </w:tcPr>
          <w:p w:rsidR="00AD74BA" w:rsidRPr="00CB32B1" w:rsidRDefault="00AD74BA" w:rsidP="00767B1A">
            <w:pPr>
              <w:pStyle w:val="TableTextNormal"/>
            </w:pPr>
            <w:r w:rsidRPr="00CB32B1">
              <w:t>Quantum of claims</w:t>
            </w:r>
          </w:p>
        </w:tc>
        <w:tc>
          <w:tcPr>
            <w:tcW w:w="868" w:type="pct"/>
          </w:tcPr>
          <w:p w:rsidR="00AD74BA" w:rsidRPr="00CB32B1" w:rsidRDefault="00AD74BA" w:rsidP="00767B1A">
            <w:pPr>
              <w:pStyle w:val="TableTextNormal"/>
              <w:cnfStyle w:val="000000000000"/>
            </w:pPr>
            <w:r w:rsidRPr="00CB32B1">
              <w:t>Perceived to be high but no evidence to support for PPM practice</w:t>
            </w:r>
          </w:p>
        </w:tc>
        <w:tc>
          <w:tcPr>
            <w:tcW w:w="868" w:type="pct"/>
          </w:tcPr>
          <w:p w:rsidR="00AD74BA" w:rsidRPr="00CB32B1" w:rsidRDefault="00AD74BA" w:rsidP="007927DB">
            <w:pPr>
              <w:pStyle w:val="TableTextNormal"/>
              <w:cnfStyle w:val="000000000000"/>
            </w:pPr>
            <w:r w:rsidRPr="00CB32B1">
              <w:t>Perceived to be high but no evidence to support specifically for independent midwives</w:t>
            </w:r>
          </w:p>
        </w:tc>
        <w:tc>
          <w:tcPr>
            <w:tcW w:w="868" w:type="pct"/>
          </w:tcPr>
          <w:p w:rsidR="00AD74BA" w:rsidRPr="00CB32B1" w:rsidRDefault="00AD74BA" w:rsidP="00767B1A">
            <w:pPr>
              <w:pStyle w:val="TableTextNormal"/>
              <w:cnfStyle w:val="000000000000"/>
            </w:pPr>
            <w:r w:rsidRPr="00CB32B1">
              <w:t>Courts have seen a cap on claims for non-pecuniary damages for fatalities.</w:t>
            </w:r>
          </w:p>
          <w:p w:rsidR="00AD74BA" w:rsidRPr="00CB32B1" w:rsidRDefault="00AD74BA" w:rsidP="00767B1A">
            <w:pPr>
              <w:pStyle w:val="TableTextNormal"/>
              <w:cnfStyle w:val="000000000000"/>
            </w:pPr>
            <w:r w:rsidRPr="00CB32B1">
              <w:t xml:space="preserve">Life disabilities known to be high between $2 million – </w:t>
            </w:r>
            <w:r>
              <w:t>$</w:t>
            </w:r>
            <w:r w:rsidRPr="00CB32B1">
              <w:t>9 million.</w:t>
            </w:r>
          </w:p>
        </w:tc>
        <w:tc>
          <w:tcPr>
            <w:tcW w:w="868" w:type="pct"/>
          </w:tcPr>
          <w:p w:rsidR="00AD74BA" w:rsidRPr="00CB32B1" w:rsidRDefault="00AD74BA" w:rsidP="00767B1A">
            <w:pPr>
              <w:pStyle w:val="TableTextNormal"/>
              <w:cnfStyle w:val="000000000000"/>
            </w:pPr>
            <w:r w:rsidRPr="00CB32B1">
              <w:t xml:space="preserve">Insurance co-payments reduce pay-out for claims </w:t>
            </w:r>
          </w:p>
          <w:p w:rsidR="00AD74BA" w:rsidRPr="00CB32B1" w:rsidRDefault="00AD74BA" w:rsidP="008870E6">
            <w:pPr>
              <w:pStyle w:val="TableTextNormal"/>
              <w:cnfStyle w:val="000000000000"/>
            </w:pPr>
            <w:r w:rsidRPr="00CB32B1">
              <w:t>Social insurance reduces pay out for claims</w:t>
            </w:r>
            <w:r>
              <w:t xml:space="preserve">. </w:t>
            </w:r>
            <w:r w:rsidRPr="00CB32B1">
              <w:t>General Tax for Special Illness</w:t>
            </w:r>
          </w:p>
        </w:tc>
        <w:tc>
          <w:tcPr>
            <w:tcW w:w="869" w:type="pct"/>
          </w:tcPr>
          <w:p w:rsidR="00AD74BA" w:rsidRPr="00CB32B1" w:rsidRDefault="00AD74BA" w:rsidP="00767B1A">
            <w:pPr>
              <w:pStyle w:val="TableTextNormal"/>
              <w:cnfStyle w:val="000000000000"/>
            </w:pPr>
            <w:r w:rsidRPr="00CB32B1">
              <w:t>No fault system, where regardless of the incidence, a person injured will receive a specific pay-out, reducing claim quantum</w:t>
            </w:r>
          </w:p>
        </w:tc>
      </w:tr>
    </w:tbl>
    <w:p w:rsidR="00AD74BA" w:rsidRDefault="00767B1A" w:rsidP="00767B1A">
      <w:pPr>
        <w:pStyle w:val="Sources"/>
      </w:pPr>
      <w:r w:rsidRPr="00CB32B1">
        <w:rPr>
          <w:b/>
        </w:rPr>
        <w:t>Source</w:t>
      </w:r>
      <w:r w:rsidR="000A7B59" w:rsidRPr="00CB32B1">
        <w:rPr>
          <w:b/>
        </w:rPr>
        <w:t>s</w:t>
      </w:r>
      <w:r w:rsidRPr="00CB32B1">
        <w:rPr>
          <w:b/>
        </w:rPr>
        <w:t>:</w:t>
      </w:r>
      <w:r w:rsidRPr="00CB32B1">
        <w:t xml:space="preserve"> Flaxman Partners</w:t>
      </w:r>
      <w:r w:rsidR="000C29FB" w:rsidRPr="00CB32B1">
        <w:t xml:space="preserve"> 2011; </w:t>
      </w:r>
      <w:r w:rsidRPr="00CB32B1">
        <w:t>PricewaterhouseCoopers LLP</w:t>
      </w:r>
      <w:r w:rsidR="000C29FB" w:rsidRPr="00CB32B1">
        <w:t xml:space="preserve"> 2010; </w:t>
      </w:r>
      <w:r w:rsidRPr="00CB32B1">
        <w:t xml:space="preserve">HIROC, Personal Communication, </w:t>
      </w:r>
      <w:r w:rsidR="00AD74BA">
        <w:t xml:space="preserve">March </w:t>
      </w:r>
      <w:r w:rsidRPr="00CB32B1">
        <w:t xml:space="preserve">2013; Claims Canada </w:t>
      </w:r>
      <w:r w:rsidR="002B6E59" w:rsidRPr="00CB32B1">
        <w:t>2013</w:t>
      </w:r>
      <w:r w:rsidR="000C29FB" w:rsidRPr="00CB32B1">
        <w:t xml:space="preserve">; </w:t>
      </w:r>
      <w:r w:rsidRPr="00CB32B1">
        <w:t>Government of the Netherlands</w:t>
      </w:r>
      <w:r w:rsidR="000C29FB" w:rsidRPr="00CB32B1">
        <w:t xml:space="preserve"> 2013; </w:t>
      </w:r>
      <w:r w:rsidRPr="00CB32B1">
        <w:t>KNOV (The Royal Dutch Organisation of Midwives)</w:t>
      </w:r>
      <w:r w:rsidR="00AD74BA">
        <w:t xml:space="preserve"> 2012.</w:t>
      </w:r>
    </w:p>
    <w:p w:rsidR="00767B1A" w:rsidRPr="00CB32B1" w:rsidRDefault="00767B1A" w:rsidP="00767B1A">
      <w:pPr>
        <w:pStyle w:val="Sources"/>
        <w:rPr>
          <w:color w:val="auto"/>
          <w:sz w:val="20"/>
        </w:rPr>
      </w:pPr>
      <w:r w:rsidRPr="00CB32B1">
        <w:rPr>
          <w:color w:val="auto"/>
          <w:sz w:val="20"/>
        </w:rPr>
        <w:t xml:space="preserve">An overview of each court structure within each </w:t>
      </w:r>
      <w:r w:rsidR="00496AD4">
        <w:rPr>
          <w:color w:val="auto"/>
          <w:sz w:val="20"/>
        </w:rPr>
        <w:t>jurisdiction</w:t>
      </w:r>
      <w:r w:rsidRPr="00CB32B1">
        <w:rPr>
          <w:color w:val="auto"/>
          <w:sz w:val="20"/>
        </w:rPr>
        <w:t xml:space="preserve"> is provided in </w:t>
      </w:r>
      <w:fldSimple w:instr=" REF _Ref361225092 \h  \* MERGEFORMAT ">
        <w:r w:rsidR="008816B4" w:rsidRPr="008816B4">
          <w:rPr>
            <w:color w:val="auto"/>
            <w:sz w:val="20"/>
          </w:rPr>
          <w:t>Table 74</w:t>
        </w:r>
      </w:fldSimple>
      <w:r w:rsidRPr="00CB32B1">
        <w:rPr>
          <w:color w:val="auto"/>
          <w:sz w:val="20"/>
        </w:rPr>
        <w:t>.</w:t>
      </w:r>
    </w:p>
    <w:p w:rsidR="00767B1A" w:rsidRPr="00CB32B1" w:rsidRDefault="00767B1A" w:rsidP="00767B1A">
      <w:pPr>
        <w:pStyle w:val="Caption"/>
      </w:pPr>
      <w:bookmarkStart w:id="193" w:name="_Ref361225092"/>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74</w:t>
      </w:r>
      <w:r w:rsidR="009129A6" w:rsidRPr="00CB32B1">
        <w:fldChar w:fldCharType="end"/>
      </w:r>
      <w:bookmarkEnd w:id="193"/>
      <w:r w:rsidRPr="00CB32B1">
        <w:t>:</w:t>
      </w:r>
      <w:r w:rsidRPr="00CB32B1">
        <w:tab/>
        <w:t>Overview of court systems</w:t>
      </w:r>
    </w:p>
    <w:tbl>
      <w:tblPr>
        <w:tblStyle w:val="PwCTableStyle1"/>
        <w:tblW w:w="9288" w:type="dxa"/>
        <w:tblLayout w:type="fixed"/>
        <w:tblLook w:val="04A0"/>
      </w:tblPr>
      <w:tblGrid>
        <w:gridCol w:w="1526"/>
        <w:gridCol w:w="850"/>
        <w:gridCol w:w="6912"/>
      </w:tblGrid>
      <w:tr w:rsidR="00767B1A" w:rsidRPr="00CB32B1" w:rsidTr="00496AD4">
        <w:trPr>
          <w:cnfStyle w:val="100000000000"/>
        </w:trPr>
        <w:tc>
          <w:tcPr>
            <w:cnfStyle w:val="001000000000"/>
            <w:tcW w:w="1526" w:type="dxa"/>
            <w:tcBorders>
              <w:bottom w:val="single" w:sz="6" w:space="0" w:color="DC6900" w:themeColor="text2"/>
              <w:right w:val="single" w:sz="6" w:space="0" w:color="FFFFFF" w:themeColor="background2"/>
            </w:tcBorders>
            <w:shd w:val="clear" w:color="auto" w:fill="DC6900" w:themeFill="text2"/>
            <w:vAlign w:val="bottom"/>
          </w:tcPr>
          <w:p w:rsidR="00767B1A" w:rsidRPr="00CB32B1" w:rsidRDefault="00496AD4" w:rsidP="00747120">
            <w:pPr>
              <w:pStyle w:val="TableColumnHeadingNormal"/>
              <w:jc w:val="center"/>
            </w:pPr>
            <w:r>
              <w:t>Jurisdiction</w:t>
            </w:r>
          </w:p>
        </w:tc>
        <w:tc>
          <w:tcPr>
            <w:tcW w:w="850"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tcPr>
          <w:p w:rsidR="00767B1A" w:rsidRPr="00CB32B1" w:rsidRDefault="00767B1A" w:rsidP="00747120">
            <w:pPr>
              <w:pStyle w:val="TableColumnHeadingNormal"/>
              <w:jc w:val="center"/>
              <w:cnfStyle w:val="100000000000"/>
            </w:pPr>
            <w:r w:rsidRPr="00CB32B1">
              <w:t>Court levels</w:t>
            </w:r>
          </w:p>
        </w:tc>
        <w:tc>
          <w:tcPr>
            <w:tcW w:w="6912" w:type="dxa"/>
            <w:tcBorders>
              <w:left w:val="single" w:sz="6" w:space="0" w:color="FFFFFF" w:themeColor="background2"/>
              <w:bottom w:val="single" w:sz="6" w:space="0" w:color="DC6900" w:themeColor="text2"/>
            </w:tcBorders>
            <w:shd w:val="clear" w:color="auto" w:fill="DC6900" w:themeFill="text2"/>
            <w:vAlign w:val="bottom"/>
          </w:tcPr>
          <w:p w:rsidR="00767B1A" w:rsidRPr="00CB32B1" w:rsidRDefault="00767B1A" w:rsidP="00747120">
            <w:pPr>
              <w:pStyle w:val="TableColumnHeadingNormal"/>
              <w:jc w:val="center"/>
              <w:cnfStyle w:val="100000000000"/>
            </w:pPr>
            <w:r w:rsidRPr="00CB32B1">
              <w:t>Description</w:t>
            </w:r>
          </w:p>
        </w:tc>
      </w:tr>
      <w:tr w:rsidR="00767B1A" w:rsidRPr="00CB32B1" w:rsidTr="00496AD4">
        <w:tc>
          <w:tcPr>
            <w:cnfStyle w:val="001000000000"/>
            <w:tcW w:w="1526" w:type="dxa"/>
            <w:tcBorders>
              <w:top w:val="single" w:sz="6" w:space="0" w:color="DC6900" w:themeColor="text2"/>
            </w:tcBorders>
          </w:tcPr>
          <w:p w:rsidR="00767B1A" w:rsidRPr="00CB32B1" w:rsidRDefault="00767B1A" w:rsidP="00767B1A">
            <w:pPr>
              <w:pStyle w:val="TableTextNormal"/>
            </w:pPr>
            <w:r w:rsidRPr="00CB32B1">
              <w:t>Australia</w:t>
            </w:r>
          </w:p>
        </w:tc>
        <w:tc>
          <w:tcPr>
            <w:tcW w:w="850" w:type="dxa"/>
            <w:tcBorders>
              <w:top w:val="single" w:sz="6" w:space="0" w:color="DC6900" w:themeColor="text2"/>
            </w:tcBorders>
          </w:tcPr>
          <w:p w:rsidR="00767B1A" w:rsidRPr="00CB32B1" w:rsidRDefault="00767B1A" w:rsidP="00767B1A">
            <w:pPr>
              <w:pStyle w:val="TableTextNormal"/>
              <w:cnfStyle w:val="000000000000"/>
            </w:pPr>
            <w:r w:rsidRPr="00CB32B1">
              <w:t>6</w:t>
            </w:r>
          </w:p>
        </w:tc>
        <w:tc>
          <w:tcPr>
            <w:tcW w:w="6912" w:type="dxa"/>
            <w:tcBorders>
              <w:top w:val="single" w:sz="6" w:space="0" w:color="DC6900" w:themeColor="text2"/>
            </w:tcBorders>
          </w:tcPr>
          <w:p w:rsidR="00767B1A" w:rsidRPr="00CB32B1" w:rsidRDefault="00767B1A" w:rsidP="00767B1A">
            <w:pPr>
              <w:pStyle w:val="TableNumberedList1"/>
              <w:cnfStyle w:val="000000000000"/>
            </w:pPr>
            <w:r w:rsidRPr="00CB32B1">
              <w:t>State Magistrates’ Courts – which hear less ser</w:t>
            </w:r>
            <w:r w:rsidR="004C15EA">
              <w:t>ious criminal and civil matters</w:t>
            </w:r>
          </w:p>
          <w:p w:rsidR="00767B1A" w:rsidRPr="00CB32B1" w:rsidRDefault="00767B1A" w:rsidP="00767B1A">
            <w:pPr>
              <w:pStyle w:val="TableNumberedList1"/>
              <w:cnfStyle w:val="000000000000"/>
            </w:pPr>
            <w:r w:rsidRPr="00CB32B1">
              <w:t>State County Courts</w:t>
            </w:r>
            <w:r w:rsidR="008870E6">
              <w:t xml:space="preserve"> </w:t>
            </w:r>
            <w:r w:rsidRPr="00CB32B1">
              <w:t>– which hear more serious criminal cases and civil cases involving large amounts of money. Most appeals from the Magistrates’ Cour</w:t>
            </w:r>
            <w:r w:rsidR="004C15EA">
              <w:t>t will come to the County Court</w:t>
            </w:r>
          </w:p>
          <w:p w:rsidR="00767B1A" w:rsidRPr="00CB32B1" w:rsidRDefault="00767B1A" w:rsidP="00767B1A">
            <w:pPr>
              <w:pStyle w:val="TableNumberedList1"/>
              <w:cnfStyle w:val="000000000000"/>
            </w:pPr>
            <w:r w:rsidRPr="00CB32B1">
              <w:t>State Supreme Courts – which hear the most serious criminal cases and civil cases for unlimited amounts of money. These courts hear a variety of appeals from different courts, including t</w:t>
            </w:r>
            <w:r w:rsidR="004C15EA">
              <w:t>he County Court</w:t>
            </w:r>
          </w:p>
          <w:p w:rsidR="00767B1A" w:rsidRPr="00CB32B1" w:rsidRDefault="00767B1A" w:rsidP="00767B1A">
            <w:pPr>
              <w:pStyle w:val="TableNumberedList1"/>
              <w:cnfStyle w:val="000000000000"/>
            </w:pPr>
            <w:r w:rsidRPr="00CB32B1">
              <w:t>Federal Magistrates Court – which hears less serious matters that would otherwise go to</w:t>
            </w:r>
            <w:r w:rsidR="004C15EA">
              <w:t xml:space="preserve"> the Federal Court of Australia</w:t>
            </w:r>
          </w:p>
          <w:p w:rsidR="00767B1A" w:rsidRPr="00CB32B1" w:rsidRDefault="00767B1A" w:rsidP="00767B1A">
            <w:pPr>
              <w:pStyle w:val="TableNumberedList1"/>
              <w:cnfStyle w:val="000000000000"/>
            </w:pPr>
            <w:r w:rsidRPr="00CB32B1">
              <w:t>Federal Court of Australia – which hear</w:t>
            </w:r>
            <w:r w:rsidR="004C15EA">
              <w:t xml:space="preserve"> cases on federal issues</w:t>
            </w:r>
          </w:p>
          <w:p w:rsidR="00767B1A" w:rsidRPr="00CB32B1" w:rsidRDefault="00767B1A" w:rsidP="00767B1A">
            <w:pPr>
              <w:pStyle w:val="TableNumberedList1"/>
              <w:cnfStyle w:val="000000000000"/>
            </w:pPr>
            <w:r w:rsidRPr="00CB32B1">
              <w:t xml:space="preserve">High Court of Australia – the highest court in Australia which </w:t>
            </w:r>
            <w:r w:rsidR="004C15EA">
              <w:t>hears complex cases and appeals</w:t>
            </w:r>
          </w:p>
        </w:tc>
      </w:tr>
      <w:tr w:rsidR="004C15EA" w:rsidRPr="00CB32B1" w:rsidTr="00496AD4">
        <w:tc>
          <w:tcPr>
            <w:cnfStyle w:val="001000000000"/>
            <w:tcW w:w="1526" w:type="dxa"/>
          </w:tcPr>
          <w:p w:rsidR="004C15EA" w:rsidRPr="00CB32B1" w:rsidRDefault="004C15EA" w:rsidP="007927DB">
            <w:pPr>
              <w:pStyle w:val="TableTextNormal"/>
            </w:pPr>
            <w:r>
              <w:t>England</w:t>
            </w:r>
          </w:p>
        </w:tc>
        <w:tc>
          <w:tcPr>
            <w:tcW w:w="850" w:type="dxa"/>
          </w:tcPr>
          <w:p w:rsidR="004C15EA" w:rsidRPr="00CB32B1" w:rsidRDefault="004C15EA" w:rsidP="007927DB">
            <w:pPr>
              <w:pStyle w:val="TableTextNormal"/>
              <w:cnfStyle w:val="000000000000"/>
            </w:pPr>
            <w:r w:rsidRPr="00CB32B1">
              <w:t>5</w:t>
            </w:r>
          </w:p>
        </w:tc>
        <w:tc>
          <w:tcPr>
            <w:tcW w:w="6912" w:type="dxa"/>
          </w:tcPr>
          <w:p w:rsidR="004C15EA" w:rsidRPr="00CB32B1" w:rsidRDefault="004C15EA" w:rsidP="007927DB">
            <w:pPr>
              <w:pStyle w:val="TableNumberedList1"/>
              <w:numPr>
                <w:ilvl w:val="0"/>
                <w:numId w:val="42"/>
              </w:numPr>
              <w:cnfStyle w:val="000000000000"/>
            </w:pPr>
            <w:r w:rsidRPr="00CB32B1">
              <w:t>State Magistrates’ Courts</w:t>
            </w:r>
            <w:r>
              <w:t xml:space="preserve"> </w:t>
            </w:r>
            <w:r w:rsidRPr="00CB32B1">
              <w:t>– which hear summary criminal</w:t>
            </w:r>
            <w:r>
              <w:t xml:space="preserve"> cases and simple civil matters</w:t>
            </w:r>
          </w:p>
          <w:p w:rsidR="004C15EA" w:rsidRPr="00CB32B1" w:rsidRDefault="004C15EA" w:rsidP="007927DB">
            <w:pPr>
              <w:pStyle w:val="TableNumberedList1"/>
              <w:cnfStyle w:val="000000000000"/>
            </w:pPr>
            <w:r w:rsidRPr="00CB32B1">
              <w:t>Crown Court and County Courts– the Crown Court hears indictable criminal cases transferred from Magistrates’ Courts whereas the Count</w:t>
            </w:r>
            <w:r>
              <w:t>y Courts hear most civil cases</w:t>
            </w:r>
          </w:p>
          <w:p w:rsidR="004C15EA" w:rsidRPr="00CB32B1" w:rsidRDefault="004C15EA" w:rsidP="007927DB">
            <w:pPr>
              <w:pStyle w:val="TableNumberedList1"/>
              <w:cnfStyle w:val="000000000000"/>
            </w:pPr>
            <w:r w:rsidRPr="00CB32B1">
              <w:t>High Court – that hears appeals from</w:t>
            </w:r>
            <w:r>
              <w:t xml:space="preserve"> decisions of the County Courts</w:t>
            </w:r>
          </w:p>
          <w:p w:rsidR="004C15EA" w:rsidRPr="00CB32B1" w:rsidRDefault="004C15EA" w:rsidP="007927DB">
            <w:pPr>
              <w:pStyle w:val="TableNumberedList1"/>
              <w:cnfStyle w:val="000000000000"/>
            </w:pPr>
            <w:r w:rsidRPr="00CB32B1">
              <w:t>Court of Appeal – which consists of two divisions, the Criminal Division and the Civil Division. The Criminal Division hears appeals from the Crown Court. The Civil Division hears appeals concerning civil law from the High Court, Tribunals and certai</w:t>
            </w:r>
            <w:r>
              <w:t>n cases from the County Courts</w:t>
            </w:r>
          </w:p>
          <w:p w:rsidR="004C15EA" w:rsidRPr="00CB32B1" w:rsidRDefault="004C15EA" w:rsidP="007927DB">
            <w:pPr>
              <w:pStyle w:val="TableNumberedList1"/>
              <w:cnfStyle w:val="000000000000"/>
            </w:pPr>
            <w:r w:rsidRPr="00CB32B1">
              <w:t>UK Supreme Court – this is the highest court in the UK which hears appeals from the Cou</w:t>
            </w:r>
            <w:r>
              <w:t>rt of Appeal and the High Court</w:t>
            </w:r>
          </w:p>
        </w:tc>
      </w:tr>
      <w:tr w:rsidR="00767B1A" w:rsidRPr="00CB32B1" w:rsidTr="00496AD4">
        <w:trPr>
          <w:trHeight w:val="480"/>
        </w:trPr>
        <w:tc>
          <w:tcPr>
            <w:cnfStyle w:val="001000000000"/>
            <w:tcW w:w="1526" w:type="dxa"/>
          </w:tcPr>
          <w:p w:rsidR="00767B1A" w:rsidRPr="00CB32B1" w:rsidRDefault="00767B1A" w:rsidP="00767B1A">
            <w:pPr>
              <w:pStyle w:val="TableTextNormal"/>
            </w:pPr>
            <w:r w:rsidRPr="00CB32B1">
              <w:t>Ontario, Canada</w:t>
            </w:r>
          </w:p>
        </w:tc>
        <w:tc>
          <w:tcPr>
            <w:tcW w:w="850" w:type="dxa"/>
          </w:tcPr>
          <w:p w:rsidR="00767B1A" w:rsidRPr="00CB32B1" w:rsidRDefault="00767B1A" w:rsidP="00767B1A">
            <w:pPr>
              <w:pStyle w:val="TableTextNormal"/>
              <w:cnfStyle w:val="000000000000"/>
            </w:pPr>
            <w:r w:rsidRPr="00CB32B1">
              <w:t>4</w:t>
            </w:r>
          </w:p>
        </w:tc>
        <w:tc>
          <w:tcPr>
            <w:tcW w:w="6912" w:type="dxa"/>
          </w:tcPr>
          <w:p w:rsidR="00767B1A" w:rsidRPr="00CB32B1" w:rsidRDefault="00767B1A" w:rsidP="00286BF2">
            <w:pPr>
              <w:pStyle w:val="TableNumberedList1"/>
              <w:numPr>
                <w:ilvl w:val="0"/>
                <w:numId w:val="41"/>
              </w:numPr>
              <w:cnfStyle w:val="000000000000"/>
            </w:pPr>
            <w:r w:rsidRPr="00CB32B1">
              <w:t>Provincial courts – these courts deal with less serious criminal offences and civil matters. Judges generally only have the powers given</w:t>
            </w:r>
            <w:r w:rsidR="004C15EA">
              <w:t xml:space="preserve"> to them by provincial statute</w:t>
            </w:r>
          </w:p>
          <w:p w:rsidR="00767B1A" w:rsidRPr="00CB32B1" w:rsidRDefault="00767B1A" w:rsidP="00767B1A">
            <w:pPr>
              <w:pStyle w:val="TableNumberedList1"/>
              <w:cnfStyle w:val="000000000000"/>
            </w:pPr>
            <w:r w:rsidRPr="00CB32B1">
              <w:t>Provincial superior courts – these courts try the most serious criminal and civil cases. These judges general</w:t>
            </w:r>
            <w:r w:rsidR="004C15EA">
              <w:t>ly have unlimited jurisdiction</w:t>
            </w:r>
          </w:p>
          <w:p w:rsidR="00767B1A" w:rsidRPr="00CB32B1" w:rsidRDefault="00767B1A" w:rsidP="00767B1A">
            <w:pPr>
              <w:pStyle w:val="TableNumberedList1"/>
              <w:cnfStyle w:val="000000000000"/>
            </w:pPr>
            <w:r w:rsidRPr="00CB32B1">
              <w:t>Federal courts</w:t>
            </w:r>
            <w:r w:rsidR="00854DEF" w:rsidRPr="00CB32B1">
              <w:t xml:space="preserve"> – </w:t>
            </w:r>
            <w:r w:rsidR="004C15EA">
              <w:t>J</w:t>
            </w:r>
            <w:r w:rsidRPr="00CB32B1">
              <w:t>udges in this court have a jurisdiction limited t</w:t>
            </w:r>
            <w:r w:rsidR="004C15EA">
              <w:t>o matters involving federal law</w:t>
            </w:r>
          </w:p>
          <w:p w:rsidR="00767B1A" w:rsidRPr="00CB32B1" w:rsidRDefault="00767B1A" w:rsidP="00767B1A">
            <w:pPr>
              <w:pStyle w:val="TableNumberedList1"/>
              <w:cnfStyle w:val="000000000000"/>
            </w:pPr>
            <w:r w:rsidRPr="00CB32B1">
              <w:t>Supreme Court – this is the final court of appeal from all other Canadian courts. This court has jurisdiction ove</w:t>
            </w:r>
            <w:r w:rsidR="004C15EA">
              <w:t>r disputes in all areas of law</w:t>
            </w:r>
          </w:p>
        </w:tc>
      </w:tr>
      <w:tr w:rsidR="00767B1A" w:rsidRPr="00CB32B1" w:rsidTr="00496AD4">
        <w:tc>
          <w:tcPr>
            <w:cnfStyle w:val="001000000000"/>
            <w:tcW w:w="1526" w:type="dxa"/>
          </w:tcPr>
          <w:p w:rsidR="00767B1A" w:rsidRPr="00CB32B1" w:rsidRDefault="00767B1A" w:rsidP="00767B1A">
            <w:pPr>
              <w:pStyle w:val="TableTextNormal"/>
            </w:pPr>
            <w:r w:rsidRPr="00CB32B1">
              <w:t>the Netherlands</w:t>
            </w:r>
          </w:p>
        </w:tc>
        <w:tc>
          <w:tcPr>
            <w:tcW w:w="850" w:type="dxa"/>
          </w:tcPr>
          <w:p w:rsidR="00767B1A" w:rsidRPr="00CB32B1" w:rsidRDefault="00767B1A" w:rsidP="00767B1A">
            <w:pPr>
              <w:pStyle w:val="TableTextNormal"/>
              <w:cnfStyle w:val="000000000000"/>
            </w:pPr>
            <w:r w:rsidRPr="00CB32B1">
              <w:t>3</w:t>
            </w:r>
          </w:p>
        </w:tc>
        <w:tc>
          <w:tcPr>
            <w:tcW w:w="6912" w:type="dxa"/>
          </w:tcPr>
          <w:p w:rsidR="00767B1A" w:rsidRPr="00CB32B1" w:rsidRDefault="00767B1A" w:rsidP="00286BF2">
            <w:pPr>
              <w:pStyle w:val="TableNumberedList1"/>
              <w:numPr>
                <w:ilvl w:val="0"/>
                <w:numId w:val="43"/>
              </w:numPr>
              <w:cnfStyle w:val="000000000000"/>
            </w:pPr>
            <w:r w:rsidRPr="00CB32B1">
              <w:t xml:space="preserve">District courts – this is where most cases start. Every district court has a limited jurisdiction, which generally hears civil claims of up to </w:t>
            </w:r>
            <w:r w:rsidR="004C15EA">
              <w:t>€</w:t>
            </w:r>
            <w:r w:rsidRPr="00CB32B1">
              <w:t>5</w:t>
            </w:r>
            <w:r w:rsidR="004C15EA">
              <w:t>,000 and minor criminal offences</w:t>
            </w:r>
          </w:p>
          <w:p w:rsidR="00767B1A" w:rsidRPr="00CB32B1" w:rsidRDefault="00767B1A" w:rsidP="00767B1A">
            <w:pPr>
              <w:pStyle w:val="TableNumberedList1"/>
              <w:cnfStyle w:val="000000000000"/>
            </w:pPr>
            <w:r w:rsidRPr="00CB32B1">
              <w:t>Court of Appeal – if one of the parties to a case held in a District court disagrees with the decision made, it may appeal to the Court of Appeal</w:t>
            </w:r>
          </w:p>
          <w:p w:rsidR="00767B1A" w:rsidRPr="00CB32B1" w:rsidRDefault="00767B1A" w:rsidP="00767B1A">
            <w:pPr>
              <w:pStyle w:val="TableNumberedList1"/>
              <w:cnfStyle w:val="000000000000"/>
            </w:pPr>
            <w:r w:rsidRPr="00CB32B1">
              <w:t>Supreme Court – this is the final court of appeal from all other Dutc</w:t>
            </w:r>
            <w:r w:rsidR="004C15EA">
              <w:t>h courts</w:t>
            </w:r>
          </w:p>
        </w:tc>
      </w:tr>
      <w:tr w:rsidR="00767B1A" w:rsidRPr="00CB32B1" w:rsidTr="00496AD4">
        <w:tc>
          <w:tcPr>
            <w:cnfStyle w:val="001000000000"/>
            <w:tcW w:w="1526" w:type="dxa"/>
          </w:tcPr>
          <w:p w:rsidR="00767B1A" w:rsidRPr="00CB32B1" w:rsidRDefault="00767B1A" w:rsidP="00767B1A">
            <w:pPr>
              <w:pStyle w:val="TableTextNormal"/>
            </w:pPr>
            <w:r w:rsidRPr="00CB32B1">
              <w:t>New Zealand</w:t>
            </w:r>
          </w:p>
        </w:tc>
        <w:tc>
          <w:tcPr>
            <w:tcW w:w="850" w:type="dxa"/>
          </w:tcPr>
          <w:p w:rsidR="00767B1A" w:rsidRPr="00CB32B1" w:rsidRDefault="00767B1A" w:rsidP="00767B1A">
            <w:pPr>
              <w:pStyle w:val="TableTextNormal"/>
              <w:cnfStyle w:val="000000000000"/>
            </w:pPr>
            <w:r w:rsidRPr="00CB32B1">
              <w:t>4</w:t>
            </w:r>
          </w:p>
        </w:tc>
        <w:tc>
          <w:tcPr>
            <w:tcW w:w="6912" w:type="dxa"/>
          </w:tcPr>
          <w:p w:rsidR="00767B1A" w:rsidRPr="00CB32B1" w:rsidRDefault="00767B1A" w:rsidP="00286BF2">
            <w:pPr>
              <w:pStyle w:val="TableNumberedList1"/>
              <w:numPr>
                <w:ilvl w:val="0"/>
                <w:numId w:val="44"/>
              </w:numPr>
              <w:cnfStyle w:val="000000000000"/>
            </w:pPr>
            <w:r w:rsidRPr="00CB32B1">
              <w:t>District Courts – most court business takes place in these courts. Numerous criminal cases and civil cases (issue is less than $20,000</w:t>
            </w:r>
            <w:r w:rsidR="004C15EA">
              <w:t>(NZD)) are held here</w:t>
            </w:r>
          </w:p>
          <w:p w:rsidR="00767B1A" w:rsidRPr="00CB32B1" w:rsidRDefault="00767B1A" w:rsidP="00767B1A">
            <w:pPr>
              <w:pStyle w:val="TableNumberedList1"/>
              <w:cnfStyle w:val="000000000000"/>
            </w:pPr>
            <w:r w:rsidRPr="00CB32B1">
              <w:t>The High Court – this court hears more serious trials and complex civil cases in addition to appeals from the</w:t>
            </w:r>
            <w:r w:rsidR="004C15EA">
              <w:t xml:space="preserve"> District Courts and tribunals</w:t>
            </w:r>
          </w:p>
          <w:p w:rsidR="00767B1A" w:rsidRPr="00CB32B1" w:rsidRDefault="00767B1A" w:rsidP="00767B1A">
            <w:pPr>
              <w:pStyle w:val="TableNumberedList1"/>
              <w:cnfStyle w:val="000000000000"/>
            </w:pPr>
            <w:r w:rsidRPr="00CB32B1">
              <w:t>Court of Appeal – this court hears a</w:t>
            </w:r>
            <w:r w:rsidR="004C15EA">
              <w:t>ppeals from the Courts below it</w:t>
            </w:r>
          </w:p>
          <w:p w:rsidR="00767B1A" w:rsidRPr="00CB32B1" w:rsidRDefault="00767B1A" w:rsidP="00767B1A">
            <w:pPr>
              <w:pStyle w:val="TableNumberedList1"/>
              <w:cnfStyle w:val="000000000000"/>
            </w:pPr>
            <w:r w:rsidRPr="00CB32B1">
              <w:t xml:space="preserve">Supreme Court – this is the final court </w:t>
            </w:r>
            <w:r w:rsidR="004C15EA">
              <w:t>of appeal from all other courts</w:t>
            </w:r>
          </w:p>
        </w:tc>
      </w:tr>
    </w:tbl>
    <w:p w:rsidR="00767B1A" w:rsidRPr="00CB32B1" w:rsidRDefault="00767B1A" w:rsidP="00767B1A">
      <w:pPr>
        <w:pStyle w:val="Majorheading"/>
      </w:pPr>
      <w:r w:rsidRPr="00CB32B1">
        <w:t>7.</w:t>
      </w:r>
      <w:r w:rsidRPr="00CB32B1">
        <w:tab/>
        <w:t>Data: births, outcomes, incidences and claims</w:t>
      </w:r>
    </w:p>
    <w:p w:rsidR="00767B1A" w:rsidRPr="00CB32B1" w:rsidRDefault="00767B1A" w:rsidP="00767B1A">
      <w:pPr>
        <w:pStyle w:val="PwCNormal"/>
        <w:keepNext/>
        <w:keepLines/>
      </w:pPr>
      <w:r w:rsidRPr="00CB32B1">
        <w:t xml:space="preserve">This section summarises additional statistics found for each </w:t>
      </w:r>
      <w:r w:rsidR="00650BD4">
        <w:t>jurisdiction</w:t>
      </w:r>
      <w:r w:rsidRPr="00CB32B1">
        <w:t xml:space="preserve"> and tries to narrow the scope of insurance data as far as possible from the data collected. A full report on the information collected is found in the </w:t>
      </w:r>
      <w:r w:rsidRPr="00650BD4">
        <w:rPr>
          <w:i/>
        </w:rPr>
        <w:t>PwC</w:t>
      </w:r>
      <w:r w:rsidR="00650BD4" w:rsidRPr="00650BD4">
        <w:rPr>
          <w:i/>
        </w:rPr>
        <w:t xml:space="preserve"> Claims Report, 2013</w:t>
      </w:r>
      <w:r w:rsidRPr="00CB32B1">
        <w:t xml:space="preserve"> and the limitations articulated in that report should be considered when analysing information presented here. However, it is worth noting that no </w:t>
      </w:r>
      <w:r w:rsidR="00650BD4">
        <w:t>jurisdiction</w:t>
      </w:r>
      <w:r w:rsidRPr="00CB32B1">
        <w:t xml:space="preserve"> ha</w:t>
      </w:r>
      <w:r w:rsidR="00650BD4">
        <w:t>d</w:t>
      </w:r>
      <w:r w:rsidRPr="00CB32B1">
        <w:t xml:space="preserve"> significant numbers of court cases </w:t>
      </w:r>
      <w:r w:rsidR="00650BD4">
        <w:t>that were identified as a part of the research for this project, associa</w:t>
      </w:r>
      <w:r w:rsidRPr="00CB32B1">
        <w:t xml:space="preserve">ted with practice. </w:t>
      </w:r>
    </w:p>
    <w:p w:rsidR="00767B1A" w:rsidRPr="00CB32B1" w:rsidRDefault="00767B1A" w:rsidP="00767B1A">
      <w:pPr>
        <w:pStyle w:val="Minorheading"/>
      </w:pPr>
      <w:r w:rsidRPr="00CB32B1">
        <w:t>Cases or claims recorded for PPMs or independent midwives</w:t>
      </w:r>
    </w:p>
    <w:tbl>
      <w:tblPr>
        <w:tblStyle w:val="PwCTableStyle1"/>
        <w:tblW w:w="0" w:type="auto"/>
        <w:tblLayout w:type="fixed"/>
        <w:tblLook w:val="04A0"/>
      </w:tblPr>
      <w:tblGrid>
        <w:gridCol w:w="2019"/>
        <w:gridCol w:w="1832"/>
        <w:gridCol w:w="2114"/>
        <w:gridCol w:w="1501"/>
        <w:gridCol w:w="1822"/>
      </w:tblGrid>
      <w:tr w:rsidR="00767B1A" w:rsidRPr="00CB32B1" w:rsidTr="00767B1A">
        <w:trPr>
          <w:cnfStyle w:val="100000000000"/>
        </w:trPr>
        <w:tc>
          <w:tcPr>
            <w:cnfStyle w:val="001000000000"/>
            <w:tcW w:w="2019" w:type="dxa"/>
            <w:tcBorders>
              <w:bottom w:val="single" w:sz="6" w:space="0" w:color="DC6900" w:themeColor="text2"/>
              <w:right w:val="single" w:sz="6" w:space="0" w:color="FFFFFF" w:themeColor="background2"/>
            </w:tcBorders>
            <w:shd w:val="clear" w:color="auto" w:fill="DC6900" w:themeFill="text2"/>
            <w:vAlign w:val="bottom"/>
          </w:tcPr>
          <w:p w:rsidR="00767B1A" w:rsidRPr="00CB32B1" w:rsidRDefault="00496AD4" w:rsidP="00747120">
            <w:pPr>
              <w:pStyle w:val="TableColumnHeadingNormal"/>
              <w:jc w:val="center"/>
            </w:pPr>
            <w:r>
              <w:t>Jurisdiction</w:t>
            </w:r>
          </w:p>
        </w:tc>
        <w:tc>
          <w:tcPr>
            <w:tcW w:w="1832"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tcPr>
          <w:p w:rsidR="00767B1A" w:rsidRPr="00CB32B1" w:rsidRDefault="00767B1A" w:rsidP="00747120">
            <w:pPr>
              <w:pStyle w:val="TableColumnHeadingNormal"/>
              <w:jc w:val="center"/>
              <w:cnfStyle w:val="100000000000"/>
            </w:pPr>
            <w:r w:rsidRPr="00CB32B1">
              <w:t>Tribunal cases</w:t>
            </w:r>
          </w:p>
        </w:tc>
        <w:tc>
          <w:tcPr>
            <w:tcW w:w="2114"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tcPr>
          <w:p w:rsidR="00767B1A" w:rsidRPr="00CB32B1" w:rsidRDefault="00767B1A" w:rsidP="00747120">
            <w:pPr>
              <w:pStyle w:val="TableColumnHeadingNormal"/>
              <w:jc w:val="center"/>
              <w:cnfStyle w:val="100000000000"/>
            </w:pPr>
            <w:r w:rsidRPr="00CB32B1">
              <w:t>Insurance claims</w:t>
            </w:r>
          </w:p>
        </w:tc>
        <w:tc>
          <w:tcPr>
            <w:tcW w:w="1501"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vAlign w:val="bottom"/>
          </w:tcPr>
          <w:p w:rsidR="00767B1A" w:rsidRPr="00CB32B1" w:rsidRDefault="00767B1A" w:rsidP="00747120">
            <w:pPr>
              <w:pStyle w:val="TableColumnHeadingNormal"/>
              <w:jc w:val="center"/>
              <w:cnfStyle w:val="100000000000"/>
            </w:pPr>
            <w:r w:rsidRPr="00CB32B1">
              <w:t>Court cases</w:t>
            </w:r>
          </w:p>
        </w:tc>
        <w:tc>
          <w:tcPr>
            <w:tcW w:w="1822" w:type="dxa"/>
            <w:tcBorders>
              <w:left w:val="single" w:sz="6" w:space="0" w:color="FFFFFF" w:themeColor="background2"/>
              <w:bottom w:val="single" w:sz="6" w:space="0" w:color="DC6900" w:themeColor="text2"/>
            </w:tcBorders>
            <w:shd w:val="clear" w:color="auto" w:fill="DC6900" w:themeFill="text2"/>
            <w:vAlign w:val="bottom"/>
          </w:tcPr>
          <w:p w:rsidR="00767B1A" w:rsidRPr="00CB32B1" w:rsidRDefault="00767B1A" w:rsidP="00747120">
            <w:pPr>
              <w:pStyle w:val="TableColumnHeadingNormal"/>
              <w:jc w:val="center"/>
              <w:cnfStyle w:val="100000000000"/>
            </w:pPr>
            <w:r w:rsidRPr="00CB32B1">
              <w:t>Resolved coronial cases</w:t>
            </w:r>
          </w:p>
        </w:tc>
      </w:tr>
      <w:tr w:rsidR="00767B1A" w:rsidRPr="00CB32B1" w:rsidTr="00767B1A">
        <w:tc>
          <w:tcPr>
            <w:cnfStyle w:val="001000000000"/>
            <w:tcW w:w="2019" w:type="dxa"/>
            <w:tcBorders>
              <w:top w:val="single" w:sz="6" w:space="0" w:color="DC6900" w:themeColor="text2"/>
            </w:tcBorders>
          </w:tcPr>
          <w:p w:rsidR="00767B1A" w:rsidRPr="00CB32B1" w:rsidRDefault="00767B1A" w:rsidP="00767B1A">
            <w:pPr>
              <w:pStyle w:val="TableTextNormal"/>
              <w:keepNext/>
              <w:keepLines/>
            </w:pPr>
            <w:r w:rsidRPr="00CB32B1">
              <w:t>Australia</w:t>
            </w:r>
          </w:p>
        </w:tc>
        <w:tc>
          <w:tcPr>
            <w:tcW w:w="1832" w:type="dxa"/>
            <w:tcBorders>
              <w:top w:val="single" w:sz="6" w:space="0" w:color="DC6900" w:themeColor="text2"/>
            </w:tcBorders>
          </w:tcPr>
          <w:p w:rsidR="00767B1A" w:rsidRPr="00CB32B1" w:rsidRDefault="00767B1A" w:rsidP="00767B1A">
            <w:pPr>
              <w:pStyle w:val="TableTextNormal"/>
              <w:keepNext/>
              <w:keepLines/>
              <w:cnfStyle w:val="000000000000"/>
            </w:pPr>
            <w:r w:rsidRPr="00CB32B1">
              <w:t>20</w:t>
            </w:r>
          </w:p>
        </w:tc>
        <w:tc>
          <w:tcPr>
            <w:tcW w:w="2114" w:type="dxa"/>
            <w:tcBorders>
              <w:top w:val="single" w:sz="6" w:space="0" w:color="DC6900" w:themeColor="text2"/>
            </w:tcBorders>
          </w:tcPr>
          <w:p w:rsidR="00767B1A" w:rsidRPr="00CB32B1" w:rsidRDefault="00767B1A" w:rsidP="00767B1A">
            <w:pPr>
              <w:pStyle w:val="TableTextNormal"/>
              <w:keepNext/>
              <w:keepLines/>
              <w:cnfStyle w:val="000000000000"/>
            </w:pPr>
            <w:r w:rsidRPr="00CB32B1">
              <w:t xml:space="preserve">Information not provided </w:t>
            </w:r>
          </w:p>
        </w:tc>
        <w:tc>
          <w:tcPr>
            <w:tcW w:w="1501" w:type="dxa"/>
            <w:tcBorders>
              <w:top w:val="single" w:sz="6" w:space="0" w:color="DC6900" w:themeColor="text2"/>
            </w:tcBorders>
          </w:tcPr>
          <w:p w:rsidR="00767B1A" w:rsidRPr="00CB32B1" w:rsidRDefault="00650BD4" w:rsidP="00767B1A">
            <w:pPr>
              <w:pStyle w:val="TableTextNormal"/>
              <w:keepNext/>
              <w:keepLines/>
              <w:cnfStyle w:val="000000000000"/>
            </w:pPr>
            <w:r>
              <w:t>One</w:t>
            </w:r>
          </w:p>
        </w:tc>
        <w:tc>
          <w:tcPr>
            <w:tcW w:w="1822" w:type="dxa"/>
            <w:tcBorders>
              <w:top w:val="single" w:sz="6" w:space="0" w:color="DC6900" w:themeColor="text2"/>
            </w:tcBorders>
          </w:tcPr>
          <w:p w:rsidR="00767B1A" w:rsidRPr="00CB32B1" w:rsidRDefault="00650BD4" w:rsidP="00767B1A">
            <w:pPr>
              <w:pStyle w:val="TableTextNormal"/>
              <w:keepNext/>
              <w:keepLines/>
              <w:cnfStyle w:val="000000000000"/>
            </w:pPr>
            <w:r>
              <w:t>Two</w:t>
            </w:r>
          </w:p>
        </w:tc>
      </w:tr>
      <w:tr w:rsidR="00767B1A" w:rsidRPr="00CB32B1" w:rsidTr="00767B1A">
        <w:tc>
          <w:tcPr>
            <w:cnfStyle w:val="001000000000"/>
            <w:tcW w:w="2019" w:type="dxa"/>
          </w:tcPr>
          <w:p w:rsidR="00767B1A" w:rsidRPr="00CB32B1" w:rsidRDefault="00650BD4" w:rsidP="00767B1A">
            <w:pPr>
              <w:pStyle w:val="TableTextNormal"/>
              <w:keepNext/>
              <w:keepLines/>
            </w:pPr>
            <w:r>
              <w:t>England</w:t>
            </w:r>
          </w:p>
        </w:tc>
        <w:tc>
          <w:tcPr>
            <w:tcW w:w="1832" w:type="dxa"/>
          </w:tcPr>
          <w:p w:rsidR="00767B1A" w:rsidRPr="00CB32B1" w:rsidRDefault="00767B1A" w:rsidP="00767B1A">
            <w:pPr>
              <w:pStyle w:val="TableTextNormal"/>
              <w:keepNext/>
              <w:keepLines/>
              <w:cnfStyle w:val="000000000000"/>
            </w:pPr>
            <w:r w:rsidRPr="00CB32B1">
              <w:t xml:space="preserve">Information could not be obtained </w:t>
            </w:r>
          </w:p>
        </w:tc>
        <w:tc>
          <w:tcPr>
            <w:tcW w:w="2114" w:type="dxa"/>
          </w:tcPr>
          <w:p w:rsidR="00767B1A" w:rsidRPr="00CB32B1" w:rsidRDefault="00767B1A" w:rsidP="00767B1A">
            <w:pPr>
              <w:pStyle w:val="TableTextNormal"/>
              <w:keepNext/>
              <w:keepLines/>
              <w:cnfStyle w:val="000000000000"/>
            </w:pPr>
            <w:r w:rsidRPr="00CB32B1">
              <w:t>Information not provided</w:t>
            </w:r>
          </w:p>
        </w:tc>
        <w:tc>
          <w:tcPr>
            <w:tcW w:w="1501" w:type="dxa"/>
          </w:tcPr>
          <w:p w:rsidR="00767B1A" w:rsidRPr="00CB32B1" w:rsidRDefault="00650BD4" w:rsidP="00767B1A">
            <w:pPr>
              <w:pStyle w:val="TableTextNormal"/>
              <w:keepNext/>
              <w:keepLines/>
              <w:cnfStyle w:val="000000000000"/>
            </w:pPr>
            <w:r>
              <w:t>One</w:t>
            </w:r>
          </w:p>
        </w:tc>
        <w:tc>
          <w:tcPr>
            <w:tcW w:w="1822" w:type="dxa"/>
          </w:tcPr>
          <w:p w:rsidR="00767B1A" w:rsidRPr="00CB32B1" w:rsidRDefault="00767B1A" w:rsidP="00767B1A">
            <w:pPr>
              <w:pStyle w:val="TableTextNormal"/>
              <w:keepNext/>
              <w:keepLines/>
              <w:cnfStyle w:val="000000000000"/>
            </w:pPr>
            <w:r w:rsidRPr="00CB32B1">
              <w:t>None could be identified</w:t>
            </w:r>
          </w:p>
        </w:tc>
      </w:tr>
      <w:tr w:rsidR="00767B1A" w:rsidRPr="00CB32B1" w:rsidTr="00767B1A">
        <w:tc>
          <w:tcPr>
            <w:cnfStyle w:val="001000000000"/>
            <w:tcW w:w="2019" w:type="dxa"/>
          </w:tcPr>
          <w:p w:rsidR="00767B1A" w:rsidRPr="00CB32B1" w:rsidRDefault="00650BD4" w:rsidP="00767B1A">
            <w:pPr>
              <w:pStyle w:val="TableTextNormal"/>
            </w:pPr>
            <w:r>
              <w:t>New Zealand</w:t>
            </w:r>
          </w:p>
        </w:tc>
        <w:tc>
          <w:tcPr>
            <w:tcW w:w="1832" w:type="dxa"/>
          </w:tcPr>
          <w:p w:rsidR="00767B1A" w:rsidRPr="00CB32B1" w:rsidRDefault="00650BD4" w:rsidP="00767B1A">
            <w:pPr>
              <w:pStyle w:val="TableTextNormal"/>
              <w:cnfStyle w:val="000000000000"/>
            </w:pPr>
            <w:r>
              <w:t>Three</w:t>
            </w:r>
          </w:p>
        </w:tc>
        <w:tc>
          <w:tcPr>
            <w:tcW w:w="2114" w:type="dxa"/>
          </w:tcPr>
          <w:p w:rsidR="00767B1A" w:rsidRPr="00CB32B1" w:rsidRDefault="00767B1A" w:rsidP="00767B1A">
            <w:pPr>
              <w:pStyle w:val="TableTextNormal"/>
              <w:cnfStyle w:val="000000000000"/>
            </w:pPr>
            <w:r w:rsidRPr="00CB32B1">
              <w:t>Information not provided</w:t>
            </w:r>
            <w:r w:rsidRPr="00CB32B1">
              <w:rPr>
                <w:rStyle w:val="FootnoteReference"/>
              </w:rPr>
              <w:footnoteReference w:id="397"/>
            </w:r>
          </w:p>
        </w:tc>
        <w:tc>
          <w:tcPr>
            <w:tcW w:w="1501" w:type="dxa"/>
          </w:tcPr>
          <w:p w:rsidR="00767B1A" w:rsidRPr="00CB32B1" w:rsidRDefault="00767B1A" w:rsidP="00767B1A">
            <w:pPr>
              <w:pStyle w:val="TableTextNormal"/>
              <w:cnfStyle w:val="000000000000"/>
            </w:pPr>
            <w:r w:rsidRPr="00CB32B1">
              <w:t>None could be identified</w:t>
            </w:r>
          </w:p>
        </w:tc>
        <w:tc>
          <w:tcPr>
            <w:tcW w:w="1822" w:type="dxa"/>
          </w:tcPr>
          <w:p w:rsidR="00767B1A" w:rsidRPr="00CB32B1" w:rsidRDefault="00767B1A" w:rsidP="00767B1A">
            <w:pPr>
              <w:pStyle w:val="TableTextNormal"/>
              <w:cnfStyle w:val="000000000000"/>
            </w:pPr>
            <w:r w:rsidRPr="00CB32B1">
              <w:t>None could be identified</w:t>
            </w:r>
          </w:p>
        </w:tc>
      </w:tr>
      <w:tr w:rsidR="00767B1A" w:rsidRPr="00CB32B1" w:rsidTr="00767B1A">
        <w:tc>
          <w:tcPr>
            <w:cnfStyle w:val="001000000000"/>
            <w:tcW w:w="2019" w:type="dxa"/>
          </w:tcPr>
          <w:p w:rsidR="00767B1A" w:rsidRPr="00CB32B1" w:rsidRDefault="00650BD4" w:rsidP="00767B1A">
            <w:pPr>
              <w:pStyle w:val="TableTextNormal"/>
            </w:pPr>
            <w:r>
              <w:t>Ontario, Canada</w:t>
            </w:r>
          </w:p>
        </w:tc>
        <w:tc>
          <w:tcPr>
            <w:tcW w:w="1832" w:type="dxa"/>
          </w:tcPr>
          <w:p w:rsidR="00767B1A" w:rsidRPr="00CB32B1" w:rsidRDefault="00650BD4" w:rsidP="00767B1A">
            <w:pPr>
              <w:pStyle w:val="TableTextNormal"/>
              <w:cnfStyle w:val="000000000000"/>
            </w:pPr>
            <w:r>
              <w:t>Four</w:t>
            </w:r>
          </w:p>
        </w:tc>
        <w:tc>
          <w:tcPr>
            <w:tcW w:w="2114" w:type="dxa"/>
          </w:tcPr>
          <w:p w:rsidR="00767B1A" w:rsidRPr="00CB32B1" w:rsidRDefault="00650BD4" w:rsidP="00767B1A">
            <w:pPr>
              <w:pStyle w:val="TableTextNormal"/>
              <w:cnfStyle w:val="000000000000"/>
            </w:pPr>
            <w:r>
              <w:t>Two</w:t>
            </w:r>
          </w:p>
        </w:tc>
        <w:tc>
          <w:tcPr>
            <w:tcW w:w="1501" w:type="dxa"/>
          </w:tcPr>
          <w:p w:rsidR="00767B1A" w:rsidRPr="00CB32B1" w:rsidRDefault="00767B1A" w:rsidP="00767B1A">
            <w:pPr>
              <w:pStyle w:val="TableTextNormal"/>
              <w:cnfStyle w:val="000000000000"/>
            </w:pPr>
            <w:r w:rsidRPr="00CB32B1">
              <w:t>None could be identified</w:t>
            </w:r>
          </w:p>
        </w:tc>
        <w:tc>
          <w:tcPr>
            <w:tcW w:w="1822" w:type="dxa"/>
          </w:tcPr>
          <w:p w:rsidR="00767B1A" w:rsidRPr="00CB32B1" w:rsidRDefault="00767B1A" w:rsidP="00767B1A">
            <w:pPr>
              <w:pStyle w:val="TableTextNormal"/>
              <w:cnfStyle w:val="000000000000"/>
            </w:pPr>
            <w:r w:rsidRPr="00CB32B1">
              <w:t>None could be identified</w:t>
            </w:r>
          </w:p>
        </w:tc>
      </w:tr>
      <w:tr w:rsidR="00767B1A" w:rsidRPr="00CB32B1" w:rsidTr="00767B1A">
        <w:tc>
          <w:tcPr>
            <w:cnfStyle w:val="001000000000"/>
            <w:tcW w:w="2019" w:type="dxa"/>
          </w:tcPr>
          <w:p w:rsidR="00767B1A" w:rsidRPr="00CB32B1" w:rsidRDefault="00CD6271" w:rsidP="00767B1A">
            <w:pPr>
              <w:pStyle w:val="TableTextNormal"/>
            </w:pPr>
            <w:r w:rsidRPr="00CB32B1">
              <w:t>the Netherlands</w:t>
            </w:r>
          </w:p>
        </w:tc>
        <w:tc>
          <w:tcPr>
            <w:tcW w:w="1832" w:type="dxa"/>
          </w:tcPr>
          <w:p w:rsidR="00767B1A" w:rsidRPr="00CB32B1" w:rsidRDefault="00650BD4" w:rsidP="00767B1A">
            <w:pPr>
              <w:pStyle w:val="TableTextNormal"/>
              <w:cnfStyle w:val="000000000000"/>
            </w:pPr>
            <w:r>
              <w:t>One</w:t>
            </w:r>
          </w:p>
        </w:tc>
        <w:tc>
          <w:tcPr>
            <w:tcW w:w="2114" w:type="dxa"/>
          </w:tcPr>
          <w:p w:rsidR="00767B1A" w:rsidRPr="00CB32B1" w:rsidRDefault="00767B1A" w:rsidP="00767B1A">
            <w:pPr>
              <w:pStyle w:val="TableTextNormal"/>
              <w:cnfStyle w:val="000000000000"/>
            </w:pPr>
            <w:r w:rsidRPr="00CB32B1">
              <w:t>Information not provided</w:t>
            </w:r>
          </w:p>
        </w:tc>
        <w:tc>
          <w:tcPr>
            <w:tcW w:w="1501" w:type="dxa"/>
          </w:tcPr>
          <w:p w:rsidR="00767B1A" w:rsidRPr="00CB32B1" w:rsidRDefault="00767B1A" w:rsidP="00767B1A">
            <w:pPr>
              <w:pStyle w:val="TableTextNormal"/>
              <w:cnfStyle w:val="000000000000"/>
            </w:pPr>
            <w:r w:rsidRPr="00CB32B1">
              <w:t>None could be identified</w:t>
            </w:r>
          </w:p>
        </w:tc>
        <w:tc>
          <w:tcPr>
            <w:tcW w:w="1822" w:type="dxa"/>
          </w:tcPr>
          <w:p w:rsidR="00767B1A" w:rsidRPr="00CB32B1" w:rsidRDefault="00767B1A" w:rsidP="00767B1A">
            <w:pPr>
              <w:pStyle w:val="TableTextNormal"/>
              <w:cnfStyle w:val="000000000000"/>
            </w:pPr>
            <w:r w:rsidRPr="00CB32B1">
              <w:t>None could be identified</w:t>
            </w:r>
          </w:p>
        </w:tc>
      </w:tr>
    </w:tbl>
    <w:p w:rsidR="00767B1A" w:rsidRPr="00CB32B1" w:rsidRDefault="00767B1A" w:rsidP="00767B1A">
      <w:pPr>
        <w:pStyle w:val="Sources"/>
      </w:pPr>
      <w:r w:rsidRPr="00CB32B1">
        <w:rPr>
          <w:b/>
        </w:rPr>
        <w:t>Sources:</w:t>
      </w:r>
      <w:r w:rsidRPr="00CB32B1">
        <w:t xml:space="preserve"> See </w:t>
      </w:r>
      <w:r w:rsidRPr="00CB32B1">
        <w:rPr>
          <w:i/>
        </w:rPr>
        <w:t>PwC Claim</w:t>
      </w:r>
      <w:r w:rsidR="000A7B59" w:rsidRPr="00CB32B1">
        <w:rPr>
          <w:i/>
        </w:rPr>
        <w:t>s Report 2013</w:t>
      </w:r>
      <w:r w:rsidRPr="00CB32B1">
        <w:t xml:space="preserve"> for more detail about data collected. </w:t>
      </w:r>
    </w:p>
    <w:p w:rsidR="00767B1A" w:rsidRPr="00CB32B1" w:rsidRDefault="00767B1A" w:rsidP="00767B1A">
      <w:pPr>
        <w:pStyle w:val="Minorheading"/>
      </w:pPr>
      <w:r w:rsidRPr="00CB32B1">
        <w:t>England, United Kingdom</w:t>
      </w:r>
    </w:p>
    <w:p w:rsidR="00767B1A" w:rsidRPr="00CB32B1" w:rsidRDefault="00767B1A" w:rsidP="00767B1A">
      <w:pPr>
        <w:pStyle w:val="Minorheading2"/>
      </w:pPr>
      <w:r w:rsidRPr="00CB32B1">
        <w:t>Statistics on independent midwives, live births and homebirths</w:t>
      </w:r>
    </w:p>
    <w:p w:rsidR="00767B1A" w:rsidRPr="00CB32B1" w:rsidRDefault="00767B1A" w:rsidP="00767B1A">
      <w:pPr>
        <w:pStyle w:val="PwCNormal"/>
      </w:pPr>
      <w:r w:rsidRPr="00CB32B1">
        <w:t xml:space="preserve">There are </w:t>
      </w:r>
      <w:r w:rsidR="00401CB6">
        <w:t xml:space="preserve">approximately </w:t>
      </w:r>
      <w:r w:rsidRPr="00CB32B1">
        <w:t>170 independent midwives which have told the Nursing and Midwifery Council (NMC</w:t>
      </w:r>
      <w:r w:rsidR="00CA4490" w:rsidRPr="00CB32B1">
        <w:t>-UK</w:t>
      </w:r>
      <w:r w:rsidRPr="00CB32B1">
        <w:t>) that they would lik</w:t>
      </w:r>
      <w:r w:rsidR="00401CB6">
        <w:t>e to be able to practise in the U</w:t>
      </w:r>
      <w:r w:rsidRPr="00CB32B1">
        <w:t>K.</w:t>
      </w:r>
      <w:r w:rsidRPr="00CB32B1">
        <w:rPr>
          <w:rStyle w:val="FootnoteReference"/>
        </w:rPr>
        <w:footnoteReference w:id="398"/>
      </w:r>
      <w:r w:rsidRPr="00CB32B1">
        <w:t xml:space="preserve"> In the UK, a live birth is a baby that shows signs of life at birth. </w:t>
      </w:r>
    </w:p>
    <w:p w:rsidR="00767B1A" w:rsidRPr="00CB32B1" w:rsidRDefault="00767B1A" w:rsidP="00EA7DEB">
      <w:pPr>
        <w:pStyle w:val="NumericCaption"/>
        <w:keepNext w:val="0"/>
        <w:keepLines w:val="0"/>
      </w:pPr>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75</w:t>
      </w:r>
      <w:r w:rsidR="009129A6" w:rsidRPr="00CB32B1">
        <w:fldChar w:fldCharType="end"/>
      </w:r>
      <w:r w:rsidRPr="00CB32B1">
        <w:t>:</w:t>
      </w:r>
      <w:r w:rsidRPr="00CB32B1">
        <w:tab/>
        <w:t>Number of live births</w:t>
      </w:r>
    </w:p>
    <w:tbl>
      <w:tblPr>
        <w:tblStyle w:val="PwCTableStyle1"/>
        <w:tblW w:w="0" w:type="auto"/>
        <w:tblLayout w:type="fixed"/>
        <w:tblCellMar>
          <w:left w:w="29" w:type="dxa"/>
          <w:right w:w="29" w:type="dxa"/>
        </w:tblCellMar>
        <w:tblLook w:val="04A0"/>
      </w:tblPr>
      <w:tblGrid>
        <w:gridCol w:w="1201"/>
        <w:gridCol w:w="722"/>
        <w:gridCol w:w="721"/>
        <w:gridCol w:w="721"/>
        <w:gridCol w:w="721"/>
        <w:gridCol w:w="721"/>
        <w:gridCol w:w="721"/>
        <w:gridCol w:w="721"/>
        <w:gridCol w:w="721"/>
        <w:gridCol w:w="721"/>
        <w:gridCol w:w="721"/>
        <w:gridCol w:w="718"/>
      </w:tblGrid>
      <w:tr w:rsidR="00767B1A" w:rsidRPr="00CB32B1" w:rsidTr="00767B1A">
        <w:trPr>
          <w:cnfStyle w:val="100000000000"/>
          <w:trHeight w:val="300"/>
        </w:trPr>
        <w:tc>
          <w:tcPr>
            <w:cnfStyle w:val="001000000000"/>
            <w:tcW w:w="1201" w:type="dxa"/>
            <w:tcBorders>
              <w:bottom w:val="single" w:sz="6" w:space="0" w:color="DC6900" w:themeColor="text2"/>
              <w:right w:val="single" w:sz="6" w:space="0" w:color="FFFFFF" w:themeColor="background2"/>
            </w:tcBorders>
            <w:shd w:val="clear" w:color="auto" w:fill="DC6900" w:themeFill="text2"/>
            <w:hideMark/>
          </w:tcPr>
          <w:p w:rsidR="00767B1A" w:rsidRPr="00CB32B1" w:rsidRDefault="00767B1A" w:rsidP="00EA7DEB">
            <w:pPr>
              <w:pStyle w:val="NumericTableColumnHeadingSmall"/>
              <w:keepNext w:val="0"/>
              <w:keepLines w:val="0"/>
              <w:rPr>
                <w:rFonts w:asciiTheme="majorHAnsi" w:hAnsiTheme="majorHAnsi"/>
              </w:rPr>
            </w:pPr>
          </w:p>
        </w:tc>
        <w:tc>
          <w:tcPr>
            <w:tcW w:w="722"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767B1A" w:rsidRPr="00CB32B1" w:rsidRDefault="00767B1A" w:rsidP="00EA7DEB">
            <w:pPr>
              <w:pStyle w:val="NumericTableColumnHeadingSmall"/>
              <w:keepNext w:val="0"/>
              <w:keepLines w:val="0"/>
              <w:jc w:val="center"/>
              <w:cnfStyle w:val="100000000000"/>
              <w:rPr>
                <w:rFonts w:asciiTheme="majorHAnsi" w:hAnsiTheme="majorHAnsi"/>
              </w:rPr>
            </w:pPr>
            <w:r w:rsidRPr="00CB32B1">
              <w:rPr>
                <w:rFonts w:asciiTheme="majorHAnsi" w:hAnsiTheme="majorHAnsi"/>
              </w:rPr>
              <w:t>2001</w:t>
            </w:r>
          </w:p>
        </w:tc>
        <w:tc>
          <w:tcPr>
            <w:tcW w:w="721"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767B1A" w:rsidRPr="00CB32B1" w:rsidRDefault="00767B1A" w:rsidP="00EA7DEB">
            <w:pPr>
              <w:pStyle w:val="NumericTableColumnHeadingSmall"/>
              <w:keepNext w:val="0"/>
              <w:keepLines w:val="0"/>
              <w:jc w:val="center"/>
              <w:cnfStyle w:val="100000000000"/>
              <w:rPr>
                <w:rFonts w:asciiTheme="majorHAnsi" w:hAnsiTheme="majorHAnsi"/>
              </w:rPr>
            </w:pPr>
            <w:r w:rsidRPr="00CB32B1">
              <w:rPr>
                <w:rFonts w:asciiTheme="majorHAnsi" w:hAnsiTheme="majorHAnsi"/>
              </w:rPr>
              <w:t>2002</w:t>
            </w:r>
          </w:p>
        </w:tc>
        <w:tc>
          <w:tcPr>
            <w:tcW w:w="721"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767B1A" w:rsidRPr="00CB32B1" w:rsidRDefault="00767B1A" w:rsidP="00EA7DEB">
            <w:pPr>
              <w:pStyle w:val="NumericTableColumnHeadingSmall"/>
              <w:keepNext w:val="0"/>
              <w:keepLines w:val="0"/>
              <w:jc w:val="center"/>
              <w:cnfStyle w:val="100000000000"/>
              <w:rPr>
                <w:rFonts w:asciiTheme="majorHAnsi" w:hAnsiTheme="majorHAnsi"/>
              </w:rPr>
            </w:pPr>
            <w:r w:rsidRPr="00CB32B1">
              <w:rPr>
                <w:rFonts w:asciiTheme="majorHAnsi" w:hAnsiTheme="majorHAnsi"/>
              </w:rPr>
              <w:t>2003</w:t>
            </w:r>
          </w:p>
        </w:tc>
        <w:tc>
          <w:tcPr>
            <w:tcW w:w="721"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767B1A" w:rsidRPr="00CB32B1" w:rsidRDefault="00767B1A" w:rsidP="00EA7DEB">
            <w:pPr>
              <w:pStyle w:val="NumericTableColumnHeadingSmall"/>
              <w:keepNext w:val="0"/>
              <w:keepLines w:val="0"/>
              <w:jc w:val="center"/>
              <w:cnfStyle w:val="100000000000"/>
              <w:rPr>
                <w:rFonts w:asciiTheme="majorHAnsi" w:hAnsiTheme="majorHAnsi"/>
              </w:rPr>
            </w:pPr>
            <w:r w:rsidRPr="00CB32B1">
              <w:rPr>
                <w:rFonts w:asciiTheme="majorHAnsi" w:hAnsiTheme="majorHAnsi"/>
              </w:rPr>
              <w:t>2004</w:t>
            </w:r>
          </w:p>
        </w:tc>
        <w:tc>
          <w:tcPr>
            <w:tcW w:w="721"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767B1A" w:rsidRPr="00CB32B1" w:rsidRDefault="00767B1A" w:rsidP="00EA7DEB">
            <w:pPr>
              <w:pStyle w:val="NumericTableColumnHeadingSmall"/>
              <w:keepNext w:val="0"/>
              <w:keepLines w:val="0"/>
              <w:jc w:val="center"/>
              <w:cnfStyle w:val="100000000000"/>
              <w:rPr>
                <w:rFonts w:asciiTheme="majorHAnsi" w:hAnsiTheme="majorHAnsi"/>
              </w:rPr>
            </w:pPr>
            <w:r w:rsidRPr="00CB32B1">
              <w:rPr>
                <w:rFonts w:asciiTheme="majorHAnsi" w:hAnsiTheme="majorHAnsi"/>
              </w:rPr>
              <w:t>2005</w:t>
            </w:r>
          </w:p>
        </w:tc>
        <w:tc>
          <w:tcPr>
            <w:tcW w:w="721"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767B1A" w:rsidRPr="00CB32B1" w:rsidRDefault="00767B1A" w:rsidP="00EA7DEB">
            <w:pPr>
              <w:pStyle w:val="NumericTableColumnHeadingSmall"/>
              <w:keepNext w:val="0"/>
              <w:keepLines w:val="0"/>
              <w:jc w:val="center"/>
              <w:cnfStyle w:val="100000000000"/>
              <w:rPr>
                <w:rFonts w:asciiTheme="majorHAnsi" w:hAnsiTheme="majorHAnsi"/>
              </w:rPr>
            </w:pPr>
            <w:r w:rsidRPr="00CB32B1">
              <w:rPr>
                <w:rFonts w:asciiTheme="majorHAnsi" w:hAnsiTheme="majorHAnsi"/>
              </w:rPr>
              <w:t>2006</w:t>
            </w:r>
          </w:p>
        </w:tc>
        <w:tc>
          <w:tcPr>
            <w:tcW w:w="721"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767B1A" w:rsidRPr="00CB32B1" w:rsidRDefault="00767B1A" w:rsidP="00EA7DEB">
            <w:pPr>
              <w:pStyle w:val="NumericTableColumnHeadingSmall"/>
              <w:keepNext w:val="0"/>
              <w:keepLines w:val="0"/>
              <w:jc w:val="center"/>
              <w:cnfStyle w:val="100000000000"/>
              <w:rPr>
                <w:rFonts w:asciiTheme="majorHAnsi" w:hAnsiTheme="majorHAnsi"/>
              </w:rPr>
            </w:pPr>
            <w:r w:rsidRPr="00CB32B1">
              <w:rPr>
                <w:rFonts w:asciiTheme="majorHAnsi" w:hAnsiTheme="majorHAnsi"/>
              </w:rPr>
              <w:t>2007</w:t>
            </w:r>
          </w:p>
        </w:tc>
        <w:tc>
          <w:tcPr>
            <w:tcW w:w="721"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767B1A" w:rsidRPr="00CB32B1" w:rsidRDefault="00767B1A" w:rsidP="00EA7DEB">
            <w:pPr>
              <w:pStyle w:val="NumericTableColumnHeadingSmall"/>
              <w:keepNext w:val="0"/>
              <w:keepLines w:val="0"/>
              <w:jc w:val="center"/>
              <w:cnfStyle w:val="100000000000"/>
              <w:rPr>
                <w:rFonts w:asciiTheme="majorHAnsi" w:hAnsiTheme="majorHAnsi"/>
              </w:rPr>
            </w:pPr>
            <w:r w:rsidRPr="00CB32B1">
              <w:rPr>
                <w:rFonts w:asciiTheme="majorHAnsi" w:hAnsiTheme="majorHAnsi"/>
              </w:rPr>
              <w:t>2008</w:t>
            </w:r>
          </w:p>
        </w:tc>
        <w:tc>
          <w:tcPr>
            <w:tcW w:w="721"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767B1A" w:rsidRPr="00CB32B1" w:rsidRDefault="00767B1A" w:rsidP="00EA7DEB">
            <w:pPr>
              <w:pStyle w:val="NumericTableColumnHeadingSmall"/>
              <w:keepNext w:val="0"/>
              <w:keepLines w:val="0"/>
              <w:jc w:val="center"/>
              <w:cnfStyle w:val="100000000000"/>
              <w:rPr>
                <w:rFonts w:asciiTheme="majorHAnsi" w:hAnsiTheme="majorHAnsi"/>
              </w:rPr>
            </w:pPr>
            <w:r w:rsidRPr="00CB32B1">
              <w:rPr>
                <w:rFonts w:asciiTheme="majorHAnsi" w:hAnsiTheme="majorHAnsi"/>
              </w:rPr>
              <w:t>2009</w:t>
            </w:r>
          </w:p>
        </w:tc>
        <w:tc>
          <w:tcPr>
            <w:tcW w:w="721"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767B1A" w:rsidRPr="00CB32B1" w:rsidRDefault="00767B1A" w:rsidP="00EA7DEB">
            <w:pPr>
              <w:pStyle w:val="NumericTableColumnHeadingSmall"/>
              <w:keepNext w:val="0"/>
              <w:keepLines w:val="0"/>
              <w:jc w:val="center"/>
              <w:cnfStyle w:val="100000000000"/>
              <w:rPr>
                <w:rFonts w:asciiTheme="majorHAnsi" w:hAnsiTheme="majorHAnsi"/>
              </w:rPr>
            </w:pPr>
            <w:r w:rsidRPr="00CB32B1">
              <w:rPr>
                <w:rFonts w:asciiTheme="majorHAnsi" w:hAnsiTheme="majorHAnsi"/>
              </w:rPr>
              <w:t>2010</w:t>
            </w:r>
          </w:p>
        </w:tc>
        <w:tc>
          <w:tcPr>
            <w:tcW w:w="718" w:type="dxa"/>
            <w:tcBorders>
              <w:left w:val="single" w:sz="6" w:space="0" w:color="FFFFFF" w:themeColor="background2"/>
              <w:bottom w:val="single" w:sz="6" w:space="0" w:color="DC6900" w:themeColor="text2"/>
            </w:tcBorders>
            <w:shd w:val="clear" w:color="auto" w:fill="DC6900" w:themeFill="text2"/>
            <w:hideMark/>
          </w:tcPr>
          <w:p w:rsidR="00767B1A" w:rsidRPr="00CB32B1" w:rsidRDefault="00767B1A" w:rsidP="00EA7DEB">
            <w:pPr>
              <w:pStyle w:val="NumericTableColumnHeadingSmall"/>
              <w:keepNext w:val="0"/>
              <w:keepLines w:val="0"/>
              <w:jc w:val="center"/>
              <w:cnfStyle w:val="100000000000"/>
              <w:rPr>
                <w:rFonts w:asciiTheme="majorHAnsi" w:hAnsiTheme="majorHAnsi"/>
              </w:rPr>
            </w:pPr>
            <w:r w:rsidRPr="00CB32B1">
              <w:rPr>
                <w:rFonts w:asciiTheme="majorHAnsi" w:hAnsiTheme="majorHAnsi"/>
              </w:rPr>
              <w:t>2011</w:t>
            </w:r>
          </w:p>
        </w:tc>
      </w:tr>
      <w:tr w:rsidR="00767B1A" w:rsidRPr="00CB32B1" w:rsidTr="00767B1A">
        <w:trPr>
          <w:trHeight w:val="300"/>
        </w:trPr>
        <w:tc>
          <w:tcPr>
            <w:cnfStyle w:val="001000000000"/>
            <w:tcW w:w="1201" w:type="dxa"/>
            <w:tcBorders>
              <w:top w:val="single" w:sz="6" w:space="0" w:color="DC6900" w:themeColor="text2"/>
            </w:tcBorders>
            <w:hideMark/>
          </w:tcPr>
          <w:p w:rsidR="00767B1A" w:rsidRPr="00CB32B1" w:rsidRDefault="00767B1A" w:rsidP="00EA7DEB">
            <w:pPr>
              <w:pStyle w:val="NumericTableTextSmall"/>
              <w:rPr>
                <w:rFonts w:asciiTheme="majorHAnsi" w:hAnsiTheme="majorHAnsi"/>
              </w:rPr>
            </w:pPr>
            <w:r w:rsidRPr="00CB32B1">
              <w:rPr>
                <w:rFonts w:asciiTheme="majorHAnsi" w:hAnsiTheme="majorHAnsi"/>
              </w:rPr>
              <w:t>Total number of live births</w:t>
            </w:r>
          </w:p>
        </w:tc>
        <w:tc>
          <w:tcPr>
            <w:tcW w:w="722" w:type="dxa"/>
            <w:tcBorders>
              <w:top w:val="single" w:sz="6" w:space="0" w:color="DC6900" w:themeColor="text2"/>
            </w:tcBorders>
            <w:hideMark/>
          </w:tcPr>
          <w:p w:rsidR="00767B1A" w:rsidRPr="00CB32B1" w:rsidRDefault="00767B1A" w:rsidP="00EA7DEB">
            <w:pPr>
              <w:pStyle w:val="NumericTableTextSmall"/>
              <w:jc w:val="right"/>
              <w:cnfStyle w:val="000000000000"/>
              <w:rPr>
                <w:rFonts w:asciiTheme="majorHAnsi" w:hAnsiTheme="majorHAnsi"/>
              </w:rPr>
            </w:pPr>
            <w:r w:rsidRPr="00CB32B1">
              <w:rPr>
                <w:rFonts w:asciiTheme="majorHAnsi" w:hAnsiTheme="majorHAnsi"/>
              </w:rPr>
              <w:t>594,634</w:t>
            </w:r>
          </w:p>
        </w:tc>
        <w:tc>
          <w:tcPr>
            <w:tcW w:w="721" w:type="dxa"/>
            <w:tcBorders>
              <w:top w:val="single" w:sz="6" w:space="0" w:color="DC6900" w:themeColor="text2"/>
            </w:tcBorders>
            <w:hideMark/>
          </w:tcPr>
          <w:p w:rsidR="00767B1A" w:rsidRPr="00CB32B1" w:rsidRDefault="00767B1A" w:rsidP="00EA7DEB">
            <w:pPr>
              <w:pStyle w:val="NumericTableTextSmall"/>
              <w:jc w:val="right"/>
              <w:cnfStyle w:val="000000000000"/>
              <w:rPr>
                <w:rFonts w:asciiTheme="majorHAnsi" w:hAnsiTheme="majorHAnsi"/>
              </w:rPr>
            </w:pPr>
            <w:r w:rsidRPr="00CB32B1">
              <w:rPr>
                <w:rFonts w:asciiTheme="majorHAnsi" w:hAnsiTheme="majorHAnsi"/>
              </w:rPr>
              <w:t>596,122</w:t>
            </w:r>
          </w:p>
        </w:tc>
        <w:tc>
          <w:tcPr>
            <w:tcW w:w="721" w:type="dxa"/>
            <w:tcBorders>
              <w:top w:val="single" w:sz="6" w:space="0" w:color="DC6900" w:themeColor="text2"/>
            </w:tcBorders>
            <w:hideMark/>
          </w:tcPr>
          <w:p w:rsidR="00767B1A" w:rsidRPr="00CB32B1" w:rsidRDefault="00767B1A" w:rsidP="00EA7DEB">
            <w:pPr>
              <w:pStyle w:val="NumericTableTextSmall"/>
              <w:jc w:val="right"/>
              <w:cnfStyle w:val="000000000000"/>
              <w:rPr>
                <w:rFonts w:asciiTheme="majorHAnsi" w:hAnsiTheme="majorHAnsi"/>
              </w:rPr>
            </w:pPr>
            <w:r w:rsidRPr="00CB32B1">
              <w:rPr>
                <w:rFonts w:asciiTheme="majorHAnsi" w:hAnsiTheme="majorHAnsi"/>
              </w:rPr>
              <w:t>621,469</w:t>
            </w:r>
          </w:p>
        </w:tc>
        <w:tc>
          <w:tcPr>
            <w:tcW w:w="721" w:type="dxa"/>
            <w:tcBorders>
              <w:top w:val="single" w:sz="6" w:space="0" w:color="DC6900" w:themeColor="text2"/>
            </w:tcBorders>
            <w:hideMark/>
          </w:tcPr>
          <w:p w:rsidR="00767B1A" w:rsidRPr="00CB32B1" w:rsidRDefault="00767B1A" w:rsidP="00EA7DEB">
            <w:pPr>
              <w:pStyle w:val="NumericTableTextSmall"/>
              <w:jc w:val="right"/>
              <w:cnfStyle w:val="000000000000"/>
              <w:rPr>
                <w:rFonts w:asciiTheme="majorHAnsi" w:hAnsiTheme="majorHAnsi"/>
              </w:rPr>
            </w:pPr>
            <w:r w:rsidRPr="00CB32B1">
              <w:rPr>
                <w:rFonts w:asciiTheme="majorHAnsi" w:hAnsiTheme="majorHAnsi"/>
              </w:rPr>
              <w:t>639,721</w:t>
            </w:r>
          </w:p>
        </w:tc>
        <w:tc>
          <w:tcPr>
            <w:tcW w:w="721" w:type="dxa"/>
            <w:tcBorders>
              <w:top w:val="single" w:sz="6" w:space="0" w:color="DC6900" w:themeColor="text2"/>
            </w:tcBorders>
            <w:hideMark/>
          </w:tcPr>
          <w:p w:rsidR="00767B1A" w:rsidRPr="00CB32B1" w:rsidRDefault="00767B1A" w:rsidP="00EA7DEB">
            <w:pPr>
              <w:pStyle w:val="NumericTableTextSmall"/>
              <w:jc w:val="right"/>
              <w:cnfStyle w:val="000000000000"/>
              <w:rPr>
                <w:rFonts w:asciiTheme="majorHAnsi" w:hAnsiTheme="majorHAnsi"/>
              </w:rPr>
            </w:pPr>
            <w:r w:rsidRPr="00CB32B1">
              <w:rPr>
                <w:rFonts w:asciiTheme="majorHAnsi" w:hAnsiTheme="majorHAnsi"/>
              </w:rPr>
              <w:t>645,835</w:t>
            </w:r>
          </w:p>
        </w:tc>
        <w:tc>
          <w:tcPr>
            <w:tcW w:w="721" w:type="dxa"/>
            <w:tcBorders>
              <w:top w:val="single" w:sz="6" w:space="0" w:color="DC6900" w:themeColor="text2"/>
            </w:tcBorders>
            <w:hideMark/>
          </w:tcPr>
          <w:p w:rsidR="00767B1A" w:rsidRPr="00CB32B1" w:rsidRDefault="00767B1A" w:rsidP="00EA7DEB">
            <w:pPr>
              <w:pStyle w:val="NumericTableTextSmall"/>
              <w:jc w:val="right"/>
              <w:cnfStyle w:val="000000000000"/>
              <w:rPr>
                <w:rFonts w:asciiTheme="majorHAnsi" w:hAnsiTheme="majorHAnsi"/>
              </w:rPr>
            </w:pPr>
            <w:r w:rsidRPr="00CB32B1">
              <w:rPr>
                <w:rFonts w:asciiTheme="majorHAnsi" w:hAnsiTheme="majorHAnsi"/>
              </w:rPr>
              <w:t>669,601</w:t>
            </w:r>
          </w:p>
        </w:tc>
        <w:tc>
          <w:tcPr>
            <w:tcW w:w="721" w:type="dxa"/>
            <w:tcBorders>
              <w:top w:val="single" w:sz="6" w:space="0" w:color="DC6900" w:themeColor="text2"/>
            </w:tcBorders>
            <w:hideMark/>
          </w:tcPr>
          <w:p w:rsidR="00767B1A" w:rsidRPr="00CB32B1" w:rsidRDefault="00767B1A" w:rsidP="00EA7DEB">
            <w:pPr>
              <w:pStyle w:val="NumericTableTextSmall"/>
              <w:jc w:val="right"/>
              <w:cnfStyle w:val="000000000000"/>
              <w:rPr>
                <w:rFonts w:asciiTheme="majorHAnsi" w:hAnsiTheme="majorHAnsi"/>
              </w:rPr>
            </w:pPr>
            <w:r w:rsidRPr="00CB32B1">
              <w:rPr>
                <w:rFonts w:asciiTheme="majorHAnsi" w:hAnsiTheme="majorHAnsi"/>
              </w:rPr>
              <w:t>690,013</w:t>
            </w:r>
          </w:p>
        </w:tc>
        <w:tc>
          <w:tcPr>
            <w:tcW w:w="721" w:type="dxa"/>
            <w:tcBorders>
              <w:top w:val="single" w:sz="6" w:space="0" w:color="DC6900" w:themeColor="text2"/>
            </w:tcBorders>
            <w:hideMark/>
          </w:tcPr>
          <w:p w:rsidR="00767B1A" w:rsidRPr="00CB32B1" w:rsidRDefault="00767B1A" w:rsidP="00EA7DEB">
            <w:pPr>
              <w:pStyle w:val="NumericTableTextSmall"/>
              <w:jc w:val="right"/>
              <w:cnfStyle w:val="000000000000"/>
              <w:rPr>
                <w:rFonts w:asciiTheme="majorHAnsi" w:hAnsiTheme="majorHAnsi"/>
              </w:rPr>
            </w:pPr>
            <w:r w:rsidRPr="00CB32B1">
              <w:rPr>
                <w:rFonts w:asciiTheme="majorHAnsi" w:hAnsiTheme="majorHAnsi"/>
              </w:rPr>
              <w:t>708,711</w:t>
            </w:r>
          </w:p>
        </w:tc>
        <w:tc>
          <w:tcPr>
            <w:tcW w:w="721" w:type="dxa"/>
            <w:tcBorders>
              <w:top w:val="single" w:sz="6" w:space="0" w:color="DC6900" w:themeColor="text2"/>
            </w:tcBorders>
            <w:hideMark/>
          </w:tcPr>
          <w:p w:rsidR="00767B1A" w:rsidRPr="00CB32B1" w:rsidRDefault="00767B1A" w:rsidP="00EA7DEB">
            <w:pPr>
              <w:pStyle w:val="NumericTableTextSmall"/>
              <w:jc w:val="right"/>
              <w:cnfStyle w:val="000000000000"/>
              <w:rPr>
                <w:rFonts w:asciiTheme="majorHAnsi" w:hAnsiTheme="majorHAnsi"/>
              </w:rPr>
            </w:pPr>
            <w:r w:rsidRPr="00CB32B1">
              <w:rPr>
                <w:rFonts w:asciiTheme="majorHAnsi" w:hAnsiTheme="majorHAnsi"/>
              </w:rPr>
              <w:t>706,248</w:t>
            </w:r>
          </w:p>
        </w:tc>
        <w:tc>
          <w:tcPr>
            <w:tcW w:w="721" w:type="dxa"/>
            <w:tcBorders>
              <w:top w:val="single" w:sz="6" w:space="0" w:color="DC6900" w:themeColor="text2"/>
            </w:tcBorders>
            <w:hideMark/>
          </w:tcPr>
          <w:p w:rsidR="00767B1A" w:rsidRPr="00CB32B1" w:rsidRDefault="00767B1A" w:rsidP="00EA7DEB">
            <w:pPr>
              <w:pStyle w:val="NumericTableTextSmall"/>
              <w:jc w:val="right"/>
              <w:cnfStyle w:val="000000000000"/>
              <w:rPr>
                <w:rFonts w:asciiTheme="majorHAnsi" w:hAnsiTheme="majorHAnsi"/>
              </w:rPr>
            </w:pPr>
            <w:r w:rsidRPr="00CB32B1">
              <w:rPr>
                <w:rFonts w:asciiTheme="majorHAnsi" w:hAnsiTheme="majorHAnsi"/>
              </w:rPr>
              <w:t>723,165</w:t>
            </w:r>
          </w:p>
        </w:tc>
        <w:tc>
          <w:tcPr>
            <w:tcW w:w="718" w:type="dxa"/>
            <w:tcBorders>
              <w:top w:val="single" w:sz="6" w:space="0" w:color="DC6900" w:themeColor="text2"/>
            </w:tcBorders>
            <w:hideMark/>
          </w:tcPr>
          <w:p w:rsidR="00767B1A" w:rsidRPr="00CB32B1" w:rsidRDefault="00767B1A" w:rsidP="00EA7DEB">
            <w:pPr>
              <w:pStyle w:val="NumericTableTextSmall"/>
              <w:jc w:val="right"/>
              <w:cnfStyle w:val="000000000000"/>
              <w:rPr>
                <w:rFonts w:asciiTheme="majorHAnsi" w:hAnsiTheme="majorHAnsi"/>
              </w:rPr>
            </w:pPr>
            <w:r w:rsidRPr="00CB32B1">
              <w:rPr>
                <w:rFonts w:asciiTheme="majorHAnsi" w:hAnsiTheme="majorHAnsi"/>
              </w:rPr>
              <w:t>723,913</w:t>
            </w:r>
          </w:p>
        </w:tc>
      </w:tr>
    </w:tbl>
    <w:p w:rsidR="00767B1A" w:rsidRPr="00CB32B1" w:rsidRDefault="00767B1A" w:rsidP="00EA7DEB">
      <w:pPr>
        <w:pStyle w:val="Sources"/>
      </w:pPr>
      <w:r w:rsidRPr="00CB32B1">
        <w:rPr>
          <w:b/>
        </w:rPr>
        <w:t>Source</w:t>
      </w:r>
      <w:r w:rsidR="000A7B59" w:rsidRPr="00CB32B1">
        <w:rPr>
          <w:b/>
        </w:rPr>
        <w:t>:</w:t>
      </w:r>
      <w:r w:rsidRPr="00CB32B1">
        <w:t xml:space="preserve"> Office of National Statistics, </w:t>
      </w:r>
      <w:r w:rsidR="002B6E59" w:rsidRPr="00CB32B1">
        <w:t>2011</w:t>
      </w:r>
      <w:r w:rsidRPr="00CB32B1">
        <w:t>.</w:t>
      </w:r>
    </w:p>
    <w:p w:rsidR="00767B1A" w:rsidRPr="00CB32B1" w:rsidRDefault="008124E8" w:rsidP="00EA7DEB">
      <w:pPr>
        <w:pStyle w:val="PwCNormal"/>
      </w:pPr>
      <w:r w:rsidRPr="00CB32B1">
        <w:t>The number of live births is different from the number of women giving birth which could result in one or more children, and includes stillbirths. Furthermore, a maternity in the home denotes a pregnancy leading to birth in the usual place of residence of the woman.</w:t>
      </w:r>
      <w:r w:rsidR="00767B1A" w:rsidRPr="00CB32B1">
        <w:t xml:space="preserve"> See </w:t>
      </w:r>
      <w:r w:rsidR="009129A6" w:rsidRPr="00CB32B1">
        <w:fldChar w:fldCharType="begin"/>
      </w:r>
      <w:r w:rsidR="007C655E" w:rsidRPr="00CB32B1">
        <w:instrText xml:space="preserve"> REF _Ref361225140 \h </w:instrText>
      </w:r>
      <w:r w:rsidR="009129A6" w:rsidRPr="00CB32B1">
        <w:fldChar w:fldCharType="separate"/>
      </w:r>
      <w:r w:rsidR="008816B4" w:rsidRPr="00CB32B1">
        <w:t xml:space="preserve">Table </w:t>
      </w:r>
      <w:r w:rsidR="008816B4">
        <w:rPr>
          <w:noProof/>
        </w:rPr>
        <w:t>76</w:t>
      </w:r>
      <w:r w:rsidR="009129A6" w:rsidRPr="00CB32B1">
        <w:fldChar w:fldCharType="end"/>
      </w:r>
      <w:r w:rsidR="00767B1A" w:rsidRPr="00CB32B1">
        <w:t>.</w:t>
      </w:r>
    </w:p>
    <w:p w:rsidR="00767B1A" w:rsidRPr="00CB32B1" w:rsidRDefault="00767B1A" w:rsidP="00767B1A">
      <w:pPr>
        <w:pStyle w:val="NumericCaption"/>
      </w:pPr>
      <w:bookmarkStart w:id="194" w:name="_Ref361225140"/>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76</w:t>
      </w:r>
      <w:r w:rsidR="009129A6" w:rsidRPr="00CB32B1">
        <w:fldChar w:fldCharType="end"/>
      </w:r>
      <w:bookmarkEnd w:id="194"/>
      <w:r w:rsidRPr="00CB32B1">
        <w:t>:</w:t>
      </w:r>
      <w:r w:rsidRPr="00CB32B1">
        <w:tab/>
        <w:t>Number of women giving birth at home</w:t>
      </w:r>
    </w:p>
    <w:tbl>
      <w:tblPr>
        <w:tblStyle w:val="PwCTableStyle1"/>
        <w:tblW w:w="5000" w:type="pct"/>
        <w:tblLook w:val="04A0"/>
      </w:tblPr>
      <w:tblGrid>
        <w:gridCol w:w="4548"/>
        <w:gridCol w:w="1573"/>
        <w:gridCol w:w="1578"/>
        <w:gridCol w:w="1586"/>
      </w:tblGrid>
      <w:tr w:rsidR="00767B1A" w:rsidRPr="00CB32B1" w:rsidTr="00767B1A">
        <w:trPr>
          <w:cnfStyle w:val="100000000000"/>
          <w:trHeight w:val="300"/>
        </w:trPr>
        <w:tc>
          <w:tcPr>
            <w:cnfStyle w:val="001000000000"/>
            <w:tcW w:w="2449" w:type="pct"/>
            <w:tcBorders>
              <w:bottom w:val="single" w:sz="6" w:space="0" w:color="DC6900" w:themeColor="text2"/>
              <w:right w:val="single" w:sz="6" w:space="0" w:color="FFFFFF" w:themeColor="background2"/>
            </w:tcBorders>
            <w:shd w:val="clear" w:color="auto" w:fill="DC6900" w:themeFill="text2"/>
            <w:noWrap/>
            <w:hideMark/>
          </w:tcPr>
          <w:p w:rsidR="00767B1A" w:rsidRPr="00CB32B1" w:rsidRDefault="00767B1A" w:rsidP="00767B1A">
            <w:pPr>
              <w:pStyle w:val="NumericTableColumnHeadingNormal"/>
              <w:rPr>
                <w:rFonts w:asciiTheme="majorHAnsi" w:hAnsiTheme="majorHAnsi"/>
              </w:rPr>
            </w:pPr>
          </w:p>
        </w:tc>
        <w:tc>
          <w:tcPr>
            <w:tcW w:w="847"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noWrap/>
            <w:hideMark/>
          </w:tcPr>
          <w:p w:rsidR="00767B1A" w:rsidRPr="00CB32B1" w:rsidRDefault="00767B1A" w:rsidP="00767B1A">
            <w:pPr>
              <w:pStyle w:val="NumericTableColumnHeadingNormal"/>
              <w:jc w:val="center"/>
              <w:cnfStyle w:val="100000000000"/>
              <w:rPr>
                <w:rFonts w:asciiTheme="majorHAnsi" w:hAnsiTheme="majorHAnsi"/>
              </w:rPr>
            </w:pPr>
            <w:r w:rsidRPr="00CB32B1">
              <w:rPr>
                <w:rFonts w:asciiTheme="majorHAnsi" w:hAnsiTheme="majorHAnsi"/>
              </w:rPr>
              <w:t>2009</w:t>
            </w:r>
          </w:p>
        </w:tc>
        <w:tc>
          <w:tcPr>
            <w:tcW w:w="850"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noWrap/>
            <w:hideMark/>
          </w:tcPr>
          <w:p w:rsidR="00767B1A" w:rsidRPr="00CB32B1" w:rsidRDefault="00767B1A" w:rsidP="00767B1A">
            <w:pPr>
              <w:pStyle w:val="NumericTableColumnHeadingNormal"/>
              <w:jc w:val="center"/>
              <w:cnfStyle w:val="100000000000"/>
              <w:rPr>
                <w:rFonts w:asciiTheme="majorHAnsi" w:hAnsiTheme="majorHAnsi"/>
              </w:rPr>
            </w:pPr>
            <w:r w:rsidRPr="00CB32B1">
              <w:rPr>
                <w:rFonts w:asciiTheme="majorHAnsi" w:hAnsiTheme="majorHAnsi"/>
              </w:rPr>
              <w:t>2010</w:t>
            </w:r>
          </w:p>
        </w:tc>
        <w:tc>
          <w:tcPr>
            <w:tcW w:w="854" w:type="pct"/>
            <w:tcBorders>
              <w:left w:val="single" w:sz="6" w:space="0" w:color="FFFFFF" w:themeColor="background2"/>
              <w:bottom w:val="single" w:sz="6" w:space="0" w:color="DC6900" w:themeColor="text2"/>
            </w:tcBorders>
            <w:shd w:val="clear" w:color="auto" w:fill="DC6900" w:themeFill="text2"/>
            <w:noWrap/>
            <w:hideMark/>
          </w:tcPr>
          <w:p w:rsidR="00767B1A" w:rsidRPr="00CB32B1" w:rsidRDefault="00767B1A" w:rsidP="00767B1A">
            <w:pPr>
              <w:pStyle w:val="NumericTableColumnHeadingNormal"/>
              <w:jc w:val="center"/>
              <w:cnfStyle w:val="100000000000"/>
              <w:rPr>
                <w:rFonts w:asciiTheme="majorHAnsi" w:hAnsiTheme="majorHAnsi"/>
              </w:rPr>
            </w:pPr>
            <w:r w:rsidRPr="00CB32B1">
              <w:rPr>
                <w:rFonts w:asciiTheme="majorHAnsi" w:hAnsiTheme="majorHAnsi"/>
              </w:rPr>
              <w:t>2011</w:t>
            </w:r>
          </w:p>
        </w:tc>
      </w:tr>
      <w:tr w:rsidR="00767B1A" w:rsidRPr="00CB32B1" w:rsidTr="00767B1A">
        <w:trPr>
          <w:trHeight w:val="300"/>
        </w:trPr>
        <w:tc>
          <w:tcPr>
            <w:cnfStyle w:val="001000000000"/>
            <w:tcW w:w="2449" w:type="pct"/>
            <w:tcBorders>
              <w:top w:val="single" w:sz="6" w:space="0" w:color="DC6900" w:themeColor="text2"/>
            </w:tcBorders>
            <w:noWrap/>
            <w:hideMark/>
          </w:tcPr>
          <w:p w:rsidR="00767B1A" w:rsidRPr="00CB32B1" w:rsidRDefault="00767B1A" w:rsidP="00767B1A">
            <w:pPr>
              <w:pStyle w:val="NumericTableTextNormal"/>
              <w:rPr>
                <w:rFonts w:asciiTheme="majorHAnsi" w:hAnsiTheme="majorHAnsi"/>
              </w:rPr>
            </w:pPr>
            <w:r w:rsidRPr="00CB32B1">
              <w:rPr>
                <w:rFonts w:asciiTheme="majorHAnsi" w:hAnsiTheme="majorHAnsi"/>
              </w:rPr>
              <w:t>Total number of live births</w:t>
            </w:r>
          </w:p>
        </w:tc>
        <w:tc>
          <w:tcPr>
            <w:tcW w:w="847" w:type="pct"/>
            <w:tcBorders>
              <w:top w:val="single" w:sz="6" w:space="0" w:color="DC6900" w:themeColor="text2"/>
            </w:tcBorders>
            <w:noWrap/>
            <w:hideMark/>
          </w:tcPr>
          <w:p w:rsidR="00767B1A" w:rsidRPr="00CB32B1" w:rsidRDefault="00767B1A" w:rsidP="009E135F">
            <w:pPr>
              <w:pStyle w:val="NumericTableTextDecimalNormal"/>
              <w:tabs>
                <w:tab w:val="clear" w:pos="1004"/>
              </w:tabs>
              <w:jc w:val="right"/>
              <w:cnfStyle w:val="000000000000"/>
              <w:rPr>
                <w:rFonts w:asciiTheme="majorHAnsi" w:hAnsiTheme="majorHAnsi"/>
              </w:rPr>
            </w:pPr>
            <w:r w:rsidRPr="00CB32B1">
              <w:rPr>
                <w:rFonts w:asciiTheme="majorHAnsi" w:hAnsiTheme="majorHAnsi"/>
              </w:rPr>
              <w:t>706,248</w:t>
            </w:r>
          </w:p>
        </w:tc>
        <w:tc>
          <w:tcPr>
            <w:tcW w:w="850" w:type="pct"/>
            <w:tcBorders>
              <w:top w:val="single" w:sz="6" w:space="0" w:color="DC6900" w:themeColor="text2"/>
            </w:tcBorders>
            <w:noWrap/>
            <w:hideMark/>
          </w:tcPr>
          <w:p w:rsidR="00767B1A" w:rsidRPr="00CB32B1" w:rsidRDefault="00767B1A" w:rsidP="009E135F">
            <w:pPr>
              <w:pStyle w:val="NumericTableTextDecimalNormal"/>
              <w:tabs>
                <w:tab w:val="clear" w:pos="1004"/>
              </w:tabs>
              <w:jc w:val="right"/>
              <w:cnfStyle w:val="000000000000"/>
              <w:rPr>
                <w:rFonts w:asciiTheme="majorHAnsi" w:hAnsiTheme="majorHAnsi"/>
              </w:rPr>
            </w:pPr>
            <w:r w:rsidRPr="00CB32B1">
              <w:rPr>
                <w:rFonts w:asciiTheme="majorHAnsi" w:hAnsiTheme="majorHAnsi"/>
              </w:rPr>
              <w:t>723,165</w:t>
            </w:r>
          </w:p>
        </w:tc>
        <w:tc>
          <w:tcPr>
            <w:tcW w:w="854" w:type="pct"/>
            <w:tcBorders>
              <w:top w:val="single" w:sz="6" w:space="0" w:color="DC6900" w:themeColor="text2"/>
            </w:tcBorders>
            <w:noWrap/>
            <w:hideMark/>
          </w:tcPr>
          <w:p w:rsidR="00767B1A" w:rsidRPr="00CB32B1" w:rsidRDefault="00767B1A" w:rsidP="009E135F">
            <w:pPr>
              <w:pStyle w:val="NumericTableTextDecimalNormal"/>
              <w:tabs>
                <w:tab w:val="clear" w:pos="1004"/>
              </w:tabs>
              <w:jc w:val="right"/>
              <w:cnfStyle w:val="000000000000"/>
              <w:rPr>
                <w:rFonts w:asciiTheme="majorHAnsi" w:hAnsiTheme="majorHAnsi"/>
              </w:rPr>
            </w:pPr>
            <w:r w:rsidRPr="00CB32B1">
              <w:rPr>
                <w:rFonts w:asciiTheme="majorHAnsi" w:hAnsiTheme="majorHAnsi"/>
              </w:rPr>
              <w:t>723,913</w:t>
            </w:r>
          </w:p>
        </w:tc>
      </w:tr>
      <w:tr w:rsidR="00767B1A" w:rsidRPr="00CB32B1" w:rsidTr="00767B1A">
        <w:trPr>
          <w:trHeight w:val="300"/>
        </w:trPr>
        <w:tc>
          <w:tcPr>
            <w:cnfStyle w:val="001000000000"/>
            <w:tcW w:w="2449" w:type="pct"/>
            <w:noWrap/>
          </w:tcPr>
          <w:p w:rsidR="00767B1A" w:rsidRPr="00CB32B1" w:rsidRDefault="00767B1A" w:rsidP="00767B1A">
            <w:pPr>
              <w:pStyle w:val="NumericTableTextNormal"/>
              <w:rPr>
                <w:rFonts w:asciiTheme="majorHAnsi" w:hAnsiTheme="majorHAnsi"/>
              </w:rPr>
            </w:pPr>
            <w:r w:rsidRPr="00CB32B1">
              <w:rPr>
                <w:rFonts w:asciiTheme="majorHAnsi" w:hAnsiTheme="majorHAnsi"/>
              </w:rPr>
              <w:t>Total number of women giving birth</w:t>
            </w:r>
          </w:p>
        </w:tc>
        <w:tc>
          <w:tcPr>
            <w:tcW w:w="847" w:type="pct"/>
            <w:noWrap/>
          </w:tcPr>
          <w:p w:rsidR="00767B1A" w:rsidRPr="00CB32B1" w:rsidRDefault="00767B1A" w:rsidP="009E135F">
            <w:pPr>
              <w:pStyle w:val="NumericTableTextDecimalNormal"/>
              <w:tabs>
                <w:tab w:val="clear" w:pos="1004"/>
              </w:tabs>
              <w:jc w:val="right"/>
              <w:cnfStyle w:val="000000000000"/>
              <w:rPr>
                <w:rFonts w:asciiTheme="majorHAnsi" w:hAnsiTheme="majorHAnsi"/>
              </w:rPr>
            </w:pPr>
            <w:r w:rsidRPr="00CB32B1">
              <w:rPr>
                <w:rFonts w:asciiTheme="majorHAnsi" w:hAnsiTheme="majorHAnsi"/>
              </w:rPr>
              <w:t>698,324</w:t>
            </w:r>
          </w:p>
        </w:tc>
        <w:tc>
          <w:tcPr>
            <w:tcW w:w="850" w:type="pct"/>
            <w:noWrap/>
          </w:tcPr>
          <w:p w:rsidR="00767B1A" w:rsidRPr="00CB32B1" w:rsidRDefault="00767B1A" w:rsidP="009E135F">
            <w:pPr>
              <w:pStyle w:val="NumericTableTextDecimalNormal"/>
              <w:tabs>
                <w:tab w:val="clear" w:pos="1004"/>
              </w:tabs>
              <w:jc w:val="right"/>
              <w:cnfStyle w:val="000000000000"/>
              <w:rPr>
                <w:rFonts w:asciiTheme="majorHAnsi" w:hAnsiTheme="majorHAnsi"/>
              </w:rPr>
            </w:pPr>
            <w:r w:rsidRPr="00CB32B1">
              <w:rPr>
                <w:rFonts w:asciiTheme="majorHAnsi" w:hAnsiTheme="majorHAnsi"/>
              </w:rPr>
              <w:t>715,467</w:t>
            </w:r>
          </w:p>
        </w:tc>
        <w:tc>
          <w:tcPr>
            <w:tcW w:w="854" w:type="pct"/>
            <w:noWrap/>
          </w:tcPr>
          <w:p w:rsidR="00767B1A" w:rsidRPr="00CB32B1" w:rsidRDefault="00767B1A" w:rsidP="009E135F">
            <w:pPr>
              <w:pStyle w:val="NumericTableTextDecimalNormal"/>
              <w:tabs>
                <w:tab w:val="clear" w:pos="1004"/>
              </w:tabs>
              <w:jc w:val="right"/>
              <w:cnfStyle w:val="000000000000"/>
              <w:rPr>
                <w:rFonts w:asciiTheme="majorHAnsi" w:hAnsiTheme="majorHAnsi"/>
              </w:rPr>
            </w:pPr>
            <w:r w:rsidRPr="00CB32B1">
              <w:rPr>
                <w:rFonts w:asciiTheme="majorHAnsi" w:hAnsiTheme="majorHAnsi"/>
              </w:rPr>
              <w:t>716,040</w:t>
            </w:r>
          </w:p>
        </w:tc>
      </w:tr>
      <w:tr w:rsidR="00767B1A" w:rsidRPr="00CB32B1" w:rsidTr="00767B1A">
        <w:trPr>
          <w:trHeight w:val="300"/>
        </w:trPr>
        <w:tc>
          <w:tcPr>
            <w:cnfStyle w:val="001000000000"/>
            <w:tcW w:w="2449" w:type="pct"/>
            <w:noWrap/>
          </w:tcPr>
          <w:p w:rsidR="00767B1A" w:rsidRPr="00CB32B1" w:rsidRDefault="00767B1A" w:rsidP="00767B1A">
            <w:pPr>
              <w:pStyle w:val="NumericTableTextNormal"/>
              <w:rPr>
                <w:rFonts w:asciiTheme="majorHAnsi" w:hAnsiTheme="majorHAnsi"/>
              </w:rPr>
            </w:pPr>
            <w:r w:rsidRPr="00CB32B1">
              <w:rPr>
                <w:rFonts w:asciiTheme="majorHAnsi" w:hAnsiTheme="majorHAnsi"/>
              </w:rPr>
              <w:t>Number of women giving birth at home</w:t>
            </w:r>
          </w:p>
        </w:tc>
        <w:tc>
          <w:tcPr>
            <w:tcW w:w="847" w:type="pct"/>
            <w:noWrap/>
          </w:tcPr>
          <w:p w:rsidR="00767B1A" w:rsidRPr="00CB32B1" w:rsidRDefault="00767B1A" w:rsidP="009E135F">
            <w:pPr>
              <w:pStyle w:val="NumericTableTextDecimalNormal"/>
              <w:tabs>
                <w:tab w:val="clear" w:pos="1004"/>
              </w:tabs>
              <w:jc w:val="right"/>
              <w:cnfStyle w:val="000000000000"/>
              <w:rPr>
                <w:rFonts w:asciiTheme="majorHAnsi" w:hAnsiTheme="majorHAnsi"/>
              </w:rPr>
            </w:pPr>
            <w:r w:rsidRPr="00CB32B1">
              <w:rPr>
                <w:rFonts w:asciiTheme="majorHAnsi" w:hAnsiTheme="majorHAnsi"/>
              </w:rPr>
              <w:t>19,159</w:t>
            </w:r>
          </w:p>
        </w:tc>
        <w:tc>
          <w:tcPr>
            <w:tcW w:w="850" w:type="pct"/>
            <w:noWrap/>
          </w:tcPr>
          <w:p w:rsidR="00767B1A" w:rsidRPr="00CB32B1" w:rsidRDefault="00767B1A" w:rsidP="009E135F">
            <w:pPr>
              <w:pStyle w:val="NumericTableTextDecimalNormal"/>
              <w:tabs>
                <w:tab w:val="clear" w:pos="1004"/>
              </w:tabs>
              <w:jc w:val="right"/>
              <w:cnfStyle w:val="000000000000"/>
              <w:rPr>
                <w:rFonts w:asciiTheme="majorHAnsi" w:hAnsiTheme="majorHAnsi"/>
              </w:rPr>
            </w:pPr>
            <w:r w:rsidRPr="00CB32B1">
              <w:rPr>
                <w:rFonts w:asciiTheme="majorHAnsi" w:hAnsiTheme="majorHAnsi"/>
              </w:rPr>
              <w:t>18,155</w:t>
            </w:r>
          </w:p>
        </w:tc>
        <w:tc>
          <w:tcPr>
            <w:tcW w:w="854" w:type="pct"/>
            <w:noWrap/>
          </w:tcPr>
          <w:p w:rsidR="00767B1A" w:rsidRPr="00CB32B1" w:rsidRDefault="00767B1A" w:rsidP="009E135F">
            <w:pPr>
              <w:pStyle w:val="NumericTableTextDecimalNormal"/>
              <w:tabs>
                <w:tab w:val="clear" w:pos="1004"/>
              </w:tabs>
              <w:jc w:val="right"/>
              <w:cnfStyle w:val="000000000000"/>
              <w:rPr>
                <w:rFonts w:asciiTheme="majorHAnsi" w:hAnsiTheme="majorHAnsi"/>
              </w:rPr>
            </w:pPr>
            <w:r w:rsidRPr="00CB32B1">
              <w:rPr>
                <w:rFonts w:asciiTheme="majorHAnsi" w:hAnsiTheme="majorHAnsi"/>
              </w:rPr>
              <w:t>17,200</w:t>
            </w:r>
          </w:p>
        </w:tc>
      </w:tr>
      <w:tr w:rsidR="00767B1A" w:rsidRPr="00CB32B1" w:rsidTr="00767B1A">
        <w:trPr>
          <w:trHeight w:val="300"/>
        </w:trPr>
        <w:tc>
          <w:tcPr>
            <w:cnfStyle w:val="001000000000"/>
            <w:tcW w:w="2449" w:type="pct"/>
            <w:noWrap/>
          </w:tcPr>
          <w:p w:rsidR="00767B1A" w:rsidRPr="00CB32B1" w:rsidRDefault="00767B1A" w:rsidP="00767B1A">
            <w:pPr>
              <w:pStyle w:val="NumericTableTextNormal"/>
              <w:rPr>
                <w:rFonts w:asciiTheme="majorHAnsi" w:hAnsiTheme="majorHAnsi"/>
              </w:rPr>
            </w:pPr>
            <w:r w:rsidRPr="00CB32B1">
              <w:rPr>
                <w:rFonts w:asciiTheme="majorHAnsi" w:hAnsiTheme="majorHAnsi"/>
              </w:rPr>
              <w:t>Percentage of women giving birth at home (%)</w:t>
            </w:r>
          </w:p>
        </w:tc>
        <w:tc>
          <w:tcPr>
            <w:tcW w:w="847" w:type="pct"/>
            <w:noWrap/>
          </w:tcPr>
          <w:p w:rsidR="00767B1A" w:rsidRPr="00CB32B1" w:rsidRDefault="00767B1A" w:rsidP="009E135F">
            <w:pPr>
              <w:pStyle w:val="NumericTableTextDecimalNormal"/>
              <w:tabs>
                <w:tab w:val="clear" w:pos="1004"/>
              </w:tabs>
              <w:jc w:val="right"/>
              <w:cnfStyle w:val="000000000000"/>
              <w:rPr>
                <w:rFonts w:asciiTheme="majorHAnsi" w:hAnsiTheme="majorHAnsi"/>
              </w:rPr>
            </w:pPr>
            <w:r w:rsidRPr="00CB32B1">
              <w:rPr>
                <w:rFonts w:asciiTheme="majorHAnsi" w:hAnsiTheme="majorHAnsi"/>
              </w:rPr>
              <w:t>2.7</w:t>
            </w:r>
          </w:p>
        </w:tc>
        <w:tc>
          <w:tcPr>
            <w:tcW w:w="850" w:type="pct"/>
            <w:noWrap/>
          </w:tcPr>
          <w:p w:rsidR="00767B1A" w:rsidRPr="00CB32B1" w:rsidRDefault="00767B1A" w:rsidP="009E135F">
            <w:pPr>
              <w:pStyle w:val="NumericTableTextDecimalNormal"/>
              <w:tabs>
                <w:tab w:val="clear" w:pos="1004"/>
              </w:tabs>
              <w:jc w:val="right"/>
              <w:cnfStyle w:val="000000000000"/>
              <w:rPr>
                <w:rFonts w:asciiTheme="majorHAnsi" w:hAnsiTheme="majorHAnsi"/>
              </w:rPr>
            </w:pPr>
            <w:r w:rsidRPr="00CB32B1">
              <w:rPr>
                <w:rFonts w:asciiTheme="majorHAnsi" w:hAnsiTheme="majorHAnsi"/>
              </w:rPr>
              <w:t>2.5</w:t>
            </w:r>
          </w:p>
        </w:tc>
        <w:tc>
          <w:tcPr>
            <w:tcW w:w="854" w:type="pct"/>
            <w:noWrap/>
          </w:tcPr>
          <w:p w:rsidR="00767B1A" w:rsidRPr="00CB32B1" w:rsidRDefault="00767B1A" w:rsidP="009E135F">
            <w:pPr>
              <w:pStyle w:val="NumericTableTextDecimalNormal"/>
              <w:tabs>
                <w:tab w:val="clear" w:pos="1004"/>
              </w:tabs>
              <w:jc w:val="right"/>
              <w:cnfStyle w:val="000000000000"/>
              <w:rPr>
                <w:rFonts w:asciiTheme="majorHAnsi" w:hAnsiTheme="majorHAnsi"/>
              </w:rPr>
            </w:pPr>
            <w:r w:rsidRPr="00CB32B1">
              <w:rPr>
                <w:rFonts w:asciiTheme="majorHAnsi" w:hAnsiTheme="majorHAnsi"/>
              </w:rPr>
              <w:t>2.4</w:t>
            </w:r>
          </w:p>
        </w:tc>
      </w:tr>
    </w:tbl>
    <w:p w:rsidR="00767B1A" w:rsidRPr="00CB32B1" w:rsidRDefault="00767B1A" w:rsidP="00767B1A">
      <w:pPr>
        <w:pStyle w:val="Sources"/>
      </w:pPr>
      <w:r w:rsidRPr="00CB32B1">
        <w:rPr>
          <w:b/>
        </w:rPr>
        <w:t>Source:</w:t>
      </w:r>
      <w:r w:rsidRPr="00CB32B1">
        <w:t xml:space="preserve"> Office of National Statistics, </w:t>
      </w:r>
      <w:r w:rsidR="002B6E59" w:rsidRPr="00CB32B1">
        <w:t>2011</w:t>
      </w:r>
      <w:r w:rsidRPr="00CB32B1">
        <w:t xml:space="preserve">, </w:t>
      </w:r>
      <w:r w:rsidR="002B6E59" w:rsidRPr="00CB32B1">
        <w:t>2010, 2009</w:t>
      </w:r>
      <w:r w:rsidRPr="00CB32B1">
        <w:t>.</w:t>
      </w:r>
    </w:p>
    <w:p w:rsidR="00767B1A" w:rsidRPr="00CB32B1" w:rsidRDefault="00767B1A" w:rsidP="00767B1A">
      <w:pPr>
        <w:pStyle w:val="PwCNormal"/>
      </w:pPr>
      <w:r w:rsidRPr="00CB32B1">
        <w:t xml:space="preserve">The number of homebirths provided by independent midwives in the UK is not known. </w:t>
      </w:r>
    </w:p>
    <w:p w:rsidR="00767B1A" w:rsidRPr="00CB32B1" w:rsidRDefault="00767B1A" w:rsidP="00767B1A">
      <w:pPr>
        <w:pStyle w:val="Minorheading2"/>
      </w:pPr>
      <w:r w:rsidRPr="00CB32B1">
        <w:t>Adverse outcomes</w:t>
      </w:r>
    </w:p>
    <w:p w:rsidR="00767B1A" w:rsidRPr="00CB32B1" w:rsidRDefault="00767B1A" w:rsidP="00767B1A">
      <w:pPr>
        <w:pStyle w:val="PwCNormal"/>
      </w:pPr>
      <w:r w:rsidRPr="00CB32B1">
        <w:t xml:space="preserve">England has recently undertaken a </w:t>
      </w:r>
      <w:r w:rsidRPr="00401CB6">
        <w:rPr>
          <w:i/>
        </w:rPr>
        <w:t>National Birthplace Cohort Study</w:t>
      </w:r>
      <w:r w:rsidRPr="00CB32B1">
        <w:t>. More detailed statistics related to outcomes different practices including pla</w:t>
      </w:r>
      <w:r w:rsidR="008341BC">
        <w:t>nned homebirth for high and low-</w:t>
      </w:r>
      <w:r w:rsidRPr="00CB32B1">
        <w:t>risk women can be found within the report.</w:t>
      </w:r>
    </w:p>
    <w:p w:rsidR="00767B1A" w:rsidRPr="00CB32B1" w:rsidRDefault="00767B1A" w:rsidP="00767B1A">
      <w:pPr>
        <w:pStyle w:val="Minorheading2"/>
      </w:pPr>
      <w:r w:rsidRPr="00CB32B1">
        <w:t>Insurance claims</w:t>
      </w:r>
    </w:p>
    <w:p w:rsidR="008124E8" w:rsidRPr="00CB32B1" w:rsidRDefault="008124E8" w:rsidP="008124E8">
      <w:pPr>
        <w:pStyle w:val="PwCNormal"/>
      </w:pPr>
      <w:r w:rsidRPr="00CB32B1">
        <w:t>The information presented in this report is publicly available and represents obstetrics and midwifery claims for the NHS. This is as presented by the National Health Service Litigation Authority (NHSLA).</w:t>
      </w:r>
      <w:r w:rsidRPr="00CB32B1">
        <w:rPr>
          <w:rStyle w:val="FootnoteReference"/>
        </w:rPr>
        <w:footnoteReference w:id="399"/>
      </w:r>
      <w:r w:rsidRPr="00CB32B1">
        <w:t xml:space="preserve"> Information is not available only for midwives, or independent midwives. Therefore, caution should be made in extrapolating these findings to independent midwifery practice.</w:t>
      </w:r>
    </w:p>
    <w:p w:rsidR="00767B1A" w:rsidRPr="00CB32B1" w:rsidRDefault="008124E8" w:rsidP="008124E8">
      <w:pPr>
        <w:pStyle w:val="PwCNormal"/>
        <w:numPr>
          <w:ilvl w:val="0"/>
          <w:numId w:val="0"/>
        </w:numPr>
      </w:pPr>
      <w:r w:rsidRPr="00CB32B1">
        <w:t>For the NHS there were 801 obstetric claims notified in 2010/11. These claims are long tail claims, in that the payments for most claims do not occur for between 5-10 years</w:t>
      </w:r>
      <w:r w:rsidR="008870E6">
        <w:t xml:space="preserve"> after the birth</w:t>
      </w:r>
      <w:r w:rsidRPr="00CB32B1">
        <w:t xml:space="preserve">. The claims have high costs associated with them, and the amounts paid in 2010/11 are shown in </w:t>
      </w:r>
      <w:r w:rsidR="009129A6" w:rsidRPr="00CB32B1">
        <w:fldChar w:fldCharType="begin"/>
      </w:r>
      <w:r w:rsidRPr="00CB32B1">
        <w:instrText xml:space="preserve"> REF _Ref361225152 \h </w:instrText>
      </w:r>
      <w:r w:rsidR="009129A6" w:rsidRPr="00CB32B1">
        <w:fldChar w:fldCharType="separate"/>
      </w:r>
      <w:r w:rsidR="008816B4" w:rsidRPr="00CB32B1">
        <w:t xml:space="preserve">Table </w:t>
      </w:r>
      <w:r w:rsidR="008816B4">
        <w:rPr>
          <w:noProof/>
        </w:rPr>
        <w:t>77</w:t>
      </w:r>
      <w:r w:rsidR="009129A6" w:rsidRPr="00CB32B1">
        <w:fldChar w:fldCharType="end"/>
      </w:r>
      <w:r w:rsidRPr="00CB32B1">
        <w:t>.</w:t>
      </w:r>
    </w:p>
    <w:p w:rsidR="00767B1A" w:rsidRPr="00CB32B1" w:rsidRDefault="00767B1A" w:rsidP="00767B1A">
      <w:pPr>
        <w:pStyle w:val="Caption"/>
      </w:pPr>
      <w:bookmarkStart w:id="195" w:name="_Ref361225152"/>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77</w:t>
      </w:r>
      <w:r w:rsidR="009129A6" w:rsidRPr="00CB32B1">
        <w:fldChar w:fldCharType="end"/>
      </w:r>
      <w:bookmarkEnd w:id="195"/>
      <w:r w:rsidRPr="00CB32B1">
        <w:t>:</w:t>
      </w:r>
      <w:r w:rsidRPr="00CB32B1">
        <w:tab/>
        <w:t>Cost of obstetric claims paid in 2010/11</w:t>
      </w:r>
    </w:p>
    <w:tbl>
      <w:tblPr>
        <w:tblStyle w:val="PwCTableStyle1"/>
        <w:tblW w:w="0" w:type="auto"/>
        <w:tblLayout w:type="fixed"/>
        <w:tblLook w:val="04A0"/>
      </w:tblPr>
      <w:tblGrid>
        <w:gridCol w:w="1986"/>
        <w:gridCol w:w="2539"/>
        <w:gridCol w:w="2660"/>
        <w:gridCol w:w="2103"/>
      </w:tblGrid>
      <w:tr w:rsidR="00767B1A" w:rsidRPr="007927DB" w:rsidTr="00767B1A">
        <w:trPr>
          <w:cnfStyle w:val="100000000000"/>
          <w:trHeight w:val="300"/>
        </w:trPr>
        <w:tc>
          <w:tcPr>
            <w:cnfStyle w:val="001000000000"/>
            <w:tcW w:w="1986" w:type="dxa"/>
            <w:tcBorders>
              <w:bottom w:val="single" w:sz="6" w:space="0" w:color="DC6900" w:themeColor="text2"/>
              <w:right w:val="single" w:sz="6" w:space="0" w:color="FFFFFF" w:themeColor="background2"/>
            </w:tcBorders>
            <w:shd w:val="clear" w:color="auto" w:fill="DC6900" w:themeFill="text2"/>
            <w:noWrap/>
            <w:hideMark/>
          </w:tcPr>
          <w:p w:rsidR="00767B1A" w:rsidRPr="007927DB" w:rsidRDefault="00767B1A" w:rsidP="00747120">
            <w:pPr>
              <w:pStyle w:val="NumericTableColumnHeadingNormal"/>
              <w:jc w:val="center"/>
              <w:rPr>
                <w:rFonts w:asciiTheme="majorHAnsi" w:hAnsiTheme="majorHAnsi"/>
              </w:rPr>
            </w:pPr>
            <w:r w:rsidRPr="007927DB">
              <w:rPr>
                <w:rFonts w:asciiTheme="majorHAnsi" w:hAnsiTheme="majorHAnsi"/>
              </w:rPr>
              <w:t>CNST Damages</w:t>
            </w:r>
          </w:p>
        </w:tc>
        <w:tc>
          <w:tcPr>
            <w:tcW w:w="2539"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noWrap/>
            <w:hideMark/>
          </w:tcPr>
          <w:p w:rsidR="00767B1A" w:rsidRPr="007927DB" w:rsidRDefault="00767B1A" w:rsidP="00747120">
            <w:pPr>
              <w:pStyle w:val="NumericTableColumnHeadingNormal"/>
              <w:jc w:val="center"/>
              <w:cnfStyle w:val="100000000000"/>
              <w:rPr>
                <w:rFonts w:asciiTheme="majorHAnsi" w:hAnsiTheme="majorHAnsi"/>
              </w:rPr>
            </w:pPr>
            <w:r w:rsidRPr="007927DB">
              <w:rPr>
                <w:rFonts w:asciiTheme="majorHAnsi" w:hAnsiTheme="majorHAnsi"/>
              </w:rPr>
              <w:t>CNST Defence Costs</w:t>
            </w:r>
          </w:p>
        </w:tc>
        <w:tc>
          <w:tcPr>
            <w:tcW w:w="2660"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noWrap/>
            <w:hideMark/>
          </w:tcPr>
          <w:p w:rsidR="00767B1A" w:rsidRPr="007927DB" w:rsidRDefault="00767B1A" w:rsidP="00747120">
            <w:pPr>
              <w:pStyle w:val="NumericTableColumnHeadingNormal"/>
              <w:jc w:val="center"/>
              <w:cnfStyle w:val="100000000000"/>
              <w:rPr>
                <w:rFonts w:asciiTheme="majorHAnsi" w:hAnsiTheme="majorHAnsi"/>
              </w:rPr>
            </w:pPr>
            <w:r w:rsidRPr="007927DB">
              <w:rPr>
                <w:rFonts w:asciiTheme="majorHAnsi" w:hAnsiTheme="majorHAnsi"/>
              </w:rPr>
              <w:t>CNST Claimant Costs</w:t>
            </w:r>
          </w:p>
        </w:tc>
        <w:tc>
          <w:tcPr>
            <w:tcW w:w="2103" w:type="dxa"/>
            <w:tcBorders>
              <w:left w:val="single" w:sz="6" w:space="0" w:color="FFFFFF" w:themeColor="background2"/>
              <w:bottom w:val="single" w:sz="6" w:space="0" w:color="DC6900" w:themeColor="text2"/>
            </w:tcBorders>
            <w:shd w:val="clear" w:color="auto" w:fill="DC6900" w:themeFill="text2"/>
            <w:noWrap/>
            <w:hideMark/>
          </w:tcPr>
          <w:p w:rsidR="00767B1A" w:rsidRPr="007927DB" w:rsidRDefault="00767B1A" w:rsidP="00747120">
            <w:pPr>
              <w:pStyle w:val="NumericTableColumnHeadingNormal"/>
              <w:jc w:val="center"/>
              <w:cnfStyle w:val="100000000000"/>
              <w:rPr>
                <w:rFonts w:asciiTheme="majorHAnsi" w:hAnsiTheme="majorHAnsi"/>
              </w:rPr>
            </w:pPr>
            <w:r w:rsidRPr="007927DB">
              <w:rPr>
                <w:rFonts w:asciiTheme="majorHAnsi" w:hAnsiTheme="majorHAnsi"/>
              </w:rPr>
              <w:t>CNST Total Paid</w:t>
            </w:r>
          </w:p>
        </w:tc>
      </w:tr>
      <w:tr w:rsidR="00767B1A" w:rsidRPr="007927DB" w:rsidTr="00767B1A">
        <w:trPr>
          <w:trHeight w:val="300"/>
        </w:trPr>
        <w:tc>
          <w:tcPr>
            <w:cnfStyle w:val="001000000000"/>
            <w:tcW w:w="1986" w:type="dxa"/>
            <w:tcBorders>
              <w:top w:val="single" w:sz="6" w:space="0" w:color="DC6900" w:themeColor="text2"/>
            </w:tcBorders>
            <w:noWrap/>
            <w:hideMark/>
          </w:tcPr>
          <w:p w:rsidR="00767B1A" w:rsidRPr="007927DB" w:rsidRDefault="00767B1A" w:rsidP="00747120">
            <w:pPr>
              <w:pStyle w:val="NumericTableTextNormal"/>
              <w:jc w:val="right"/>
              <w:rPr>
                <w:rFonts w:asciiTheme="majorHAnsi" w:hAnsiTheme="majorHAnsi"/>
              </w:rPr>
            </w:pPr>
            <w:r w:rsidRPr="007927DB">
              <w:rPr>
                <w:rFonts w:asciiTheme="majorHAnsi" w:hAnsiTheme="majorHAnsi"/>
              </w:rPr>
              <w:t>£185,578,557</w:t>
            </w:r>
          </w:p>
        </w:tc>
        <w:tc>
          <w:tcPr>
            <w:tcW w:w="2539" w:type="dxa"/>
            <w:tcBorders>
              <w:top w:val="single" w:sz="6" w:space="0" w:color="DC6900" w:themeColor="text2"/>
            </w:tcBorders>
            <w:noWrap/>
            <w:hideMark/>
          </w:tcPr>
          <w:p w:rsidR="00767B1A" w:rsidRPr="007927DB" w:rsidRDefault="00767B1A" w:rsidP="00747120">
            <w:pPr>
              <w:pStyle w:val="NumericTableTextNormal"/>
              <w:jc w:val="right"/>
              <w:cnfStyle w:val="000000000000"/>
              <w:rPr>
                <w:rFonts w:asciiTheme="majorHAnsi" w:hAnsiTheme="majorHAnsi"/>
              </w:rPr>
            </w:pPr>
            <w:r w:rsidRPr="007927DB">
              <w:rPr>
                <w:rFonts w:asciiTheme="majorHAnsi" w:hAnsiTheme="majorHAnsi"/>
              </w:rPr>
              <w:t>£14,290,453</w:t>
            </w:r>
          </w:p>
        </w:tc>
        <w:tc>
          <w:tcPr>
            <w:tcW w:w="2660" w:type="dxa"/>
            <w:tcBorders>
              <w:top w:val="single" w:sz="6" w:space="0" w:color="DC6900" w:themeColor="text2"/>
            </w:tcBorders>
            <w:noWrap/>
            <w:hideMark/>
          </w:tcPr>
          <w:p w:rsidR="00767B1A" w:rsidRPr="007927DB" w:rsidRDefault="00767B1A" w:rsidP="00747120">
            <w:pPr>
              <w:pStyle w:val="NumericTableTextNormal"/>
              <w:jc w:val="right"/>
              <w:cnfStyle w:val="000000000000"/>
              <w:rPr>
                <w:rFonts w:asciiTheme="majorHAnsi" w:hAnsiTheme="majorHAnsi"/>
              </w:rPr>
            </w:pPr>
            <w:r w:rsidRPr="007927DB">
              <w:rPr>
                <w:rFonts w:asciiTheme="majorHAnsi" w:hAnsiTheme="majorHAnsi"/>
              </w:rPr>
              <w:t>£34,975,081</w:t>
            </w:r>
          </w:p>
        </w:tc>
        <w:tc>
          <w:tcPr>
            <w:tcW w:w="2103" w:type="dxa"/>
            <w:tcBorders>
              <w:top w:val="single" w:sz="6" w:space="0" w:color="DC6900" w:themeColor="text2"/>
            </w:tcBorders>
            <w:noWrap/>
            <w:hideMark/>
          </w:tcPr>
          <w:p w:rsidR="00767B1A" w:rsidRPr="007927DB" w:rsidRDefault="00767B1A" w:rsidP="00747120">
            <w:pPr>
              <w:pStyle w:val="NumericTableTextNormal"/>
              <w:jc w:val="right"/>
              <w:cnfStyle w:val="000000000000"/>
              <w:rPr>
                <w:rFonts w:asciiTheme="majorHAnsi" w:hAnsiTheme="majorHAnsi"/>
              </w:rPr>
            </w:pPr>
            <w:r w:rsidRPr="007927DB">
              <w:rPr>
                <w:rFonts w:asciiTheme="majorHAnsi" w:hAnsiTheme="majorHAnsi"/>
              </w:rPr>
              <w:t>£234,844,091</w:t>
            </w:r>
          </w:p>
        </w:tc>
      </w:tr>
    </w:tbl>
    <w:p w:rsidR="00767B1A" w:rsidRPr="00CB32B1" w:rsidRDefault="00767B1A" w:rsidP="00767B1A">
      <w:pPr>
        <w:pStyle w:val="Sources"/>
      </w:pPr>
      <w:r w:rsidRPr="00CB32B1">
        <w:rPr>
          <w:b/>
        </w:rPr>
        <w:t>Source:</w:t>
      </w:r>
      <w:r w:rsidR="003F1CBE">
        <w:t xml:space="preserve"> NHSLA 20</w:t>
      </w:r>
      <w:r w:rsidRPr="00CB32B1">
        <w:t>11.</w:t>
      </w:r>
    </w:p>
    <w:p w:rsidR="00767B1A" w:rsidRPr="00CB32B1" w:rsidRDefault="00767B1A" w:rsidP="00767B1A">
      <w:pPr>
        <w:pStyle w:val="Minorheading2"/>
      </w:pPr>
      <w:r w:rsidRPr="00CB32B1">
        <w:t>Disciplinary cases</w:t>
      </w:r>
    </w:p>
    <w:p w:rsidR="008124E8" w:rsidRPr="00CB32B1" w:rsidRDefault="008124E8" w:rsidP="008124E8">
      <w:pPr>
        <w:pStyle w:val="PwCNormal"/>
        <w:numPr>
          <w:ilvl w:val="0"/>
          <w:numId w:val="0"/>
        </w:numPr>
      </w:pPr>
      <w:r w:rsidRPr="00CB32B1">
        <w:t>In England, as disciplinary cases relate to fitness to practice, allegations relating to misconduct, lack of competence, character issues and poor health,</w:t>
      </w:r>
      <w:r w:rsidRPr="00CB32B1">
        <w:rPr>
          <w:rStyle w:val="FootnoteReference"/>
        </w:rPr>
        <w:footnoteReference w:id="400"/>
      </w:r>
      <w:r w:rsidRPr="00CB32B1">
        <w:t xml:space="preserve"> and do not separate out midwives by type of practice (eg NHS, independent) they shed minimal insight on the practice of independent midwives in homebirth settings.</w:t>
      </w:r>
      <w:r w:rsidRPr="00CB32B1">
        <w:rPr>
          <w:rStyle w:val="FootnoteReference"/>
        </w:rPr>
        <w:footnoteReference w:id="401"/>
      </w:r>
      <w:r w:rsidRPr="00CB32B1">
        <w:t xml:space="preserve"> The NMC-UK provides the same process for fitness to practice hearings for all midwives.</w:t>
      </w:r>
    </w:p>
    <w:p w:rsidR="00EA7DEB" w:rsidRPr="00CB32B1" w:rsidRDefault="00EA7DEB" w:rsidP="00EA7DEB">
      <w:pPr>
        <w:pStyle w:val="Minorheading"/>
      </w:pPr>
      <w:r>
        <w:t xml:space="preserve">Province of </w:t>
      </w:r>
      <w:r w:rsidRPr="00CB32B1">
        <w:t>Ontario</w:t>
      </w:r>
    </w:p>
    <w:p w:rsidR="00EA7DEB" w:rsidRPr="00CB32B1" w:rsidRDefault="00EA7DEB" w:rsidP="00EA7DEB">
      <w:pPr>
        <w:pStyle w:val="Minorheading2"/>
      </w:pPr>
      <w:r w:rsidRPr="00CB32B1">
        <w:t>Statistics on midwives, births and homebirths</w:t>
      </w:r>
    </w:p>
    <w:p w:rsidR="00EA7DEB" w:rsidRPr="00CB32B1" w:rsidRDefault="00EA7DEB" w:rsidP="00EA7DEB">
      <w:pPr>
        <w:pStyle w:val="PwCNormal"/>
      </w:pPr>
      <w:r w:rsidRPr="00CB32B1">
        <w:t xml:space="preserve">There have been a growing number of midwives in </w:t>
      </w:r>
      <w:r>
        <w:t xml:space="preserve">the province of </w:t>
      </w:r>
      <w:r w:rsidRPr="00CB32B1">
        <w:t xml:space="preserve">Ontario over the past seven years as seen in </w:t>
      </w:r>
      <w:r w:rsidR="009129A6" w:rsidRPr="00CB32B1">
        <w:fldChar w:fldCharType="begin"/>
      </w:r>
      <w:r w:rsidRPr="00CB32B1">
        <w:instrText xml:space="preserve"> REF _Ref361225104 \h </w:instrText>
      </w:r>
      <w:r w:rsidR="009129A6" w:rsidRPr="00CB32B1">
        <w:fldChar w:fldCharType="separate"/>
      </w:r>
      <w:r w:rsidR="008816B4" w:rsidRPr="00CB32B1">
        <w:t xml:space="preserve">Table </w:t>
      </w:r>
      <w:r w:rsidR="008816B4">
        <w:rPr>
          <w:noProof/>
        </w:rPr>
        <w:t>78</w:t>
      </w:r>
      <w:r w:rsidR="009129A6" w:rsidRPr="00CB32B1">
        <w:fldChar w:fldCharType="end"/>
      </w:r>
      <w:r>
        <w:t>. As noted in the body of the report, all midwives can practise independently, and are required to support a number of births within the home as a part of registration.</w:t>
      </w:r>
    </w:p>
    <w:p w:rsidR="00EA7DEB" w:rsidRPr="00CB32B1" w:rsidRDefault="00EA7DEB" w:rsidP="00EA7DEB">
      <w:pPr>
        <w:pStyle w:val="NumericCaption"/>
      </w:pPr>
      <w:bookmarkStart w:id="196" w:name="_Ref361225104"/>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78</w:t>
      </w:r>
      <w:r w:rsidR="009129A6" w:rsidRPr="00CB32B1">
        <w:fldChar w:fldCharType="end"/>
      </w:r>
      <w:bookmarkEnd w:id="196"/>
      <w:r w:rsidRPr="00CB32B1">
        <w:t>:</w:t>
      </w:r>
      <w:r w:rsidRPr="00CB32B1">
        <w:tab/>
        <w:t xml:space="preserve">Number of midwives in </w:t>
      </w:r>
      <w:r>
        <w:t xml:space="preserve">the province of </w:t>
      </w:r>
      <w:r w:rsidRPr="00CB32B1">
        <w:t>Ontario</w:t>
      </w:r>
    </w:p>
    <w:tbl>
      <w:tblPr>
        <w:tblStyle w:val="PwCTableStyle1"/>
        <w:tblW w:w="0" w:type="auto"/>
        <w:tblLayout w:type="fixed"/>
        <w:tblLook w:val="04A0"/>
      </w:tblPr>
      <w:tblGrid>
        <w:gridCol w:w="1459"/>
        <w:gridCol w:w="1119"/>
        <w:gridCol w:w="1119"/>
        <w:gridCol w:w="1119"/>
        <w:gridCol w:w="1118"/>
        <w:gridCol w:w="1118"/>
        <w:gridCol w:w="1118"/>
        <w:gridCol w:w="1118"/>
      </w:tblGrid>
      <w:tr w:rsidR="00EA7DEB" w:rsidRPr="00CB32B1" w:rsidTr="00844D69">
        <w:trPr>
          <w:cnfStyle w:val="100000000000"/>
          <w:trHeight w:val="300"/>
        </w:trPr>
        <w:tc>
          <w:tcPr>
            <w:cnfStyle w:val="001000000000"/>
            <w:tcW w:w="1459" w:type="dxa"/>
            <w:tcBorders>
              <w:bottom w:val="single" w:sz="6" w:space="0" w:color="DC6900" w:themeColor="text2"/>
              <w:right w:val="single" w:sz="6" w:space="0" w:color="FFFFFF" w:themeColor="background2"/>
            </w:tcBorders>
            <w:shd w:val="clear" w:color="auto" w:fill="DC6900" w:themeFill="text2"/>
            <w:hideMark/>
          </w:tcPr>
          <w:p w:rsidR="00EA7DEB" w:rsidRPr="00CB32B1" w:rsidRDefault="00EA7DEB" w:rsidP="00844D69">
            <w:pPr>
              <w:pStyle w:val="NumericTableColumnHeadingNormal"/>
              <w:rPr>
                <w:rFonts w:asciiTheme="majorHAnsi" w:hAnsiTheme="majorHAnsi"/>
              </w:rPr>
            </w:pPr>
          </w:p>
        </w:tc>
        <w:tc>
          <w:tcPr>
            <w:tcW w:w="1119"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EA7DEB" w:rsidRPr="00CB32B1" w:rsidRDefault="00EA7DEB" w:rsidP="00844D69">
            <w:pPr>
              <w:pStyle w:val="NumericTableColumnHeadingNormal"/>
              <w:jc w:val="center"/>
              <w:cnfStyle w:val="100000000000"/>
              <w:rPr>
                <w:rFonts w:asciiTheme="majorHAnsi" w:hAnsiTheme="majorHAnsi"/>
              </w:rPr>
            </w:pPr>
            <w:r w:rsidRPr="00CB32B1">
              <w:rPr>
                <w:rFonts w:asciiTheme="majorHAnsi" w:hAnsiTheme="majorHAnsi"/>
              </w:rPr>
              <w:t>2003-04</w:t>
            </w:r>
          </w:p>
        </w:tc>
        <w:tc>
          <w:tcPr>
            <w:tcW w:w="1119"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EA7DEB" w:rsidRPr="00CB32B1" w:rsidRDefault="00EA7DEB" w:rsidP="00844D69">
            <w:pPr>
              <w:pStyle w:val="NumericTableColumnHeadingNormal"/>
              <w:jc w:val="center"/>
              <w:cnfStyle w:val="100000000000"/>
              <w:rPr>
                <w:rFonts w:asciiTheme="majorHAnsi" w:hAnsiTheme="majorHAnsi"/>
              </w:rPr>
            </w:pPr>
            <w:r w:rsidRPr="00CB32B1">
              <w:rPr>
                <w:rFonts w:asciiTheme="majorHAnsi" w:hAnsiTheme="majorHAnsi"/>
              </w:rPr>
              <w:t>2004-05</w:t>
            </w:r>
          </w:p>
        </w:tc>
        <w:tc>
          <w:tcPr>
            <w:tcW w:w="1119"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EA7DEB" w:rsidRPr="00CB32B1" w:rsidRDefault="00EA7DEB" w:rsidP="00844D69">
            <w:pPr>
              <w:pStyle w:val="NumericTableColumnHeadingNormal"/>
              <w:jc w:val="center"/>
              <w:cnfStyle w:val="100000000000"/>
              <w:rPr>
                <w:rFonts w:asciiTheme="majorHAnsi" w:hAnsiTheme="majorHAnsi"/>
              </w:rPr>
            </w:pPr>
            <w:r w:rsidRPr="00CB32B1">
              <w:rPr>
                <w:rFonts w:asciiTheme="majorHAnsi" w:hAnsiTheme="majorHAnsi"/>
              </w:rPr>
              <w:t>2005-06</w:t>
            </w:r>
          </w:p>
        </w:tc>
        <w:tc>
          <w:tcPr>
            <w:tcW w:w="1118"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EA7DEB" w:rsidRPr="00CB32B1" w:rsidRDefault="00EA7DEB" w:rsidP="00844D69">
            <w:pPr>
              <w:pStyle w:val="NumericTableColumnHeadingNormal"/>
              <w:jc w:val="center"/>
              <w:cnfStyle w:val="100000000000"/>
              <w:rPr>
                <w:rFonts w:asciiTheme="majorHAnsi" w:hAnsiTheme="majorHAnsi"/>
              </w:rPr>
            </w:pPr>
            <w:r w:rsidRPr="00CB32B1">
              <w:rPr>
                <w:rFonts w:asciiTheme="majorHAnsi" w:hAnsiTheme="majorHAnsi"/>
              </w:rPr>
              <w:t>2006-07</w:t>
            </w:r>
          </w:p>
        </w:tc>
        <w:tc>
          <w:tcPr>
            <w:tcW w:w="1118"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EA7DEB" w:rsidRPr="00CB32B1" w:rsidRDefault="00EA7DEB" w:rsidP="00844D69">
            <w:pPr>
              <w:pStyle w:val="NumericTableColumnHeadingNormal"/>
              <w:jc w:val="center"/>
              <w:cnfStyle w:val="100000000000"/>
              <w:rPr>
                <w:rFonts w:asciiTheme="majorHAnsi" w:hAnsiTheme="majorHAnsi"/>
              </w:rPr>
            </w:pPr>
            <w:r w:rsidRPr="00CB32B1">
              <w:rPr>
                <w:rFonts w:asciiTheme="majorHAnsi" w:hAnsiTheme="majorHAnsi"/>
              </w:rPr>
              <w:t>2007-08</w:t>
            </w:r>
          </w:p>
        </w:tc>
        <w:tc>
          <w:tcPr>
            <w:tcW w:w="1118"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EA7DEB" w:rsidRPr="00CB32B1" w:rsidRDefault="00EA7DEB" w:rsidP="00844D69">
            <w:pPr>
              <w:pStyle w:val="NumericTableColumnHeadingNormal"/>
              <w:jc w:val="center"/>
              <w:cnfStyle w:val="100000000000"/>
              <w:rPr>
                <w:rFonts w:asciiTheme="majorHAnsi" w:hAnsiTheme="majorHAnsi"/>
              </w:rPr>
            </w:pPr>
            <w:r w:rsidRPr="00CB32B1">
              <w:rPr>
                <w:rFonts w:asciiTheme="majorHAnsi" w:hAnsiTheme="majorHAnsi"/>
              </w:rPr>
              <w:t>2008-09</w:t>
            </w:r>
          </w:p>
        </w:tc>
        <w:tc>
          <w:tcPr>
            <w:tcW w:w="1118" w:type="dxa"/>
            <w:tcBorders>
              <w:left w:val="single" w:sz="6" w:space="0" w:color="FFFFFF" w:themeColor="background2"/>
              <w:bottom w:val="single" w:sz="6" w:space="0" w:color="DC6900" w:themeColor="text2"/>
            </w:tcBorders>
            <w:shd w:val="clear" w:color="auto" w:fill="DC6900" w:themeFill="text2"/>
            <w:hideMark/>
          </w:tcPr>
          <w:p w:rsidR="00EA7DEB" w:rsidRPr="00CB32B1" w:rsidRDefault="00EA7DEB" w:rsidP="00844D69">
            <w:pPr>
              <w:pStyle w:val="NumericTableColumnHeadingNormal"/>
              <w:jc w:val="center"/>
              <w:cnfStyle w:val="100000000000"/>
              <w:rPr>
                <w:rFonts w:asciiTheme="majorHAnsi" w:hAnsiTheme="majorHAnsi"/>
              </w:rPr>
            </w:pPr>
            <w:r w:rsidRPr="00CB32B1">
              <w:rPr>
                <w:rFonts w:asciiTheme="majorHAnsi" w:hAnsiTheme="majorHAnsi"/>
              </w:rPr>
              <w:t>2009-10</w:t>
            </w:r>
          </w:p>
        </w:tc>
      </w:tr>
      <w:tr w:rsidR="00EA7DEB" w:rsidRPr="00CB32B1" w:rsidTr="00844D69">
        <w:trPr>
          <w:trHeight w:val="300"/>
        </w:trPr>
        <w:tc>
          <w:tcPr>
            <w:cnfStyle w:val="001000000000"/>
            <w:tcW w:w="1459" w:type="dxa"/>
            <w:tcBorders>
              <w:top w:val="single" w:sz="6" w:space="0" w:color="DC6900" w:themeColor="text2"/>
            </w:tcBorders>
            <w:hideMark/>
          </w:tcPr>
          <w:p w:rsidR="00EA7DEB" w:rsidRPr="00CB32B1" w:rsidRDefault="00EA7DEB" w:rsidP="00844D69">
            <w:pPr>
              <w:pStyle w:val="NumericTableTextNormal"/>
              <w:rPr>
                <w:rFonts w:asciiTheme="majorHAnsi" w:hAnsiTheme="majorHAnsi"/>
              </w:rPr>
            </w:pPr>
            <w:r w:rsidRPr="00CB32B1">
              <w:rPr>
                <w:rFonts w:asciiTheme="majorHAnsi" w:hAnsiTheme="majorHAnsi"/>
              </w:rPr>
              <w:t xml:space="preserve">Number of midwives </w:t>
            </w:r>
          </w:p>
        </w:tc>
        <w:tc>
          <w:tcPr>
            <w:tcW w:w="1119" w:type="dxa"/>
            <w:tcBorders>
              <w:top w:val="single" w:sz="6" w:space="0" w:color="DC6900" w:themeColor="text2"/>
            </w:tcBorders>
            <w:hideMark/>
          </w:tcPr>
          <w:p w:rsidR="00EA7DEB" w:rsidRPr="00CB32B1" w:rsidRDefault="00EA7DEB" w:rsidP="00844D69">
            <w:pPr>
              <w:pStyle w:val="NumericTableTextNormal"/>
              <w:jc w:val="right"/>
              <w:cnfStyle w:val="000000000000"/>
              <w:rPr>
                <w:rFonts w:asciiTheme="majorHAnsi" w:hAnsiTheme="majorHAnsi"/>
              </w:rPr>
            </w:pPr>
            <w:r w:rsidRPr="00CB32B1">
              <w:rPr>
                <w:rFonts w:asciiTheme="majorHAnsi" w:hAnsiTheme="majorHAnsi"/>
              </w:rPr>
              <w:t>256</w:t>
            </w:r>
          </w:p>
        </w:tc>
        <w:tc>
          <w:tcPr>
            <w:tcW w:w="1119" w:type="dxa"/>
            <w:tcBorders>
              <w:top w:val="single" w:sz="6" w:space="0" w:color="DC6900" w:themeColor="text2"/>
            </w:tcBorders>
            <w:hideMark/>
          </w:tcPr>
          <w:p w:rsidR="00EA7DEB" w:rsidRPr="00CB32B1" w:rsidRDefault="00EA7DEB" w:rsidP="00844D69">
            <w:pPr>
              <w:pStyle w:val="NumericTableTextNormal"/>
              <w:jc w:val="right"/>
              <w:cnfStyle w:val="000000000000"/>
              <w:rPr>
                <w:rFonts w:asciiTheme="majorHAnsi" w:hAnsiTheme="majorHAnsi"/>
              </w:rPr>
            </w:pPr>
            <w:r w:rsidRPr="00CB32B1">
              <w:rPr>
                <w:rFonts w:asciiTheme="majorHAnsi" w:hAnsiTheme="majorHAnsi"/>
              </w:rPr>
              <w:t>275</w:t>
            </w:r>
          </w:p>
        </w:tc>
        <w:tc>
          <w:tcPr>
            <w:tcW w:w="1119" w:type="dxa"/>
            <w:tcBorders>
              <w:top w:val="single" w:sz="6" w:space="0" w:color="DC6900" w:themeColor="text2"/>
            </w:tcBorders>
            <w:hideMark/>
          </w:tcPr>
          <w:p w:rsidR="00EA7DEB" w:rsidRPr="00CB32B1" w:rsidRDefault="00EA7DEB" w:rsidP="00844D69">
            <w:pPr>
              <w:pStyle w:val="NumericTableTextNormal"/>
              <w:jc w:val="right"/>
              <w:cnfStyle w:val="000000000000"/>
              <w:rPr>
                <w:rFonts w:asciiTheme="majorHAnsi" w:hAnsiTheme="majorHAnsi"/>
              </w:rPr>
            </w:pPr>
            <w:r w:rsidRPr="00CB32B1">
              <w:rPr>
                <w:rFonts w:asciiTheme="majorHAnsi" w:hAnsiTheme="majorHAnsi"/>
              </w:rPr>
              <w:t>302</w:t>
            </w:r>
          </w:p>
        </w:tc>
        <w:tc>
          <w:tcPr>
            <w:tcW w:w="1118" w:type="dxa"/>
            <w:tcBorders>
              <w:top w:val="single" w:sz="6" w:space="0" w:color="DC6900" w:themeColor="text2"/>
            </w:tcBorders>
            <w:hideMark/>
          </w:tcPr>
          <w:p w:rsidR="00EA7DEB" w:rsidRPr="00CB32B1" w:rsidRDefault="00EA7DEB" w:rsidP="00844D69">
            <w:pPr>
              <w:pStyle w:val="NumericTableTextNormal"/>
              <w:jc w:val="right"/>
              <w:cnfStyle w:val="000000000000"/>
              <w:rPr>
                <w:rFonts w:asciiTheme="majorHAnsi" w:hAnsiTheme="majorHAnsi"/>
              </w:rPr>
            </w:pPr>
            <w:r w:rsidRPr="00CB32B1">
              <w:rPr>
                <w:rFonts w:asciiTheme="majorHAnsi" w:hAnsiTheme="majorHAnsi"/>
              </w:rPr>
              <w:t>334</w:t>
            </w:r>
          </w:p>
        </w:tc>
        <w:tc>
          <w:tcPr>
            <w:tcW w:w="1118" w:type="dxa"/>
            <w:tcBorders>
              <w:top w:val="single" w:sz="6" w:space="0" w:color="DC6900" w:themeColor="text2"/>
            </w:tcBorders>
            <w:hideMark/>
          </w:tcPr>
          <w:p w:rsidR="00EA7DEB" w:rsidRPr="00CB32B1" w:rsidRDefault="00EA7DEB" w:rsidP="00844D69">
            <w:pPr>
              <w:pStyle w:val="NumericTableTextNormal"/>
              <w:jc w:val="right"/>
              <w:cnfStyle w:val="000000000000"/>
              <w:rPr>
                <w:rFonts w:asciiTheme="majorHAnsi" w:hAnsiTheme="majorHAnsi"/>
              </w:rPr>
            </w:pPr>
            <w:r w:rsidRPr="00CB32B1">
              <w:rPr>
                <w:rFonts w:asciiTheme="majorHAnsi" w:hAnsiTheme="majorHAnsi"/>
              </w:rPr>
              <w:t>380</w:t>
            </w:r>
          </w:p>
        </w:tc>
        <w:tc>
          <w:tcPr>
            <w:tcW w:w="1118" w:type="dxa"/>
            <w:tcBorders>
              <w:top w:val="single" w:sz="6" w:space="0" w:color="DC6900" w:themeColor="text2"/>
            </w:tcBorders>
            <w:hideMark/>
          </w:tcPr>
          <w:p w:rsidR="00EA7DEB" w:rsidRPr="00CB32B1" w:rsidRDefault="00EA7DEB" w:rsidP="00844D69">
            <w:pPr>
              <w:pStyle w:val="NumericTableTextNormal"/>
              <w:jc w:val="right"/>
              <w:cnfStyle w:val="000000000000"/>
              <w:rPr>
                <w:rFonts w:asciiTheme="majorHAnsi" w:hAnsiTheme="majorHAnsi"/>
              </w:rPr>
            </w:pPr>
            <w:r w:rsidRPr="00CB32B1">
              <w:rPr>
                <w:rFonts w:asciiTheme="majorHAnsi" w:hAnsiTheme="majorHAnsi"/>
              </w:rPr>
              <w:t>369</w:t>
            </w:r>
          </w:p>
        </w:tc>
        <w:tc>
          <w:tcPr>
            <w:tcW w:w="1118" w:type="dxa"/>
            <w:tcBorders>
              <w:top w:val="single" w:sz="6" w:space="0" w:color="DC6900" w:themeColor="text2"/>
            </w:tcBorders>
            <w:hideMark/>
          </w:tcPr>
          <w:p w:rsidR="00EA7DEB" w:rsidRPr="00CB32B1" w:rsidRDefault="00EA7DEB" w:rsidP="00844D69">
            <w:pPr>
              <w:pStyle w:val="NumericTableTextNormal"/>
              <w:jc w:val="right"/>
              <w:cnfStyle w:val="000000000000"/>
              <w:rPr>
                <w:rFonts w:asciiTheme="majorHAnsi" w:hAnsiTheme="majorHAnsi"/>
              </w:rPr>
            </w:pPr>
            <w:r w:rsidRPr="00CB32B1">
              <w:rPr>
                <w:rFonts w:asciiTheme="majorHAnsi" w:hAnsiTheme="majorHAnsi"/>
              </w:rPr>
              <w:t>405</w:t>
            </w:r>
          </w:p>
        </w:tc>
      </w:tr>
    </w:tbl>
    <w:p w:rsidR="00EA7DEB" w:rsidRPr="00CB32B1" w:rsidRDefault="00EA7DEB" w:rsidP="00EA7DEB">
      <w:pPr>
        <w:pStyle w:val="Sources"/>
      </w:pPr>
      <w:r w:rsidRPr="00CB32B1">
        <w:rPr>
          <w:b/>
        </w:rPr>
        <w:t>Sources:</w:t>
      </w:r>
      <w:r w:rsidRPr="00CB32B1">
        <w:t xml:space="preserve"> </w:t>
      </w:r>
      <w:r>
        <w:t>Personal Communication</w:t>
      </w:r>
      <w:r w:rsidRPr="00CB32B1">
        <w:t xml:space="preserve"> February 2013.</w:t>
      </w:r>
    </w:p>
    <w:p w:rsidR="00EA7DEB" w:rsidRPr="00CB32B1" w:rsidRDefault="00EA7DEB" w:rsidP="00EA7DEB">
      <w:pPr>
        <w:pStyle w:val="PwCNormal"/>
      </w:pPr>
      <w:r w:rsidRPr="00CB32B1">
        <w:t xml:space="preserve">In 2009–10, there were 2,741 homebirths out of 11,244 births as seen in </w:t>
      </w:r>
      <w:r w:rsidR="009129A6" w:rsidRPr="00CB32B1">
        <w:fldChar w:fldCharType="begin"/>
      </w:r>
      <w:r w:rsidRPr="00CB32B1">
        <w:instrText xml:space="preserve"> REF _Ref361225113 \h </w:instrText>
      </w:r>
      <w:r w:rsidR="009129A6" w:rsidRPr="00CB32B1">
        <w:fldChar w:fldCharType="separate"/>
      </w:r>
      <w:r w:rsidR="008816B4" w:rsidRPr="00CB32B1">
        <w:t xml:space="preserve">Table </w:t>
      </w:r>
      <w:r w:rsidR="008816B4">
        <w:rPr>
          <w:noProof/>
        </w:rPr>
        <w:t>79</w:t>
      </w:r>
      <w:r w:rsidR="009129A6" w:rsidRPr="00CB32B1">
        <w:fldChar w:fldCharType="end"/>
      </w:r>
      <w:r w:rsidRPr="00CB32B1">
        <w:t>. There have been an increasing number of births in Ontario, Canada. The proportion of those which have been homebirths has remained fairly stable</w:t>
      </w:r>
      <w:r>
        <w:t xml:space="preserve"> at</w:t>
      </w:r>
      <w:r w:rsidRPr="00CB32B1">
        <w:t xml:space="preserve"> around 20–24%. </w:t>
      </w:r>
    </w:p>
    <w:p w:rsidR="00EA7DEB" w:rsidRPr="00CB32B1" w:rsidRDefault="00EA7DEB" w:rsidP="00EA7DEB">
      <w:pPr>
        <w:pStyle w:val="NumericCaption"/>
      </w:pPr>
      <w:bookmarkStart w:id="197" w:name="_Ref361225113"/>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79</w:t>
      </w:r>
      <w:r w:rsidR="009129A6" w:rsidRPr="00CB32B1">
        <w:fldChar w:fldCharType="end"/>
      </w:r>
      <w:bookmarkEnd w:id="197"/>
      <w:r w:rsidRPr="00CB32B1">
        <w:t>:</w:t>
      </w:r>
      <w:r w:rsidRPr="00CB32B1">
        <w:tab/>
        <w:t xml:space="preserve">Number of homebirths in </w:t>
      </w:r>
      <w:r>
        <w:t xml:space="preserve">the province of </w:t>
      </w:r>
      <w:r w:rsidRPr="00CB32B1">
        <w:t>Ontario</w:t>
      </w:r>
    </w:p>
    <w:tbl>
      <w:tblPr>
        <w:tblStyle w:val="PwCTableStyle1"/>
        <w:tblW w:w="0" w:type="auto"/>
        <w:tblLayout w:type="fixed"/>
        <w:tblLook w:val="04A0"/>
      </w:tblPr>
      <w:tblGrid>
        <w:gridCol w:w="1639"/>
        <w:gridCol w:w="1093"/>
        <w:gridCol w:w="1093"/>
        <w:gridCol w:w="1093"/>
        <w:gridCol w:w="1093"/>
        <w:gridCol w:w="1093"/>
        <w:gridCol w:w="1092"/>
        <w:gridCol w:w="1092"/>
      </w:tblGrid>
      <w:tr w:rsidR="00EA7DEB" w:rsidRPr="00CB32B1" w:rsidTr="00844D69">
        <w:trPr>
          <w:cnfStyle w:val="100000000000"/>
          <w:trHeight w:val="300"/>
        </w:trPr>
        <w:tc>
          <w:tcPr>
            <w:cnfStyle w:val="001000000000"/>
            <w:tcW w:w="1639" w:type="dxa"/>
            <w:tcBorders>
              <w:bottom w:val="single" w:sz="6" w:space="0" w:color="DC6900" w:themeColor="text2"/>
              <w:right w:val="single" w:sz="6" w:space="0" w:color="FFFFFF" w:themeColor="background2"/>
            </w:tcBorders>
            <w:shd w:val="clear" w:color="auto" w:fill="DC6900" w:themeFill="text2"/>
            <w:hideMark/>
          </w:tcPr>
          <w:p w:rsidR="00EA7DEB" w:rsidRPr="00CB32B1" w:rsidRDefault="00EA7DEB" w:rsidP="00844D69">
            <w:pPr>
              <w:pStyle w:val="NumericTableColumnHeadingNormal"/>
              <w:rPr>
                <w:rFonts w:asciiTheme="majorHAnsi" w:hAnsiTheme="majorHAnsi"/>
              </w:rPr>
            </w:pPr>
          </w:p>
        </w:tc>
        <w:tc>
          <w:tcPr>
            <w:tcW w:w="1093"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EA7DEB" w:rsidRPr="00CB32B1" w:rsidRDefault="00EA7DEB" w:rsidP="00844D69">
            <w:pPr>
              <w:pStyle w:val="NumericTableColumnHeadingNormal"/>
              <w:jc w:val="center"/>
              <w:cnfStyle w:val="100000000000"/>
              <w:rPr>
                <w:rFonts w:asciiTheme="majorHAnsi" w:hAnsiTheme="majorHAnsi"/>
              </w:rPr>
            </w:pPr>
            <w:r w:rsidRPr="00CB32B1">
              <w:rPr>
                <w:rFonts w:asciiTheme="majorHAnsi" w:hAnsiTheme="majorHAnsi"/>
              </w:rPr>
              <w:t>2003-04</w:t>
            </w:r>
          </w:p>
        </w:tc>
        <w:tc>
          <w:tcPr>
            <w:tcW w:w="1093"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EA7DEB" w:rsidRPr="00CB32B1" w:rsidRDefault="00EA7DEB" w:rsidP="00844D69">
            <w:pPr>
              <w:pStyle w:val="NumericTableColumnHeadingNormal"/>
              <w:jc w:val="center"/>
              <w:cnfStyle w:val="100000000000"/>
              <w:rPr>
                <w:rFonts w:asciiTheme="majorHAnsi" w:hAnsiTheme="majorHAnsi"/>
              </w:rPr>
            </w:pPr>
            <w:r w:rsidRPr="00CB32B1">
              <w:rPr>
                <w:rFonts w:asciiTheme="majorHAnsi" w:hAnsiTheme="majorHAnsi"/>
              </w:rPr>
              <w:t>2004-05</w:t>
            </w:r>
          </w:p>
        </w:tc>
        <w:tc>
          <w:tcPr>
            <w:tcW w:w="1093"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EA7DEB" w:rsidRPr="00CB32B1" w:rsidRDefault="00EA7DEB" w:rsidP="00844D69">
            <w:pPr>
              <w:pStyle w:val="NumericTableColumnHeadingNormal"/>
              <w:jc w:val="center"/>
              <w:cnfStyle w:val="100000000000"/>
              <w:rPr>
                <w:rFonts w:asciiTheme="majorHAnsi" w:hAnsiTheme="majorHAnsi"/>
              </w:rPr>
            </w:pPr>
            <w:r w:rsidRPr="00CB32B1">
              <w:rPr>
                <w:rFonts w:asciiTheme="majorHAnsi" w:hAnsiTheme="majorHAnsi"/>
              </w:rPr>
              <w:t>2005-06</w:t>
            </w:r>
          </w:p>
        </w:tc>
        <w:tc>
          <w:tcPr>
            <w:tcW w:w="1093"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EA7DEB" w:rsidRPr="00CB32B1" w:rsidRDefault="00EA7DEB" w:rsidP="00844D69">
            <w:pPr>
              <w:pStyle w:val="NumericTableColumnHeadingNormal"/>
              <w:jc w:val="center"/>
              <w:cnfStyle w:val="100000000000"/>
              <w:rPr>
                <w:rFonts w:asciiTheme="majorHAnsi" w:hAnsiTheme="majorHAnsi"/>
              </w:rPr>
            </w:pPr>
            <w:r w:rsidRPr="00CB32B1">
              <w:rPr>
                <w:rFonts w:asciiTheme="majorHAnsi" w:hAnsiTheme="majorHAnsi"/>
              </w:rPr>
              <w:t>2006-07</w:t>
            </w:r>
          </w:p>
        </w:tc>
        <w:tc>
          <w:tcPr>
            <w:tcW w:w="1093"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EA7DEB" w:rsidRPr="00CB32B1" w:rsidRDefault="00EA7DEB" w:rsidP="00844D69">
            <w:pPr>
              <w:pStyle w:val="NumericTableColumnHeadingNormal"/>
              <w:jc w:val="center"/>
              <w:cnfStyle w:val="100000000000"/>
              <w:rPr>
                <w:rFonts w:asciiTheme="majorHAnsi" w:hAnsiTheme="majorHAnsi"/>
              </w:rPr>
            </w:pPr>
            <w:r w:rsidRPr="00CB32B1">
              <w:rPr>
                <w:rFonts w:asciiTheme="majorHAnsi" w:hAnsiTheme="majorHAnsi"/>
              </w:rPr>
              <w:t>2007-08</w:t>
            </w:r>
          </w:p>
        </w:tc>
        <w:tc>
          <w:tcPr>
            <w:tcW w:w="1092"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EA7DEB" w:rsidRPr="00CB32B1" w:rsidRDefault="00EA7DEB" w:rsidP="00844D69">
            <w:pPr>
              <w:pStyle w:val="NumericTableColumnHeadingNormal"/>
              <w:jc w:val="center"/>
              <w:cnfStyle w:val="100000000000"/>
              <w:rPr>
                <w:rFonts w:asciiTheme="majorHAnsi" w:hAnsiTheme="majorHAnsi"/>
              </w:rPr>
            </w:pPr>
            <w:r w:rsidRPr="00CB32B1">
              <w:rPr>
                <w:rFonts w:asciiTheme="majorHAnsi" w:hAnsiTheme="majorHAnsi"/>
              </w:rPr>
              <w:t>2008-09</w:t>
            </w:r>
          </w:p>
        </w:tc>
        <w:tc>
          <w:tcPr>
            <w:tcW w:w="1092" w:type="dxa"/>
            <w:tcBorders>
              <w:left w:val="single" w:sz="6" w:space="0" w:color="FFFFFF" w:themeColor="background2"/>
              <w:bottom w:val="single" w:sz="6" w:space="0" w:color="DC6900" w:themeColor="text2"/>
            </w:tcBorders>
            <w:shd w:val="clear" w:color="auto" w:fill="DC6900" w:themeFill="text2"/>
            <w:hideMark/>
          </w:tcPr>
          <w:p w:rsidR="00EA7DEB" w:rsidRPr="00CB32B1" w:rsidRDefault="00EA7DEB" w:rsidP="00844D69">
            <w:pPr>
              <w:pStyle w:val="NumericTableColumnHeadingNormal"/>
              <w:jc w:val="center"/>
              <w:cnfStyle w:val="100000000000"/>
              <w:rPr>
                <w:rFonts w:asciiTheme="majorHAnsi" w:hAnsiTheme="majorHAnsi"/>
              </w:rPr>
            </w:pPr>
            <w:r w:rsidRPr="00CB32B1">
              <w:rPr>
                <w:rFonts w:asciiTheme="majorHAnsi" w:hAnsiTheme="majorHAnsi"/>
              </w:rPr>
              <w:t>2009-10</w:t>
            </w:r>
          </w:p>
        </w:tc>
      </w:tr>
      <w:tr w:rsidR="00EA7DEB" w:rsidRPr="00CB32B1" w:rsidTr="00844D69">
        <w:trPr>
          <w:trHeight w:val="300"/>
        </w:trPr>
        <w:tc>
          <w:tcPr>
            <w:cnfStyle w:val="001000000000"/>
            <w:tcW w:w="1639" w:type="dxa"/>
            <w:tcBorders>
              <w:top w:val="single" w:sz="6" w:space="0" w:color="DC6900" w:themeColor="text2"/>
            </w:tcBorders>
            <w:hideMark/>
          </w:tcPr>
          <w:p w:rsidR="00EA7DEB" w:rsidRPr="00CB32B1" w:rsidRDefault="00EA7DEB" w:rsidP="00844D69">
            <w:pPr>
              <w:pStyle w:val="NumericTableTextNormal"/>
              <w:rPr>
                <w:rFonts w:asciiTheme="majorHAnsi" w:hAnsiTheme="majorHAnsi"/>
              </w:rPr>
            </w:pPr>
            <w:r w:rsidRPr="00CB32B1">
              <w:rPr>
                <w:rFonts w:asciiTheme="majorHAnsi" w:hAnsiTheme="majorHAnsi"/>
              </w:rPr>
              <w:t>Total births</w:t>
            </w:r>
          </w:p>
        </w:tc>
        <w:tc>
          <w:tcPr>
            <w:tcW w:w="1093" w:type="dxa"/>
            <w:tcBorders>
              <w:top w:val="single" w:sz="6" w:space="0" w:color="DC6900" w:themeColor="text2"/>
            </w:tcBorders>
            <w:hideMark/>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Pr>
                <w:rFonts w:asciiTheme="majorHAnsi" w:hAnsiTheme="majorHAnsi"/>
              </w:rPr>
              <w:t>*nr</w:t>
            </w:r>
          </w:p>
        </w:tc>
        <w:tc>
          <w:tcPr>
            <w:tcW w:w="1093" w:type="dxa"/>
            <w:tcBorders>
              <w:top w:val="single" w:sz="6" w:space="0" w:color="DC6900" w:themeColor="text2"/>
            </w:tcBorders>
            <w:hideMark/>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Pr>
                <w:rFonts w:asciiTheme="majorHAnsi" w:hAnsiTheme="majorHAnsi"/>
              </w:rPr>
              <w:t>*nr</w:t>
            </w:r>
          </w:p>
        </w:tc>
        <w:tc>
          <w:tcPr>
            <w:tcW w:w="1093" w:type="dxa"/>
            <w:tcBorders>
              <w:top w:val="single" w:sz="6" w:space="0" w:color="DC6900" w:themeColor="text2"/>
            </w:tcBorders>
            <w:hideMark/>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Pr>
                <w:rFonts w:asciiTheme="majorHAnsi" w:hAnsiTheme="majorHAnsi"/>
              </w:rPr>
              <w:t>*nr</w:t>
            </w:r>
          </w:p>
        </w:tc>
        <w:tc>
          <w:tcPr>
            <w:tcW w:w="1093" w:type="dxa"/>
            <w:tcBorders>
              <w:top w:val="single" w:sz="6" w:space="0" w:color="DC6900" w:themeColor="text2"/>
            </w:tcBorders>
            <w:hideMark/>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Pr>
                <w:rFonts w:asciiTheme="majorHAnsi" w:hAnsiTheme="majorHAnsi"/>
              </w:rPr>
              <w:t>*nr</w:t>
            </w:r>
          </w:p>
        </w:tc>
        <w:tc>
          <w:tcPr>
            <w:tcW w:w="1093" w:type="dxa"/>
            <w:tcBorders>
              <w:top w:val="single" w:sz="6" w:space="0" w:color="DC6900" w:themeColor="text2"/>
            </w:tcBorders>
            <w:hideMark/>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140,547</w:t>
            </w:r>
          </w:p>
        </w:tc>
        <w:tc>
          <w:tcPr>
            <w:tcW w:w="1092" w:type="dxa"/>
            <w:tcBorders>
              <w:top w:val="single" w:sz="6" w:space="0" w:color="DC6900" w:themeColor="text2"/>
            </w:tcBorders>
            <w:hideMark/>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140,326</w:t>
            </w:r>
          </w:p>
        </w:tc>
        <w:tc>
          <w:tcPr>
            <w:tcW w:w="1092" w:type="dxa"/>
            <w:tcBorders>
              <w:top w:val="single" w:sz="6" w:space="0" w:color="DC6900" w:themeColor="text2"/>
            </w:tcBorders>
            <w:hideMark/>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139,771</w:t>
            </w:r>
          </w:p>
        </w:tc>
      </w:tr>
      <w:tr w:rsidR="00EA7DEB" w:rsidRPr="00CB32B1" w:rsidTr="00844D69">
        <w:trPr>
          <w:trHeight w:val="300"/>
        </w:trPr>
        <w:tc>
          <w:tcPr>
            <w:cnfStyle w:val="001000000000"/>
            <w:tcW w:w="1639" w:type="dxa"/>
            <w:hideMark/>
          </w:tcPr>
          <w:p w:rsidR="00EA7DEB" w:rsidRPr="00CB32B1" w:rsidRDefault="00EA7DEB" w:rsidP="00844D69">
            <w:pPr>
              <w:pStyle w:val="NumericTableTextNormal"/>
              <w:rPr>
                <w:rFonts w:asciiTheme="majorHAnsi" w:hAnsiTheme="majorHAnsi"/>
              </w:rPr>
            </w:pPr>
            <w:r w:rsidRPr="00CB32B1">
              <w:rPr>
                <w:rFonts w:asciiTheme="majorHAnsi" w:hAnsiTheme="majorHAnsi"/>
              </w:rPr>
              <w:t xml:space="preserve">Number of birth by midwives </w:t>
            </w:r>
          </w:p>
        </w:tc>
        <w:tc>
          <w:tcPr>
            <w:tcW w:w="1093" w:type="dxa"/>
            <w:hideMark/>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7,766</w:t>
            </w:r>
          </w:p>
        </w:tc>
        <w:tc>
          <w:tcPr>
            <w:tcW w:w="1093" w:type="dxa"/>
            <w:hideMark/>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8,629</w:t>
            </w:r>
          </w:p>
        </w:tc>
        <w:tc>
          <w:tcPr>
            <w:tcW w:w="1093" w:type="dxa"/>
            <w:hideMark/>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9,568</w:t>
            </w:r>
          </w:p>
        </w:tc>
        <w:tc>
          <w:tcPr>
            <w:tcW w:w="1093" w:type="dxa"/>
            <w:hideMark/>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10,395</w:t>
            </w:r>
          </w:p>
        </w:tc>
        <w:tc>
          <w:tcPr>
            <w:tcW w:w="1093" w:type="dxa"/>
            <w:hideMark/>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9,420</w:t>
            </w:r>
          </w:p>
        </w:tc>
        <w:tc>
          <w:tcPr>
            <w:tcW w:w="1092" w:type="dxa"/>
            <w:hideMark/>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10,570</w:t>
            </w:r>
          </w:p>
        </w:tc>
        <w:tc>
          <w:tcPr>
            <w:tcW w:w="1092" w:type="dxa"/>
            <w:hideMark/>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11,244</w:t>
            </w:r>
          </w:p>
        </w:tc>
      </w:tr>
      <w:tr w:rsidR="00EA7DEB" w:rsidRPr="00CB32B1" w:rsidTr="00844D69">
        <w:trPr>
          <w:trHeight w:val="300"/>
        </w:trPr>
        <w:tc>
          <w:tcPr>
            <w:cnfStyle w:val="001000000000"/>
            <w:tcW w:w="1639" w:type="dxa"/>
          </w:tcPr>
          <w:p w:rsidR="00EA7DEB" w:rsidRPr="00CB32B1" w:rsidRDefault="00EA7DEB" w:rsidP="00844D69">
            <w:pPr>
              <w:pStyle w:val="NumericTableTextNormal"/>
              <w:rPr>
                <w:rFonts w:asciiTheme="majorHAnsi" w:hAnsiTheme="majorHAnsi"/>
              </w:rPr>
            </w:pPr>
            <w:r w:rsidRPr="00CB32B1">
              <w:rPr>
                <w:rFonts w:asciiTheme="majorHAnsi" w:hAnsiTheme="majorHAnsi"/>
              </w:rPr>
              <w:t>Number of homebirths</w:t>
            </w:r>
          </w:p>
        </w:tc>
        <w:tc>
          <w:tcPr>
            <w:tcW w:w="1093" w:type="dxa"/>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1,919</w:t>
            </w:r>
          </w:p>
        </w:tc>
        <w:tc>
          <w:tcPr>
            <w:tcW w:w="1093" w:type="dxa"/>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1,848</w:t>
            </w:r>
          </w:p>
        </w:tc>
        <w:tc>
          <w:tcPr>
            <w:tcW w:w="1093" w:type="dxa"/>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1,940</w:t>
            </w:r>
          </w:p>
        </w:tc>
        <w:tc>
          <w:tcPr>
            <w:tcW w:w="1093" w:type="dxa"/>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2,043</w:t>
            </w:r>
          </w:p>
        </w:tc>
        <w:tc>
          <w:tcPr>
            <w:tcW w:w="1093" w:type="dxa"/>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2,268</w:t>
            </w:r>
          </w:p>
        </w:tc>
        <w:tc>
          <w:tcPr>
            <w:tcW w:w="1092" w:type="dxa"/>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2,360</w:t>
            </w:r>
          </w:p>
        </w:tc>
        <w:tc>
          <w:tcPr>
            <w:tcW w:w="1092" w:type="dxa"/>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2,741</w:t>
            </w:r>
          </w:p>
        </w:tc>
      </w:tr>
      <w:tr w:rsidR="00EA7DEB" w:rsidRPr="00CB32B1" w:rsidTr="00844D69">
        <w:trPr>
          <w:trHeight w:val="300"/>
        </w:trPr>
        <w:tc>
          <w:tcPr>
            <w:cnfStyle w:val="001000000000"/>
            <w:tcW w:w="1639" w:type="dxa"/>
          </w:tcPr>
          <w:p w:rsidR="00EA7DEB" w:rsidRPr="00CB32B1" w:rsidRDefault="00EA7DEB" w:rsidP="00844D69">
            <w:pPr>
              <w:pStyle w:val="NumericTableTextNormal"/>
              <w:rPr>
                <w:rFonts w:asciiTheme="majorHAnsi" w:hAnsiTheme="majorHAnsi"/>
              </w:rPr>
            </w:pPr>
            <w:r w:rsidRPr="00CB32B1">
              <w:rPr>
                <w:rFonts w:asciiTheme="majorHAnsi" w:hAnsiTheme="majorHAnsi"/>
              </w:rPr>
              <w:t>Per cent of births at home</w:t>
            </w:r>
          </w:p>
        </w:tc>
        <w:tc>
          <w:tcPr>
            <w:tcW w:w="1093" w:type="dxa"/>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24.7</w:t>
            </w:r>
          </w:p>
        </w:tc>
        <w:tc>
          <w:tcPr>
            <w:tcW w:w="1093" w:type="dxa"/>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21.4</w:t>
            </w:r>
          </w:p>
        </w:tc>
        <w:tc>
          <w:tcPr>
            <w:tcW w:w="1093" w:type="dxa"/>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20.3</w:t>
            </w:r>
          </w:p>
        </w:tc>
        <w:tc>
          <w:tcPr>
            <w:tcW w:w="1093" w:type="dxa"/>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19.7</w:t>
            </w:r>
          </w:p>
        </w:tc>
        <w:tc>
          <w:tcPr>
            <w:tcW w:w="1093" w:type="dxa"/>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24.1</w:t>
            </w:r>
          </w:p>
        </w:tc>
        <w:tc>
          <w:tcPr>
            <w:tcW w:w="1092" w:type="dxa"/>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22.3</w:t>
            </w:r>
          </w:p>
        </w:tc>
        <w:tc>
          <w:tcPr>
            <w:tcW w:w="1092" w:type="dxa"/>
          </w:tcPr>
          <w:p w:rsidR="00EA7DEB" w:rsidRPr="00CB32B1" w:rsidRDefault="00EA7DEB" w:rsidP="00844D69">
            <w:pPr>
              <w:pStyle w:val="NumericTableTextDecimalNormal"/>
              <w:tabs>
                <w:tab w:val="clear" w:pos="1004"/>
                <w:tab w:val="decimal" w:pos="607"/>
              </w:tabs>
              <w:jc w:val="right"/>
              <w:cnfStyle w:val="000000000000"/>
              <w:rPr>
                <w:rFonts w:asciiTheme="majorHAnsi" w:hAnsiTheme="majorHAnsi"/>
              </w:rPr>
            </w:pPr>
            <w:r w:rsidRPr="00CB32B1">
              <w:rPr>
                <w:rFonts w:asciiTheme="majorHAnsi" w:hAnsiTheme="majorHAnsi"/>
              </w:rPr>
              <w:t>24.4</w:t>
            </w:r>
          </w:p>
        </w:tc>
      </w:tr>
    </w:tbl>
    <w:p w:rsidR="00EA7DEB" w:rsidRPr="00CB32B1" w:rsidRDefault="00EA7DEB" w:rsidP="00EA7DEB">
      <w:pPr>
        <w:pStyle w:val="Sources"/>
      </w:pPr>
      <w:r w:rsidRPr="00CB32B1">
        <w:rPr>
          <w:b/>
        </w:rPr>
        <w:t>Sources:</w:t>
      </w:r>
      <w:r w:rsidRPr="00CB32B1">
        <w:t xml:space="preserve"> Personal Communication, February 2013; </w:t>
      </w:r>
      <w:r>
        <w:t>Statistics Canada 2013.</w:t>
      </w:r>
    </w:p>
    <w:p w:rsidR="00EA7DEB" w:rsidRPr="00CB32B1" w:rsidRDefault="00EA7DEB" w:rsidP="00EA7DEB">
      <w:pPr>
        <w:pStyle w:val="Minorheading2"/>
      </w:pPr>
      <w:r w:rsidRPr="00CB32B1">
        <w:t>Adverse outcomes</w:t>
      </w:r>
    </w:p>
    <w:p w:rsidR="00EA7DEB" w:rsidRPr="00CB32B1" w:rsidRDefault="00EA7DEB" w:rsidP="00EA7DEB">
      <w:pPr>
        <w:pStyle w:val="PwCNormal"/>
      </w:pPr>
      <w:r w:rsidRPr="00CB32B1">
        <w:t>Hutton</w:t>
      </w:r>
      <w:r>
        <w:t xml:space="preserve"> et al</w:t>
      </w:r>
      <w:r w:rsidRPr="00CB32B1">
        <w:t xml:space="preserve"> 2009</w:t>
      </w:r>
      <w:r w:rsidRPr="00CB32B1">
        <w:rPr>
          <w:rStyle w:val="FootnoteReference"/>
        </w:rPr>
        <w:footnoteReference w:id="402"/>
      </w:r>
      <w:r>
        <w:t xml:space="preserve"> suggest</w:t>
      </w:r>
      <w:r w:rsidRPr="00CB32B1">
        <w:t xml:space="preserve">ed that previously in </w:t>
      </w:r>
      <w:r>
        <w:t xml:space="preserve">the province of </w:t>
      </w:r>
      <w:r w:rsidRPr="00CB32B1">
        <w:t>Ontario there ha</w:t>
      </w:r>
      <w:r>
        <w:t>d</w:t>
      </w:r>
      <w:r w:rsidRPr="00CB32B1">
        <w:t xml:space="preserve"> not been an increased rate of perinatal and neonatal mortality or serious morbidity in homebirths provided by midwives, between the period of 2003–2006. </w:t>
      </w:r>
    </w:p>
    <w:p w:rsidR="00EA7DEB" w:rsidRPr="00CB32B1" w:rsidRDefault="00EA7DEB" w:rsidP="00EA7DEB">
      <w:pPr>
        <w:pStyle w:val="PwCNormal"/>
      </w:pPr>
      <w:r w:rsidRPr="00CB32B1">
        <w:t xml:space="preserve">BORN is a database which has been put in place to record statistics in </w:t>
      </w:r>
      <w:r>
        <w:t xml:space="preserve">the province of </w:t>
      </w:r>
      <w:r w:rsidRPr="00CB32B1">
        <w:t>Ontario. It records hospital and unit data for outcomes.</w:t>
      </w:r>
      <w:r w:rsidRPr="00CB32B1">
        <w:rPr>
          <w:rStyle w:val="FootnoteReference"/>
        </w:rPr>
        <w:footnoteReference w:id="403"/>
      </w:r>
      <w:r w:rsidRPr="00CB32B1">
        <w:t xml:space="preserve"> This database is relatively new and theref</w:t>
      </w:r>
      <w:r>
        <w:t>ore</w:t>
      </w:r>
      <w:r w:rsidRPr="00CB32B1">
        <w:t xml:space="preserve"> </w:t>
      </w:r>
      <w:r>
        <w:t xml:space="preserve">it is anticipated that there </w:t>
      </w:r>
      <w:r w:rsidRPr="00CB32B1">
        <w:t xml:space="preserve">will be more perinatal statistics being made publicly available in the future. </w:t>
      </w:r>
    </w:p>
    <w:p w:rsidR="00EA7DEB" w:rsidRPr="00CB32B1" w:rsidRDefault="00EA7DEB" w:rsidP="00EA7DEB">
      <w:pPr>
        <w:pStyle w:val="Minorheading2"/>
      </w:pPr>
      <w:r w:rsidRPr="00CB32B1">
        <w:t>Insurance claims</w:t>
      </w:r>
    </w:p>
    <w:p w:rsidR="00EA7DEB" w:rsidRPr="00CB32B1" w:rsidRDefault="00EA7DEB" w:rsidP="00EA7DEB">
      <w:pPr>
        <w:pStyle w:val="PwCNormal"/>
      </w:pPr>
      <w:r w:rsidRPr="00CB32B1">
        <w:t>In consultation with HIROC, it was communicated that there were four common reason</w:t>
      </w:r>
      <w:r>
        <w:t>s for incidences to be notified.</w:t>
      </w:r>
      <w:r>
        <w:rPr>
          <w:rStyle w:val="FootnoteReference"/>
        </w:rPr>
        <w:footnoteReference w:id="404"/>
      </w:r>
      <w:r w:rsidRPr="00CB32B1">
        <w:t xml:space="preserve"> </w:t>
      </w:r>
      <w:r>
        <w:t>T</w:t>
      </w:r>
      <w:r w:rsidRPr="00CB32B1">
        <w:t>hese included:</w:t>
      </w:r>
    </w:p>
    <w:p w:rsidR="00EA7DEB" w:rsidRPr="00CB32B1" w:rsidRDefault="00EA7DEB" w:rsidP="00EA7DEB">
      <w:pPr>
        <w:pStyle w:val="ChapterNumberedList1"/>
        <w:numPr>
          <w:ilvl w:val="7"/>
          <w:numId w:val="46"/>
        </w:numPr>
      </w:pPr>
      <w:r w:rsidRPr="00CB32B1">
        <w:t>Failure by the midwife to monitor the fetus</w:t>
      </w:r>
    </w:p>
    <w:p w:rsidR="00EA7DEB" w:rsidRPr="00CB32B1" w:rsidRDefault="00EA7DEB" w:rsidP="00EA7DEB">
      <w:pPr>
        <w:pStyle w:val="ChapterNumberedList1"/>
      </w:pPr>
      <w:r w:rsidRPr="00CB32B1">
        <w:t>Failure to chart or record during the labour</w:t>
      </w:r>
    </w:p>
    <w:p w:rsidR="00EA7DEB" w:rsidRPr="00CB32B1" w:rsidRDefault="00EA7DEB" w:rsidP="00EA7DEB">
      <w:pPr>
        <w:pStyle w:val="ChapterNumberedList1"/>
      </w:pPr>
      <w:r w:rsidRPr="00CB32B1">
        <w:t xml:space="preserve">Failure to transfer </w:t>
      </w:r>
    </w:p>
    <w:p w:rsidR="00EA7DEB" w:rsidRPr="00CB32B1" w:rsidRDefault="00EA7DEB" w:rsidP="00EA7DEB">
      <w:pPr>
        <w:pStyle w:val="ChapterNumberedList1"/>
      </w:pPr>
      <w:r w:rsidRPr="00CB32B1">
        <w:t>Use of oxytocin or cintocin which lead to adverse outcome.</w:t>
      </w:r>
    </w:p>
    <w:p w:rsidR="00EA7DEB" w:rsidRPr="00CB32B1" w:rsidRDefault="00EA7DEB" w:rsidP="00EA7DEB">
      <w:pPr>
        <w:pStyle w:val="PwCNormal"/>
        <w:keepNext/>
        <w:keepLines/>
      </w:pPr>
      <w:r>
        <w:t>As part of the research completed, on</w:t>
      </w:r>
      <w:r w:rsidRPr="00CB32B1">
        <w:t xml:space="preserve">ly two actual loss and damages (L&amp;D) claims </w:t>
      </w:r>
      <w:r>
        <w:t xml:space="preserve">have been identified </w:t>
      </w:r>
      <w:r w:rsidRPr="00CB32B1">
        <w:t>over the past seven years for</w:t>
      </w:r>
      <w:r>
        <w:t xml:space="preserve"> the province of </w:t>
      </w:r>
      <w:r w:rsidRPr="00CB32B1">
        <w:t>Ontario.</w:t>
      </w:r>
    </w:p>
    <w:p w:rsidR="00EA7DEB" w:rsidRPr="00CB32B1" w:rsidRDefault="00EA7DEB" w:rsidP="00EA7DEB">
      <w:pPr>
        <w:pStyle w:val="NumericCaption"/>
      </w:pPr>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80</w:t>
      </w:r>
      <w:r w:rsidR="009129A6" w:rsidRPr="00CB32B1">
        <w:fldChar w:fldCharType="end"/>
      </w:r>
      <w:r w:rsidRPr="00CB32B1">
        <w:t>:</w:t>
      </w:r>
      <w:r w:rsidRPr="00CB32B1">
        <w:tab/>
        <w:t>Number of homebirths in</w:t>
      </w:r>
      <w:r>
        <w:t xml:space="preserve"> the province of</w:t>
      </w:r>
      <w:r w:rsidRPr="00CB32B1">
        <w:t xml:space="preserve"> Ontario</w:t>
      </w:r>
    </w:p>
    <w:tbl>
      <w:tblPr>
        <w:tblStyle w:val="PwCTableStyle1"/>
        <w:tblW w:w="9288" w:type="dxa"/>
        <w:tblLayout w:type="fixed"/>
        <w:tblLook w:val="04A0"/>
      </w:tblPr>
      <w:tblGrid>
        <w:gridCol w:w="1639"/>
        <w:gridCol w:w="1092"/>
        <w:gridCol w:w="1093"/>
        <w:gridCol w:w="1093"/>
        <w:gridCol w:w="1092"/>
        <w:gridCol w:w="1093"/>
        <w:gridCol w:w="1093"/>
        <w:gridCol w:w="1093"/>
      </w:tblGrid>
      <w:tr w:rsidR="00EA7DEB" w:rsidRPr="00CB32B1" w:rsidTr="00844D69">
        <w:trPr>
          <w:cnfStyle w:val="100000000000"/>
        </w:trPr>
        <w:tc>
          <w:tcPr>
            <w:cnfStyle w:val="001000000000"/>
            <w:tcW w:w="1639" w:type="dxa"/>
            <w:tcBorders>
              <w:bottom w:val="single" w:sz="6" w:space="0" w:color="DC6900" w:themeColor="text2"/>
              <w:right w:val="single" w:sz="6" w:space="0" w:color="FFFFFF" w:themeColor="background2"/>
            </w:tcBorders>
            <w:shd w:val="clear" w:color="auto" w:fill="DC6900" w:themeFill="text2"/>
            <w:hideMark/>
          </w:tcPr>
          <w:p w:rsidR="00EA7DEB" w:rsidRPr="00CB32B1" w:rsidRDefault="00EA7DEB" w:rsidP="00844D69">
            <w:pPr>
              <w:pStyle w:val="NumericTableColumnHeadingNormal"/>
              <w:rPr>
                <w:rFonts w:asciiTheme="majorHAnsi" w:hAnsiTheme="majorHAnsi"/>
              </w:rPr>
            </w:pPr>
          </w:p>
        </w:tc>
        <w:tc>
          <w:tcPr>
            <w:tcW w:w="1092"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EA7DEB" w:rsidRPr="00CB32B1" w:rsidRDefault="00EA7DEB" w:rsidP="00844D69">
            <w:pPr>
              <w:pStyle w:val="NumericTableColumnHeadingNormal"/>
              <w:jc w:val="center"/>
              <w:cnfStyle w:val="100000000000"/>
              <w:rPr>
                <w:rFonts w:asciiTheme="majorHAnsi" w:hAnsiTheme="majorHAnsi"/>
              </w:rPr>
            </w:pPr>
            <w:r w:rsidRPr="00CB32B1">
              <w:rPr>
                <w:rFonts w:asciiTheme="majorHAnsi" w:hAnsiTheme="majorHAnsi"/>
              </w:rPr>
              <w:t>2003-04</w:t>
            </w:r>
          </w:p>
        </w:tc>
        <w:tc>
          <w:tcPr>
            <w:tcW w:w="1093"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EA7DEB" w:rsidRPr="00CB32B1" w:rsidRDefault="00EA7DEB" w:rsidP="00844D69">
            <w:pPr>
              <w:pStyle w:val="NumericTableColumnHeadingNormal"/>
              <w:jc w:val="center"/>
              <w:cnfStyle w:val="100000000000"/>
              <w:rPr>
                <w:rFonts w:asciiTheme="majorHAnsi" w:hAnsiTheme="majorHAnsi"/>
              </w:rPr>
            </w:pPr>
            <w:r w:rsidRPr="00CB32B1">
              <w:rPr>
                <w:rFonts w:asciiTheme="majorHAnsi" w:hAnsiTheme="majorHAnsi"/>
              </w:rPr>
              <w:t>2004-05</w:t>
            </w:r>
          </w:p>
        </w:tc>
        <w:tc>
          <w:tcPr>
            <w:tcW w:w="1093"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EA7DEB" w:rsidRPr="00CB32B1" w:rsidRDefault="00EA7DEB" w:rsidP="00844D69">
            <w:pPr>
              <w:pStyle w:val="NumericTableColumnHeadingNormal"/>
              <w:jc w:val="center"/>
              <w:cnfStyle w:val="100000000000"/>
              <w:rPr>
                <w:rFonts w:asciiTheme="majorHAnsi" w:hAnsiTheme="majorHAnsi"/>
              </w:rPr>
            </w:pPr>
            <w:r w:rsidRPr="00CB32B1">
              <w:rPr>
                <w:rFonts w:asciiTheme="majorHAnsi" w:hAnsiTheme="majorHAnsi"/>
              </w:rPr>
              <w:t>2005-06</w:t>
            </w:r>
          </w:p>
        </w:tc>
        <w:tc>
          <w:tcPr>
            <w:tcW w:w="1092"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EA7DEB" w:rsidRPr="00CB32B1" w:rsidRDefault="00EA7DEB" w:rsidP="00844D69">
            <w:pPr>
              <w:pStyle w:val="NumericTableColumnHeadingNormal"/>
              <w:jc w:val="center"/>
              <w:cnfStyle w:val="100000000000"/>
              <w:rPr>
                <w:rFonts w:asciiTheme="majorHAnsi" w:hAnsiTheme="majorHAnsi"/>
              </w:rPr>
            </w:pPr>
            <w:r w:rsidRPr="00CB32B1">
              <w:rPr>
                <w:rFonts w:asciiTheme="majorHAnsi" w:hAnsiTheme="majorHAnsi"/>
              </w:rPr>
              <w:t>2006-07</w:t>
            </w:r>
          </w:p>
        </w:tc>
        <w:tc>
          <w:tcPr>
            <w:tcW w:w="1093"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EA7DEB" w:rsidRPr="00CB32B1" w:rsidRDefault="00EA7DEB" w:rsidP="00844D69">
            <w:pPr>
              <w:pStyle w:val="NumericTableColumnHeadingNormal"/>
              <w:jc w:val="center"/>
              <w:cnfStyle w:val="100000000000"/>
              <w:rPr>
                <w:rFonts w:asciiTheme="majorHAnsi" w:hAnsiTheme="majorHAnsi"/>
              </w:rPr>
            </w:pPr>
            <w:r w:rsidRPr="00CB32B1">
              <w:rPr>
                <w:rFonts w:asciiTheme="majorHAnsi" w:hAnsiTheme="majorHAnsi"/>
              </w:rPr>
              <w:t>2007-08</w:t>
            </w:r>
          </w:p>
        </w:tc>
        <w:tc>
          <w:tcPr>
            <w:tcW w:w="1093"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EA7DEB" w:rsidRPr="00CB32B1" w:rsidRDefault="00EA7DEB" w:rsidP="00844D69">
            <w:pPr>
              <w:pStyle w:val="NumericTableColumnHeadingNormal"/>
              <w:jc w:val="center"/>
              <w:cnfStyle w:val="100000000000"/>
              <w:rPr>
                <w:rFonts w:asciiTheme="majorHAnsi" w:hAnsiTheme="majorHAnsi"/>
              </w:rPr>
            </w:pPr>
            <w:r w:rsidRPr="00CB32B1">
              <w:rPr>
                <w:rFonts w:asciiTheme="majorHAnsi" w:hAnsiTheme="majorHAnsi"/>
              </w:rPr>
              <w:t>2008-09</w:t>
            </w:r>
          </w:p>
        </w:tc>
        <w:tc>
          <w:tcPr>
            <w:tcW w:w="1093" w:type="dxa"/>
            <w:tcBorders>
              <w:left w:val="single" w:sz="6" w:space="0" w:color="FFFFFF" w:themeColor="background2"/>
              <w:bottom w:val="single" w:sz="6" w:space="0" w:color="DC6900" w:themeColor="text2"/>
            </w:tcBorders>
            <w:shd w:val="clear" w:color="auto" w:fill="DC6900" w:themeFill="text2"/>
            <w:hideMark/>
          </w:tcPr>
          <w:p w:rsidR="00EA7DEB" w:rsidRPr="00CB32B1" w:rsidRDefault="00EA7DEB" w:rsidP="00844D69">
            <w:pPr>
              <w:pStyle w:val="NumericTableColumnHeadingNormal"/>
              <w:jc w:val="center"/>
              <w:cnfStyle w:val="100000000000"/>
              <w:rPr>
                <w:rFonts w:asciiTheme="majorHAnsi" w:hAnsiTheme="majorHAnsi"/>
              </w:rPr>
            </w:pPr>
            <w:r w:rsidRPr="00CB32B1">
              <w:rPr>
                <w:rFonts w:asciiTheme="majorHAnsi" w:hAnsiTheme="majorHAnsi"/>
              </w:rPr>
              <w:t>2009-10</w:t>
            </w:r>
          </w:p>
        </w:tc>
      </w:tr>
      <w:tr w:rsidR="00EA7DEB" w:rsidRPr="00CB32B1" w:rsidTr="00844D69">
        <w:tc>
          <w:tcPr>
            <w:cnfStyle w:val="001000000000"/>
            <w:tcW w:w="1639" w:type="dxa"/>
            <w:tcBorders>
              <w:top w:val="single" w:sz="6" w:space="0" w:color="DC6900" w:themeColor="text2"/>
            </w:tcBorders>
            <w:hideMark/>
          </w:tcPr>
          <w:p w:rsidR="00EA7DEB" w:rsidRPr="00CB32B1" w:rsidRDefault="00EA7DEB" w:rsidP="00844D69">
            <w:pPr>
              <w:pStyle w:val="NumericTableTextNormal"/>
              <w:keepNext/>
              <w:keepLines/>
              <w:rPr>
                <w:rFonts w:asciiTheme="majorHAnsi" w:hAnsiTheme="majorHAnsi"/>
              </w:rPr>
            </w:pPr>
            <w:r w:rsidRPr="00CB32B1">
              <w:rPr>
                <w:rFonts w:asciiTheme="majorHAnsi" w:hAnsiTheme="majorHAnsi"/>
              </w:rPr>
              <w:t>Total Reported Potential L&amp;D Claims</w:t>
            </w:r>
          </w:p>
        </w:tc>
        <w:tc>
          <w:tcPr>
            <w:tcW w:w="1092" w:type="dxa"/>
            <w:tcBorders>
              <w:top w:val="single" w:sz="6" w:space="0" w:color="DC6900" w:themeColor="text2"/>
            </w:tcBorders>
            <w:hideMark/>
          </w:tcPr>
          <w:p w:rsidR="00EA7DEB" w:rsidRPr="00CB32B1" w:rsidRDefault="00EA7DEB" w:rsidP="00844D69">
            <w:pPr>
              <w:pStyle w:val="NumericTableTextDecimalNormal"/>
              <w:keepNext/>
              <w:keepLines/>
              <w:tabs>
                <w:tab w:val="clear" w:pos="1004"/>
                <w:tab w:val="decimal" w:pos="490"/>
              </w:tabs>
              <w:jc w:val="right"/>
              <w:cnfStyle w:val="000000000000"/>
              <w:rPr>
                <w:rFonts w:asciiTheme="majorHAnsi" w:hAnsiTheme="majorHAnsi"/>
              </w:rPr>
            </w:pPr>
            <w:r w:rsidRPr="00CB32B1">
              <w:rPr>
                <w:rFonts w:asciiTheme="majorHAnsi" w:hAnsiTheme="majorHAnsi"/>
              </w:rPr>
              <w:t>36</w:t>
            </w:r>
          </w:p>
        </w:tc>
        <w:tc>
          <w:tcPr>
            <w:tcW w:w="1093" w:type="dxa"/>
            <w:tcBorders>
              <w:top w:val="single" w:sz="6" w:space="0" w:color="DC6900" w:themeColor="text2"/>
            </w:tcBorders>
            <w:hideMark/>
          </w:tcPr>
          <w:p w:rsidR="00EA7DEB" w:rsidRPr="00CB32B1" w:rsidRDefault="00EA7DEB" w:rsidP="00844D69">
            <w:pPr>
              <w:pStyle w:val="NumericTableTextDecimalNormal"/>
              <w:keepNext/>
              <w:keepLines/>
              <w:tabs>
                <w:tab w:val="clear" w:pos="1004"/>
                <w:tab w:val="decimal" w:pos="490"/>
              </w:tabs>
              <w:jc w:val="right"/>
              <w:cnfStyle w:val="000000000000"/>
              <w:rPr>
                <w:rFonts w:asciiTheme="majorHAnsi" w:hAnsiTheme="majorHAnsi"/>
              </w:rPr>
            </w:pPr>
            <w:r w:rsidRPr="00CB32B1">
              <w:rPr>
                <w:rFonts w:asciiTheme="majorHAnsi" w:hAnsiTheme="majorHAnsi"/>
              </w:rPr>
              <w:t>61</w:t>
            </w:r>
          </w:p>
        </w:tc>
        <w:tc>
          <w:tcPr>
            <w:tcW w:w="1093" w:type="dxa"/>
            <w:tcBorders>
              <w:top w:val="single" w:sz="6" w:space="0" w:color="DC6900" w:themeColor="text2"/>
            </w:tcBorders>
            <w:hideMark/>
          </w:tcPr>
          <w:p w:rsidR="00EA7DEB" w:rsidRPr="00CB32B1" w:rsidRDefault="00EA7DEB" w:rsidP="00844D69">
            <w:pPr>
              <w:pStyle w:val="NumericTableTextDecimalNormal"/>
              <w:keepNext/>
              <w:keepLines/>
              <w:tabs>
                <w:tab w:val="clear" w:pos="1004"/>
                <w:tab w:val="decimal" w:pos="490"/>
              </w:tabs>
              <w:jc w:val="right"/>
              <w:cnfStyle w:val="000000000000"/>
              <w:rPr>
                <w:rFonts w:asciiTheme="majorHAnsi" w:hAnsiTheme="majorHAnsi"/>
              </w:rPr>
            </w:pPr>
            <w:r w:rsidRPr="00CB32B1">
              <w:rPr>
                <w:rFonts w:asciiTheme="majorHAnsi" w:hAnsiTheme="majorHAnsi"/>
              </w:rPr>
              <w:t>91</w:t>
            </w:r>
          </w:p>
        </w:tc>
        <w:tc>
          <w:tcPr>
            <w:tcW w:w="1092" w:type="dxa"/>
            <w:tcBorders>
              <w:top w:val="single" w:sz="6" w:space="0" w:color="DC6900" w:themeColor="text2"/>
            </w:tcBorders>
            <w:hideMark/>
          </w:tcPr>
          <w:p w:rsidR="00EA7DEB" w:rsidRPr="00CB32B1" w:rsidRDefault="00EA7DEB" w:rsidP="00844D69">
            <w:pPr>
              <w:pStyle w:val="NumericTableTextDecimalNormal"/>
              <w:keepNext/>
              <w:keepLines/>
              <w:tabs>
                <w:tab w:val="clear" w:pos="1004"/>
                <w:tab w:val="decimal" w:pos="490"/>
              </w:tabs>
              <w:jc w:val="right"/>
              <w:cnfStyle w:val="000000000000"/>
              <w:rPr>
                <w:rFonts w:asciiTheme="majorHAnsi" w:hAnsiTheme="majorHAnsi"/>
              </w:rPr>
            </w:pPr>
            <w:r w:rsidRPr="00CB32B1">
              <w:rPr>
                <w:rFonts w:asciiTheme="majorHAnsi" w:hAnsiTheme="majorHAnsi"/>
              </w:rPr>
              <w:t>102</w:t>
            </w:r>
          </w:p>
        </w:tc>
        <w:tc>
          <w:tcPr>
            <w:tcW w:w="1093" w:type="dxa"/>
            <w:tcBorders>
              <w:top w:val="single" w:sz="6" w:space="0" w:color="DC6900" w:themeColor="text2"/>
            </w:tcBorders>
            <w:hideMark/>
          </w:tcPr>
          <w:p w:rsidR="00EA7DEB" w:rsidRPr="00CB32B1" w:rsidRDefault="00EA7DEB" w:rsidP="00844D69">
            <w:pPr>
              <w:pStyle w:val="NumericTableTextDecimalNormal"/>
              <w:keepNext/>
              <w:keepLines/>
              <w:tabs>
                <w:tab w:val="clear" w:pos="1004"/>
                <w:tab w:val="decimal" w:pos="490"/>
              </w:tabs>
              <w:jc w:val="right"/>
              <w:cnfStyle w:val="000000000000"/>
              <w:rPr>
                <w:rFonts w:asciiTheme="majorHAnsi" w:hAnsiTheme="majorHAnsi"/>
              </w:rPr>
            </w:pPr>
            <w:r w:rsidRPr="00CB32B1">
              <w:rPr>
                <w:rFonts w:asciiTheme="majorHAnsi" w:hAnsiTheme="majorHAnsi"/>
              </w:rPr>
              <w:t>114</w:t>
            </w:r>
          </w:p>
        </w:tc>
        <w:tc>
          <w:tcPr>
            <w:tcW w:w="1093" w:type="dxa"/>
            <w:tcBorders>
              <w:top w:val="single" w:sz="6" w:space="0" w:color="DC6900" w:themeColor="text2"/>
            </w:tcBorders>
            <w:hideMark/>
          </w:tcPr>
          <w:p w:rsidR="00EA7DEB" w:rsidRPr="00CB32B1" w:rsidRDefault="00EA7DEB" w:rsidP="00844D69">
            <w:pPr>
              <w:pStyle w:val="NumericTableTextDecimalNormal"/>
              <w:keepNext/>
              <w:keepLines/>
              <w:tabs>
                <w:tab w:val="clear" w:pos="1004"/>
                <w:tab w:val="decimal" w:pos="490"/>
              </w:tabs>
              <w:jc w:val="right"/>
              <w:cnfStyle w:val="000000000000"/>
              <w:rPr>
                <w:rFonts w:asciiTheme="majorHAnsi" w:hAnsiTheme="majorHAnsi"/>
              </w:rPr>
            </w:pPr>
            <w:r w:rsidRPr="00CB32B1">
              <w:rPr>
                <w:rFonts w:asciiTheme="majorHAnsi" w:hAnsiTheme="majorHAnsi"/>
              </w:rPr>
              <w:t>109</w:t>
            </w:r>
          </w:p>
        </w:tc>
        <w:tc>
          <w:tcPr>
            <w:tcW w:w="1093" w:type="dxa"/>
            <w:tcBorders>
              <w:top w:val="single" w:sz="6" w:space="0" w:color="DC6900" w:themeColor="text2"/>
            </w:tcBorders>
            <w:hideMark/>
          </w:tcPr>
          <w:p w:rsidR="00EA7DEB" w:rsidRPr="00CB32B1" w:rsidRDefault="00EA7DEB" w:rsidP="00844D69">
            <w:pPr>
              <w:pStyle w:val="NumericTableTextDecimalNormal"/>
              <w:keepNext/>
              <w:keepLines/>
              <w:tabs>
                <w:tab w:val="clear" w:pos="1004"/>
                <w:tab w:val="decimal" w:pos="490"/>
              </w:tabs>
              <w:jc w:val="right"/>
              <w:cnfStyle w:val="000000000000"/>
              <w:rPr>
                <w:rFonts w:asciiTheme="majorHAnsi" w:hAnsiTheme="majorHAnsi"/>
              </w:rPr>
            </w:pPr>
            <w:r w:rsidRPr="00CB32B1">
              <w:rPr>
                <w:rFonts w:asciiTheme="majorHAnsi" w:hAnsiTheme="majorHAnsi"/>
              </w:rPr>
              <w:t>54</w:t>
            </w:r>
          </w:p>
        </w:tc>
      </w:tr>
      <w:tr w:rsidR="00EA7DEB" w:rsidRPr="00CB32B1" w:rsidTr="00844D69">
        <w:tc>
          <w:tcPr>
            <w:cnfStyle w:val="001000000000"/>
            <w:tcW w:w="1639" w:type="dxa"/>
          </w:tcPr>
          <w:p w:rsidR="00EA7DEB" w:rsidRPr="00CB32B1" w:rsidRDefault="00EA7DEB" w:rsidP="00844D69">
            <w:pPr>
              <w:pStyle w:val="NumericTableTextNormal"/>
              <w:keepNext/>
              <w:keepLines/>
              <w:rPr>
                <w:rFonts w:asciiTheme="majorHAnsi" w:hAnsiTheme="majorHAnsi"/>
              </w:rPr>
            </w:pPr>
            <w:r w:rsidRPr="00CB32B1">
              <w:rPr>
                <w:rFonts w:asciiTheme="majorHAnsi" w:hAnsiTheme="majorHAnsi"/>
              </w:rPr>
              <w:t>Total Actual L&amp;D Claims</w:t>
            </w:r>
          </w:p>
        </w:tc>
        <w:tc>
          <w:tcPr>
            <w:tcW w:w="1092" w:type="dxa"/>
          </w:tcPr>
          <w:p w:rsidR="00EA7DEB" w:rsidRPr="00CB32B1" w:rsidRDefault="00EA7DEB" w:rsidP="00844D69">
            <w:pPr>
              <w:pStyle w:val="NumericTableTextDecimalNormal"/>
              <w:keepNext/>
              <w:keepLines/>
              <w:tabs>
                <w:tab w:val="clear" w:pos="1004"/>
                <w:tab w:val="decimal" w:pos="490"/>
              </w:tabs>
              <w:jc w:val="right"/>
              <w:cnfStyle w:val="000000000000"/>
              <w:rPr>
                <w:rFonts w:asciiTheme="majorHAnsi" w:hAnsiTheme="majorHAnsi"/>
              </w:rPr>
            </w:pPr>
            <w:r w:rsidRPr="00CB32B1">
              <w:rPr>
                <w:rFonts w:asciiTheme="majorHAnsi" w:hAnsiTheme="majorHAnsi"/>
              </w:rPr>
              <w:t>0</w:t>
            </w:r>
          </w:p>
        </w:tc>
        <w:tc>
          <w:tcPr>
            <w:tcW w:w="1093" w:type="dxa"/>
          </w:tcPr>
          <w:p w:rsidR="00EA7DEB" w:rsidRPr="00CB32B1" w:rsidRDefault="00EA7DEB" w:rsidP="00844D69">
            <w:pPr>
              <w:pStyle w:val="NumericTableTextDecimalNormal"/>
              <w:keepNext/>
              <w:keepLines/>
              <w:tabs>
                <w:tab w:val="clear" w:pos="1004"/>
                <w:tab w:val="decimal" w:pos="490"/>
              </w:tabs>
              <w:jc w:val="right"/>
              <w:cnfStyle w:val="000000000000"/>
              <w:rPr>
                <w:rFonts w:asciiTheme="majorHAnsi" w:hAnsiTheme="majorHAnsi"/>
              </w:rPr>
            </w:pPr>
            <w:r w:rsidRPr="00CB32B1">
              <w:rPr>
                <w:rFonts w:asciiTheme="majorHAnsi" w:hAnsiTheme="majorHAnsi"/>
              </w:rPr>
              <w:t>0</w:t>
            </w:r>
          </w:p>
        </w:tc>
        <w:tc>
          <w:tcPr>
            <w:tcW w:w="1093" w:type="dxa"/>
          </w:tcPr>
          <w:p w:rsidR="00EA7DEB" w:rsidRPr="00CB32B1" w:rsidRDefault="00EA7DEB" w:rsidP="00844D69">
            <w:pPr>
              <w:pStyle w:val="NumericTableTextDecimalNormal"/>
              <w:keepNext/>
              <w:keepLines/>
              <w:tabs>
                <w:tab w:val="clear" w:pos="1004"/>
                <w:tab w:val="decimal" w:pos="490"/>
              </w:tabs>
              <w:jc w:val="right"/>
              <w:cnfStyle w:val="000000000000"/>
              <w:rPr>
                <w:rFonts w:asciiTheme="majorHAnsi" w:hAnsiTheme="majorHAnsi"/>
              </w:rPr>
            </w:pPr>
            <w:r w:rsidRPr="00CB32B1">
              <w:rPr>
                <w:rFonts w:asciiTheme="majorHAnsi" w:hAnsiTheme="majorHAnsi"/>
              </w:rPr>
              <w:t>1</w:t>
            </w:r>
          </w:p>
        </w:tc>
        <w:tc>
          <w:tcPr>
            <w:tcW w:w="1092" w:type="dxa"/>
          </w:tcPr>
          <w:p w:rsidR="00EA7DEB" w:rsidRPr="00CB32B1" w:rsidRDefault="00EA7DEB" w:rsidP="00844D69">
            <w:pPr>
              <w:pStyle w:val="NumericTableTextDecimalNormal"/>
              <w:keepNext/>
              <w:keepLines/>
              <w:tabs>
                <w:tab w:val="clear" w:pos="1004"/>
                <w:tab w:val="decimal" w:pos="490"/>
              </w:tabs>
              <w:jc w:val="right"/>
              <w:cnfStyle w:val="000000000000"/>
              <w:rPr>
                <w:rFonts w:asciiTheme="majorHAnsi" w:hAnsiTheme="majorHAnsi"/>
              </w:rPr>
            </w:pPr>
            <w:r w:rsidRPr="00CB32B1">
              <w:rPr>
                <w:rFonts w:asciiTheme="majorHAnsi" w:hAnsiTheme="majorHAnsi"/>
              </w:rPr>
              <w:t>1</w:t>
            </w:r>
          </w:p>
        </w:tc>
        <w:tc>
          <w:tcPr>
            <w:tcW w:w="1093" w:type="dxa"/>
          </w:tcPr>
          <w:p w:rsidR="00EA7DEB" w:rsidRPr="00CB32B1" w:rsidRDefault="00EA7DEB" w:rsidP="00844D69">
            <w:pPr>
              <w:pStyle w:val="NumericTableTextDecimalNormal"/>
              <w:keepNext/>
              <w:keepLines/>
              <w:tabs>
                <w:tab w:val="clear" w:pos="1004"/>
                <w:tab w:val="decimal" w:pos="490"/>
              </w:tabs>
              <w:jc w:val="right"/>
              <w:cnfStyle w:val="000000000000"/>
              <w:rPr>
                <w:rFonts w:asciiTheme="majorHAnsi" w:hAnsiTheme="majorHAnsi"/>
              </w:rPr>
            </w:pPr>
            <w:r w:rsidRPr="00CB32B1">
              <w:rPr>
                <w:rFonts w:asciiTheme="majorHAnsi" w:hAnsiTheme="majorHAnsi"/>
              </w:rPr>
              <w:t>0</w:t>
            </w:r>
          </w:p>
        </w:tc>
        <w:tc>
          <w:tcPr>
            <w:tcW w:w="1093" w:type="dxa"/>
          </w:tcPr>
          <w:p w:rsidR="00EA7DEB" w:rsidRPr="00CB32B1" w:rsidRDefault="00EA7DEB" w:rsidP="00844D69">
            <w:pPr>
              <w:pStyle w:val="NumericTableTextDecimalNormal"/>
              <w:keepNext/>
              <w:keepLines/>
              <w:tabs>
                <w:tab w:val="clear" w:pos="1004"/>
                <w:tab w:val="decimal" w:pos="490"/>
              </w:tabs>
              <w:jc w:val="right"/>
              <w:cnfStyle w:val="000000000000"/>
              <w:rPr>
                <w:rFonts w:asciiTheme="majorHAnsi" w:hAnsiTheme="majorHAnsi"/>
              </w:rPr>
            </w:pPr>
            <w:r w:rsidRPr="00CB32B1">
              <w:rPr>
                <w:rFonts w:asciiTheme="majorHAnsi" w:hAnsiTheme="majorHAnsi"/>
              </w:rPr>
              <w:t>0</w:t>
            </w:r>
          </w:p>
        </w:tc>
        <w:tc>
          <w:tcPr>
            <w:tcW w:w="1093" w:type="dxa"/>
          </w:tcPr>
          <w:p w:rsidR="00EA7DEB" w:rsidRPr="00CB32B1" w:rsidRDefault="00EA7DEB" w:rsidP="00844D69">
            <w:pPr>
              <w:pStyle w:val="NumericTableTextDecimalNormal"/>
              <w:keepNext/>
              <w:keepLines/>
              <w:tabs>
                <w:tab w:val="clear" w:pos="1004"/>
                <w:tab w:val="decimal" w:pos="490"/>
              </w:tabs>
              <w:jc w:val="right"/>
              <w:cnfStyle w:val="000000000000"/>
              <w:rPr>
                <w:rFonts w:asciiTheme="majorHAnsi" w:hAnsiTheme="majorHAnsi"/>
              </w:rPr>
            </w:pPr>
            <w:r w:rsidRPr="00CB32B1">
              <w:rPr>
                <w:rFonts w:asciiTheme="majorHAnsi" w:hAnsiTheme="majorHAnsi"/>
              </w:rPr>
              <w:t>0</w:t>
            </w:r>
          </w:p>
        </w:tc>
      </w:tr>
    </w:tbl>
    <w:p w:rsidR="00EA7DEB" w:rsidRPr="00CB32B1" w:rsidRDefault="00EA7DEB" w:rsidP="00EA7DEB">
      <w:pPr>
        <w:pStyle w:val="Sources"/>
      </w:pPr>
      <w:r w:rsidRPr="00CB32B1">
        <w:rPr>
          <w:b/>
        </w:rPr>
        <w:t xml:space="preserve">Sources: </w:t>
      </w:r>
      <w:r w:rsidRPr="00CB32B1">
        <w:t>Personal Communications, February 2013.</w:t>
      </w:r>
      <w:r>
        <w:rPr>
          <w:rStyle w:val="FootnoteReference"/>
        </w:rPr>
        <w:footnoteReference w:id="405"/>
      </w:r>
    </w:p>
    <w:p w:rsidR="00EA7DEB" w:rsidRPr="00CB32B1" w:rsidRDefault="00EA7DEB" w:rsidP="00EA7DEB">
      <w:pPr>
        <w:pStyle w:val="PwCNormal"/>
      </w:pPr>
      <w:r w:rsidRPr="00CB32B1">
        <w:t xml:space="preserve">HIROC indicated approximate amounts that are awarded in a case of different types of claim made as shown in </w:t>
      </w:r>
      <w:r w:rsidR="009129A6" w:rsidRPr="00CB32B1">
        <w:fldChar w:fldCharType="begin"/>
      </w:r>
      <w:r w:rsidRPr="00CB32B1">
        <w:instrText xml:space="preserve"> REF _Ref361225127 \h </w:instrText>
      </w:r>
      <w:r w:rsidR="009129A6" w:rsidRPr="00CB32B1">
        <w:fldChar w:fldCharType="separate"/>
      </w:r>
      <w:r w:rsidR="008816B4" w:rsidRPr="00CB32B1">
        <w:t xml:space="preserve">Table </w:t>
      </w:r>
      <w:r w:rsidR="008816B4">
        <w:rPr>
          <w:noProof/>
        </w:rPr>
        <w:t>81</w:t>
      </w:r>
      <w:r w:rsidR="009129A6" w:rsidRPr="00CB32B1">
        <w:fldChar w:fldCharType="end"/>
      </w:r>
      <w:r w:rsidRPr="00CB32B1">
        <w:t xml:space="preserve">. </w:t>
      </w:r>
    </w:p>
    <w:p w:rsidR="00EA7DEB" w:rsidRPr="00CB32B1" w:rsidRDefault="00EA7DEB" w:rsidP="00EA7DEB">
      <w:pPr>
        <w:pStyle w:val="NumericCaption"/>
      </w:pPr>
      <w:bookmarkStart w:id="198" w:name="_Ref361225127"/>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81</w:t>
      </w:r>
      <w:r w:rsidR="009129A6" w:rsidRPr="00CB32B1">
        <w:fldChar w:fldCharType="end"/>
      </w:r>
      <w:bookmarkEnd w:id="198"/>
      <w:r w:rsidRPr="00CB32B1">
        <w:t>:</w:t>
      </w:r>
      <w:r w:rsidRPr="00CB32B1">
        <w:tab/>
        <w:t xml:space="preserve">Types and quantum of claims seen in </w:t>
      </w:r>
      <w:r>
        <w:t xml:space="preserve">the province of </w:t>
      </w:r>
      <w:r w:rsidRPr="00CB32B1">
        <w:t>Ontario</w:t>
      </w:r>
    </w:p>
    <w:tbl>
      <w:tblPr>
        <w:tblStyle w:val="PwCTableStyle1"/>
        <w:tblW w:w="0" w:type="auto"/>
        <w:tblLayout w:type="fixed"/>
        <w:tblLook w:val="04A0"/>
      </w:tblPr>
      <w:tblGrid>
        <w:gridCol w:w="4644"/>
        <w:gridCol w:w="4644"/>
      </w:tblGrid>
      <w:tr w:rsidR="00EA7DEB" w:rsidRPr="00CB32B1" w:rsidTr="00844D69">
        <w:trPr>
          <w:cnfStyle w:val="100000000000"/>
        </w:trPr>
        <w:tc>
          <w:tcPr>
            <w:cnfStyle w:val="001000000000"/>
            <w:tcW w:w="4644" w:type="dxa"/>
            <w:tcBorders>
              <w:bottom w:val="single" w:sz="6" w:space="0" w:color="DC6900" w:themeColor="text2"/>
              <w:right w:val="single" w:sz="6" w:space="0" w:color="FFFFFF" w:themeColor="background2"/>
            </w:tcBorders>
            <w:shd w:val="clear" w:color="auto" w:fill="DC6900" w:themeFill="text2"/>
          </w:tcPr>
          <w:p w:rsidR="00EA7DEB" w:rsidRPr="00CB32B1" w:rsidRDefault="00EA7DEB" w:rsidP="00844D69">
            <w:pPr>
              <w:pStyle w:val="NumericTableColumnHeadingNormal"/>
              <w:rPr>
                <w:rFonts w:asciiTheme="majorHAnsi" w:hAnsiTheme="majorHAnsi"/>
              </w:rPr>
            </w:pPr>
            <w:r w:rsidRPr="00CB32B1">
              <w:rPr>
                <w:rFonts w:asciiTheme="majorHAnsi" w:hAnsiTheme="majorHAnsi"/>
              </w:rPr>
              <w:t>Type of claim</w:t>
            </w:r>
          </w:p>
        </w:tc>
        <w:tc>
          <w:tcPr>
            <w:tcW w:w="4644" w:type="dxa"/>
            <w:tcBorders>
              <w:left w:val="single" w:sz="6" w:space="0" w:color="FFFFFF" w:themeColor="background2"/>
              <w:bottom w:val="single" w:sz="6" w:space="0" w:color="DC6900" w:themeColor="text2"/>
            </w:tcBorders>
            <w:shd w:val="clear" w:color="auto" w:fill="DC6900" w:themeFill="text2"/>
          </w:tcPr>
          <w:p w:rsidR="00EA7DEB" w:rsidRPr="00CB32B1" w:rsidRDefault="00EA7DEB" w:rsidP="00844D69">
            <w:pPr>
              <w:pStyle w:val="NumericTableColumnHeadingNormal"/>
              <w:cnfStyle w:val="100000000000"/>
              <w:rPr>
                <w:rFonts w:asciiTheme="majorHAnsi" w:hAnsiTheme="majorHAnsi"/>
              </w:rPr>
            </w:pPr>
            <w:r w:rsidRPr="00CB32B1">
              <w:rPr>
                <w:rFonts w:asciiTheme="majorHAnsi" w:hAnsiTheme="majorHAnsi"/>
              </w:rPr>
              <w:t>Approximate quantum</w:t>
            </w:r>
          </w:p>
        </w:tc>
      </w:tr>
      <w:tr w:rsidR="00EA7DEB" w:rsidRPr="00CB32B1" w:rsidTr="00844D69">
        <w:tc>
          <w:tcPr>
            <w:cnfStyle w:val="001000000000"/>
            <w:tcW w:w="4644" w:type="dxa"/>
            <w:tcBorders>
              <w:top w:val="single" w:sz="6" w:space="0" w:color="DC6900" w:themeColor="text2"/>
            </w:tcBorders>
          </w:tcPr>
          <w:p w:rsidR="00EA7DEB" w:rsidRPr="00CB32B1" w:rsidRDefault="00EA7DEB" w:rsidP="00844D69">
            <w:pPr>
              <w:pStyle w:val="NumericTableTextNormal"/>
              <w:rPr>
                <w:rFonts w:asciiTheme="majorHAnsi" w:hAnsiTheme="majorHAnsi"/>
              </w:rPr>
            </w:pPr>
            <w:r w:rsidRPr="00CB32B1">
              <w:rPr>
                <w:rFonts w:asciiTheme="majorHAnsi" w:hAnsiTheme="majorHAnsi"/>
              </w:rPr>
              <w:t>Life disability</w:t>
            </w:r>
          </w:p>
        </w:tc>
        <w:tc>
          <w:tcPr>
            <w:tcW w:w="4644" w:type="dxa"/>
            <w:tcBorders>
              <w:top w:val="single" w:sz="6" w:space="0" w:color="DC6900" w:themeColor="text2"/>
            </w:tcBorders>
          </w:tcPr>
          <w:p w:rsidR="00EA7DEB" w:rsidRPr="00CB32B1" w:rsidRDefault="00EA7DEB" w:rsidP="00844D69">
            <w:pPr>
              <w:pStyle w:val="NumericTableTextNormal"/>
              <w:cnfStyle w:val="000000000000"/>
              <w:rPr>
                <w:rFonts w:asciiTheme="majorHAnsi" w:hAnsiTheme="majorHAnsi"/>
              </w:rPr>
            </w:pPr>
            <w:r w:rsidRPr="00CB32B1">
              <w:rPr>
                <w:rFonts w:asciiTheme="majorHAnsi" w:hAnsiTheme="majorHAnsi"/>
              </w:rPr>
              <w:t>$7</w:t>
            </w:r>
            <w:r>
              <w:rPr>
                <w:rFonts w:asciiTheme="majorHAnsi" w:hAnsiTheme="majorHAnsi"/>
              </w:rPr>
              <w:t xml:space="preserve"> million (CAD)</w:t>
            </w:r>
          </w:p>
        </w:tc>
      </w:tr>
      <w:tr w:rsidR="00EA7DEB" w:rsidRPr="00CB32B1" w:rsidTr="00844D69">
        <w:tc>
          <w:tcPr>
            <w:cnfStyle w:val="001000000000"/>
            <w:tcW w:w="4644" w:type="dxa"/>
          </w:tcPr>
          <w:p w:rsidR="00EA7DEB" w:rsidRPr="00CB32B1" w:rsidRDefault="00EA7DEB" w:rsidP="00844D69">
            <w:pPr>
              <w:pStyle w:val="NumericTableTextNormal"/>
              <w:rPr>
                <w:rFonts w:asciiTheme="majorHAnsi" w:hAnsiTheme="majorHAnsi"/>
              </w:rPr>
            </w:pPr>
            <w:r w:rsidRPr="00CB32B1">
              <w:rPr>
                <w:rFonts w:asciiTheme="majorHAnsi" w:hAnsiTheme="majorHAnsi"/>
              </w:rPr>
              <w:t>Loss of baby</w:t>
            </w:r>
          </w:p>
        </w:tc>
        <w:tc>
          <w:tcPr>
            <w:tcW w:w="4644" w:type="dxa"/>
          </w:tcPr>
          <w:p w:rsidR="00EA7DEB" w:rsidRPr="00CB32B1" w:rsidRDefault="00EA7DEB" w:rsidP="00844D69">
            <w:pPr>
              <w:pStyle w:val="NumericTableTextNormal"/>
              <w:cnfStyle w:val="000000000000"/>
              <w:rPr>
                <w:rFonts w:asciiTheme="majorHAnsi" w:hAnsiTheme="majorHAnsi"/>
              </w:rPr>
            </w:pPr>
            <w:r w:rsidRPr="00CB32B1">
              <w:rPr>
                <w:rFonts w:asciiTheme="majorHAnsi" w:hAnsiTheme="majorHAnsi"/>
              </w:rPr>
              <w:t>$50,000</w:t>
            </w:r>
            <w:r>
              <w:rPr>
                <w:rFonts w:asciiTheme="majorHAnsi" w:hAnsiTheme="majorHAnsi"/>
              </w:rPr>
              <w:t>-</w:t>
            </w:r>
            <w:r w:rsidRPr="00CB32B1">
              <w:rPr>
                <w:rFonts w:asciiTheme="majorHAnsi" w:hAnsiTheme="majorHAnsi"/>
              </w:rPr>
              <w:t>$60,000</w:t>
            </w:r>
            <w:r>
              <w:rPr>
                <w:rFonts w:asciiTheme="majorHAnsi" w:hAnsiTheme="majorHAnsi"/>
              </w:rPr>
              <w:t xml:space="preserve"> (CAD)</w:t>
            </w:r>
          </w:p>
        </w:tc>
      </w:tr>
    </w:tbl>
    <w:p w:rsidR="00EA7DEB" w:rsidRPr="00CB32B1" w:rsidRDefault="00EA7DEB" w:rsidP="00EA7DEB">
      <w:pPr>
        <w:pStyle w:val="Sources"/>
      </w:pPr>
      <w:r w:rsidRPr="00CB32B1">
        <w:rPr>
          <w:b/>
        </w:rPr>
        <w:t>Sources:</w:t>
      </w:r>
      <w:r w:rsidRPr="00CB32B1">
        <w:t xml:space="preserve"> HIROC, Personal Communications, February 2013.</w:t>
      </w:r>
    </w:p>
    <w:p w:rsidR="00EA7DEB" w:rsidRPr="00CB32B1" w:rsidRDefault="00EA7DEB" w:rsidP="00EA7DEB">
      <w:pPr>
        <w:pStyle w:val="Minorheading2"/>
        <w:keepNext w:val="0"/>
        <w:keepLines w:val="0"/>
      </w:pPr>
      <w:r w:rsidRPr="00CB32B1">
        <w:t>Disciplinary cases</w:t>
      </w:r>
    </w:p>
    <w:p w:rsidR="00EA7DEB" w:rsidRPr="00EA7DEB" w:rsidRDefault="00EA7DEB" w:rsidP="00EA7DEB">
      <w:pPr>
        <w:pStyle w:val="Minorheading"/>
        <w:keepNext w:val="0"/>
        <w:keepLines w:val="0"/>
        <w:rPr>
          <w:rFonts w:ascii="Georgia" w:hAnsi="Georgia"/>
          <w:i w:val="0"/>
          <w:color w:val="auto"/>
          <w:sz w:val="20"/>
          <w:szCs w:val="20"/>
        </w:rPr>
      </w:pPr>
      <w:r w:rsidRPr="00EA7DEB">
        <w:rPr>
          <w:rFonts w:ascii="Georgia" w:hAnsi="Georgia"/>
          <w:i w:val="0"/>
          <w:color w:val="auto"/>
          <w:sz w:val="20"/>
          <w:szCs w:val="20"/>
        </w:rPr>
        <w:t>There have been three disciplinary hearings in the province of Ontario</w:t>
      </w:r>
      <w:r w:rsidRPr="00EA7DEB">
        <w:rPr>
          <w:rFonts w:ascii="Georgia" w:hAnsi="Georgia"/>
          <w:i w:val="0"/>
          <w:color w:val="auto"/>
          <w:sz w:val="20"/>
          <w:szCs w:val="20"/>
        </w:rPr>
        <w:footnoteReference w:id="406"/>
      </w:r>
      <w:r w:rsidRPr="00EA7DEB">
        <w:rPr>
          <w:rFonts w:ascii="Georgia" w:hAnsi="Georgia"/>
          <w:i w:val="0"/>
          <w:color w:val="auto"/>
          <w:sz w:val="20"/>
          <w:szCs w:val="20"/>
        </w:rPr>
        <w:t xml:space="preserve"> and there is another hearing currently in progress.</w:t>
      </w:r>
      <w:r w:rsidRPr="00EA7DEB">
        <w:rPr>
          <w:rFonts w:ascii="Georgia" w:hAnsi="Georgia"/>
          <w:i w:val="0"/>
          <w:color w:val="auto"/>
          <w:sz w:val="20"/>
          <w:szCs w:val="20"/>
        </w:rPr>
        <w:footnoteReference w:id="407"/>
      </w:r>
      <w:r w:rsidRPr="00EA7DEB">
        <w:rPr>
          <w:rFonts w:ascii="Georgia" w:hAnsi="Georgia"/>
          <w:i w:val="0"/>
          <w:color w:val="auto"/>
          <w:sz w:val="20"/>
          <w:szCs w:val="20"/>
        </w:rPr>
        <w:t xml:space="preserve"> More information about the nature of the three disciplinary hearings which have been undertaken as well as the disciplinary process in the province of Ontario can be found in the </w:t>
      </w:r>
      <w:r w:rsidRPr="00EA7DEB">
        <w:rPr>
          <w:rFonts w:ascii="Georgia" w:hAnsi="Georgia"/>
          <w:color w:val="auto"/>
          <w:sz w:val="20"/>
          <w:szCs w:val="20"/>
        </w:rPr>
        <w:t>PwC Claims Report, 2013</w:t>
      </w:r>
      <w:r w:rsidRPr="00EA7DEB">
        <w:rPr>
          <w:rFonts w:ascii="Georgia" w:hAnsi="Georgia"/>
          <w:i w:val="0"/>
          <w:color w:val="auto"/>
          <w:sz w:val="20"/>
          <w:szCs w:val="20"/>
        </w:rPr>
        <w:t>.</w:t>
      </w:r>
    </w:p>
    <w:p w:rsidR="00767B1A" w:rsidRPr="00CB32B1" w:rsidRDefault="00767B1A" w:rsidP="00EA7DEB">
      <w:pPr>
        <w:pStyle w:val="Minorheading"/>
      </w:pPr>
      <w:r w:rsidRPr="00CB32B1">
        <w:t>The Netherlands</w:t>
      </w:r>
    </w:p>
    <w:p w:rsidR="00767B1A" w:rsidRDefault="00767B1A" w:rsidP="00767B1A">
      <w:pPr>
        <w:pStyle w:val="Minorheading2"/>
      </w:pPr>
      <w:r w:rsidRPr="00CB32B1">
        <w:t>Statistics on midwives, live births and homebirths</w:t>
      </w:r>
    </w:p>
    <w:p w:rsidR="007927DB" w:rsidRPr="007927DB" w:rsidRDefault="00EA7DEB" w:rsidP="007927DB">
      <w:pPr>
        <w:pStyle w:val="PwCNormal"/>
      </w:pPr>
      <w:r>
        <w:t xml:space="preserve">There has been a decline in the number of homebirths over the last 10 years in the Netherlands. This is despite it having a relatively high proportion of homebirths compare to other jurisdiction researched. See </w:t>
      </w:r>
      <w:r w:rsidR="009129A6">
        <w:fldChar w:fldCharType="begin"/>
      </w:r>
      <w:r>
        <w:instrText xml:space="preserve"> REF _Ref361225160 \h </w:instrText>
      </w:r>
      <w:r w:rsidR="009129A6">
        <w:fldChar w:fldCharType="separate"/>
      </w:r>
      <w:r w:rsidR="008816B4" w:rsidRPr="00CB32B1">
        <w:t xml:space="preserve">Table </w:t>
      </w:r>
      <w:r w:rsidR="008816B4">
        <w:rPr>
          <w:noProof/>
        </w:rPr>
        <w:t>82</w:t>
      </w:r>
      <w:r w:rsidR="009129A6">
        <w:fldChar w:fldCharType="end"/>
      </w:r>
      <w:r>
        <w:t>.</w:t>
      </w:r>
    </w:p>
    <w:p w:rsidR="00767B1A" w:rsidRPr="00CB32B1" w:rsidRDefault="00767B1A" w:rsidP="00767B1A">
      <w:pPr>
        <w:pStyle w:val="NumericCaption"/>
      </w:pPr>
      <w:bookmarkStart w:id="199" w:name="_Ref361225160"/>
      <w:r w:rsidRPr="00CB32B1">
        <w:t xml:space="preserve">Table </w:t>
      </w:r>
      <w:r w:rsidR="009129A6" w:rsidRPr="00CB32B1">
        <w:fldChar w:fldCharType="begin"/>
      </w:r>
      <w:r w:rsidRPr="00CB32B1">
        <w:instrText xml:space="preserve"> SEQ Table \* ARABIC </w:instrText>
      </w:r>
      <w:r w:rsidR="009129A6" w:rsidRPr="00CB32B1">
        <w:fldChar w:fldCharType="separate"/>
      </w:r>
      <w:r w:rsidR="008816B4">
        <w:rPr>
          <w:noProof/>
        </w:rPr>
        <w:t>82</w:t>
      </w:r>
      <w:r w:rsidR="009129A6" w:rsidRPr="00CB32B1">
        <w:fldChar w:fldCharType="end"/>
      </w:r>
      <w:bookmarkEnd w:id="199"/>
      <w:r w:rsidRPr="00CB32B1">
        <w:t>:</w:t>
      </w:r>
      <w:r w:rsidRPr="00CB32B1">
        <w:tab/>
        <w:t>Number of births and homebirths</w:t>
      </w:r>
      <w:r w:rsidR="00EA7DEB">
        <w:t xml:space="preserve"> in the Netherlands</w:t>
      </w:r>
    </w:p>
    <w:tbl>
      <w:tblPr>
        <w:tblStyle w:val="PwCTableStyle1"/>
        <w:tblW w:w="0" w:type="auto"/>
        <w:tblLayout w:type="fixed"/>
        <w:tblLook w:val="04A0"/>
      </w:tblPr>
      <w:tblGrid>
        <w:gridCol w:w="1278"/>
        <w:gridCol w:w="801"/>
        <w:gridCol w:w="801"/>
        <w:gridCol w:w="801"/>
        <w:gridCol w:w="801"/>
        <w:gridCol w:w="801"/>
        <w:gridCol w:w="801"/>
        <w:gridCol w:w="801"/>
        <w:gridCol w:w="801"/>
        <w:gridCol w:w="801"/>
        <w:gridCol w:w="801"/>
      </w:tblGrid>
      <w:tr w:rsidR="00767B1A" w:rsidRPr="00CB32B1" w:rsidTr="00767B1A">
        <w:trPr>
          <w:cnfStyle w:val="100000000000"/>
          <w:trHeight w:val="300"/>
        </w:trPr>
        <w:tc>
          <w:tcPr>
            <w:cnfStyle w:val="001000000000"/>
            <w:tcW w:w="1278" w:type="dxa"/>
            <w:tcBorders>
              <w:bottom w:val="single" w:sz="6" w:space="0" w:color="DC6900" w:themeColor="text2"/>
              <w:right w:val="single" w:sz="6" w:space="0" w:color="FFFFFF" w:themeColor="background2"/>
            </w:tcBorders>
            <w:shd w:val="clear" w:color="auto" w:fill="DC6900" w:themeFill="text2"/>
            <w:hideMark/>
          </w:tcPr>
          <w:p w:rsidR="00767B1A" w:rsidRPr="00CB32B1" w:rsidRDefault="00767B1A" w:rsidP="00767B1A">
            <w:pPr>
              <w:pStyle w:val="NumericTableColumnHeadingSmall"/>
              <w:rPr>
                <w:rFonts w:asciiTheme="majorHAnsi" w:hAnsiTheme="majorHAnsi"/>
              </w:rPr>
            </w:pPr>
          </w:p>
        </w:tc>
        <w:tc>
          <w:tcPr>
            <w:tcW w:w="801"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767B1A" w:rsidRPr="00CB32B1" w:rsidRDefault="00767B1A" w:rsidP="00747120">
            <w:pPr>
              <w:pStyle w:val="NumericTableColumnHeadingSmall"/>
              <w:jc w:val="center"/>
              <w:cnfStyle w:val="100000000000"/>
              <w:rPr>
                <w:rFonts w:asciiTheme="majorHAnsi" w:hAnsiTheme="majorHAnsi"/>
              </w:rPr>
            </w:pPr>
            <w:r w:rsidRPr="00CB32B1">
              <w:rPr>
                <w:rFonts w:asciiTheme="majorHAnsi" w:hAnsiTheme="majorHAnsi"/>
              </w:rPr>
              <w:t>2001</w:t>
            </w:r>
          </w:p>
        </w:tc>
        <w:tc>
          <w:tcPr>
            <w:tcW w:w="801"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767B1A" w:rsidRPr="00CB32B1" w:rsidRDefault="00767B1A" w:rsidP="00747120">
            <w:pPr>
              <w:pStyle w:val="NumericTableColumnHeadingSmall"/>
              <w:jc w:val="center"/>
              <w:cnfStyle w:val="100000000000"/>
              <w:rPr>
                <w:rFonts w:asciiTheme="majorHAnsi" w:hAnsiTheme="majorHAnsi"/>
              </w:rPr>
            </w:pPr>
            <w:r w:rsidRPr="00CB32B1">
              <w:rPr>
                <w:rFonts w:asciiTheme="majorHAnsi" w:hAnsiTheme="majorHAnsi"/>
              </w:rPr>
              <w:t>2002</w:t>
            </w:r>
          </w:p>
        </w:tc>
        <w:tc>
          <w:tcPr>
            <w:tcW w:w="801"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767B1A" w:rsidRPr="00CB32B1" w:rsidRDefault="00767B1A" w:rsidP="00747120">
            <w:pPr>
              <w:pStyle w:val="NumericTableColumnHeadingSmall"/>
              <w:jc w:val="center"/>
              <w:cnfStyle w:val="100000000000"/>
              <w:rPr>
                <w:rFonts w:asciiTheme="majorHAnsi" w:hAnsiTheme="majorHAnsi"/>
              </w:rPr>
            </w:pPr>
            <w:r w:rsidRPr="00CB32B1">
              <w:rPr>
                <w:rFonts w:asciiTheme="majorHAnsi" w:hAnsiTheme="majorHAnsi"/>
              </w:rPr>
              <w:t>2003</w:t>
            </w:r>
          </w:p>
        </w:tc>
        <w:tc>
          <w:tcPr>
            <w:tcW w:w="801"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767B1A" w:rsidRPr="00CB32B1" w:rsidRDefault="00767B1A" w:rsidP="00747120">
            <w:pPr>
              <w:pStyle w:val="NumericTableColumnHeadingSmall"/>
              <w:jc w:val="center"/>
              <w:cnfStyle w:val="100000000000"/>
              <w:rPr>
                <w:rFonts w:asciiTheme="majorHAnsi" w:hAnsiTheme="majorHAnsi"/>
              </w:rPr>
            </w:pPr>
            <w:r w:rsidRPr="00CB32B1">
              <w:rPr>
                <w:rFonts w:asciiTheme="majorHAnsi" w:hAnsiTheme="majorHAnsi"/>
              </w:rPr>
              <w:t>2004</w:t>
            </w:r>
          </w:p>
        </w:tc>
        <w:tc>
          <w:tcPr>
            <w:tcW w:w="801"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767B1A" w:rsidRPr="00CB32B1" w:rsidRDefault="00767B1A" w:rsidP="00747120">
            <w:pPr>
              <w:pStyle w:val="NumericTableColumnHeadingSmall"/>
              <w:jc w:val="center"/>
              <w:cnfStyle w:val="100000000000"/>
              <w:rPr>
                <w:rFonts w:asciiTheme="majorHAnsi" w:hAnsiTheme="majorHAnsi"/>
              </w:rPr>
            </w:pPr>
            <w:r w:rsidRPr="00CB32B1">
              <w:rPr>
                <w:rFonts w:asciiTheme="majorHAnsi" w:hAnsiTheme="majorHAnsi"/>
              </w:rPr>
              <w:t>2005</w:t>
            </w:r>
          </w:p>
        </w:tc>
        <w:tc>
          <w:tcPr>
            <w:tcW w:w="801"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767B1A" w:rsidRPr="00CB32B1" w:rsidRDefault="00767B1A" w:rsidP="00747120">
            <w:pPr>
              <w:pStyle w:val="NumericTableColumnHeadingSmall"/>
              <w:jc w:val="center"/>
              <w:cnfStyle w:val="100000000000"/>
              <w:rPr>
                <w:rFonts w:asciiTheme="majorHAnsi" w:hAnsiTheme="majorHAnsi"/>
              </w:rPr>
            </w:pPr>
            <w:r w:rsidRPr="00CB32B1">
              <w:rPr>
                <w:rFonts w:asciiTheme="majorHAnsi" w:hAnsiTheme="majorHAnsi"/>
              </w:rPr>
              <w:t>2006</w:t>
            </w:r>
          </w:p>
        </w:tc>
        <w:tc>
          <w:tcPr>
            <w:tcW w:w="801"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767B1A" w:rsidRPr="00CB32B1" w:rsidRDefault="00767B1A" w:rsidP="00747120">
            <w:pPr>
              <w:pStyle w:val="NumericTableColumnHeadingSmall"/>
              <w:jc w:val="center"/>
              <w:cnfStyle w:val="100000000000"/>
              <w:rPr>
                <w:rFonts w:asciiTheme="majorHAnsi" w:hAnsiTheme="majorHAnsi"/>
              </w:rPr>
            </w:pPr>
            <w:r w:rsidRPr="00CB32B1">
              <w:rPr>
                <w:rFonts w:asciiTheme="majorHAnsi" w:hAnsiTheme="majorHAnsi"/>
              </w:rPr>
              <w:t>2007</w:t>
            </w:r>
          </w:p>
        </w:tc>
        <w:tc>
          <w:tcPr>
            <w:tcW w:w="801"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767B1A" w:rsidRPr="00CB32B1" w:rsidRDefault="00767B1A" w:rsidP="00747120">
            <w:pPr>
              <w:pStyle w:val="NumericTableColumnHeadingSmall"/>
              <w:jc w:val="center"/>
              <w:cnfStyle w:val="100000000000"/>
              <w:rPr>
                <w:rFonts w:asciiTheme="majorHAnsi" w:hAnsiTheme="majorHAnsi"/>
              </w:rPr>
            </w:pPr>
            <w:r w:rsidRPr="00CB32B1">
              <w:rPr>
                <w:rFonts w:asciiTheme="majorHAnsi" w:hAnsiTheme="majorHAnsi"/>
              </w:rPr>
              <w:t>2008</w:t>
            </w:r>
          </w:p>
        </w:tc>
        <w:tc>
          <w:tcPr>
            <w:tcW w:w="801" w:type="dxa"/>
            <w:tcBorders>
              <w:left w:val="single" w:sz="6" w:space="0" w:color="FFFFFF" w:themeColor="background2"/>
              <w:bottom w:val="single" w:sz="6" w:space="0" w:color="DC6900" w:themeColor="text2"/>
              <w:right w:val="single" w:sz="6" w:space="0" w:color="FFFFFF" w:themeColor="background2"/>
            </w:tcBorders>
            <w:shd w:val="clear" w:color="auto" w:fill="DC6900" w:themeFill="text2"/>
            <w:hideMark/>
          </w:tcPr>
          <w:p w:rsidR="00767B1A" w:rsidRPr="00CB32B1" w:rsidRDefault="00767B1A" w:rsidP="00747120">
            <w:pPr>
              <w:pStyle w:val="NumericTableColumnHeadingSmall"/>
              <w:jc w:val="center"/>
              <w:cnfStyle w:val="100000000000"/>
              <w:rPr>
                <w:rFonts w:asciiTheme="majorHAnsi" w:hAnsiTheme="majorHAnsi"/>
              </w:rPr>
            </w:pPr>
            <w:r w:rsidRPr="00CB32B1">
              <w:rPr>
                <w:rFonts w:asciiTheme="majorHAnsi" w:hAnsiTheme="majorHAnsi"/>
              </w:rPr>
              <w:t>2009</w:t>
            </w:r>
          </w:p>
        </w:tc>
        <w:tc>
          <w:tcPr>
            <w:tcW w:w="801" w:type="dxa"/>
            <w:tcBorders>
              <w:left w:val="single" w:sz="6" w:space="0" w:color="FFFFFF" w:themeColor="background2"/>
              <w:bottom w:val="single" w:sz="6" w:space="0" w:color="DC6900" w:themeColor="text2"/>
            </w:tcBorders>
            <w:shd w:val="clear" w:color="auto" w:fill="DC6900" w:themeFill="text2"/>
            <w:hideMark/>
          </w:tcPr>
          <w:p w:rsidR="00767B1A" w:rsidRPr="00CB32B1" w:rsidRDefault="00767B1A" w:rsidP="00747120">
            <w:pPr>
              <w:pStyle w:val="NumericTableColumnHeadingSmall"/>
              <w:jc w:val="center"/>
              <w:cnfStyle w:val="100000000000"/>
              <w:rPr>
                <w:rFonts w:asciiTheme="majorHAnsi" w:hAnsiTheme="majorHAnsi"/>
              </w:rPr>
            </w:pPr>
            <w:r w:rsidRPr="00CB32B1">
              <w:rPr>
                <w:rFonts w:asciiTheme="majorHAnsi" w:hAnsiTheme="majorHAnsi"/>
              </w:rPr>
              <w:t>2010</w:t>
            </w:r>
          </w:p>
        </w:tc>
      </w:tr>
      <w:tr w:rsidR="00767B1A" w:rsidRPr="00CB32B1" w:rsidTr="00767B1A">
        <w:trPr>
          <w:trHeight w:val="300"/>
        </w:trPr>
        <w:tc>
          <w:tcPr>
            <w:cnfStyle w:val="001000000000"/>
            <w:tcW w:w="1278" w:type="dxa"/>
            <w:tcBorders>
              <w:top w:val="single" w:sz="6" w:space="0" w:color="DC6900" w:themeColor="text2"/>
            </w:tcBorders>
            <w:hideMark/>
          </w:tcPr>
          <w:p w:rsidR="00767B1A" w:rsidRPr="00CB32B1" w:rsidRDefault="00767B1A" w:rsidP="00767B1A">
            <w:pPr>
              <w:pStyle w:val="NumericTableTextSmall"/>
              <w:rPr>
                <w:rFonts w:asciiTheme="majorHAnsi" w:hAnsiTheme="majorHAnsi"/>
              </w:rPr>
            </w:pPr>
            <w:r w:rsidRPr="00CB32B1">
              <w:rPr>
                <w:rFonts w:asciiTheme="majorHAnsi" w:hAnsiTheme="majorHAnsi"/>
              </w:rPr>
              <w:t>Total number of births</w:t>
            </w:r>
          </w:p>
        </w:tc>
        <w:tc>
          <w:tcPr>
            <w:tcW w:w="801" w:type="dxa"/>
            <w:tcBorders>
              <w:top w:val="single" w:sz="6" w:space="0" w:color="DC6900" w:themeColor="text2"/>
            </w:tcBorders>
            <w:hideMark/>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199,860</w:t>
            </w:r>
          </w:p>
        </w:tc>
        <w:tc>
          <w:tcPr>
            <w:tcW w:w="801" w:type="dxa"/>
            <w:tcBorders>
              <w:top w:val="single" w:sz="6" w:space="0" w:color="DC6900" w:themeColor="text2"/>
            </w:tcBorders>
            <w:hideMark/>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199,205</w:t>
            </w:r>
          </w:p>
        </w:tc>
        <w:tc>
          <w:tcPr>
            <w:tcW w:w="801" w:type="dxa"/>
            <w:tcBorders>
              <w:top w:val="single" w:sz="6" w:space="0" w:color="DC6900" w:themeColor="text2"/>
            </w:tcBorders>
            <w:hideMark/>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197,472</w:t>
            </w:r>
          </w:p>
        </w:tc>
        <w:tc>
          <w:tcPr>
            <w:tcW w:w="801" w:type="dxa"/>
            <w:tcBorders>
              <w:top w:val="single" w:sz="6" w:space="0" w:color="DC6900" w:themeColor="text2"/>
            </w:tcBorders>
            <w:hideMark/>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191,158</w:t>
            </w:r>
          </w:p>
        </w:tc>
        <w:tc>
          <w:tcPr>
            <w:tcW w:w="801" w:type="dxa"/>
            <w:tcBorders>
              <w:top w:val="single" w:sz="6" w:space="0" w:color="DC6900" w:themeColor="text2"/>
            </w:tcBorders>
            <w:hideMark/>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185,151</w:t>
            </w:r>
          </w:p>
        </w:tc>
        <w:tc>
          <w:tcPr>
            <w:tcW w:w="801" w:type="dxa"/>
            <w:tcBorders>
              <w:top w:val="single" w:sz="6" w:space="0" w:color="DC6900" w:themeColor="text2"/>
            </w:tcBorders>
            <w:hideMark/>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182,448</w:t>
            </w:r>
          </w:p>
        </w:tc>
        <w:tc>
          <w:tcPr>
            <w:tcW w:w="801" w:type="dxa"/>
            <w:tcBorders>
              <w:top w:val="single" w:sz="6" w:space="0" w:color="DC6900" w:themeColor="text2"/>
            </w:tcBorders>
            <w:hideMark/>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178,850</w:t>
            </w:r>
          </w:p>
        </w:tc>
        <w:tc>
          <w:tcPr>
            <w:tcW w:w="801" w:type="dxa"/>
            <w:tcBorders>
              <w:top w:val="single" w:sz="6" w:space="0" w:color="DC6900" w:themeColor="text2"/>
            </w:tcBorders>
            <w:hideMark/>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181,997</w:t>
            </w:r>
          </w:p>
        </w:tc>
        <w:tc>
          <w:tcPr>
            <w:tcW w:w="801" w:type="dxa"/>
            <w:tcBorders>
              <w:top w:val="single" w:sz="6" w:space="0" w:color="DC6900" w:themeColor="text2"/>
            </w:tcBorders>
            <w:hideMark/>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182,186</w:t>
            </w:r>
          </w:p>
        </w:tc>
        <w:tc>
          <w:tcPr>
            <w:tcW w:w="801" w:type="dxa"/>
            <w:tcBorders>
              <w:top w:val="single" w:sz="6" w:space="0" w:color="DC6900" w:themeColor="text2"/>
            </w:tcBorders>
            <w:hideMark/>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181,837</w:t>
            </w:r>
          </w:p>
        </w:tc>
      </w:tr>
      <w:tr w:rsidR="00767B1A" w:rsidRPr="00CB32B1" w:rsidTr="00767B1A">
        <w:trPr>
          <w:trHeight w:val="300"/>
        </w:trPr>
        <w:tc>
          <w:tcPr>
            <w:cnfStyle w:val="001000000000"/>
            <w:tcW w:w="1278" w:type="dxa"/>
          </w:tcPr>
          <w:p w:rsidR="00767B1A" w:rsidRPr="00CB32B1" w:rsidRDefault="00767B1A" w:rsidP="00767B1A">
            <w:pPr>
              <w:pStyle w:val="NumericTableTextSmall"/>
              <w:rPr>
                <w:rFonts w:asciiTheme="majorHAnsi" w:hAnsiTheme="majorHAnsi"/>
              </w:rPr>
            </w:pPr>
            <w:r w:rsidRPr="00CB32B1">
              <w:rPr>
                <w:rFonts w:asciiTheme="majorHAnsi" w:hAnsiTheme="majorHAnsi"/>
              </w:rPr>
              <w:t>Number of homebirths</w:t>
            </w:r>
          </w:p>
        </w:tc>
        <w:tc>
          <w:tcPr>
            <w:tcW w:w="801" w:type="dxa"/>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63,755</w:t>
            </w:r>
          </w:p>
        </w:tc>
        <w:tc>
          <w:tcPr>
            <w:tcW w:w="801" w:type="dxa"/>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63,546</w:t>
            </w:r>
          </w:p>
        </w:tc>
        <w:tc>
          <w:tcPr>
            <w:tcW w:w="801" w:type="dxa"/>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62,994</w:t>
            </w:r>
          </w:p>
        </w:tc>
        <w:tc>
          <w:tcPr>
            <w:tcW w:w="801" w:type="dxa"/>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60,406</w:t>
            </w:r>
          </w:p>
        </w:tc>
        <w:tc>
          <w:tcPr>
            <w:tcW w:w="801" w:type="dxa"/>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58,508</w:t>
            </w:r>
          </w:p>
        </w:tc>
        <w:tc>
          <w:tcPr>
            <w:tcW w:w="801" w:type="dxa"/>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57,654</w:t>
            </w:r>
          </w:p>
        </w:tc>
        <w:tc>
          <w:tcPr>
            <w:tcW w:w="801" w:type="dxa"/>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52,582</w:t>
            </w:r>
          </w:p>
        </w:tc>
        <w:tc>
          <w:tcPr>
            <w:tcW w:w="801" w:type="dxa"/>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51,687</w:t>
            </w:r>
          </w:p>
        </w:tc>
        <w:tc>
          <w:tcPr>
            <w:tcW w:w="801" w:type="dxa"/>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43,542</w:t>
            </w:r>
          </w:p>
        </w:tc>
        <w:tc>
          <w:tcPr>
            <w:tcW w:w="801" w:type="dxa"/>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42,550</w:t>
            </w:r>
          </w:p>
        </w:tc>
      </w:tr>
      <w:tr w:rsidR="00767B1A" w:rsidRPr="00CB32B1" w:rsidTr="00767B1A">
        <w:trPr>
          <w:trHeight w:val="300"/>
        </w:trPr>
        <w:tc>
          <w:tcPr>
            <w:cnfStyle w:val="001000000000"/>
            <w:tcW w:w="1278" w:type="dxa"/>
          </w:tcPr>
          <w:p w:rsidR="00767B1A" w:rsidRPr="00CB32B1" w:rsidRDefault="00767B1A" w:rsidP="00767B1A">
            <w:pPr>
              <w:pStyle w:val="NumericTableTextSmall"/>
              <w:rPr>
                <w:rFonts w:asciiTheme="majorHAnsi" w:hAnsiTheme="majorHAnsi"/>
              </w:rPr>
            </w:pPr>
            <w:r w:rsidRPr="00CB32B1">
              <w:rPr>
                <w:rFonts w:asciiTheme="majorHAnsi" w:hAnsiTheme="majorHAnsi"/>
              </w:rPr>
              <w:t>Percentage of births taking place at home</w:t>
            </w:r>
          </w:p>
        </w:tc>
        <w:tc>
          <w:tcPr>
            <w:tcW w:w="801" w:type="dxa"/>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 xml:space="preserve"> 31.9</w:t>
            </w:r>
          </w:p>
        </w:tc>
        <w:tc>
          <w:tcPr>
            <w:tcW w:w="801" w:type="dxa"/>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 xml:space="preserve"> 31.9</w:t>
            </w:r>
          </w:p>
        </w:tc>
        <w:tc>
          <w:tcPr>
            <w:tcW w:w="801" w:type="dxa"/>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 xml:space="preserve"> 31.9</w:t>
            </w:r>
          </w:p>
        </w:tc>
        <w:tc>
          <w:tcPr>
            <w:tcW w:w="801" w:type="dxa"/>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 xml:space="preserve"> 31.6</w:t>
            </w:r>
          </w:p>
        </w:tc>
        <w:tc>
          <w:tcPr>
            <w:tcW w:w="801" w:type="dxa"/>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 xml:space="preserve"> 31.6</w:t>
            </w:r>
          </w:p>
        </w:tc>
        <w:tc>
          <w:tcPr>
            <w:tcW w:w="801" w:type="dxa"/>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 xml:space="preserve"> 31.6</w:t>
            </w:r>
          </w:p>
        </w:tc>
        <w:tc>
          <w:tcPr>
            <w:tcW w:w="801" w:type="dxa"/>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 xml:space="preserve"> 29.4</w:t>
            </w:r>
          </w:p>
        </w:tc>
        <w:tc>
          <w:tcPr>
            <w:tcW w:w="801" w:type="dxa"/>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 xml:space="preserve"> 28.4</w:t>
            </w:r>
          </w:p>
        </w:tc>
        <w:tc>
          <w:tcPr>
            <w:tcW w:w="801" w:type="dxa"/>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 xml:space="preserve"> 23.9</w:t>
            </w:r>
          </w:p>
        </w:tc>
        <w:tc>
          <w:tcPr>
            <w:tcW w:w="801" w:type="dxa"/>
          </w:tcPr>
          <w:p w:rsidR="00767B1A" w:rsidRPr="00CB32B1" w:rsidRDefault="00767B1A" w:rsidP="00747120">
            <w:pPr>
              <w:pStyle w:val="NumericTableTextSmall"/>
              <w:jc w:val="right"/>
              <w:cnfStyle w:val="000000000000"/>
              <w:rPr>
                <w:rFonts w:asciiTheme="majorHAnsi" w:hAnsiTheme="majorHAnsi"/>
              </w:rPr>
            </w:pPr>
            <w:r w:rsidRPr="00CB32B1">
              <w:rPr>
                <w:rFonts w:asciiTheme="majorHAnsi" w:hAnsiTheme="majorHAnsi"/>
              </w:rPr>
              <w:t xml:space="preserve"> 23.4</w:t>
            </w:r>
          </w:p>
        </w:tc>
      </w:tr>
    </w:tbl>
    <w:p w:rsidR="00767B1A" w:rsidRPr="00CB32B1" w:rsidRDefault="00767B1A" w:rsidP="00767B1A">
      <w:pPr>
        <w:pStyle w:val="Sources"/>
      </w:pPr>
      <w:r w:rsidRPr="00CB32B1">
        <w:rPr>
          <w:b/>
        </w:rPr>
        <w:t>Source:</w:t>
      </w:r>
      <w:r w:rsidRPr="00CB32B1">
        <w:t xml:space="preserve"> Stat</w:t>
      </w:r>
      <w:r w:rsidR="00472B36" w:rsidRPr="00CB32B1">
        <w:t>istics Netherlands 2013</w:t>
      </w:r>
      <w:r w:rsidRPr="00CB32B1">
        <w:t>.</w:t>
      </w:r>
    </w:p>
    <w:p w:rsidR="00767B1A" w:rsidRPr="00CB32B1" w:rsidRDefault="00767B1A" w:rsidP="00767B1A">
      <w:pPr>
        <w:pStyle w:val="Minorheading2"/>
      </w:pPr>
      <w:r w:rsidRPr="00CB32B1">
        <w:t>Adverse outcomes</w:t>
      </w:r>
    </w:p>
    <w:p w:rsidR="00767B1A" w:rsidRPr="00CB32B1" w:rsidRDefault="008124E8" w:rsidP="00767B1A">
      <w:pPr>
        <w:pStyle w:val="PwCNormal"/>
      </w:pPr>
      <w:r w:rsidRPr="00CB32B1">
        <w:t>The Netherlands uses a different definition of perinatal mortality compared with international definitions. However, studies of homebirth undertaken in the Netherlands have seen no increased rates of perinatal mortality.</w:t>
      </w:r>
      <w:r w:rsidRPr="00CB32B1">
        <w:rPr>
          <w:rStyle w:val="FootnoteReference"/>
        </w:rPr>
        <w:footnoteReference w:id="408"/>
      </w:r>
    </w:p>
    <w:p w:rsidR="00767B1A" w:rsidRPr="00CB32B1" w:rsidRDefault="00767B1A" w:rsidP="00767B1A">
      <w:pPr>
        <w:pStyle w:val="Minorheading2"/>
      </w:pPr>
      <w:r w:rsidRPr="00CB32B1">
        <w:t>Insurance claims</w:t>
      </w:r>
    </w:p>
    <w:p w:rsidR="00767B1A" w:rsidRPr="00CB32B1" w:rsidRDefault="00767B1A" w:rsidP="00767B1A">
      <w:pPr>
        <w:pStyle w:val="PwCNormal"/>
      </w:pPr>
      <w:r w:rsidRPr="00CB32B1">
        <w:t>Given the commercial nature of insurers, information on claims raised could not be obtained. However consultations with insurers identified that the number was relatively low.</w:t>
      </w:r>
    </w:p>
    <w:p w:rsidR="00767B1A" w:rsidRPr="00CB32B1" w:rsidRDefault="00767B1A" w:rsidP="00767B1A">
      <w:pPr>
        <w:pStyle w:val="Minorheading2"/>
      </w:pPr>
      <w:r w:rsidRPr="00CB32B1">
        <w:t>Disciplinary cases</w:t>
      </w:r>
    </w:p>
    <w:p w:rsidR="00767B1A" w:rsidRPr="00CB32B1" w:rsidRDefault="00767B1A" w:rsidP="00767B1A">
      <w:pPr>
        <w:pStyle w:val="PwCNormal"/>
        <w:numPr>
          <w:ilvl w:val="0"/>
          <w:numId w:val="0"/>
        </w:numPr>
      </w:pPr>
      <w:r w:rsidRPr="00CB32B1">
        <w:t xml:space="preserve">Our investigations found only one disciplinary hearing for which the details are publicly available. For more information please refer to the </w:t>
      </w:r>
      <w:r w:rsidRPr="00CB32B1">
        <w:rPr>
          <w:i/>
        </w:rPr>
        <w:t>PwC Claims Report, 2013</w:t>
      </w:r>
      <w:r w:rsidRPr="00CB32B1">
        <w:t>.</w:t>
      </w:r>
    </w:p>
    <w:p w:rsidR="00767B1A" w:rsidRPr="00CB32B1" w:rsidRDefault="00767B1A" w:rsidP="00767B1A">
      <w:pPr>
        <w:pStyle w:val="Minorheading"/>
      </w:pPr>
      <w:r w:rsidRPr="00CB32B1">
        <w:t>New Zealand</w:t>
      </w:r>
    </w:p>
    <w:p w:rsidR="00767B1A" w:rsidRDefault="00767B1A" w:rsidP="00767B1A">
      <w:pPr>
        <w:pStyle w:val="Minorheading2"/>
      </w:pPr>
      <w:r w:rsidRPr="00CB32B1">
        <w:t>Statistics on midwives, live births and homebirths</w:t>
      </w:r>
    </w:p>
    <w:p w:rsidR="00EA7DEB" w:rsidRPr="00CB32B1" w:rsidRDefault="00EA7DEB" w:rsidP="00EA7DEB">
      <w:pPr>
        <w:pStyle w:val="PwCNormal"/>
      </w:pPr>
      <w:r>
        <w:t xml:space="preserve">The number of births in New Zealand has remained relatively stable from 2005-2012. As can be noted in </w:t>
      </w:r>
      <w:r w:rsidR="009129A6">
        <w:fldChar w:fldCharType="begin"/>
      </w:r>
      <w:r>
        <w:instrText xml:space="preserve"> REF _Ref362897166 \h </w:instrText>
      </w:r>
      <w:r w:rsidR="009129A6">
        <w:fldChar w:fldCharType="separate"/>
      </w:r>
      <w:r w:rsidR="008816B4">
        <w:t xml:space="preserve">Table </w:t>
      </w:r>
      <w:r w:rsidR="008816B4">
        <w:rPr>
          <w:noProof/>
        </w:rPr>
        <w:t>83</w:t>
      </w:r>
      <w:r w:rsidR="009129A6">
        <w:fldChar w:fldCharType="end"/>
      </w:r>
      <w:r>
        <w:t xml:space="preserve">, figures on the number of homebirths were unable to be obtained. </w:t>
      </w:r>
      <w:r w:rsidR="001C23EB">
        <w:t>Some consumer groups in New Zealand</w:t>
      </w:r>
      <w:r w:rsidRPr="00CB32B1">
        <w:t xml:space="preserve"> </w:t>
      </w:r>
      <w:r w:rsidR="006959C5" w:rsidRPr="00CB32B1">
        <w:t>approximate</w:t>
      </w:r>
      <w:r w:rsidRPr="00CB32B1">
        <w:t xml:space="preserve"> the proportion of homebir</w:t>
      </w:r>
      <w:r w:rsidR="001C23EB">
        <w:t>ths undertaken per year to be 7 per cent</w:t>
      </w:r>
      <w:r w:rsidRPr="00CB32B1">
        <w:t>.</w:t>
      </w:r>
      <w:r w:rsidRPr="00CB32B1">
        <w:rPr>
          <w:rStyle w:val="FootnoteReference"/>
        </w:rPr>
        <w:footnoteReference w:id="409"/>
      </w:r>
      <w:r w:rsidRPr="00CB32B1">
        <w:t xml:space="preserve"> However, statistics are not recorded at this level of detail in New Zealand. There were 3,379 homebirths documented in the 2009-10 New Zealand College of Midwives Clinical database.</w:t>
      </w:r>
      <w:r w:rsidRPr="00CB32B1">
        <w:rPr>
          <w:rStyle w:val="FootnoteReference"/>
        </w:rPr>
        <w:footnoteReference w:id="410"/>
      </w:r>
      <w:r w:rsidRPr="00CB32B1">
        <w:t xml:space="preserve"> </w:t>
      </w:r>
    </w:p>
    <w:p w:rsidR="00EA7DEB" w:rsidRPr="00EA7DEB" w:rsidRDefault="00EA7DEB" w:rsidP="00EA7DEB">
      <w:pPr>
        <w:pStyle w:val="Caption"/>
      </w:pPr>
      <w:bookmarkStart w:id="200" w:name="_Ref362897166"/>
      <w:r>
        <w:t xml:space="preserve">Table </w:t>
      </w:r>
      <w:r w:rsidR="009129A6">
        <w:fldChar w:fldCharType="begin"/>
      </w:r>
      <w:r>
        <w:instrText xml:space="preserve"> SEQ Table \* ARABIC </w:instrText>
      </w:r>
      <w:r w:rsidR="009129A6">
        <w:fldChar w:fldCharType="separate"/>
      </w:r>
      <w:r w:rsidR="008816B4">
        <w:rPr>
          <w:noProof/>
        </w:rPr>
        <w:t>83</w:t>
      </w:r>
      <w:r w:rsidR="009129A6">
        <w:fldChar w:fldCharType="end"/>
      </w:r>
      <w:bookmarkEnd w:id="200"/>
      <w:r>
        <w:t>:</w:t>
      </w:r>
      <w:r>
        <w:tab/>
        <w:t>Number of births in New Zealand</w:t>
      </w:r>
    </w:p>
    <w:tbl>
      <w:tblPr>
        <w:tblStyle w:val="PwCTableStyle1"/>
        <w:tblW w:w="5000" w:type="pct"/>
        <w:jc w:val="right"/>
        <w:tblLook w:val="04A0"/>
      </w:tblPr>
      <w:tblGrid>
        <w:gridCol w:w="2346"/>
        <w:gridCol w:w="868"/>
        <w:gridCol w:w="868"/>
        <w:gridCol w:w="868"/>
        <w:gridCol w:w="867"/>
        <w:gridCol w:w="867"/>
        <w:gridCol w:w="867"/>
        <w:gridCol w:w="867"/>
        <w:gridCol w:w="867"/>
      </w:tblGrid>
      <w:tr w:rsidR="00767B1A" w:rsidRPr="00CB32B1" w:rsidTr="00747120">
        <w:trPr>
          <w:cnfStyle w:val="100000000000"/>
          <w:jc w:val="right"/>
        </w:trPr>
        <w:tc>
          <w:tcPr>
            <w:cnfStyle w:val="001000000000"/>
            <w:tcW w:w="1263" w:type="pct"/>
            <w:tcBorders>
              <w:bottom w:val="single" w:sz="6" w:space="0" w:color="DC6900" w:themeColor="text2"/>
              <w:right w:val="single" w:sz="6" w:space="0" w:color="FFFFFF" w:themeColor="background2"/>
            </w:tcBorders>
            <w:shd w:val="clear" w:color="auto" w:fill="DC6900" w:themeFill="text2"/>
            <w:noWrap/>
            <w:hideMark/>
          </w:tcPr>
          <w:p w:rsidR="00767B1A" w:rsidRPr="00CB32B1" w:rsidRDefault="00767B1A" w:rsidP="00767B1A">
            <w:pPr>
              <w:pStyle w:val="NumericTableColumnHeadingNormal"/>
              <w:rPr>
                <w:rFonts w:asciiTheme="majorHAnsi" w:hAnsiTheme="majorHAnsi"/>
              </w:rPr>
            </w:pPr>
          </w:p>
        </w:tc>
        <w:tc>
          <w:tcPr>
            <w:tcW w:w="467"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noWrap/>
            <w:hideMark/>
          </w:tcPr>
          <w:p w:rsidR="00767B1A" w:rsidRPr="00CB32B1" w:rsidRDefault="00767B1A" w:rsidP="00747120">
            <w:pPr>
              <w:pStyle w:val="NumericTableColumnHeadingNormal"/>
              <w:cnfStyle w:val="100000000000"/>
              <w:rPr>
                <w:rFonts w:asciiTheme="majorHAnsi" w:hAnsiTheme="majorHAnsi"/>
              </w:rPr>
            </w:pPr>
            <w:r w:rsidRPr="00CB32B1">
              <w:rPr>
                <w:rFonts w:asciiTheme="majorHAnsi" w:hAnsiTheme="majorHAnsi"/>
              </w:rPr>
              <w:t>2005</w:t>
            </w:r>
          </w:p>
        </w:tc>
        <w:tc>
          <w:tcPr>
            <w:tcW w:w="467"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noWrap/>
            <w:hideMark/>
          </w:tcPr>
          <w:p w:rsidR="00767B1A" w:rsidRPr="00CB32B1" w:rsidRDefault="00767B1A" w:rsidP="00747120">
            <w:pPr>
              <w:pStyle w:val="NumericTableColumnHeadingNormal"/>
              <w:cnfStyle w:val="100000000000"/>
              <w:rPr>
                <w:rFonts w:asciiTheme="majorHAnsi" w:hAnsiTheme="majorHAnsi"/>
              </w:rPr>
            </w:pPr>
            <w:r w:rsidRPr="00CB32B1">
              <w:rPr>
                <w:rFonts w:asciiTheme="majorHAnsi" w:hAnsiTheme="majorHAnsi"/>
              </w:rPr>
              <w:t>2006</w:t>
            </w:r>
          </w:p>
        </w:tc>
        <w:tc>
          <w:tcPr>
            <w:tcW w:w="467"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noWrap/>
            <w:hideMark/>
          </w:tcPr>
          <w:p w:rsidR="00767B1A" w:rsidRPr="00CB32B1" w:rsidRDefault="00767B1A" w:rsidP="00747120">
            <w:pPr>
              <w:pStyle w:val="NumericTableColumnHeadingNormal"/>
              <w:cnfStyle w:val="100000000000"/>
              <w:rPr>
                <w:rFonts w:asciiTheme="majorHAnsi" w:hAnsiTheme="majorHAnsi"/>
              </w:rPr>
            </w:pPr>
            <w:r w:rsidRPr="00CB32B1">
              <w:rPr>
                <w:rFonts w:asciiTheme="majorHAnsi" w:hAnsiTheme="majorHAnsi"/>
              </w:rPr>
              <w:t>2007</w:t>
            </w:r>
          </w:p>
        </w:tc>
        <w:tc>
          <w:tcPr>
            <w:tcW w:w="467"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noWrap/>
            <w:hideMark/>
          </w:tcPr>
          <w:p w:rsidR="00767B1A" w:rsidRPr="00CB32B1" w:rsidRDefault="00767B1A" w:rsidP="00747120">
            <w:pPr>
              <w:pStyle w:val="NumericTableColumnHeadingNormal"/>
              <w:cnfStyle w:val="100000000000"/>
              <w:rPr>
                <w:rFonts w:asciiTheme="majorHAnsi" w:hAnsiTheme="majorHAnsi"/>
              </w:rPr>
            </w:pPr>
            <w:r w:rsidRPr="00CB32B1">
              <w:rPr>
                <w:rFonts w:asciiTheme="majorHAnsi" w:hAnsiTheme="majorHAnsi"/>
              </w:rPr>
              <w:t>2008</w:t>
            </w:r>
          </w:p>
        </w:tc>
        <w:tc>
          <w:tcPr>
            <w:tcW w:w="467"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noWrap/>
            <w:hideMark/>
          </w:tcPr>
          <w:p w:rsidR="00767B1A" w:rsidRPr="00CB32B1" w:rsidRDefault="00767B1A" w:rsidP="00747120">
            <w:pPr>
              <w:pStyle w:val="NumericTableColumnHeadingNormal"/>
              <w:cnfStyle w:val="100000000000"/>
              <w:rPr>
                <w:rFonts w:asciiTheme="majorHAnsi" w:hAnsiTheme="majorHAnsi"/>
              </w:rPr>
            </w:pPr>
            <w:r w:rsidRPr="00CB32B1">
              <w:rPr>
                <w:rFonts w:asciiTheme="majorHAnsi" w:hAnsiTheme="majorHAnsi"/>
              </w:rPr>
              <w:t>2009</w:t>
            </w:r>
          </w:p>
        </w:tc>
        <w:tc>
          <w:tcPr>
            <w:tcW w:w="467"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noWrap/>
            <w:hideMark/>
          </w:tcPr>
          <w:p w:rsidR="00767B1A" w:rsidRPr="00CB32B1" w:rsidRDefault="00767B1A" w:rsidP="00747120">
            <w:pPr>
              <w:pStyle w:val="NumericTableColumnHeadingNormal"/>
              <w:cnfStyle w:val="100000000000"/>
              <w:rPr>
                <w:rFonts w:asciiTheme="majorHAnsi" w:hAnsiTheme="majorHAnsi"/>
              </w:rPr>
            </w:pPr>
            <w:r w:rsidRPr="00CB32B1">
              <w:rPr>
                <w:rFonts w:asciiTheme="majorHAnsi" w:hAnsiTheme="majorHAnsi"/>
              </w:rPr>
              <w:t>2010</w:t>
            </w:r>
          </w:p>
        </w:tc>
        <w:tc>
          <w:tcPr>
            <w:tcW w:w="467" w:type="pct"/>
            <w:tcBorders>
              <w:left w:val="single" w:sz="6" w:space="0" w:color="FFFFFF" w:themeColor="background2"/>
              <w:bottom w:val="single" w:sz="6" w:space="0" w:color="DC6900" w:themeColor="text2"/>
              <w:right w:val="single" w:sz="6" w:space="0" w:color="FFFFFF" w:themeColor="background2"/>
            </w:tcBorders>
            <w:shd w:val="clear" w:color="auto" w:fill="DC6900" w:themeFill="text2"/>
            <w:noWrap/>
            <w:hideMark/>
          </w:tcPr>
          <w:p w:rsidR="00767B1A" w:rsidRPr="00CB32B1" w:rsidRDefault="00767B1A" w:rsidP="00747120">
            <w:pPr>
              <w:pStyle w:val="NumericTableColumnHeadingNormal"/>
              <w:cnfStyle w:val="100000000000"/>
              <w:rPr>
                <w:rFonts w:asciiTheme="majorHAnsi" w:hAnsiTheme="majorHAnsi"/>
              </w:rPr>
            </w:pPr>
            <w:r w:rsidRPr="00CB32B1">
              <w:rPr>
                <w:rFonts w:asciiTheme="majorHAnsi" w:hAnsiTheme="majorHAnsi"/>
              </w:rPr>
              <w:t>2011</w:t>
            </w:r>
          </w:p>
        </w:tc>
        <w:tc>
          <w:tcPr>
            <w:tcW w:w="467" w:type="pct"/>
            <w:tcBorders>
              <w:left w:val="single" w:sz="6" w:space="0" w:color="FFFFFF" w:themeColor="background2"/>
              <w:bottom w:val="single" w:sz="6" w:space="0" w:color="DC6900" w:themeColor="text2"/>
            </w:tcBorders>
            <w:shd w:val="clear" w:color="auto" w:fill="DC6900" w:themeFill="text2"/>
          </w:tcPr>
          <w:p w:rsidR="00767B1A" w:rsidRPr="00CB32B1" w:rsidRDefault="00767B1A" w:rsidP="00747120">
            <w:pPr>
              <w:pStyle w:val="NumericTableColumnHeadingNormal"/>
              <w:cnfStyle w:val="100000000000"/>
              <w:rPr>
                <w:rFonts w:asciiTheme="majorHAnsi" w:hAnsiTheme="majorHAnsi"/>
              </w:rPr>
            </w:pPr>
            <w:r w:rsidRPr="00CB32B1">
              <w:rPr>
                <w:rFonts w:asciiTheme="majorHAnsi" w:hAnsiTheme="majorHAnsi"/>
              </w:rPr>
              <w:t>2012</w:t>
            </w:r>
          </w:p>
        </w:tc>
      </w:tr>
      <w:tr w:rsidR="00767B1A" w:rsidRPr="00CB32B1" w:rsidTr="00747120">
        <w:trPr>
          <w:jc w:val="right"/>
        </w:trPr>
        <w:tc>
          <w:tcPr>
            <w:cnfStyle w:val="001000000000"/>
            <w:tcW w:w="1263" w:type="pct"/>
            <w:tcBorders>
              <w:top w:val="single" w:sz="6" w:space="0" w:color="DC6900" w:themeColor="text2"/>
            </w:tcBorders>
            <w:noWrap/>
            <w:hideMark/>
          </w:tcPr>
          <w:p w:rsidR="00767B1A" w:rsidRPr="00CB32B1" w:rsidRDefault="00767B1A" w:rsidP="00767B1A">
            <w:pPr>
              <w:pStyle w:val="NumericTableTextNormal"/>
              <w:rPr>
                <w:rFonts w:asciiTheme="majorHAnsi" w:hAnsiTheme="majorHAnsi"/>
              </w:rPr>
            </w:pPr>
            <w:r w:rsidRPr="00CB32B1">
              <w:rPr>
                <w:rFonts w:asciiTheme="majorHAnsi" w:hAnsiTheme="majorHAnsi"/>
              </w:rPr>
              <w:t>Total number of births</w:t>
            </w:r>
          </w:p>
        </w:tc>
        <w:tc>
          <w:tcPr>
            <w:tcW w:w="467" w:type="pct"/>
            <w:tcBorders>
              <w:top w:val="single" w:sz="6" w:space="0" w:color="DC6900" w:themeColor="text2"/>
            </w:tcBorders>
            <w:noWrap/>
            <w:hideMark/>
          </w:tcPr>
          <w:p w:rsidR="00767B1A" w:rsidRPr="00CB32B1" w:rsidRDefault="00767B1A" w:rsidP="00747120">
            <w:pPr>
              <w:pStyle w:val="NumericTableTextNormal"/>
              <w:jc w:val="right"/>
              <w:cnfStyle w:val="000000000000"/>
              <w:rPr>
                <w:rFonts w:asciiTheme="majorHAnsi" w:hAnsiTheme="majorHAnsi"/>
              </w:rPr>
            </w:pPr>
            <w:r w:rsidRPr="00CB32B1">
              <w:rPr>
                <w:rFonts w:asciiTheme="majorHAnsi" w:hAnsiTheme="majorHAnsi"/>
              </w:rPr>
              <w:t>57,745</w:t>
            </w:r>
          </w:p>
        </w:tc>
        <w:tc>
          <w:tcPr>
            <w:tcW w:w="467" w:type="pct"/>
            <w:tcBorders>
              <w:top w:val="single" w:sz="6" w:space="0" w:color="DC6900" w:themeColor="text2"/>
            </w:tcBorders>
            <w:noWrap/>
            <w:hideMark/>
          </w:tcPr>
          <w:p w:rsidR="00767B1A" w:rsidRPr="00CB32B1" w:rsidRDefault="00767B1A" w:rsidP="00747120">
            <w:pPr>
              <w:pStyle w:val="NumericTableTextNormal"/>
              <w:jc w:val="right"/>
              <w:cnfStyle w:val="000000000000"/>
              <w:rPr>
                <w:rFonts w:asciiTheme="majorHAnsi" w:hAnsiTheme="majorHAnsi"/>
              </w:rPr>
            </w:pPr>
            <w:r w:rsidRPr="00CB32B1">
              <w:rPr>
                <w:rFonts w:asciiTheme="majorHAnsi" w:hAnsiTheme="majorHAnsi"/>
              </w:rPr>
              <w:t>59,193</w:t>
            </w:r>
          </w:p>
        </w:tc>
        <w:tc>
          <w:tcPr>
            <w:tcW w:w="467" w:type="pct"/>
            <w:tcBorders>
              <w:top w:val="single" w:sz="6" w:space="0" w:color="DC6900" w:themeColor="text2"/>
            </w:tcBorders>
            <w:noWrap/>
            <w:hideMark/>
          </w:tcPr>
          <w:p w:rsidR="00767B1A" w:rsidRPr="00CB32B1" w:rsidRDefault="00767B1A" w:rsidP="00747120">
            <w:pPr>
              <w:pStyle w:val="NumericTableTextNormal"/>
              <w:jc w:val="right"/>
              <w:cnfStyle w:val="000000000000"/>
              <w:rPr>
                <w:rFonts w:asciiTheme="majorHAnsi" w:hAnsiTheme="majorHAnsi"/>
              </w:rPr>
            </w:pPr>
            <w:r w:rsidRPr="00CB32B1">
              <w:rPr>
                <w:rFonts w:asciiTheme="majorHAnsi" w:hAnsiTheme="majorHAnsi"/>
              </w:rPr>
              <w:t>64,044</w:t>
            </w:r>
          </w:p>
        </w:tc>
        <w:tc>
          <w:tcPr>
            <w:tcW w:w="467" w:type="pct"/>
            <w:tcBorders>
              <w:top w:val="single" w:sz="6" w:space="0" w:color="DC6900" w:themeColor="text2"/>
            </w:tcBorders>
            <w:noWrap/>
            <w:hideMark/>
          </w:tcPr>
          <w:p w:rsidR="00767B1A" w:rsidRPr="00CB32B1" w:rsidRDefault="00767B1A" w:rsidP="00747120">
            <w:pPr>
              <w:pStyle w:val="NumericTableTextNormal"/>
              <w:jc w:val="right"/>
              <w:cnfStyle w:val="000000000000"/>
              <w:rPr>
                <w:rFonts w:asciiTheme="majorHAnsi" w:hAnsiTheme="majorHAnsi"/>
              </w:rPr>
            </w:pPr>
            <w:r w:rsidRPr="00CB32B1">
              <w:rPr>
                <w:rFonts w:asciiTheme="majorHAnsi" w:hAnsiTheme="majorHAnsi"/>
              </w:rPr>
              <w:t>64,343</w:t>
            </w:r>
          </w:p>
        </w:tc>
        <w:tc>
          <w:tcPr>
            <w:tcW w:w="467" w:type="pct"/>
            <w:tcBorders>
              <w:top w:val="single" w:sz="6" w:space="0" w:color="DC6900" w:themeColor="text2"/>
            </w:tcBorders>
            <w:noWrap/>
            <w:hideMark/>
          </w:tcPr>
          <w:p w:rsidR="00767B1A" w:rsidRPr="00CB32B1" w:rsidRDefault="00767B1A" w:rsidP="00747120">
            <w:pPr>
              <w:pStyle w:val="NumericTableTextNormal"/>
              <w:jc w:val="right"/>
              <w:cnfStyle w:val="000000000000"/>
              <w:rPr>
                <w:rFonts w:asciiTheme="majorHAnsi" w:hAnsiTheme="majorHAnsi"/>
              </w:rPr>
            </w:pPr>
            <w:r w:rsidRPr="00CB32B1">
              <w:rPr>
                <w:rFonts w:asciiTheme="majorHAnsi" w:hAnsiTheme="majorHAnsi"/>
              </w:rPr>
              <w:t>62,543</w:t>
            </w:r>
          </w:p>
        </w:tc>
        <w:tc>
          <w:tcPr>
            <w:tcW w:w="467" w:type="pct"/>
            <w:tcBorders>
              <w:top w:val="single" w:sz="6" w:space="0" w:color="DC6900" w:themeColor="text2"/>
            </w:tcBorders>
            <w:noWrap/>
            <w:hideMark/>
          </w:tcPr>
          <w:p w:rsidR="00767B1A" w:rsidRPr="00CB32B1" w:rsidRDefault="00767B1A" w:rsidP="00747120">
            <w:pPr>
              <w:pStyle w:val="NumericTableTextNormal"/>
              <w:jc w:val="right"/>
              <w:cnfStyle w:val="000000000000"/>
              <w:rPr>
                <w:rFonts w:asciiTheme="majorHAnsi" w:hAnsiTheme="majorHAnsi"/>
              </w:rPr>
            </w:pPr>
            <w:r w:rsidRPr="00CB32B1">
              <w:rPr>
                <w:rFonts w:asciiTheme="majorHAnsi" w:hAnsiTheme="majorHAnsi"/>
              </w:rPr>
              <w:t>63,897</w:t>
            </w:r>
          </w:p>
        </w:tc>
        <w:tc>
          <w:tcPr>
            <w:tcW w:w="467" w:type="pct"/>
            <w:tcBorders>
              <w:top w:val="single" w:sz="6" w:space="0" w:color="DC6900" w:themeColor="text2"/>
            </w:tcBorders>
            <w:noWrap/>
            <w:hideMark/>
          </w:tcPr>
          <w:p w:rsidR="00767B1A" w:rsidRPr="00CB32B1" w:rsidRDefault="00767B1A" w:rsidP="00747120">
            <w:pPr>
              <w:pStyle w:val="NumericTableTextNormal"/>
              <w:jc w:val="right"/>
              <w:cnfStyle w:val="000000000000"/>
              <w:rPr>
                <w:rFonts w:asciiTheme="majorHAnsi" w:hAnsiTheme="majorHAnsi"/>
              </w:rPr>
            </w:pPr>
            <w:r w:rsidRPr="00CB32B1">
              <w:rPr>
                <w:rFonts w:asciiTheme="majorHAnsi" w:hAnsiTheme="majorHAnsi"/>
              </w:rPr>
              <w:t>61,403</w:t>
            </w:r>
          </w:p>
        </w:tc>
        <w:tc>
          <w:tcPr>
            <w:tcW w:w="467" w:type="pct"/>
            <w:tcBorders>
              <w:top w:val="single" w:sz="6" w:space="0" w:color="DC6900" w:themeColor="text2"/>
            </w:tcBorders>
          </w:tcPr>
          <w:p w:rsidR="00767B1A" w:rsidRPr="00CB32B1" w:rsidRDefault="00767B1A" w:rsidP="00747120">
            <w:pPr>
              <w:pStyle w:val="NumericTableTextNormal"/>
              <w:jc w:val="right"/>
              <w:cnfStyle w:val="000000000000"/>
              <w:rPr>
                <w:rFonts w:asciiTheme="majorHAnsi" w:hAnsiTheme="majorHAnsi"/>
              </w:rPr>
            </w:pPr>
            <w:r w:rsidRPr="00CB32B1">
              <w:rPr>
                <w:rFonts w:asciiTheme="majorHAnsi" w:hAnsiTheme="majorHAnsi"/>
              </w:rPr>
              <w:t>61,178</w:t>
            </w:r>
          </w:p>
        </w:tc>
      </w:tr>
    </w:tbl>
    <w:p w:rsidR="00767B1A" w:rsidRPr="00CB32B1" w:rsidRDefault="00767B1A" w:rsidP="00767B1A">
      <w:pPr>
        <w:pStyle w:val="Sources"/>
      </w:pPr>
      <w:r w:rsidRPr="00CB32B1">
        <w:rPr>
          <w:b/>
        </w:rPr>
        <w:t>Source:</w:t>
      </w:r>
      <w:r w:rsidRPr="00CB32B1">
        <w:t xml:space="preserve"> Statistics New Zealand, Births and Deaths: Year ended December 2012, February 2013. </w:t>
      </w:r>
    </w:p>
    <w:p w:rsidR="00767B1A" w:rsidRPr="00CB32B1" w:rsidRDefault="00767B1A" w:rsidP="00767B1A">
      <w:pPr>
        <w:pStyle w:val="Minorheading2"/>
      </w:pPr>
      <w:r w:rsidRPr="00CB32B1">
        <w:t>Insurance claims</w:t>
      </w:r>
    </w:p>
    <w:p w:rsidR="00463352" w:rsidRPr="00CB32B1" w:rsidRDefault="00463352" w:rsidP="00463352">
      <w:pPr>
        <w:pStyle w:val="PwCNormal"/>
      </w:pPr>
      <w:r w:rsidRPr="00CB32B1">
        <w:t xml:space="preserve">The insurance broker indicated that there have never been any compensation awards due to the </w:t>
      </w:r>
      <w:r w:rsidRPr="00CB32B1">
        <w:rPr>
          <w:i/>
        </w:rPr>
        <w:t xml:space="preserve">Accident </w:t>
      </w:r>
      <w:r w:rsidR="006959C5" w:rsidRPr="00CB32B1">
        <w:rPr>
          <w:i/>
        </w:rPr>
        <w:t>Compensation</w:t>
      </w:r>
      <w:r w:rsidRPr="00CB32B1">
        <w:rPr>
          <w:i/>
        </w:rPr>
        <w:t xml:space="preserve"> Act 2001 (NZ)</w:t>
      </w:r>
      <w:r w:rsidRPr="00CB32B1">
        <w:t>.</w:t>
      </w:r>
      <w:r w:rsidR="001C23EB">
        <w:rPr>
          <w:rStyle w:val="FootnoteReference"/>
        </w:rPr>
        <w:footnoteReference w:id="411"/>
      </w:r>
      <w:r w:rsidRPr="00CB32B1">
        <w:t xml:space="preserve"> The </w:t>
      </w:r>
      <w:r w:rsidRPr="00CB32B1">
        <w:rPr>
          <w:i/>
        </w:rPr>
        <w:t xml:space="preserve">Accident </w:t>
      </w:r>
      <w:r w:rsidR="006959C5" w:rsidRPr="00CB32B1">
        <w:rPr>
          <w:i/>
        </w:rPr>
        <w:t>Compensation</w:t>
      </w:r>
      <w:r w:rsidRPr="00CB32B1">
        <w:rPr>
          <w:i/>
        </w:rPr>
        <w:t xml:space="preserve"> Act 2001 (NZ) </w:t>
      </w:r>
      <w:r w:rsidRPr="00CB32B1">
        <w:t xml:space="preserve">also limits the quantum of claims. This makes New Zealand data regarding the quantum of claims data a poor </w:t>
      </w:r>
      <w:r w:rsidR="001C23EB">
        <w:t>substitute</w:t>
      </w:r>
      <w:r w:rsidRPr="00CB32B1">
        <w:t xml:space="preserve"> for Australia</w:t>
      </w:r>
      <w:r w:rsidR="001C23EB">
        <w:t>n insurers</w:t>
      </w:r>
      <w:r w:rsidRPr="00CB32B1">
        <w:t xml:space="preserve">. However, if an insurer were at risk from initial notification and appointed outside counsel for each case, </w:t>
      </w:r>
      <w:r w:rsidR="001C23EB">
        <w:t xml:space="preserve">consultations highlighted that </w:t>
      </w:r>
      <w:r w:rsidRPr="00CB32B1">
        <w:t>the likely claims costs would be 10-20 ti</w:t>
      </w:r>
      <w:r w:rsidR="001C23EB">
        <w:t>mes greater and outcomes worse. As a result, those consulted believed that if individual midwives had to c</w:t>
      </w:r>
      <w:r w:rsidRPr="00CB32B1">
        <w:t>arry</w:t>
      </w:r>
      <w:r w:rsidR="001C23EB">
        <w:t xml:space="preserve"> individual policies, t</w:t>
      </w:r>
      <w:r w:rsidRPr="00CB32B1">
        <w:t>he excesses would be prohibitive.</w:t>
      </w:r>
      <w:r w:rsidR="001C23EB">
        <w:rPr>
          <w:rStyle w:val="FootnoteReference"/>
        </w:rPr>
        <w:footnoteReference w:id="412"/>
      </w:r>
      <w:r w:rsidRPr="00CB32B1">
        <w:t xml:space="preserve"> </w:t>
      </w:r>
    </w:p>
    <w:p w:rsidR="00767B1A" w:rsidRPr="00CB32B1" w:rsidRDefault="00767B1A" w:rsidP="00767B1A">
      <w:pPr>
        <w:pStyle w:val="Minorheading2"/>
      </w:pPr>
      <w:r w:rsidRPr="00CB32B1">
        <w:t>Disciplinary cases</w:t>
      </w:r>
    </w:p>
    <w:p w:rsidR="00CA2775" w:rsidRPr="00CB32B1" w:rsidRDefault="00767B1A" w:rsidP="00425FC5">
      <w:pPr>
        <w:pStyle w:val="PwCNormal"/>
        <w:numPr>
          <w:ilvl w:val="0"/>
          <w:numId w:val="0"/>
        </w:numPr>
      </w:pPr>
      <w:r w:rsidRPr="00CB32B1">
        <w:t xml:space="preserve">For more information about the disciplinary cases against midwives providing homebirth services in New Zealand, refer to the </w:t>
      </w:r>
      <w:r w:rsidRPr="00CB32B1">
        <w:rPr>
          <w:i/>
        </w:rPr>
        <w:t>PwC Claims Report, 2013</w:t>
      </w:r>
      <w:r w:rsidR="000A7B59" w:rsidRPr="00CB32B1">
        <w:t>.</w:t>
      </w:r>
    </w:p>
    <w:p w:rsidR="00A114C6" w:rsidRPr="00CB32B1" w:rsidRDefault="00A114C6" w:rsidP="000A0D05">
      <w:pPr>
        <w:pStyle w:val="PwCNormal-Single"/>
        <w:rPr>
          <w:b/>
          <w:i/>
          <w:sz w:val="72"/>
        </w:rPr>
        <w:sectPr w:rsidR="00A114C6" w:rsidRPr="00CB32B1" w:rsidSect="007A1A20">
          <w:headerReference w:type="even" r:id="rId109"/>
          <w:headerReference w:type="default" r:id="rId110"/>
          <w:footerReference w:type="even" r:id="rId111"/>
          <w:footerReference w:type="default" r:id="rId112"/>
          <w:headerReference w:type="first" r:id="rId113"/>
          <w:pgSz w:w="11907" w:h="16840" w:code="9"/>
          <w:pgMar w:top="1699" w:right="1138" w:bottom="1699" w:left="1138" w:header="677" w:footer="677" w:gutter="562"/>
          <w:cols w:space="708"/>
          <w:titlePg/>
          <w:docGrid w:linePitch="360"/>
        </w:sectPr>
      </w:pPr>
    </w:p>
    <w:p w:rsidR="0001118E" w:rsidRPr="00CB32B1" w:rsidRDefault="0001118E" w:rsidP="00097ADE"/>
    <w:sectPr w:rsidR="0001118E" w:rsidRPr="00CB32B1" w:rsidSect="002F4681">
      <w:headerReference w:type="even" r:id="rId114"/>
      <w:headerReference w:type="default" r:id="rId115"/>
      <w:footerReference w:type="even" r:id="rId116"/>
      <w:footerReference w:type="default" r:id="rId117"/>
      <w:headerReference w:type="first" r:id="rId118"/>
      <w:footerReference w:type="first" r:id="rId119"/>
      <w:type w:val="evenPage"/>
      <w:pgSz w:w="11907" w:h="16840" w:code="9"/>
      <w:pgMar w:top="1701" w:right="1134" w:bottom="1701" w:left="680" w:header="680" w:footer="680" w:gutter="170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0027" w:rsidRDefault="00250027" w:rsidP="004343B3">
      <w:pPr>
        <w:pStyle w:val="Separator"/>
      </w:pPr>
      <w:r>
        <w:separator/>
      </w:r>
    </w:p>
  </w:endnote>
  <w:endnote w:type="continuationSeparator" w:id="0">
    <w:p w:rsidR="00250027" w:rsidRDefault="00250027" w:rsidP="004343B3">
      <w:pPr>
        <w:pStyle w:val="Separator"/>
      </w:pPr>
      <w:r>
        <w:continuationSeparator/>
      </w:r>
    </w:p>
  </w:endnote>
  <w:endnote w:type="continuationNotice" w:id="1">
    <w:p w:rsidR="00250027" w:rsidRDefault="00250027" w:rsidP="004343B3">
      <w:pPr>
        <w:pStyle w:val="Separato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Locator Light">
    <w:altName w:val="Cambria"/>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9129A6" w:rsidP="00924BB2">
    <w:pPr>
      <w:pStyle w:val="Footer-Even"/>
    </w:pPr>
    <w:r w:rsidRPr="009129A6">
      <w:rPr>
        <w:noProof/>
        <w:snapToGrid/>
        <w:lang w:eastAsia="en-AU"/>
      </w:rPr>
      <w:pict>
        <v:shapetype id="_x0000_t32" coordsize="21600,21600" o:spt="32" o:oned="t" path="m,l21600,21600e" filled="f">
          <v:path arrowok="t" fillok="f" o:connecttype="none"/>
          <o:lock v:ext="edit" shapetype="t"/>
        </v:shapetype>
        <v:shape id="AutoShape 271" o:spid="_x0000_s5353" type="#_x0000_t32" style="position:absolute;margin-left:34pt;margin-top:764.8pt;width:516pt;height:0;z-index:251855872;visibility:visible;mso-wrap-style:square;mso-width-percent:0;mso-height-percent:0;mso-wrap-distance-left:9.05pt;mso-wrap-distance-top:-6e-5mm;mso-wrap-distance-right:9.05pt;mso-wrap-distance-bottom:-6e-5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" strokecolor="#00b0f0">
          <w10:wrap anchorx="page" anchory="page"/>
        </v:shape>
      </w:pict>
    </w:r>
    <w:r w:rsidRPr="009129A6">
      <w:rPr>
        <w:noProof/>
        <w:snapToGrid/>
        <w:lang w:eastAsia="en-AU"/>
      </w:rPr>
      <w:pict>
        <v:shape id="AutoShape 270" o:spid="_x0000_s5352" type="#_x0000_t32" style="position:absolute;margin-left:34pt;margin-top:678.85pt;width:516pt;height:0;z-index:251854848;visibility:visible;mso-wrap-style:square;mso-width-percent:0;mso-height-percent:0;mso-wrap-distance-left:9.05pt;mso-wrap-distance-top:-6e-5mm;mso-wrap-distance-right:9.05pt;mso-wrap-distance-bottom:-6e-5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" strokecolor="#00b0f0">
          <w10:wrap anchorx="page" anchory="page"/>
        </v:shape>
      </w:pict>
    </w:r>
    <w:r w:rsidRPr="009129A6">
      <w:rPr>
        <w:noProof/>
        <w:snapToGrid/>
        <w:lang w:eastAsia="en-AU"/>
      </w:rPr>
      <w:pict>
        <v:shape id="AutoShape 269" o:spid="_x0000_s5351" type="#_x0000_t32" style="position:absolute;margin-left:34pt;margin-top:635.85pt;width:516pt;height:0;z-index:251853824;visibility:visible;mso-wrap-style:square;mso-width-percent:0;mso-height-percent:0;mso-wrap-distance-left:9.05pt;mso-wrap-distance-top:-6e-5mm;mso-wrap-distance-right:9.05pt;mso-wrap-distance-bottom:-6e-5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" strokecolor="#00b0f0">
          <w10:wrap anchorx="page" anchory="page"/>
        </v:shape>
      </w:pict>
    </w:r>
    <w:r w:rsidRPr="009129A6">
      <w:rPr>
        <w:noProof/>
        <w:snapToGrid/>
        <w:lang w:eastAsia="en-AU"/>
      </w:rPr>
      <w:pict>
        <v:shape id="AutoShape 268" o:spid="_x0000_s5350" type="#_x0000_t32" style="position:absolute;margin-left:34pt;margin-top:592.85pt;width:516pt;height:0;z-index:251852800;visibility:visible;mso-wrap-style:square;mso-width-percent:0;mso-height-percent:0;mso-wrap-distance-left:9.05pt;mso-wrap-distance-top:-6e-5mm;mso-wrap-distance-right:9.05pt;mso-wrap-distance-bottom:-6e-5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" strokecolor="#00b0f0">
          <w10:wrap anchorx="page" anchory="page"/>
        </v:shape>
      </w:pict>
    </w:r>
    <w:r w:rsidRPr="009129A6">
      <w:rPr>
        <w:noProof/>
        <w:snapToGrid/>
        <w:lang w:eastAsia="en-AU"/>
      </w:rPr>
      <w:pict>
        <v:shape id="AutoShape 267" o:spid="_x0000_s5349" type="#_x0000_t32" style="position:absolute;margin-left:34pt;margin-top:549.85pt;width:516pt;height:0;z-index:251851776;visibility:visible;mso-wrap-style:square;mso-width-percent:0;mso-height-percent:0;mso-wrap-distance-left:9.05pt;mso-wrap-distance-top:-6e-5mm;mso-wrap-distance-right:9.05pt;mso-wrap-distance-bottom:-6e-5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" strokecolor="#00b0f0">
          <w10:wrap anchorx="page" anchory="page"/>
        </v:shape>
      </w:pict>
    </w:r>
    <w:r w:rsidRPr="009129A6">
      <w:rPr>
        <w:noProof/>
        <w:snapToGrid/>
        <w:lang w:eastAsia="en-AU"/>
      </w:rPr>
      <w:pict>
        <v:shape id="AutoShape 266" o:spid="_x0000_s5348" type="#_x0000_t32" style="position:absolute;margin-left:34pt;margin-top:506.9pt;width:516pt;height:0;z-index:251850752;visibility:visible;mso-wrap-style:square;mso-width-percent:0;mso-height-percent:0;mso-wrap-distance-left:9.05pt;mso-wrap-distance-top:-6e-5mm;mso-wrap-distance-right:9.05pt;mso-wrap-distance-bottom:-6e-5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" strokecolor="#00b0f0">
          <w10:wrap anchorx="page" anchory="page"/>
        </v:shape>
      </w:pict>
    </w:r>
    <w:r w:rsidRPr="009129A6">
      <w:rPr>
        <w:noProof/>
        <w:snapToGrid/>
        <w:lang w:eastAsia="en-AU"/>
      </w:rPr>
      <w:pict>
        <v:shape id="AutoShape 245" o:spid="_x0000_s5347" type="#_x0000_t32" style="position:absolute;margin-left:34pt;margin-top:721.85pt;width:516pt;height:0;z-index:-251487232;visibility:visible;mso-wrap-style:square;mso-width-percent:0;mso-height-percent:0;mso-wrap-distance-left:9.05pt;mso-wrap-distance-top:-6e-5mm;mso-wrap-distance-right:9.05pt;mso-wrap-distance-bottom:-6e-5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" strokecolor="#00b0f0">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AA7A28" w:rsidRDefault="009129A6" w:rsidP="00336BAA">
    <w:pPr>
      <w:pStyle w:val="PwCAddress"/>
      <w:rPr>
        <w:b/>
        <w:lang w:val="en-AU"/>
      </w:rPr>
    </w:pPr>
    <w:r w:rsidRPr="009129A6">
      <w:rPr>
        <w:lang w:val="en-AU" w:eastAsia="en-AU"/>
      </w:rPr>
      <w:pict>
        <v:shape id="Freeform 1506" o:spid="_x0000_s5330" style="position:absolute;margin-left:87.85pt;margin-top:-8.2pt;width:465pt;height:11.35pt;z-index:252078080;visibility:visible;mso-wrap-style:square;mso-width-percent:0;mso-height-percent:0;mso-wrap-distance-left:9pt;mso-wrap-distance-top:0;mso-wrap-distance-right:9pt;mso-wrap-distance-bottom:0;mso-position-horizontal-relative:page;mso-position-vertical-relative:text;mso-width-percent:0;mso-height-percent:0;mso-width-relative:page;mso-height-relative:page;v-text-anchor:top" coordsize="9301,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" path="m,228l,,9301,e" filled="f" strokecolor="black [3213]" strokeweight="1pt">
          <v:stroke dashstyle="1 1" endcap="round"/>
          <v:path arrowok="t" o:connecttype="custom" o:connectlocs="0,144145;0,0;5905500,0" o:connectangles="0,0,0"/>
          <o:lock v:ext="edit" aspectratio="t"/>
          <w10:wrap anchorx="page"/>
          <w10:anchorlock/>
        </v:shape>
      </w:pict>
    </w:r>
    <w:r w:rsidR="00250027" w:rsidRPr="00AA7A28">
      <w:rPr>
        <w:b/>
        <w:lang w:val="en-US" w:eastAsia="en-US"/>
      </w:rPr>
      <w:t>PricewaterhouseCoopers</w:t>
    </w:r>
    <w:r w:rsidR="00250027" w:rsidRPr="00AA7A28">
      <w:rPr>
        <w:b/>
        <w:lang w:val="en-AU"/>
      </w:rPr>
      <w:t>, ABN 52 780 433 757</w:t>
    </w:r>
  </w:p>
  <w:p w:rsidR="00250027" w:rsidRDefault="00250027" w:rsidP="00336BAA">
    <w:pPr>
      <w:pStyle w:val="PwCAddress"/>
    </w:pPr>
    <w:r>
      <w:t>Freshwater Place, 2 Southbank Boulevard, SOUTHBANK VIC 3006, GPO Box 1331, MELBOURNE VIC 3001</w:t>
    </w:r>
  </w:p>
  <w:p w:rsidR="00250027" w:rsidRDefault="00250027" w:rsidP="00336BAA">
    <w:pPr>
      <w:pStyle w:val="PwCAddress"/>
    </w:pPr>
    <w:r>
      <w:t>T: +61 3 8603 1000, F:+61 3 8603 1999, www.pwc.com.au</w:t>
    </w:r>
  </w:p>
  <w:p w:rsidR="00250027" w:rsidRDefault="00250027" w:rsidP="00336BAA">
    <w:pPr>
      <w:pStyle w:val="PwCAddress"/>
    </w:pPr>
  </w:p>
  <w:p w:rsidR="00250027" w:rsidRPr="00336BAA" w:rsidRDefault="00250027" w:rsidP="00336BAA">
    <w:pPr>
      <w:pStyle w:val="Disclaimer"/>
    </w:pPr>
    <w:r w:rsidRPr="005B31BA">
      <w:t>Liability limited by a scheme approved under Professional Standards Legislation</w:t>
    </w:r>
    <w:r w:rsidRPr="005907D5">
      <w: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73770A" w:rsidRDefault="009129A6" w:rsidP="00924BB2">
    <w:pPr>
      <w:pStyle w:val="Footer"/>
    </w:pPr>
    <w:r>
      <w:fldChar w:fldCharType="begin"/>
    </w:r>
    <w:r w:rsidR="00250027">
      <w:instrText xml:space="preserve"> PAGE   \* MERGEFORMAT </w:instrText>
    </w:r>
    <w:r>
      <w:fldChar w:fldCharType="separate"/>
    </w:r>
    <w:r w:rsidR="00181400">
      <w:rPr>
        <w:noProof/>
      </w:rPr>
      <w:t>ii</w:t>
    </w:r>
    <w:r>
      <w:rPr>
        <w:noProof/>
      </w:rPr>
      <w:fldChar w:fldCharType="end"/>
    </w:r>
    <w:r w:rsidR="00250027" w:rsidRPr="0073770A">
      <w:tab/>
      <w:t>PwC</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73770A" w:rsidRDefault="00250027" w:rsidP="00924BB2">
    <w:pPr>
      <w:pStyle w:val="Footer"/>
    </w:pPr>
    <w:r>
      <w:t>PwC</w:t>
    </w:r>
    <w:r>
      <w:tab/>
    </w:r>
    <w:r w:rsidR="009129A6">
      <w:fldChar w:fldCharType="begin"/>
    </w:r>
    <w:r>
      <w:instrText xml:space="preserve"> PAGE   \* MERGEFORMAT </w:instrText>
    </w:r>
    <w:r w:rsidR="009129A6">
      <w:fldChar w:fldCharType="separate"/>
    </w:r>
    <w:r w:rsidR="00181400">
      <w:rPr>
        <w:noProof/>
      </w:rPr>
      <w:t>iii</w:t>
    </w:r>
    <w:r w:rsidR="009129A6">
      <w:rPr>
        <w:noProof/>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E96E47" w:rsidRDefault="00250027" w:rsidP="00E96E47">
    <w:pPr>
      <w:pStyle w:val="Footer"/>
    </w:pPr>
    <w:r>
      <w:t>PwC</w:t>
    </w:r>
    <w:r w:rsidRPr="0073770A">
      <w:tab/>
    </w:r>
    <w:r w:rsidR="009129A6">
      <w:fldChar w:fldCharType="begin"/>
    </w:r>
    <w:r>
      <w:instrText xml:space="preserve"> PAGE   \* MERGEFORMAT </w:instrText>
    </w:r>
    <w:r w:rsidR="009129A6">
      <w:fldChar w:fldCharType="separate"/>
    </w:r>
    <w:r w:rsidR="00181400">
      <w:rPr>
        <w:noProof/>
      </w:rPr>
      <w:t>i</w:t>
    </w:r>
    <w:r w:rsidR="009129A6">
      <w:rPr>
        <w:noProof/>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73770A" w:rsidRDefault="00250027" w:rsidP="00924BB2">
    <w:pPr>
      <w:pStyle w:val="Footer"/>
    </w:pPr>
    <w:r>
      <w:t>PwC</w:t>
    </w:r>
    <w:r>
      <w:tab/>
    </w:r>
    <w:r w:rsidR="009129A6">
      <w:fldChar w:fldCharType="begin"/>
    </w:r>
    <w:r>
      <w:instrText xml:space="preserve"> PAGE   \* MERGEFORMAT </w:instrText>
    </w:r>
    <w:r w:rsidR="009129A6">
      <w:fldChar w:fldCharType="separate"/>
    </w:r>
    <w:r w:rsidR="00181400">
      <w:rPr>
        <w:noProof/>
      </w:rPr>
      <w:t>xi</w:t>
    </w:r>
    <w:r w:rsidR="009129A6">
      <w:rPr>
        <w:noProof/>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9E01C9" w:rsidRDefault="009129A6" w:rsidP="00FC380D">
    <w:pPr>
      <w:pStyle w:val="Footer"/>
    </w:pPr>
    <w:r>
      <w:fldChar w:fldCharType="begin"/>
    </w:r>
    <w:r w:rsidR="00250027">
      <w:instrText xml:space="preserve"> PAGE   \* MERGEFORMAT </w:instrText>
    </w:r>
    <w:r>
      <w:fldChar w:fldCharType="separate"/>
    </w:r>
    <w:r w:rsidR="00181400">
      <w:rPr>
        <w:noProof/>
      </w:rPr>
      <w:t>104</w:t>
    </w:r>
    <w:r>
      <w:rPr>
        <w:noProof/>
      </w:rPr>
      <w:fldChar w:fldCharType="end"/>
    </w:r>
    <w:r w:rsidR="00250027">
      <w:tab/>
      <w:t>PwC</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9129A6" w:rsidP="00924BB2">
    <w:pPr>
      <w:pStyle w:val="Footer-ToC"/>
    </w:pPr>
    <w:r>
      <w:fldChar w:fldCharType="begin"/>
    </w:r>
    <w:r w:rsidR="000C182B">
      <w:instrText xml:space="preserve"> STYLEREF "Cover Title" </w:instrText>
    </w:r>
    <w:r>
      <w:fldChar w:fldCharType="separate"/>
    </w:r>
    <w:r w:rsidR="00250027">
      <w:rPr>
        <w:noProof/>
      </w:rPr>
      <w:t>Nursing and Midwifery Board of Australia</w:t>
    </w:r>
    <w:r>
      <w:rPr>
        <w:noProof/>
      </w:rPr>
      <w:fldChar w:fldCharType="end"/>
    </w:r>
  </w:p>
  <w:p w:rsidR="00250027" w:rsidRPr="000A1F3F" w:rsidRDefault="00250027" w:rsidP="00924BB2">
    <w:pPr>
      <w:pStyle w:val="Footer-ToC"/>
    </w:pPr>
    <w:r w:rsidRPr="000A1F3F">
      <w:t>PwC</w:t>
    </w:r>
    <w:r w:rsidRPr="000A1F3F">
      <w:tab/>
    </w:r>
    <w:r w:rsidR="009129A6">
      <w:fldChar w:fldCharType="begin"/>
    </w:r>
    <w:r>
      <w:instrText xml:space="preserve"> PAGE  \* MERGEFORMAT </w:instrText>
    </w:r>
    <w:r w:rsidR="009129A6">
      <w:fldChar w:fldCharType="separate"/>
    </w:r>
    <w:r>
      <w:rPr>
        <w:noProof/>
      </w:rPr>
      <w:t>3</w:t>
    </w:r>
    <w:r w:rsidR="009129A6">
      <w:rPr>
        <w:noProof/>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8C0B24" w:rsidRDefault="00250027" w:rsidP="00924BB2">
    <w:pPr>
      <w:pStyle w:val="Footer"/>
    </w:pPr>
    <w:r w:rsidRPr="00653553">
      <w:rPr>
        <w:color w:val="FFFFFF" w:themeColor="background1"/>
      </w:rPr>
      <w:t>PwC</w:t>
    </w:r>
    <w:r>
      <w:tab/>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9E01C9" w:rsidRDefault="00250027" w:rsidP="009E01C9">
    <w:pPr>
      <w:pStyle w:val="Footer"/>
    </w:pPr>
    <w:r>
      <w:t>PwC</w:t>
    </w:r>
    <w:r>
      <w:tab/>
    </w:r>
    <w:r w:rsidR="009129A6">
      <w:fldChar w:fldCharType="begin"/>
    </w:r>
    <w:r>
      <w:instrText xml:space="preserve"> PAGE   \* MERGEFORMAT </w:instrText>
    </w:r>
    <w:r w:rsidR="009129A6">
      <w:fldChar w:fldCharType="separate"/>
    </w:r>
    <w:r w:rsidR="00181400">
      <w:rPr>
        <w:noProof/>
      </w:rPr>
      <w:t>103</w:t>
    </w:r>
    <w:r w:rsidR="009129A6">
      <w:rPr>
        <w:noProof/>
      </w:rP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9E01C9" w:rsidRDefault="009129A6" w:rsidP="009E01C9">
    <w:pPr>
      <w:pStyle w:val="Footer"/>
    </w:pPr>
    <w:r>
      <w:fldChar w:fldCharType="begin"/>
    </w:r>
    <w:r w:rsidR="00250027">
      <w:instrText xml:space="preserve"> PAGE   \* MERGEFORMAT </w:instrText>
    </w:r>
    <w:r>
      <w:fldChar w:fldCharType="separate"/>
    </w:r>
    <w:r w:rsidR="00181400">
      <w:rPr>
        <w:noProof/>
      </w:rPr>
      <w:t>15</w:t>
    </w:r>
    <w:r>
      <w:rPr>
        <w:noProof/>
      </w:rPr>
      <w:fldChar w:fldCharType="end"/>
    </w:r>
    <w:r w:rsidR="00250027">
      <w:tab/>
      <w:t>PwC</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9129A6" w:rsidP="00924BB2">
    <w:pPr>
      <w:pStyle w:val="Footer-ToCEven"/>
    </w:pPr>
    <w:r>
      <w:fldChar w:fldCharType="begin"/>
    </w:r>
    <w:r w:rsidR="000C182B">
      <w:instrText xml:space="preserve"> STYLEREF "Cover Title" </w:instrText>
    </w:r>
    <w:r>
      <w:fldChar w:fldCharType="separate"/>
    </w:r>
    <w:r w:rsidR="00250027">
      <w:rPr>
        <w:noProof/>
      </w:rPr>
      <w:t>Nursing and Midwifery Board of Australia</w:t>
    </w:r>
    <w:r>
      <w:rPr>
        <w:noProof/>
      </w:rPr>
      <w:fldChar w:fldCharType="end"/>
    </w:r>
    <w:bookmarkStart w:id="104" w:name="SmallDoc"/>
    <w:bookmarkEnd w:id="104"/>
  </w:p>
  <w:p w:rsidR="00250027" w:rsidRPr="00A84ADF" w:rsidRDefault="00250027" w:rsidP="00924BB2">
    <w:pPr>
      <w:pStyle w:val="Footer-ToCEven"/>
    </w:pPr>
    <w:r>
      <w:t>PwC</w:t>
    </w:r>
    <w:r>
      <w:tab/>
    </w:r>
    <w:r w:rsidR="009129A6">
      <w:fldChar w:fldCharType="begin"/>
    </w:r>
    <w:r>
      <w:instrText xml:space="preserve"> PAGE  \* MERGEFORMAT </w:instrText>
    </w:r>
    <w:r w:rsidR="009129A6">
      <w:fldChar w:fldCharType="separate"/>
    </w:r>
    <w:r>
      <w:rPr>
        <w:noProof/>
      </w:rPr>
      <w:t>22</w:t>
    </w:r>
    <w:r w:rsidR="009129A6">
      <w:rPr>
        <w:noProof/>
      </w:rPr>
      <w:fldChar w:fldCharType="end"/>
    </w:r>
    <w:r>
      <w:tab/>
    </w:r>
    <w:r w:rsidRPr="00382A9D">
      <w:rPr>
        <w:rStyle w:val="FooterGrow"/>
      </w:rPr>
      <w:t>What would you like to grow?</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0A0D05" w:rsidRDefault="00250027" w:rsidP="00924BB2">
    <w:pPr>
      <w:pStyle w:val="Footer"/>
    </w:pPr>
    <w:r>
      <w:t>PwC</w:t>
    </w:r>
    <w:r>
      <w:tab/>
    </w:r>
    <w:r w:rsidR="009129A6">
      <w:fldChar w:fldCharType="begin"/>
    </w:r>
    <w:r>
      <w:instrText xml:space="preserve"> PAGE   \* MERGEFORMAT </w:instrText>
    </w:r>
    <w:r w:rsidR="009129A6">
      <w:fldChar w:fldCharType="separate"/>
    </w:r>
    <w:r w:rsidR="00181400">
      <w:rPr>
        <w:noProof/>
      </w:rPr>
      <w:t>109</w:t>
    </w:r>
    <w:r w:rsidR="009129A6">
      <w:rPr>
        <w:noProof/>
      </w:rP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924BB2" w:rsidRDefault="00250027" w:rsidP="00924BB2">
    <w:pPr>
      <w:pStyle w:val="Footer"/>
    </w:pPr>
    <w:r w:rsidRPr="00904784">
      <w:rPr>
        <w:color w:val="auto"/>
      </w:rPr>
      <w:t>PwC</w:t>
    </w:r>
    <w:r>
      <w:tab/>
    </w:r>
    <w:r w:rsidR="009129A6">
      <w:fldChar w:fldCharType="begin"/>
    </w:r>
    <w:r>
      <w:instrText xml:space="preserve"> PAGE   \* MERGEFORMAT </w:instrText>
    </w:r>
    <w:r w:rsidR="009129A6">
      <w:fldChar w:fldCharType="separate"/>
    </w:r>
    <w:r w:rsidR="00181400">
      <w:rPr>
        <w:noProof/>
      </w:rPr>
      <w:t>176</w:t>
    </w:r>
    <w:r w:rsidR="009129A6">
      <w:rPr>
        <w:noProof/>
      </w:rP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5075FD" w:rsidRDefault="009129A6" w:rsidP="005075FD">
    <w:pPr>
      <w:pStyle w:val="Footer"/>
    </w:pPr>
    <w:r>
      <w:fldChar w:fldCharType="begin"/>
    </w:r>
    <w:r w:rsidR="00250027">
      <w:instrText xml:space="preserve"> PAGE   \* MERGEFORMAT </w:instrText>
    </w:r>
    <w:r>
      <w:fldChar w:fldCharType="separate"/>
    </w:r>
    <w:r w:rsidR="00181400">
      <w:rPr>
        <w:noProof/>
      </w:rPr>
      <w:t>108</w:t>
    </w:r>
    <w:r>
      <w:rPr>
        <w:noProof/>
      </w:rPr>
      <w:fldChar w:fldCharType="end"/>
    </w:r>
    <w:r w:rsidR="00250027" w:rsidRPr="0073770A">
      <w:tab/>
      <w:t>PwC</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5075FD" w:rsidRDefault="009129A6" w:rsidP="005075FD">
    <w:pPr>
      <w:pStyle w:val="Footer"/>
    </w:pPr>
    <w:r>
      <w:fldChar w:fldCharType="begin"/>
    </w:r>
    <w:r w:rsidR="00250027">
      <w:instrText xml:space="preserve"> PAGE   \* MERGEFORMAT </w:instrText>
    </w:r>
    <w:r>
      <w:fldChar w:fldCharType="separate"/>
    </w:r>
    <w:r w:rsidR="00181400">
      <w:rPr>
        <w:noProof/>
      </w:rPr>
      <w:t>120</w:t>
    </w:r>
    <w:r>
      <w:rPr>
        <w:noProof/>
      </w:rPr>
      <w:fldChar w:fldCharType="end"/>
    </w:r>
    <w:r w:rsidR="00250027" w:rsidRPr="0073770A">
      <w:tab/>
      <w:t>PwC</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0A0D05" w:rsidRDefault="00250027" w:rsidP="00924BB2">
    <w:pPr>
      <w:pStyle w:val="Footer"/>
    </w:pPr>
    <w:r>
      <w:t>PwC</w:t>
    </w:r>
    <w:r>
      <w:tab/>
    </w:r>
    <w:r w:rsidR="009129A6">
      <w:fldChar w:fldCharType="begin"/>
    </w:r>
    <w:r>
      <w:instrText xml:space="preserve"> PAGE   \* MERGEFORMAT </w:instrText>
    </w:r>
    <w:r w:rsidR="009129A6">
      <w:fldChar w:fldCharType="separate"/>
    </w:r>
    <w:r w:rsidR="00181400">
      <w:rPr>
        <w:noProof/>
      </w:rPr>
      <w:t>139</w:t>
    </w:r>
    <w:r w:rsidR="009129A6">
      <w:rPr>
        <w:noProof/>
      </w:rPr>
      <w:fldChar w:fldCharType="end"/>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5075FD" w:rsidRDefault="009129A6" w:rsidP="005075FD">
    <w:pPr>
      <w:pStyle w:val="Footer"/>
    </w:pPr>
    <w:r>
      <w:fldChar w:fldCharType="begin"/>
    </w:r>
    <w:r w:rsidR="00250027">
      <w:instrText xml:space="preserve"> PAGE   \* MERGEFORMAT </w:instrText>
    </w:r>
    <w:r>
      <w:fldChar w:fldCharType="separate"/>
    </w:r>
    <w:r w:rsidR="00181400">
      <w:rPr>
        <w:noProof/>
      </w:rPr>
      <w:t>132</w:t>
    </w:r>
    <w:r>
      <w:rPr>
        <w:noProof/>
      </w:rPr>
      <w:fldChar w:fldCharType="end"/>
    </w:r>
    <w:r w:rsidR="00250027" w:rsidRPr="0073770A">
      <w:tab/>
      <w:t>PwC</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5075FD" w:rsidRDefault="009129A6" w:rsidP="005075FD">
    <w:pPr>
      <w:pStyle w:val="Footer"/>
    </w:pPr>
    <w:r>
      <w:fldChar w:fldCharType="begin"/>
    </w:r>
    <w:r w:rsidR="00250027">
      <w:instrText xml:space="preserve"> PAGE   \* MERGEFORMAT </w:instrText>
    </w:r>
    <w:r>
      <w:fldChar w:fldCharType="separate"/>
    </w:r>
    <w:r w:rsidR="00181400">
      <w:rPr>
        <w:noProof/>
      </w:rPr>
      <w:t>138</w:t>
    </w:r>
    <w:r>
      <w:rPr>
        <w:noProof/>
      </w:rPr>
      <w:fldChar w:fldCharType="end"/>
    </w:r>
    <w:r w:rsidR="00250027" w:rsidRPr="0073770A">
      <w:tab/>
      <w:t>PwC</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5075FD" w:rsidRDefault="009129A6" w:rsidP="005075FD">
    <w:pPr>
      <w:pStyle w:val="Footer"/>
    </w:pPr>
    <w:r>
      <w:fldChar w:fldCharType="begin"/>
    </w:r>
    <w:r w:rsidR="00250027">
      <w:instrText xml:space="preserve"> PAGE   \* MERGEFORMAT </w:instrText>
    </w:r>
    <w:r>
      <w:fldChar w:fldCharType="separate"/>
    </w:r>
    <w:r w:rsidR="00181400">
      <w:rPr>
        <w:noProof/>
      </w:rPr>
      <w:t>170</w:t>
    </w:r>
    <w:r>
      <w:rPr>
        <w:noProof/>
      </w:rPr>
      <w:fldChar w:fldCharType="end"/>
    </w:r>
    <w:r w:rsidR="00250027" w:rsidRPr="0073770A">
      <w:tab/>
      <w:t>PwC</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0A0D05" w:rsidRDefault="00250027" w:rsidP="00924BB2">
    <w:pPr>
      <w:pStyle w:val="Footer"/>
    </w:pPr>
    <w:r>
      <w:t>PwC</w:t>
    </w:r>
    <w:r>
      <w:tab/>
    </w:r>
    <w:r w:rsidR="009129A6">
      <w:fldChar w:fldCharType="begin"/>
    </w:r>
    <w:r>
      <w:instrText xml:space="preserve"> PAGE   \* MERGEFORMAT </w:instrText>
    </w:r>
    <w:r w:rsidR="009129A6">
      <w:fldChar w:fldCharType="separate"/>
    </w:r>
    <w:r w:rsidR="00181400">
      <w:rPr>
        <w:noProof/>
      </w:rPr>
      <w:t>169</w:t>
    </w:r>
    <w:r w:rsidR="009129A6">
      <w:rPr>
        <w:noProof/>
      </w:rPr>
      <w:fldChar w:fldCharType="end"/>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5075FD" w:rsidRDefault="009129A6" w:rsidP="00120CBC">
    <w:pPr>
      <w:pStyle w:val="Footer-Landscape"/>
    </w:pPr>
    <w:r>
      <w:fldChar w:fldCharType="begin"/>
    </w:r>
    <w:r w:rsidR="00250027">
      <w:instrText xml:space="preserve"> PAGE   \* MERGEFORMAT </w:instrText>
    </w:r>
    <w:r>
      <w:fldChar w:fldCharType="separate"/>
    </w:r>
    <w:r w:rsidR="00181400">
      <w:rPr>
        <w:noProof/>
      </w:rPr>
      <w:t>174</w:t>
    </w:r>
    <w:r>
      <w:rPr>
        <w:noProof/>
      </w:rPr>
      <w:fldChar w:fldCharType="end"/>
    </w:r>
    <w:r w:rsidR="00250027" w:rsidRPr="0073770A">
      <w:tab/>
      <w:t>PwC</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0A0D05" w:rsidRDefault="00250027" w:rsidP="00120CBC">
    <w:pPr>
      <w:pStyle w:val="Footer-Landscape"/>
    </w:pPr>
    <w:r>
      <w:t>PwC</w:t>
    </w:r>
    <w:r>
      <w:tab/>
    </w:r>
    <w:r w:rsidR="009129A6">
      <w:fldChar w:fldCharType="begin"/>
    </w:r>
    <w:r>
      <w:instrText xml:space="preserve"> PAGE   \* MERGEFORMAT </w:instrText>
    </w:r>
    <w:r w:rsidR="009129A6">
      <w:fldChar w:fldCharType="separate"/>
    </w:r>
    <w:r w:rsidR="00181400">
      <w:rPr>
        <w:noProof/>
      </w:rPr>
      <w:t>175</w:t>
    </w:r>
    <w:r w:rsidR="009129A6">
      <w:rPr>
        <w:noProof/>
      </w:rPr>
      <w:fldChar w:fldCharType="end"/>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5075FD" w:rsidRDefault="009129A6" w:rsidP="005075FD">
    <w:pPr>
      <w:pStyle w:val="Footer"/>
    </w:pPr>
    <w:r>
      <w:fldChar w:fldCharType="begin"/>
    </w:r>
    <w:r w:rsidR="00250027">
      <w:instrText xml:space="preserve"> PAGE   \* MERGEFORMAT </w:instrText>
    </w:r>
    <w:r>
      <w:fldChar w:fldCharType="separate"/>
    </w:r>
    <w:r w:rsidR="00181400">
      <w:rPr>
        <w:noProof/>
      </w:rPr>
      <w:t>202</w:t>
    </w:r>
    <w:r>
      <w:rPr>
        <w:noProof/>
      </w:rPr>
      <w:fldChar w:fldCharType="end"/>
    </w:r>
    <w:r w:rsidR="00250027" w:rsidRPr="0073770A">
      <w:tab/>
      <w:t>PwC</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0A0D05" w:rsidRDefault="00250027" w:rsidP="00120CBC">
    <w:pPr>
      <w:pStyle w:val="Footer"/>
    </w:pPr>
    <w:r>
      <w:t>PwC</w:t>
    </w:r>
    <w:r>
      <w:tab/>
    </w:r>
    <w:r w:rsidR="009129A6">
      <w:fldChar w:fldCharType="begin"/>
    </w:r>
    <w:r>
      <w:instrText xml:space="preserve"> PAGE   \* MERGEFORMAT </w:instrText>
    </w:r>
    <w:r w:rsidR="009129A6">
      <w:fldChar w:fldCharType="separate"/>
    </w:r>
    <w:r w:rsidR="00181400">
      <w:rPr>
        <w:noProof/>
      </w:rPr>
      <w:t>203</w:t>
    </w:r>
    <w:r w:rsidR="009129A6">
      <w:rPr>
        <w:noProof/>
      </w:rPr>
      <w:fldChar w:fldCharType="end"/>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rsidP="00A114C6">
    <w:pPr>
      <w:pStyle w:val="URL"/>
      <w:framePr w:wrap="around"/>
    </w:pPr>
    <w:r>
      <w:t>www.pwc.com.au</w:t>
    </w:r>
  </w:p>
  <w:p w:rsidR="00250027" w:rsidRDefault="00250027" w:rsidP="006B00F4">
    <w:pPr>
      <w:pStyle w:val="Copyright"/>
      <w:framePr w:wrap="around" w:y="13522"/>
    </w:pPr>
    <w:r>
      <w:t>© 2013 PricewaterhouseCoopers. All rights reserved.</w:t>
    </w:r>
  </w:p>
  <w:p w:rsidR="00250027" w:rsidRDefault="00250027" w:rsidP="006B00F4">
    <w:pPr>
      <w:pStyle w:val="Copyright"/>
      <w:framePr w:wrap="around" w:y="13522"/>
    </w:pPr>
    <w:r>
      <w:t>PwC refers to the Australian member firm, and may sometimes refer to the PwC network. Each member firm is a separate legal entity. Please see www.pwc.com/structure for further details.</w:t>
    </w:r>
  </w:p>
  <w:p w:rsidR="00250027" w:rsidRDefault="00250027" w:rsidP="006B00F4">
    <w:pPr>
      <w:pStyle w:val="Copyright"/>
      <w:framePr w:wrap="around" w:y="13522"/>
    </w:pPr>
    <w:r>
      <w:t>Liability limited by a scheme approved under Professional Standards Legislation.</w:t>
    </w:r>
  </w:p>
  <w:p w:rsidR="00250027" w:rsidRPr="00034812" w:rsidRDefault="00250027" w:rsidP="006B00F4">
    <w:pPr>
      <w:pStyle w:val="Copyright"/>
      <w:framePr w:wrap="around" w:y="13522"/>
    </w:pPr>
    <w:r>
      <w:t>PwC Australia helps organisations and individuals create the value they’re looking for. We’re a member of the PwC network of firms in 158 countries with close to 169,000 people. We’re committed to delivering quality in assurance, tax and advisory services. Tell us what matters to you and find out more by visiting us at www.pwc.com.au.</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rsidP="00A114C6">
    <w:pPr>
      <w:pStyle w:val="URL"/>
      <w:framePr w:wrap="around"/>
    </w:pPr>
    <w:r>
      <w:t>pwc.com.au</w:t>
    </w:r>
  </w:p>
  <w:p w:rsidR="00250027" w:rsidRPr="000A0D05" w:rsidRDefault="00250027" w:rsidP="00A114C6">
    <w:pPr>
      <w:pStyle w:val="Copyright"/>
      <w:framePr w:wrap="around"/>
    </w:pPr>
    <w:r>
      <w:t>© 2011 PricewaterhouseCoopers. All rights reserved. In this document, "PwC" refers to PricewaterhouseCoopers a partnership formed in Australia, which is a member firm of PricewaterhouseCoopers International Limited, each member firm of which is a separate legal entity.</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rsidP="00A114C6">
    <w:pPr>
      <w:pStyle w:val="URL"/>
      <w:framePr w:wrap="around"/>
    </w:pPr>
    <w:r>
      <w:t>pwc.com.au</w:t>
    </w:r>
  </w:p>
  <w:p w:rsidR="00250027" w:rsidRPr="00816E76" w:rsidRDefault="00250027" w:rsidP="00A114C6">
    <w:pPr>
      <w:pStyle w:val="Copyright"/>
      <w:framePr w:wrap="around"/>
    </w:pPr>
    <w:r>
      <w:t>© 2011 PricewaterhouseCoopers. All rights reserved. In this document, "PwC" refers to PricewaterhouseCoopers a partnership formed in Australia, which is a member firm of PricewaterhouseCoopers International Limited, each member firm of which is a separate legal entity.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0027" w:rsidRDefault="00250027" w:rsidP="004343B3">
      <w:pPr>
        <w:pStyle w:val="Separator"/>
      </w:pPr>
      <w:r>
        <w:separator/>
      </w:r>
    </w:p>
  </w:footnote>
  <w:footnote w:type="continuationSeparator" w:id="0">
    <w:p w:rsidR="00250027" w:rsidRDefault="00250027" w:rsidP="004343B3">
      <w:pPr>
        <w:pStyle w:val="Separator"/>
      </w:pPr>
      <w:r>
        <w:continuationSeparator/>
      </w:r>
    </w:p>
  </w:footnote>
  <w:footnote w:type="continuationNotice" w:id="1">
    <w:p w:rsidR="00250027" w:rsidRDefault="00250027" w:rsidP="004343B3">
      <w:pPr>
        <w:pStyle w:val="Separator"/>
      </w:pPr>
    </w:p>
  </w:footnote>
  <w:footnote w:id="2">
    <w:p w:rsidR="00250027" w:rsidRPr="00E90495" w:rsidRDefault="00250027" w:rsidP="001F7539">
      <w:pPr>
        <w:pStyle w:val="FootnoteText"/>
        <w:ind w:left="284" w:hanging="284"/>
        <w:rPr>
          <w:rStyle w:val="FootnoteReference"/>
          <w:rFonts w:ascii="Georgia" w:hAnsi="Georgia"/>
          <w:sz w:val="14"/>
          <w:vertAlign w:val="baseline"/>
        </w:rPr>
      </w:pPr>
      <w:r w:rsidRPr="00E90495">
        <w:rPr>
          <w:rStyle w:val="FootnoteReference"/>
          <w:rFonts w:ascii="Georgia" w:hAnsi="Georgia"/>
          <w:sz w:val="14"/>
          <w:vertAlign w:val="baseline"/>
        </w:rPr>
        <w:footnoteRef/>
      </w:r>
      <w:r w:rsidRPr="00E90495">
        <w:rPr>
          <w:rStyle w:val="FootnoteReference"/>
          <w:rFonts w:ascii="Georgia" w:hAnsi="Georgia"/>
          <w:sz w:val="14"/>
          <w:vertAlign w:val="baseline"/>
        </w:rPr>
        <w:tab/>
        <w:t xml:space="preserve">Commonwealth of Australia, </w:t>
      </w:r>
      <w:r>
        <w:rPr>
          <w:rStyle w:val="FootnoteReference"/>
          <w:rFonts w:ascii="Georgia" w:hAnsi="Georgia"/>
          <w:sz w:val="14"/>
          <w:vertAlign w:val="baseline"/>
        </w:rPr>
        <w:t>2008a</w:t>
      </w:r>
      <w:r w:rsidRPr="00E90495">
        <w:rPr>
          <w:rStyle w:val="FootnoteReference"/>
          <w:rFonts w:ascii="Georgia" w:hAnsi="Georgia"/>
          <w:sz w:val="14"/>
          <w:vertAlign w:val="baseline"/>
        </w:rPr>
        <w:t>.</w:t>
      </w:r>
    </w:p>
  </w:footnote>
  <w:footnote w:id="3">
    <w:p w:rsidR="00250027" w:rsidRDefault="00250027" w:rsidP="001F7539">
      <w:pPr>
        <w:pStyle w:val="FootnoteText"/>
        <w:ind w:left="284" w:hanging="284"/>
      </w:pPr>
      <w:r>
        <w:rPr>
          <w:rStyle w:val="FootnoteReference"/>
        </w:rPr>
        <w:footnoteRef/>
      </w:r>
      <w:r>
        <w:tab/>
        <w:t>Dahlen H, Jackson M, Schmied V, Tracy S &amp; Priddis H 2011.</w:t>
      </w:r>
    </w:p>
  </w:footnote>
  <w:footnote w:id="4">
    <w:p w:rsidR="00250027" w:rsidRPr="00FB01BD" w:rsidRDefault="00250027" w:rsidP="001F7539">
      <w:pPr>
        <w:pStyle w:val="FootnoteText"/>
        <w:ind w:left="284" w:hanging="284"/>
        <w:rPr>
          <w:rStyle w:val="FootnoteReference"/>
        </w:rPr>
      </w:pPr>
      <w:r w:rsidRPr="00E90495">
        <w:rPr>
          <w:rStyle w:val="FootnoteReference"/>
          <w:rFonts w:ascii="Georgia" w:hAnsi="Georgia"/>
          <w:sz w:val="14"/>
          <w:vertAlign w:val="baseline"/>
        </w:rPr>
        <w:footnoteRef/>
      </w:r>
      <w:r w:rsidRPr="00E90495">
        <w:rPr>
          <w:rStyle w:val="FootnoteReference"/>
          <w:rFonts w:ascii="Georgia" w:hAnsi="Georgia"/>
          <w:sz w:val="14"/>
          <w:vertAlign w:val="baseline"/>
        </w:rPr>
        <w:tab/>
      </w:r>
      <w:r>
        <w:rPr>
          <w:rStyle w:val="FootnoteReference"/>
          <w:rFonts w:ascii="Georgia" w:hAnsi="Georgia"/>
          <w:sz w:val="14"/>
          <w:vertAlign w:val="baseline"/>
        </w:rPr>
        <w:t>Ibid, p.3</w:t>
      </w:r>
      <w:r w:rsidRPr="00E90495">
        <w:rPr>
          <w:rStyle w:val="FootnoteReference"/>
          <w:rFonts w:ascii="Georgia" w:hAnsi="Georgia"/>
          <w:sz w:val="14"/>
          <w:vertAlign w:val="baseline"/>
        </w:rPr>
        <w:t>.</w:t>
      </w:r>
    </w:p>
  </w:footnote>
  <w:footnote w:id="5">
    <w:p w:rsidR="00250027" w:rsidRPr="00E90495" w:rsidRDefault="00250027" w:rsidP="00E90495">
      <w:pPr>
        <w:pStyle w:val="FootnoteText"/>
        <w:rPr>
          <w:rStyle w:val="FootnoteReference"/>
          <w:rFonts w:ascii="Georgia" w:hAnsi="Georgia"/>
          <w:sz w:val="14"/>
          <w:vertAlign w:val="baseline"/>
        </w:rPr>
      </w:pPr>
      <w:r w:rsidRPr="00E90495">
        <w:rPr>
          <w:rStyle w:val="FootnoteReference"/>
          <w:rFonts w:ascii="Georgia" w:hAnsi="Georgia"/>
          <w:sz w:val="14"/>
          <w:vertAlign w:val="baseline"/>
        </w:rPr>
        <w:footnoteRef/>
      </w:r>
      <w:r w:rsidRPr="00E90495">
        <w:rPr>
          <w:rStyle w:val="FootnoteReference"/>
          <w:rFonts w:ascii="Georgia" w:hAnsi="Georgia"/>
          <w:sz w:val="14"/>
          <w:vertAlign w:val="baseline"/>
        </w:rPr>
        <w:tab/>
        <w:t>Homer C</w:t>
      </w:r>
      <w:r>
        <w:rPr>
          <w:rStyle w:val="FootnoteReference"/>
          <w:rFonts w:ascii="Georgia" w:hAnsi="Georgia"/>
          <w:sz w:val="14"/>
          <w:vertAlign w:val="baseline"/>
        </w:rPr>
        <w:t xml:space="preserve"> 2011</w:t>
      </w:r>
      <w:r w:rsidRPr="00E90495">
        <w:rPr>
          <w:rStyle w:val="FootnoteReference"/>
          <w:rFonts w:ascii="Georgia" w:hAnsi="Georgia"/>
          <w:sz w:val="14"/>
          <w:vertAlign w:val="baseline"/>
        </w:rPr>
        <w:t>.</w:t>
      </w:r>
    </w:p>
  </w:footnote>
  <w:footnote w:id="6">
    <w:p w:rsidR="00250027" w:rsidRPr="00E90495" w:rsidRDefault="00250027" w:rsidP="00E90495">
      <w:pPr>
        <w:pStyle w:val="FootnoteText"/>
        <w:rPr>
          <w:rStyle w:val="FootnoteReference"/>
          <w:rFonts w:ascii="Georgia" w:hAnsi="Georgia"/>
          <w:sz w:val="14"/>
          <w:vertAlign w:val="baseline"/>
        </w:rPr>
      </w:pPr>
      <w:r w:rsidRPr="00E90495">
        <w:rPr>
          <w:rStyle w:val="FootnoteReference"/>
          <w:rFonts w:ascii="Georgia" w:hAnsi="Georgia"/>
          <w:sz w:val="14"/>
          <w:vertAlign w:val="baseline"/>
        </w:rPr>
        <w:footnoteRef/>
      </w:r>
      <w:r w:rsidRPr="00E90495">
        <w:rPr>
          <w:rStyle w:val="FootnoteReference"/>
          <w:rFonts w:ascii="Georgia" w:hAnsi="Georgia"/>
          <w:sz w:val="14"/>
          <w:vertAlign w:val="baseline"/>
        </w:rPr>
        <w:tab/>
        <w:t>Catling-Paull C</w:t>
      </w:r>
      <w:r>
        <w:rPr>
          <w:rStyle w:val="FootnoteReference"/>
          <w:rFonts w:ascii="Georgia" w:hAnsi="Georgia"/>
          <w:sz w:val="14"/>
          <w:vertAlign w:val="baseline"/>
        </w:rPr>
        <w:t xml:space="preserve">, Foureur MJ &amp; Homer CS </w:t>
      </w:r>
      <w:r>
        <w:t>2012</w:t>
      </w:r>
      <w:r w:rsidRPr="00E90495">
        <w:rPr>
          <w:rStyle w:val="FootnoteReference"/>
          <w:rFonts w:ascii="Georgia" w:hAnsi="Georgia"/>
          <w:sz w:val="14"/>
          <w:vertAlign w:val="baseline"/>
        </w:rPr>
        <w:t>.</w:t>
      </w:r>
    </w:p>
  </w:footnote>
  <w:footnote w:id="7">
    <w:p w:rsidR="00250027" w:rsidRPr="00E90495" w:rsidRDefault="00250027" w:rsidP="006C0A91">
      <w:pPr>
        <w:pStyle w:val="FootnoteText"/>
        <w:rPr>
          <w:rStyle w:val="FootnoteReference"/>
          <w:rFonts w:ascii="Georgia" w:hAnsi="Georgia"/>
          <w:sz w:val="14"/>
          <w:vertAlign w:val="baseline"/>
        </w:rPr>
      </w:pPr>
      <w:r w:rsidRPr="00E90495">
        <w:rPr>
          <w:rStyle w:val="FootnoteReference"/>
          <w:rFonts w:ascii="Georgia" w:hAnsi="Georgia"/>
          <w:sz w:val="14"/>
          <w:vertAlign w:val="baseline"/>
        </w:rPr>
        <w:footnoteRef/>
      </w:r>
      <w:r w:rsidRPr="00E90495">
        <w:rPr>
          <w:rStyle w:val="FootnoteReference"/>
          <w:rFonts w:ascii="Georgia" w:hAnsi="Georgia"/>
          <w:sz w:val="14"/>
          <w:vertAlign w:val="baseline"/>
        </w:rPr>
        <w:tab/>
        <w:t>Commonwealth of Australia</w:t>
      </w:r>
      <w:r>
        <w:t>,</w:t>
      </w:r>
      <w:r w:rsidRPr="00E90495">
        <w:rPr>
          <w:rStyle w:val="FootnoteReference"/>
          <w:rFonts w:ascii="Georgia" w:hAnsi="Georgia"/>
          <w:sz w:val="14"/>
          <w:vertAlign w:val="baseline"/>
        </w:rPr>
        <w:t xml:space="preserve"> 2008</w:t>
      </w:r>
      <w:r>
        <w:rPr>
          <w:rStyle w:val="FootnoteReference"/>
          <w:rFonts w:ascii="Georgia" w:hAnsi="Georgia"/>
          <w:sz w:val="14"/>
          <w:vertAlign w:val="baseline"/>
        </w:rPr>
        <w:t>a</w:t>
      </w:r>
      <w:r w:rsidRPr="00E90495">
        <w:rPr>
          <w:rStyle w:val="FootnoteReference"/>
          <w:rFonts w:ascii="Georgia" w:hAnsi="Georgia"/>
          <w:sz w:val="14"/>
          <w:vertAlign w:val="baseline"/>
        </w:rPr>
        <w:t>.</w:t>
      </w:r>
    </w:p>
  </w:footnote>
  <w:footnote w:id="8">
    <w:p w:rsidR="00250027" w:rsidRPr="00FB01BD" w:rsidRDefault="00250027" w:rsidP="00E90495">
      <w:pPr>
        <w:pStyle w:val="FootnoteText"/>
        <w:rPr>
          <w:rStyle w:val="FootnoteReference"/>
        </w:rPr>
      </w:pPr>
      <w:r w:rsidRPr="00E90495">
        <w:rPr>
          <w:rStyle w:val="FootnoteReference"/>
          <w:rFonts w:ascii="Georgia" w:hAnsi="Georgia"/>
          <w:sz w:val="14"/>
          <w:vertAlign w:val="baseline"/>
        </w:rPr>
        <w:footnoteRef/>
      </w:r>
      <w:r w:rsidRPr="00E90495">
        <w:rPr>
          <w:rStyle w:val="FootnoteReference"/>
          <w:rFonts w:ascii="Georgia" w:hAnsi="Georgia"/>
          <w:sz w:val="14"/>
          <w:vertAlign w:val="baseline"/>
        </w:rPr>
        <w:tab/>
        <w:t>Although it should be noted that the product available in England</w:t>
      </w:r>
      <w:r>
        <w:t xml:space="preserve"> </w:t>
      </w:r>
      <w:r w:rsidRPr="00E90495">
        <w:rPr>
          <w:rStyle w:val="FootnoteReference"/>
          <w:rFonts w:ascii="Georgia" w:hAnsi="Georgia"/>
          <w:sz w:val="14"/>
          <w:vertAlign w:val="baseline"/>
        </w:rPr>
        <w:t>is only available for a legal entity in which a group of midwives practise.</w:t>
      </w:r>
    </w:p>
  </w:footnote>
  <w:footnote w:id="9">
    <w:p w:rsidR="00250027" w:rsidRPr="00E90495" w:rsidRDefault="00250027" w:rsidP="00E90495">
      <w:pPr>
        <w:pStyle w:val="FootnoteText"/>
        <w:rPr>
          <w:rStyle w:val="FootnoteReference"/>
          <w:rFonts w:ascii="Georgia" w:hAnsi="Georgia"/>
          <w:sz w:val="14"/>
          <w:vertAlign w:val="baseline"/>
        </w:rPr>
      </w:pPr>
      <w:r w:rsidRPr="00E90495">
        <w:rPr>
          <w:rStyle w:val="FootnoteReference"/>
          <w:rFonts w:ascii="Georgia" w:hAnsi="Georgia"/>
          <w:sz w:val="14"/>
          <w:vertAlign w:val="baseline"/>
        </w:rPr>
        <w:footnoteRef/>
      </w:r>
      <w:r w:rsidRPr="00E90495">
        <w:rPr>
          <w:rStyle w:val="FootnoteReference"/>
          <w:rFonts w:ascii="Georgia" w:hAnsi="Georgia"/>
          <w:sz w:val="14"/>
          <w:vertAlign w:val="baseline"/>
        </w:rPr>
        <w:tab/>
        <w:t>Note that this may be changing with the advent of The European Directive (2011/24/EU).</w:t>
      </w:r>
    </w:p>
  </w:footnote>
  <w:footnote w:id="10">
    <w:p w:rsidR="00250027" w:rsidRPr="00E90495" w:rsidRDefault="00250027" w:rsidP="00E90495">
      <w:pPr>
        <w:pStyle w:val="FootnoteText"/>
        <w:rPr>
          <w:rStyle w:val="FootnoteReference"/>
          <w:rFonts w:ascii="Georgia" w:hAnsi="Georgia"/>
          <w:sz w:val="14"/>
          <w:vertAlign w:val="baseline"/>
        </w:rPr>
      </w:pPr>
      <w:r w:rsidRPr="00E90495">
        <w:rPr>
          <w:rStyle w:val="FootnoteReference"/>
          <w:rFonts w:ascii="Georgia" w:hAnsi="Georgia"/>
          <w:sz w:val="14"/>
          <w:vertAlign w:val="baseline"/>
        </w:rPr>
        <w:footnoteRef/>
      </w:r>
      <w:r w:rsidRPr="00E90495">
        <w:rPr>
          <w:rStyle w:val="FootnoteReference"/>
          <w:rFonts w:ascii="Georgia" w:hAnsi="Georgia"/>
          <w:sz w:val="14"/>
          <w:vertAlign w:val="baseline"/>
        </w:rPr>
        <w:tab/>
      </w:r>
      <w:r>
        <w:rPr>
          <w:rStyle w:val="FootnoteReference"/>
          <w:rFonts w:ascii="Georgia" w:hAnsi="Georgia"/>
          <w:sz w:val="14"/>
          <w:vertAlign w:val="baseline"/>
        </w:rPr>
        <w:t>A</w:t>
      </w:r>
      <w:r>
        <w:t>ustralian Institute of Health and Welfare, 2013.</w:t>
      </w:r>
    </w:p>
  </w:footnote>
  <w:footnote w:id="11">
    <w:p w:rsidR="00250027" w:rsidRDefault="00250027">
      <w:pPr>
        <w:pStyle w:val="FootnoteText"/>
      </w:pPr>
      <w:r>
        <w:rPr>
          <w:rStyle w:val="FootnoteReference"/>
        </w:rPr>
        <w:footnoteRef/>
      </w:r>
      <w:r>
        <w:t xml:space="preserve"> Nursing Board of Australia, 2012.</w:t>
      </w:r>
    </w:p>
  </w:footnote>
  <w:footnote w:id="12">
    <w:p w:rsidR="00250027" w:rsidRPr="00E90495" w:rsidRDefault="00250027" w:rsidP="00D47936">
      <w:pPr>
        <w:pStyle w:val="FootnoteText"/>
        <w:rPr>
          <w:rStyle w:val="FootnoteReference"/>
          <w:rFonts w:ascii="Georgia" w:hAnsi="Georgia"/>
          <w:sz w:val="14"/>
          <w:vertAlign w:val="baseline"/>
        </w:rPr>
      </w:pPr>
      <w:r w:rsidRPr="00E90495">
        <w:rPr>
          <w:rStyle w:val="FootnoteReference"/>
          <w:rFonts w:ascii="Georgia" w:hAnsi="Georgia"/>
          <w:sz w:val="14"/>
          <w:vertAlign w:val="baseline"/>
        </w:rPr>
        <w:footnoteRef/>
      </w:r>
      <w:r w:rsidRPr="00E90495">
        <w:rPr>
          <w:rStyle w:val="FootnoteReference"/>
          <w:rFonts w:ascii="Georgia" w:hAnsi="Georgia"/>
          <w:sz w:val="14"/>
          <w:vertAlign w:val="baseline"/>
        </w:rPr>
        <w:tab/>
        <w:t>NSW Nurses and Midwives’ Association</w:t>
      </w:r>
      <w:r>
        <w:t>,</w:t>
      </w:r>
      <w:r w:rsidRPr="00E90495">
        <w:rPr>
          <w:rStyle w:val="FootnoteReference"/>
          <w:rFonts w:ascii="Georgia" w:hAnsi="Georgia"/>
          <w:sz w:val="14"/>
          <w:vertAlign w:val="baseline"/>
        </w:rPr>
        <w:t xml:space="preserve"> 2009.</w:t>
      </w:r>
    </w:p>
  </w:footnote>
  <w:footnote w:id="13">
    <w:p w:rsidR="00250027" w:rsidRPr="00E90495" w:rsidRDefault="00250027" w:rsidP="00E90495">
      <w:pPr>
        <w:pStyle w:val="FootnoteText"/>
        <w:rPr>
          <w:rStyle w:val="FootnoteReference"/>
          <w:rFonts w:ascii="Georgia" w:hAnsi="Georgia"/>
          <w:sz w:val="14"/>
          <w:vertAlign w:val="baseline"/>
        </w:rPr>
      </w:pPr>
      <w:r w:rsidRPr="00E90495">
        <w:rPr>
          <w:rStyle w:val="FootnoteReference"/>
          <w:rFonts w:ascii="Georgia" w:hAnsi="Georgia"/>
          <w:sz w:val="14"/>
          <w:vertAlign w:val="baseline"/>
        </w:rPr>
        <w:footnoteRef/>
      </w:r>
      <w:r w:rsidRPr="00E90495">
        <w:rPr>
          <w:rStyle w:val="FootnoteReference"/>
          <w:rFonts w:ascii="Georgia" w:hAnsi="Georgia"/>
          <w:sz w:val="14"/>
          <w:vertAlign w:val="baseline"/>
        </w:rPr>
        <w:tab/>
        <w:t>Commonwealth of Australia</w:t>
      </w:r>
      <w:r>
        <w:t>,</w:t>
      </w:r>
      <w:r>
        <w:rPr>
          <w:rStyle w:val="FootnoteReference"/>
          <w:rFonts w:ascii="Georgia" w:hAnsi="Georgia"/>
          <w:sz w:val="14"/>
          <w:vertAlign w:val="baseline"/>
        </w:rPr>
        <w:t xml:space="preserve"> 2009.</w:t>
      </w:r>
    </w:p>
  </w:footnote>
  <w:footnote w:id="14">
    <w:p w:rsidR="00250027" w:rsidRPr="00FB01BD" w:rsidRDefault="00250027" w:rsidP="00E90495">
      <w:pPr>
        <w:pStyle w:val="FootnoteText"/>
        <w:rPr>
          <w:rStyle w:val="FootnoteReference"/>
        </w:rPr>
      </w:pPr>
      <w:r w:rsidRPr="00E90495">
        <w:rPr>
          <w:rStyle w:val="FootnoteReference"/>
          <w:rFonts w:ascii="Georgia" w:hAnsi="Georgia"/>
          <w:sz w:val="14"/>
          <w:vertAlign w:val="baseline"/>
        </w:rPr>
        <w:footnoteRef/>
      </w:r>
      <w:r w:rsidRPr="00E90495">
        <w:rPr>
          <w:rStyle w:val="FootnoteReference"/>
          <w:rFonts w:ascii="Georgia" w:hAnsi="Georgia"/>
          <w:sz w:val="14"/>
          <w:vertAlign w:val="baseline"/>
        </w:rPr>
        <w:tab/>
        <w:t>Commonwealth of Australia</w:t>
      </w:r>
      <w:r>
        <w:t>,</w:t>
      </w:r>
      <w:r w:rsidRPr="00E90495">
        <w:rPr>
          <w:rStyle w:val="FootnoteReference"/>
          <w:rFonts w:ascii="Georgia" w:hAnsi="Georgia"/>
          <w:sz w:val="14"/>
          <w:vertAlign w:val="baseline"/>
        </w:rPr>
        <w:t xml:space="preserve"> 2008</w:t>
      </w:r>
      <w:r>
        <w:rPr>
          <w:rStyle w:val="FootnoteReference"/>
          <w:rFonts w:ascii="Georgia" w:hAnsi="Georgia"/>
          <w:sz w:val="14"/>
          <w:vertAlign w:val="baseline"/>
        </w:rPr>
        <w:t>a</w:t>
      </w:r>
      <w:r w:rsidRPr="00E90495">
        <w:rPr>
          <w:rStyle w:val="FootnoteReference"/>
          <w:rFonts w:ascii="Georgia" w:hAnsi="Georgia"/>
          <w:sz w:val="14"/>
          <w:vertAlign w:val="baseline"/>
        </w:rPr>
        <w:t>.</w:t>
      </w:r>
    </w:p>
  </w:footnote>
  <w:footnote w:id="15">
    <w:p w:rsidR="00250027" w:rsidRPr="00E90495" w:rsidRDefault="00250027" w:rsidP="00E90495">
      <w:pPr>
        <w:pStyle w:val="FootnoteText"/>
        <w:rPr>
          <w:rStyle w:val="FootnoteReference"/>
          <w:rFonts w:ascii="Georgia" w:hAnsi="Georgia"/>
          <w:sz w:val="14"/>
          <w:vertAlign w:val="baseline"/>
        </w:rPr>
      </w:pPr>
      <w:r w:rsidRPr="00E90495">
        <w:rPr>
          <w:rStyle w:val="FootnoteReference"/>
          <w:rFonts w:ascii="Georgia" w:hAnsi="Georgia"/>
          <w:sz w:val="14"/>
          <w:vertAlign w:val="baseline"/>
        </w:rPr>
        <w:footnoteRef/>
      </w:r>
      <w:r w:rsidRPr="00E90495">
        <w:rPr>
          <w:rStyle w:val="FootnoteReference"/>
          <w:rFonts w:ascii="Georgia" w:hAnsi="Georgia"/>
          <w:sz w:val="14"/>
          <w:vertAlign w:val="baseline"/>
        </w:rPr>
        <w:tab/>
        <w:t>Commonwealth of Australia</w:t>
      </w:r>
      <w:r>
        <w:t>,</w:t>
      </w:r>
      <w:r w:rsidRPr="00E90495">
        <w:rPr>
          <w:rStyle w:val="FootnoteReference"/>
          <w:rFonts w:ascii="Georgia" w:hAnsi="Georgia"/>
          <w:sz w:val="14"/>
          <w:vertAlign w:val="baseline"/>
        </w:rPr>
        <w:t xml:space="preserve"> 2009.</w:t>
      </w:r>
    </w:p>
  </w:footnote>
  <w:footnote w:id="16">
    <w:p w:rsidR="00250027" w:rsidRPr="00BA43D6" w:rsidRDefault="00250027" w:rsidP="00BA43D6">
      <w:pPr>
        <w:pStyle w:val="FootnoteText"/>
        <w:rPr>
          <w:rStyle w:val="FootnoteReference"/>
          <w:rFonts w:ascii="Georgia" w:hAnsi="Georgia"/>
          <w:sz w:val="14"/>
          <w:vertAlign w:val="baseline"/>
        </w:rPr>
      </w:pPr>
      <w:r w:rsidRPr="00BA43D6">
        <w:rPr>
          <w:rStyle w:val="FootnoteReference"/>
          <w:rFonts w:ascii="Georgia" w:hAnsi="Georgia"/>
          <w:sz w:val="14"/>
          <w:vertAlign w:val="baseline"/>
        </w:rPr>
        <w:footnoteRef/>
      </w:r>
      <w:r w:rsidRPr="00BA43D6">
        <w:rPr>
          <w:rStyle w:val="FootnoteReference"/>
          <w:rFonts w:ascii="Georgia" w:hAnsi="Georgia"/>
          <w:sz w:val="14"/>
          <w:vertAlign w:val="baseline"/>
        </w:rPr>
        <w:tab/>
        <w:t>Callinan R 2001.</w:t>
      </w:r>
    </w:p>
  </w:footnote>
  <w:footnote w:id="17">
    <w:p w:rsidR="00250027" w:rsidRPr="00FB01BD" w:rsidRDefault="00250027" w:rsidP="00802358">
      <w:pPr>
        <w:pStyle w:val="FootnoteText"/>
        <w:rPr>
          <w:rStyle w:val="FootnoteReference"/>
        </w:rPr>
      </w:pPr>
      <w:r w:rsidRPr="00BA43D6">
        <w:rPr>
          <w:rStyle w:val="FootnoteReference"/>
          <w:rFonts w:ascii="Georgia" w:hAnsi="Georgia"/>
          <w:sz w:val="14"/>
          <w:vertAlign w:val="baseline"/>
        </w:rPr>
        <w:footnoteRef/>
      </w:r>
      <w:r w:rsidRPr="00BA43D6">
        <w:rPr>
          <w:rStyle w:val="FootnoteReference"/>
          <w:rFonts w:ascii="Georgia" w:hAnsi="Georgia"/>
          <w:sz w:val="14"/>
          <w:vertAlign w:val="baseline"/>
        </w:rPr>
        <w:tab/>
        <w:t>The cost of insurance products, and the benefits paid out were discretionary.</w:t>
      </w:r>
    </w:p>
  </w:footnote>
  <w:footnote w:id="18">
    <w:p w:rsidR="00250027" w:rsidRPr="00B37C35" w:rsidRDefault="00250027" w:rsidP="00B37C35">
      <w:pPr>
        <w:pStyle w:val="FootnoteText"/>
        <w:rPr>
          <w:rStyle w:val="FootnoteReference"/>
          <w:rFonts w:ascii="Georgia" w:hAnsi="Georgia"/>
          <w:sz w:val="14"/>
          <w:vertAlign w:val="baseline"/>
        </w:rPr>
      </w:pPr>
      <w:r w:rsidRPr="00B37C35">
        <w:rPr>
          <w:rStyle w:val="FootnoteReference"/>
          <w:rFonts w:ascii="Georgia" w:hAnsi="Georgia"/>
          <w:sz w:val="14"/>
          <w:vertAlign w:val="baseline"/>
        </w:rPr>
        <w:footnoteRef/>
      </w:r>
      <w:r w:rsidRPr="00B37C35">
        <w:rPr>
          <w:rStyle w:val="FootnoteReference"/>
          <w:rFonts w:ascii="Georgia" w:hAnsi="Georgia"/>
          <w:sz w:val="14"/>
          <w:vertAlign w:val="baseline"/>
        </w:rPr>
        <w:tab/>
      </w:r>
      <w:r>
        <w:rPr>
          <w:rStyle w:val="FootnoteReference"/>
          <w:rFonts w:ascii="Georgia" w:hAnsi="Georgia"/>
          <w:sz w:val="14"/>
          <w:vertAlign w:val="baseline"/>
        </w:rPr>
        <w:t>C</w:t>
      </w:r>
      <w:r>
        <w:t>ommonwealth of Australia,</w:t>
      </w:r>
      <w:r w:rsidRPr="00B37C35">
        <w:rPr>
          <w:rStyle w:val="FootnoteReference"/>
          <w:rFonts w:ascii="Georgia" w:hAnsi="Georgia"/>
          <w:sz w:val="14"/>
          <w:vertAlign w:val="baseline"/>
        </w:rPr>
        <w:t xml:space="preserve"> 2009.</w:t>
      </w:r>
    </w:p>
  </w:footnote>
  <w:footnote w:id="19">
    <w:p w:rsidR="00250027" w:rsidRPr="00B37C35" w:rsidRDefault="00250027" w:rsidP="006314E0">
      <w:pPr>
        <w:pStyle w:val="FootnoteText"/>
        <w:rPr>
          <w:rStyle w:val="FootnoteReference"/>
          <w:rFonts w:ascii="Georgia" w:hAnsi="Georgia"/>
          <w:sz w:val="14"/>
          <w:vertAlign w:val="baseline"/>
        </w:rPr>
      </w:pPr>
      <w:r w:rsidRPr="00B37C35">
        <w:rPr>
          <w:rStyle w:val="FootnoteReference"/>
          <w:rFonts w:ascii="Georgia" w:hAnsi="Georgia"/>
          <w:sz w:val="14"/>
          <w:vertAlign w:val="baseline"/>
        </w:rPr>
        <w:footnoteRef/>
      </w:r>
      <w:r w:rsidRPr="00B37C35">
        <w:rPr>
          <w:rStyle w:val="FootnoteReference"/>
          <w:rFonts w:ascii="Georgia" w:hAnsi="Georgia"/>
          <w:sz w:val="14"/>
          <w:vertAlign w:val="baseline"/>
        </w:rPr>
        <w:tab/>
        <w:t>Claims incurred products allow claims to be made for prior incidents subsequent to the period in which cover was held.</w:t>
      </w:r>
    </w:p>
  </w:footnote>
  <w:footnote w:id="20">
    <w:p w:rsidR="00250027" w:rsidRPr="00B37C35" w:rsidRDefault="00250027" w:rsidP="00B37C35">
      <w:pPr>
        <w:pStyle w:val="FootnoteText"/>
        <w:rPr>
          <w:rStyle w:val="FootnoteReference"/>
          <w:rFonts w:ascii="Georgia" w:hAnsi="Georgia"/>
          <w:sz w:val="14"/>
          <w:vertAlign w:val="baseline"/>
        </w:rPr>
      </w:pPr>
      <w:r w:rsidRPr="00B37C35">
        <w:rPr>
          <w:rStyle w:val="FootnoteReference"/>
          <w:rFonts w:ascii="Georgia" w:hAnsi="Georgia"/>
          <w:sz w:val="14"/>
          <w:vertAlign w:val="baseline"/>
        </w:rPr>
        <w:footnoteRef/>
      </w:r>
      <w:r w:rsidRPr="00B37C35">
        <w:tab/>
      </w:r>
      <w:r w:rsidRPr="00B37C35">
        <w:rPr>
          <w:rStyle w:val="FootnoteReference"/>
          <w:rFonts w:ascii="Georgia" w:hAnsi="Georgia"/>
          <w:sz w:val="14"/>
          <w:vertAlign w:val="baseline"/>
        </w:rPr>
        <w:t>Callinan R 2001.</w:t>
      </w:r>
    </w:p>
  </w:footnote>
  <w:footnote w:id="21">
    <w:p w:rsidR="00250027" w:rsidRPr="00FB01BD" w:rsidRDefault="00250027" w:rsidP="00B37C35">
      <w:pPr>
        <w:pStyle w:val="FootnoteText"/>
        <w:rPr>
          <w:rStyle w:val="FootnoteReference"/>
        </w:rPr>
      </w:pPr>
      <w:r w:rsidRPr="00B37C35">
        <w:rPr>
          <w:rStyle w:val="FootnoteReference"/>
          <w:rFonts w:ascii="Georgia" w:hAnsi="Georgia"/>
          <w:sz w:val="14"/>
          <w:vertAlign w:val="baseline"/>
        </w:rPr>
        <w:footnoteRef/>
      </w:r>
      <w:r w:rsidRPr="00B37C35">
        <w:rPr>
          <w:rStyle w:val="FootnoteReference"/>
          <w:rFonts w:ascii="Georgia" w:hAnsi="Georgia"/>
          <w:sz w:val="14"/>
          <w:vertAlign w:val="baseline"/>
        </w:rPr>
        <w:tab/>
      </w:r>
      <w:r>
        <w:rPr>
          <w:rStyle w:val="FootnoteReference"/>
          <w:rFonts w:ascii="Georgia" w:hAnsi="Georgia"/>
          <w:sz w:val="14"/>
          <w:vertAlign w:val="baseline"/>
        </w:rPr>
        <w:t>Ibid.</w:t>
      </w:r>
    </w:p>
  </w:footnote>
  <w:footnote w:id="22">
    <w:p w:rsidR="00250027" w:rsidRPr="00B37C35" w:rsidRDefault="00250027" w:rsidP="00B37C35">
      <w:pPr>
        <w:pStyle w:val="FootnoteText"/>
        <w:rPr>
          <w:rStyle w:val="FootnoteReference"/>
          <w:rFonts w:ascii="Georgia" w:hAnsi="Georgia"/>
          <w:sz w:val="14"/>
          <w:vertAlign w:val="baseline"/>
        </w:rPr>
      </w:pPr>
      <w:r w:rsidRPr="00B37C35">
        <w:rPr>
          <w:rStyle w:val="FootnoteReference"/>
          <w:rFonts w:ascii="Georgia" w:hAnsi="Georgia"/>
          <w:sz w:val="14"/>
          <w:vertAlign w:val="baseline"/>
        </w:rPr>
        <w:footnoteRef/>
      </w:r>
      <w:r w:rsidRPr="00B37C35">
        <w:rPr>
          <w:rStyle w:val="FootnoteReference"/>
          <w:rFonts w:ascii="Georgia" w:hAnsi="Georgia"/>
          <w:sz w:val="14"/>
          <w:vertAlign w:val="baseline"/>
        </w:rPr>
        <w:tab/>
        <w:t>Claims-made cover provided health professionals cover only when they had paid the premium for the year in which the claim was made.</w:t>
      </w:r>
    </w:p>
  </w:footnote>
  <w:footnote w:id="23">
    <w:p w:rsidR="00250027" w:rsidRPr="00B37C35" w:rsidRDefault="00250027" w:rsidP="00B37C35">
      <w:pPr>
        <w:pStyle w:val="FootnoteText"/>
        <w:rPr>
          <w:rStyle w:val="FootnoteReference"/>
          <w:rFonts w:ascii="Georgia" w:hAnsi="Georgia"/>
          <w:sz w:val="14"/>
          <w:vertAlign w:val="baseline"/>
        </w:rPr>
      </w:pPr>
      <w:r w:rsidRPr="00B37C35">
        <w:rPr>
          <w:rStyle w:val="FootnoteReference"/>
          <w:rFonts w:ascii="Georgia" w:hAnsi="Georgia"/>
          <w:sz w:val="14"/>
          <w:vertAlign w:val="baseline"/>
        </w:rPr>
        <w:footnoteRef/>
      </w:r>
      <w:r w:rsidRPr="00B37C35">
        <w:rPr>
          <w:rStyle w:val="FootnoteReference"/>
          <w:rFonts w:ascii="Georgia" w:hAnsi="Georgia"/>
          <w:sz w:val="14"/>
          <w:vertAlign w:val="baseline"/>
        </w:rPr>
        <w:tab/>
        <w:t>Callinan R. 2001, p.i.</w:t>
      </w:r>
    </w:p>
  </w:footnote>
  <w:footnote w:id="24">
    <w:p w:rsidR="00250027" w:rsidRPr="00FB01BD" w:rsidRDefault="00250027" w:rsidP="00B37C35">
      <w:pPr>
        <w:pStyle w:val="FootnoteText"/>
        <w:rPr>
          <w:rStyle w:val="FootnoteReference"/>
        </w:rPr>
      </w:pPr>
      <w:r w:rsidRPr="00B37C35">
        <w:rPr>
          <w:rStyle w:val="FootnoteReference"/>
          <w:rFonts w:ascii="Georgia" w:hAnsi="Georgia"/>
          <w:sz w:val="14"/>
          <w:vertAlign w:val="baseline"/>
        </w:rPr>
        <w:footnoteRef/>
      </w:r>
      <w:r w:rsidRPr="00B37C35">
        <w:rPr>
          <w:rStyle w:val="FootnoteReference"/>
          <w:rFonts w:ascii="Georgia" w:hAnsi="Georgia"/>
          <w:sz w:val="14"/>
          <w:vertAlign w:val="baseline"/>
        </w:rPr>
        <w:tab/>
        <w:t>There is variation in the use of the claims-incurred and claims-made cover definitions. The definition of claims-incurred cover used in the Tito Report is in line with the definition applied to claims-made cover in this report.</w:t>
      </w:r>
      <w:r w:rsidRPr="00FB01BD">
        <w:rPr>
          <w:rStyle w:val="FootnoteReference"/>
        </w:rPr>
        <w:t xml:space="preserve"> </w:t>
      </w:r>
    </w:p>
  </w:footnote>
  <w:footnote w:id="25">
    <w:p w:rsidR="00250027" w:rsidRPr="00B37C35" w:rsidRDefault="00250027" w:rsidP="006314E0">
      <w:pPr>
        <w:pStyle w:val="FootnoteText"/>
        <w:rPr>
          <w:rStyle w:val="FootnoteReference"/>
          <w:rFonts w:ascii="Georgia" w:hAnsi="Georgia"/>
          <w:sz w:val="14"/>
          <w:vertAlign w:val="baseline"/>
        </w:rPr>
      </w:pPr>
      <w:r w:rsidRPr="00B37C35">
        <w:rPr>
          <w:rStyle w:val="FootnoteReference"/>
          <w:rFonts w:ascii="Georgia" w:hAnsi="Georgia"/>
          <w:sz w:val="14"/>
          <w:vertAlign w:val="baseline"/>
        </w:rPr>
        <w:footnoteRef/>
      </w:r>
      <w:r w:rsidRPr="00B37C35">
        <w:rPr>
          <w:rStyle w:val="FootnoteReference"/>
          <w:rFonts w:ascii="Georgia" w:hAnsi="Georgia"/>
          <w:sz w:val="14"/>
          <w:vertAlign w:val="baseline"/>
        </w:rPr>
        <w:tab/>
        <w:t>IBNR (Incurred but not raised) liabilities result from claims where an incident has already occurred but the claim has not yet been reported to the risk carrier</w:t>
      </w:r>
    </w:p>
  </w:footnote>
  <w:footnote w:id="26">
    <w:p w:rsidR="00250027" w:rsidRPr="00B37C35" w:rsidRDefault="00250027" w:rsidP="00B37C35">
      <w:pPr>
        <w:pStyle w:val="FootnoteText"/>
        <w:rPr>
          <w:rStyle w:val="FootnoteReference"/>
          <w:rFonts w:ascii="Georgia" w:hAnsi="Georgia"/>
          <w:sz w:val="14"/>
          <w:vertAlign w:val="baseline"/>
        </w:rPr>
      </w:pPr>
      <w:r w:rsidRPr="00B37C35">
        <w:rPr>
          <w:rStyle w:val="FootnoteReference"/>
          <w:rFonts w:ascii="Georgia" w:hAnsi="Georgia"/>
          <w:sz w:val="14"/>
          <w:vertAlign w:val="baseline"/>
        </w:rPr>
        <w:footnoteRef/>
      </w:r>
      <w:r w:rsidRPr="00B37C35">
        <w:rPr>
          <w:rStyle w:val="FootnoteReference"/>
          <w:rFonts w:ascii="Georgia" w:hAnsi="Georgia"/>
          <w:sz w:val="14"/>
          <w:vertAlign w:val="baseline"/>
        </w:rPr>
        <w:tab/>
        <w:t>Centre for Health Economics</w:t>
      </w:r>
      <w:r>
        <w:t>,</w:t>
      </w:r>
      <w:r w:rsidRPr="00B37C35">
        <w:rPr>
          <w:rStyle w:val="FootnoteReference"/>
          <w:rFonts w:ascii="Georgia" w:hAnsi="Georgia"/>
          <w:sz w:val="14"/>
          <w:vertAlign w:val="baseline"/>
        </w:rPr>
        <w:t xml:space="preserve"> 2005.</w:t>
      </w:r>
    </w:p>
  </w:footnote>
  <w:footnote w:id="27">
    <w:p w:rsidR="00250027" w:rsidRPr="00FB01BD" w:rsidRDefault="00250027" w:rsidP="00B37C35">
      <w:pPr>
        <w:pStyle w:val="FootnoteText"/>
        <w:rPr>
          <w:rStyle w:val="FootnoteReference"/>
        </w:rPr>
      </w:pPr>
      <w:r w:rsidRPr="00B37C35">
        <w:rPr>
          <w:rStyle w:val="FootnoteReference"/>
          <w:rFonts w:ascii="Georgia" w:hAnsi="Georgia"/>
          <w:sz w:val="14"/>
          <w:vertAlign w:val="baseline"/>
        </w:rPr>
        <w:footnoteRef/>
      </w:r>
      <w:r w:rsidRPr="00B37C35">
        <w:rPr>
          <w:rStyle w:val="FootnoteReference"/>
          <w:rFonts w:ascii="Georgia" w:hAnsi="Georgia"/>
          <w:sz w:val="14"/>
          <w:vertAlign w:val="baseline"/>
        </w:rPr>
        <w:tab/>
        <w:t>Note that not all reforms were well received. The ‘IBNR levy’ where members of UMP were to fund existing IBNR was met with hostility and the resignation of 100 practitioners (Centre for Health Economics, Research and Evaluation, 2005).</w:t>
      </w:r>
    </w:p>
  </w:footnote>
  <w:footnote w:id="28">
    <w:p w:rsidR="00250027" w:rsidRPr="00B37C35" w:rsidRDefault="00250027" w:rsidP="00B37C35">
      <w:pPr>
        <w:pStyle w:val="FootnoteText"/>
        <w:rPr>
          <w:rStyle w:val="FootnoteReference"/>
          <w:rFonts w:ascii="Georgia" w:hAnsi="Georgia"/>
          <w:sz w:val="14"/>
          <w:vertAlign w:val="baseline"/>
        </w:rPr>
      </w:pPr>
      <w:r w:rsidRPr="00B37C35">
        <w:rPr>
          <w:rStyle w:val="FootnoteReference"/>
          <w:rFonts w:ascii="Georgia" w:hAnsi="Georgia"/>
          <w:sz w:val="14"/>
          <w:vertAlign w:val="baseline"/>
        </w:rPr>
        <w:footnoteRef/>
      </w:r>
      <w:r w:rsidRPr="00B37C35">
        <w:rPr>
          <w:rStyle w:val="FootnoteReference"/>
          <w:rFonts w:ascii="Georgia" w:hAnsi="Georgia"/>
          <w:sz w:val="14"/>
          <w:vertAlign w:val="baseline"/>
        </w:rPr>
        <w:tab/>
      </w:r>
      <w:r>
        <w:t>Canil M 2008</w:t>
      </w:r>
      <w:r w:rsidRPr="00B37C35">
        <w:rPr>
          <w:rStyle w:val="FootnoteReference"/>
          <w:rFonts w:ascii="Georgia" w:hAnsi="Georgia"/>
          <w:sz w:val="14"/>
          <w:vertAlign w:val="baseline"/>
        </w:rPr>
        <w:t>.</w:t>
      </w:r>
    </w:p>
  </w:footnote>
  <w:footnote w:id="29">
    <w:p w:rsidR="00250027" w:rsidRPr="00B37C35" w:rsidRDefault="00250027" w:rsidP="00B37C35">
      <w:pPr>
        <w:pStyle w:val="FootnoteText"/>
        <w:rPr>
          <w:rStyle w:val="FootnoteReference"/>
          <w:rFonts w:ascii="Georgia" w:hAnsi="Georgia"/>
          <w:sz w:val="14"/>
          <w:vertAlign w:val="baseline"/>
        </w:rPr>
      </w:pPr>
      <w:r w:rsidRPr="00B37C35">
        <w:rPr>
          <w:rStyle w:val="FootnoteReference"/>
          <w:rFonts w:ascii="Georgia" w:hAnsi="Georgia"/>
          <w:sz w:val="14"/>
          <w:vertAlign w:val="baseline"/>
        </w:rPr>
        <w:footnoteRef/>
      </w:r>
      <w:r w:rsidRPr="00B37C35">
        <w:rPr>
          <w:rStyle w:val="FootnoteReference"/>
          <w:rFonts w:ascii="Georgia" w:hAnsi="Georgia"/>
          <w:sz w:val="14"/>
          <w:vertAlign w:val="baseline"/>
        </w:rPr>
        <w:tab/>
      </w:r>
      <w:r>
        <w:rPr>
          <w:rStyle w:val="FootnoteReference"/>
          <w:rFonts w:ascii="Georgia" w:hAnsi="Georgia"/>
          <w:sz w:val="14"/>
          <w:vertAlign w:val="baseline"/>
        </w:rPr>
        <w:t>C</w:t>
      </w:r>
      <w:r>
        <w:t>over</w:t>
      </w:r>
      <w:r w:rsidRPr="00B37C35">
        <w:rPr>
          <w:rStyle w:val="FootnoteReference"/>
          <w:rFonts w:ascii="Georgia" w:hAnsi="Georgia"/>
          <w:sz w:val="14"/>
          <w:vertAlign w:val="baseline"/>
        </w:rPr>
        <w:t xml:space="preserve"> provided by Guild Insurance for PPMs could not be verified.</w:t>
      </w:r>
    </w:p>
  </w:footnote>
  <w:footnote w:id="30">
    <w:p w:rsidR="00250027" w:rsidRPr="00B37C35" w:rsidRDefault="00250027" w:rsidP="00B37C35">
      <w:pPr>
        <w:pStyle w:val="FootnoteText"/>
        <w:rPr>
          <w:rStyle w:val="FootnoteReference"/>
          <w:rFonts w:ascii="Georgia" w:hAnsi="Georgia"/>
          <w:sz w:val="14"/>
          <w:vertAlign w:val="baseline"/>
        </w:rPr>
      </w:pPr>
      <w:r w:rsidRPr="00B37C35">
        <w:rPr>
          <w:rStyle w:val="FootnoteReference"/>
          <w:rFonts w:ascii="Georgia" w:hAnsi="Georgia"/>
          <w:sz w:val="14"/>
          <w:vertAlign w:val="baseline"/>
        </w:rPr>
        <w:footnoteRef/>
      </w:r>
      <w:r>
        <w:rPr>
          <w:rStyle w:val="FootnoteReference"/>
          <w:rFonts w:ascii="Georgia" w:hAnsi="Georgia"/>
          <w:sz w:val="14"/>
          <w:vertAlign w:val="baseline"/>
        </w:rPr>
        <w:tab/>
        <w:t>Personal communication</w:t>
      </w:r>
      <w:r w:rsidRPr="00B37C35">
        <w:rPr>
          <w:rStyle w:val="FootnoteReference"/>
          <w:rFonts w:ascii="Georgia" w:hAnsi="Georgia"/>
          <w:sz w:val="14"/>
          <w:vertAlign w:val="baseline"/>
        </w:rPr>
        <w:t>, March 2013</w:t>
      </w:r>
      <w:r>
        <w:rPr>
          <w:rStyle w:val="FootnoteReference"/>
          <w:rFonts w:ascii="Georgia" w:hAnsi="Georgia"/>
          <w:sz w:val="14"/>
          <w:vertAlign w:val="baseline"/>
        </w:rPr>
        <w:t>.</w:t>
      </w:r>
    </w:p>
  </w:footnote>
  <w:footnote w:id="31">
    <w:p w:rsidR="00250027" w:rsidRPr="00B37C35" w:rsidRDefault="00250027" w:rsidP="00B37C35">
      <w:pPr>
        <w:pStyle w:val="FootnoteText"/>
        <w:rPr>
          <w:rStyle w:val="FootnoteReference"/>
          <w:rFonts w:ascii="Georgia" w:hAnsi="Georgia"/>
          <w:sz w:val="14"/>
          <w:vertAlign w:val="baseline"/>
        </w:rPr>
      </w:pPr>
      <w:r w:rsidRPr="00B37C35">
        <w:rPr>
          <w:rStyle w:val="FootnoteReference"/>
          <w:rFonts w:ascii="Georgia" w:hAnsi="Georgia"/>
          <w:sz w:val="14"/>
          <w:vertAlign w:val="baseline"/>
        </w:rPr>
        <w:footnoteRef/>
      </w:r>
      <w:r w:rsidRPr="00B37C35">
        <w:rPr>
          <w:rStyle w:val="FootnoteReference"/>
          <w:rFonts w:ascii="Georgia" w:hAnsi="Georgia"/>
          <w:sz w:val="14"/>
          <w:vertAlign w:val="baseline"/>
        </w:rPr>
        <w:tab/>
      </w:r>
      <w:r>
        <w:rPr>
          <w:rStyle w:val="FootnoteReference"/>
          <w:rFonts w:ascii="Georgia" w:hAnsi="Georgia"/>
          <w:sz w:val="14"/>
          <w:vertAlign w:val="baseline"/>
        </w:rPr>
        <w:t>I</w:t>
      </w:r>
      <w:r>
        <w:t>bid.</w:t>
      </w:r>
    </w:p>
  </w:footnote>
  <w:footnote w:id="32">
    <w:p w:rsidR="00250027" w:rsidRPr="00B37C35" w:rsidRDefault="00250027" w:rsidP="00B37C35">
      <w:pPr>
        <w:pStyle w:val="FootnoteText"/>
        <w:rPr>
          <w:rStyle w:val="FootnoteReference"/>
          <w:rFonts w:ascii="Georgia" w:hAnsi="Georgia"/>
          <w:sz w:val="14"/>
          <w:vertAlign w:val="baseline"/>
        </w:rPr>
      </w:pPr>
      <w:r w:rsidRPr="00B37C35">
        <w:rPr>
          <w:rStyle w:val="FootnoteReference"/>
          <w:rFonts w:ascii="Georgia" w:hAnsi="Georgia"/>
          <w:sz w:val="14"/>
          <w:vertAlign w:val="baseline"/>
        </w:rPr>
        <w:footnoteRef/>
      </w:r>
      <w:r w:rsidRPr="00B37C35">
        <w:rPr>
          <w:rStyle w:val="FootnoteReference"/>
          <w:rFonts w:ascii="Georgia" w:hAnsi="Georgia"/>
          <w:sz w:val="14"/>
          <w:vertAlign w:val="baseline"/>
        </w:rPr>
        <w:tab/>
        <w:t>Commonwealth of Australia</w:t>
      </w:r>
      <w:r>
        <w:t>,</w:t>
      </w:r>
      <w:r w:rsidRPr="00B37C35">
        <w:rPr>
          <w:rStyle w:val="FootnoteReference"/>
          <w:rFonts w:ascii="Georgia" w:hAnsi="Georgia"/>
          <w:sz w:val="14"/>
          <w:vertAlign w:val="baseline"/>
        </w:rPr>
        <w:t xml:space="preserve"> 1995.</w:t>
      </w:r>
    </w:p>
  </w:footnote>
  <w:footnote w:id="33">
    <w:p w:rsidR="00250027" w:rsidRPr="00B37C35" w:rsidRDefault="00250027" w:rsidP="00B37C35">
      <w:pPr>
        <w:pStyle w:val="FootnoteText"/>
        <w:rPr>
          <w:rStyle w:val="FootnoteReference"/>
          <w:rFonts w:ascii="Georgia" w:hAnsi="Georgia"/>
          <w:sz w:val="14"/>
          <w:vertAlign w:val="baseline"/>
        </w:rPr>
      </w:pPr>
      <w:r w:rsidRPr="00B37C35">
        <w:rPr>
          <w:rStyle w:val="FootnoteReference"/>
          <w:rFonts w:ascii="Georgia" w:hAnsi="Georgia"/>
          <w:sz w:val="14"/>
          <w:vertAlign w:val="baseline"/>
        </w:rPr>
        <w:footnoteRef/>
      </w:r>
      <w:r w:rsidRPr="00B37C35">
        <w:rPr>
          <w:rStyle w:val="FootnoteReference"/>
          <w:rFonts w:ascii="Georgia" w:hAnsi="Georgia"/>
          <w:sz w:val="14"/>
          <w:vertAlign w:val="baseline"/>
        </w:rPr>
        <w:tab/>
      </w:r>
      <w:r>
        <w:rPr>
          <w:rStyle w:val="FootnoteReference"/>
          <w:rFonts w:ascii="Georgia" w:hAnsi="Georgia"/>
          <w:sz w:val="14"/>
          <w:vertAlign w:val="baseline"/>
        </w:rPr>
        <w:t>I</w:t>
      </w:r>
      <w:r>
        <w:t>bid.</w:t>
      </w:r>
    </w:p>
  </w:footnote>
  <w:footnote w:id="34">
    <w:p w:rsidR="00250027" w:rsidRPr="00B37C35" w:rsidRDefault="00250027" w:rsidP="000B7161">
      <w:pPr>
        <w:pStyle w:val="FootnoteText"/>
        <w:rPr>
          <w:rStyle w:val="FootnoteReference"/>
          <w:rFonts w:ascii="Georgia" w:hAnsi="Georgia"/>
          <w:sz w:val="14"/>
          <w:vertAlign w:val="baseline"/>
        </w:rPr>
      </w:pPr>
      <w:r w:rsidRPr="00B37C35">
        <w:rPr>
          <w:rStyle w:val="FootnoteReference"/>
          <w:rFonts w:ascii="Georgia" w:hAnsi="Georgia"/>
          <w:sz w:val="14"/>
          <w:vertAlign w:val="baseline"/>
        </w:rPr>
        <w:footnoteRef/>
      </w:r>
      <w:r w:rsidRPr="00B37C35">
        <w:rPr>
          <w:rStyle w:val="FootnoteReference"/>
          <w:rFonts w:ascii="Georgia" w:hAnsi="Georgia"/>
          <w:sz w:val="14"/>
          <w:vertAlign w:val="baseline"/>
        </w:rPr>
        <w:tab/>
      </w:r>
      <w:r>
        <w:t>Canil M 2008</w:t>
      </w:r>
      <w:r w:rsidRPr="00B37C35">
        <w:rPr>
          <w:rStyle w:val="FootnoteReference"/>
          <w:rFonts w:ascii="Georgia" w:hAnsi="Georgia"/>
          <w:sz w:val="14"/>
          <w:vertAlign w:val="baseline"/>
        </w:rPr>
        <w:t>.</w:t>
      </w:r>
    </w:p>
  </w:footnote>
  <w:footnote w:id="35">
    <w:p w:rsidR="00250027" w:rsidRPr="00FB01BD" w:rsidRDefault="00250027" w:rsidP="00B37C35">
      <w:pPr>
        <w:pStyle w:val="FootnoteText"/>
        <w:rPr>
          <w:rStyle w:val="FootnoteReference"/>
        </w:rPr>
      </w:pPr>
      <w:r w:rsidRPr="00B37C35">
        <w:rPr>
          <w:rStyle w:val="FootnoteReference"/>
          <w:rFonts w:ascii="Georgia" w:hAnsi="Georgia"/>
          <w:sz w:val="14"/>
          <w:vertAlign w:val="baseline"/>
        </w:rPr>
        <w:footnoteRef/>
      </w:r>
      <w:r w:rsidRPr="00B37C35">
        <w:rPr>
          <w:rStyle w:val="FootnoteReference"/>
          <w:rFonts w:ascii="Georgia" w:hAnsi="Georgia"/>
          <w:sz w:val="14"/>
          <w:vertAlign w:val="baseline"/>
        </w:rPr>
        <w:tab/>
      </w:r>
      <w:r>
        <w:t>Ibid.</w:t>
      </w:r>
    </w:p>
  </w:footnote>
  <w:footnote w:id="36">
    <w:p w:rsidR="00250027" w:rsidRPr="006676A4" w:rsidRDefault="00250027" w:rsidP="006676A4">
      <w:pPr>
        <w:pStyle w:val="FootnoteText"/>
        <w:rPr>
          <w:rStyle w:val="FootnoteReference"/>
          <w:rFonts w:ascii="Georgia" w:hAnsi="Georgia"/>
          <w:sz w:val="14"/>
          <w:vertAlign w:val="baseline"/>
        </w:rPr>
      </w:pPr>
      <w:r w:rsidRPr="006676A4">
        <w:rPr>
          <w:rStyle w:val="FootnoteReference"/>
          <w:rFonts w:ascii="Georgia" w:hAnsi="Georgia"/>
          <w:sz w:val="14"/>
          <w:vertAlign w:val="baseline"/>
        </w:rPr>
        <w:footnoteRef/>
      </w:r>
      <w:r w:rsidRPr="006676A4">
        <w:rPr>
          <w:rStyle w:val="FootnoteReference"/>
          <w:rFonts w:ascii="Georgia" w:hAnsi="Georgia"/>
          <w:sz w:val="14"/>
          <w:vertAlign w:val="baseline"/>
        </w:rPr>
        <w:tab/>
      </w:r>
      <w:r>
        <w:t>Ibid.</w:t>
      </w:r>
    </w:p>
  </w:footnote>
  <w:footnote w:id="37">
    <w:p w:rsidR="00250027" w:rsidRPr="006676A4" w:rsidRDefault="00250027" w:rsidP="006676A4">
      <w:pPr>
        <w:pStyle w:val="FootnoteText"/>
        <w:rPr>
          <w:rStyle w:val="FootnoteReference"/>
          <w:rFonts w:ascii="Georgia" w:hAnsi="Georgia"/>
          <w:sz w:val="14"/>
          <w:vertAlign w:val="baseline"/>
        </w:rPr>
      </w:pPr>
      <w:r w:rsidRPr="006676A4">
        <w:rPr>
          <w:rStyle w:val="FootnoteReference"/>
          <w:rFonts w:ascii="Georgia" w:hAnsi="Georgia"/>
          <w:sz w:val="14"/>
          <w:vertAlign w:val="baseline"/>
        </w:rPr>
        <w:footnoteRef/>
      </w:r>
      <w:r w:rsidRPr="006676A4">
        <w:rPr>
          <w:rStyle w:val="FootnoteReference"/>
          <w:rFonts w:ascii="Georgia" w:hAnsi="Georgia"/>
          <w:sz w:val="14"/>
          <w:vertAlign w:val="baseline"/>
        </w:rPr>
        <w:tab/>
      </w:r>
      <w:r>
        <w:t>Ibid.</w:t>
      </w:r>
    </w:p>
  </w:footnote>
  <w:footnote w:id="38">
    <w:p w:rsidR="00250027" w:rsidRPr="006676A4" w:rsidRDefault="00250027" w:rsidP="006676A4">
      <w:pPr>
        <w:pStyle w:val="FootnoteText"/>
        <w:rPr>
          <w:rStyle w:val="FootnoteReference"/>
          <w:rFonts w:ascii="Georgia" w:hAnsi="Georgia"/>
          <w:sz w:val="14"/>
          <w:vertAlign w:val="baseline"/>
        </w:rPr>
      </w:pPr>
      <w:r w:rsidRPr="006676A4">
        <w:rPr>
          <w:rStyle w:val="FootnoteReference"/>
          <w:rFonts w:ascii="Georgia" w:hAnsi="Georgia"/>
          <w:sz w:val="14"/>
          <w:vertAlign w:val="baseline"/>
        </w:rPr>
        <w:footnoteRef/>
      </w:r>
      <w:r w:rsidRPr="006676A4">
        <w:rPr>
          <w:rStyle w:val="FootnoteReference"/>
          <w:rFonts w:ascii="Georgia" w:hAnsi="Georgia"/>
          <w:sz w:val="14"/>
          <w:vertAlign w:val="baseline"/>
        </w:rPr>
        <w:tab/>
        <w:t>Commonwealth of Australia</w:t>
      </w:r>
      <w:r>
        <w:t xml:space="preserve">, </w:t>
      </w:r>
      <w:r>
        <w:rPr>
          <w:rStyle w:val="FootnoteReference"/>
          <w:rFonts w:ascii="Georgia" w:hAnsi="Georgia"/>
          <w:sz w:val="14"/>
          <w:vertAlign w:val="baseline"/>
        </w:rPr>
        <w:t>1995.</w:t>
      </w:r>
    </w:p>
  </w:footnote>
  <w:footnote w:id="39">
    <w:p w:rsidR="00250027" w:rsidRPr="00FB01BD" w:rsidRDefault="00250027" w:rsidP="006676A4">
      <w:pPr>
        <w:pStyle w:val="FootnoteText"/>
        <w:rPr>
          <w:rStyle w:val="FootnoteReference"/>
        </w:rPr>
      </w:pPr>
      <w:r w:rsidRPr="006676A4">
        <w:rPr>
          <w:rStyle w:val="FootnoteReference"/>
          <w:rFonts w:ascii="Georgia" w:hAnsi="Georgia"/>
          <w:sz w:val="14"/>
          <w:vertAlign w:val="baseline"/>
        </w:rPr>
        <w:footnoteRef/>
      </w:r>
      <w:r w:rsidRPr="006676A4">
        <w:rPr>
          <w:rStyle w:val="FootnoteReference"/>
          <w:rFonts w:ascii="Georgia" w:hAnsi="Georgia"/>
          <w:sz w:val="14"/>
          <w:vertAlign w:val="baseline"/>
        </w:rPr>
        <w:tab/>
        <w:t>Note that this tender is in contrast to other maternity service providers, including obstetricians, in which a scheme including intrapartum care was put forward.</w:t>
      </w:r>
    </w:p>
  </w:footnote>
  <w:footnote w:id="40">
    <w:p w:rsidR="00250027" w:rsidRPr="006676A4" w:rsidRDefault="00250027" w:rsidP="006676A4">
      <w:pPr>
        <w:pStyle w:val="FootnoteText"/>
        <w:rPr>
          <w:rStyle w:val="FootnoteReference"/>
          <w:rFonts w:ascii="Georgia" w:hAnsi="Georgia"/>
          <w:sz w:val="14"/>
          <w:vertAlign w:val="baseline"/>
        </w:rPr>
      </w:pPr>
      <w:r w:rsidRPr="006676A4">
        <w:rPr>
          <w:rStyle w:val="FootnoteReference"/>
          <w:rFonts w:ascii="Georgia" w:hAnsi="Georgia"/>
          <w:sz w:val="14"/>
          <w:vertAlign w:val="baseline"/>
        </w:rPr>
        <w:footnoteRef/>
      </w:r>
      <w:r w:rsidRPr="006676A4">
        <w:rPr>
          <w:rStyle w:val="FootnoteReference"/>
          <w:rFonts w:ascii="Georgia" w:hAnsi="Georgia"/>
          <w:sz w:val="14"/>
          <w:vertAlign w:val="baseline"/>
        </w:rPr>
        <w:tab/>
        <w:t>Commonwealth of Australia</w:t>
      </w:r>
      <w:r>
        <w:t>,</w:t>
      </w:r>
      <w:r>
        <w:rPr>
          <w:rStyle w:val="FootnoteReference"/>
          <w:rFonts w:ascii="Georgia" w:hAnsi="Georgia"/>
          <w:sz w:val="14"/>
          <w:vertAlign w:val="baseline"/>
        </w:rPr>
        <w:t xml:space="preserve"> </w:t>
      </w:r>
      <w:r>
        <w:t>2009</w:t>
      </w:r>
      <w:r w:rsidRPr="006676A4">
        <w:rPr>
          <w:rStyle w:val="FootnoteReference"/>
          <w:rFonts w:ascii="Georgia" w:hAnsi="Georgia"/>
          <w:sz w:val="14"/>
          <w:vertAlign w:val="baseline"/>
        </w:rPr>
        <w:t>.</w:t>
      </w:r>
    </w:p>
  </w:footnote>
  <w:footnote w:id="41">
    <w:p w:rsidR="00250027" w:rsidRPr="00C912AD" w:rsidRDefault="00250027" w:rsidP="00D47936">
      <w:pPr>
        <w:pStyle w:val="FootnoteText"/>
        <w:tabs>
          <w:tab w:val="clear" w:pos="284"/>
        </w:tabs>
        <w:ind w:left="284" w:hanging="284"/>
      </w:pPr>
      <w:r w:rsidRPr="00C912AD">
        <w:rPr>
          <w:rStyle w:val="FootnoteReference"/>
          <w:rFonts w:ascii="Georgia" w:hAnsi="Georgia"/>
          <w:sz w:val="14"/>
          <w:vertAlign w:val="baseline"/>
        </w:rPr>
        <w:footnoteRef/>
      </w:r>
      <w:r w:rsidRPr="00C912AD">
        <w:tab/>
        <w:t>Personal communication, June 2013.</w:t>
      </w:r>
    </w:p>
  </w:footnote>
  <w:footnote w:id="42">
    <w:p w:rsidR="00250027" w:rsidRDefault="00250027" w:rsidP="00B02E1C">
      <w:pPr>
        <w:pStyle w:val="FootnoteText"/>
        <w:ind w:left="284" w:hanging="284"/>
      </w:pPr>
      <w:r>
        <w:rPr>
          <w:rStyle w:val="FootnoteReference"/>
        </w:rPr>
        <w:footnoteRef/>
      </w:r>
      <w:r>
        <w:tab/>
        <w:t>International Confederation of Midwives, 2012.</w:t>
      </w:r>
    </w:p>
  </w:footnote>
  <w:footnote w:id="43">
    <w:p w:rsidR="00250027" w:rsidRPr="00626389" w:rsidRDefault="00250027" w:rsidP="00D47936">
      <w:pPr>
        <w:pStyle w:val="FootnoteText"/>
        <w:tabs>
          <w:tab w:val="clear" w:pos="284"/>
        </w:tabs>
        <w:ind w:left="284" w:hanging="284"/>
      </w:pPr>
      <w:r w:rsidRPr="00626389">
        <w:rPr>
          <w:rStyle w:val="FootnoteReference"/>
          <w:rFonts w:ascii="Georgia" w:hAnsi="Georgia"/>
          <w:sz w:val="14"/>
          <w:vertAlign w:val="baseline"/>
        </w:rPr>
        <w:footnoteRef/>
      </w:r>
      <w:r>
        <w:tab/>
      </w:r>
      <w:r w:rsidRPr="00626389">
        <w:t>N</w:t>
      </w:r>
      <w:r>
        <w:t>ursing and Midwifery Board of Australia, 2010</w:t>
      </w:r>
      <w:r w:rsidRPr="00626389">
        <w:t>.</w:t>
      </w:r>
    </w:p>
  </w:footnote>
  <w:footnote w:id="44">
    <w:p w:rsidR="00250027" w:rsidRPr="00626389" w:rsidRDefault="00250027" w:rsidP="00D47936">
      <w:pPr>
        <w:pStyle w:val="FootnoteText"/>
        <w:ind w:left="284" w:hanging="284"/>
      </w:pPr>
      <w:r w:rsidRPr="00626389">
        <w:rPr>
          <w:rStyle w:val="FootnoteReference"/>
          <w:rFonts w:ascii="Georgia" w:hAnsi="Georgia"/>
          <w:sz w:val="14"/>
          <w:vertAlign w:val="baseline"/>
        </w:rPr>
        <w:footnoteRef/>
      </w:r>
      <w:r>
        <w:tab/>
      </w:r>
      <w:r w:rsidRPr="00626389">
        <w:t>MI</w:t>
      </w:r>
      <w:r>
        <w:t xml:space="preserve">GA, </w:t>
      </w:r>
      <w:r w:rsidRPr="00626389">
        <w:t>201</w:t>
      </w:r>
      <w:r>
        <w:t>2</w:t>
      </w:r>
      <w:r w:rsidRPr="00626389">
        <w:t>.</w:t>
      </w:r>
    </w:p>
  </w:footnote>
  <w:footnote w:id="45">
    <w:p w:rsidR="00250027" w:rsidRPr="00E01371" w:rsidRDefault="00250027" w:rsidP="00D47936">
      <w:pPr>
        <w:pStyle w:val="FootnoteText"/>
        <w:tabs>
          <w:tab w:val="clear" w:pos="284"/>
        </w:tabs>
        <w:ind w:left="284" w:hanging="284"/>
      </w:pPr>
      <w:r w:rsidRPr="00626389">
        <w:rPr>
          <w:rStyle w:val="FootnoteReference"/>
          <w:rFonts w:ascii="Georgia" w:hAnsi="Georgia"/>
          <w:sz w:val="14"/>
          <w:vertAlign w:val="baseline"/>
        </w:rPr>
        <w:footnoteRef/>
      </w:r>
      <w:r>
        <w:tab/>
      </w:r>
      <w:r w:rsidRPr="00626389">
        <w:t>IMGA</w:t>
      </w:r>
      <w:r>
        <w:t>,</w:t>
      </w:r>
      <w:r w:rsidRPr="00626389">
        <w:t xml:space="preserve"> 201</w:t>
      </w:r>
      <w:r>
        <w:t>2</w:t>
      </w:r>
      <w:r w:rsidRPr="00626389">
        <w:t>.</w:t>
      </w:r>
    </w:p>
  </w:footnote>
  <w:footnote w:id="46">
    <w:p w:rsidR="00250027" w:rsidRPr="00DC45BA" w:rsidRDefault="00250027" w:rsidP="00D47936">
      <w:pPr>
        <w:pStyle w:val="FootnoteText"/>
        <w:ind w:left="284" w:hanging="284"/>
      </w:pPr>
      <w:r w:rsidRPr="00DC45BA">
        <w:rPr>
          <w:rStyle w:val="FootnoteReference"/>
          <w:rFonts w:ascii="Georgia" w:hAnsi="Georgia"/>
          <w:sz w:val="14"/>
          <w:vertAlign w:val="baseline"/>
        </w:rPr>
        <w:footnoteRef/>
      </w:r>
      <w:r>
        <w:tab/>
      </w:r>
      <w:r w:rsidRPr="00DC45BA">
        <w:t>Personal communication, March 2013</w:t>
      </w:r>
      <w:r>
        <w:t>.</w:t>
      </w:r>
    </w:p>
  </w:footnote>
  <w:footnote w:id="47">
    <w:p w:rsidR="00250027" w:rsidRPr="00E01371" w:rsidRDefault="00250027" w:rsidP="00D47936">
      <w:pPr>
        <w:pStyle w:val="FootnoteText"/>
        <w:ind w:left="284" w:hanging="284"/>
      </w:pPr>
      <w:r w:rsidRPr="00DC45BA">
        <w:rPr>
          <w:rStyle w:val="FootnoteReference"/>
          <w:rFonts w:ascii="Georgia" w:hAnsi="Georgia"/>
          <w:sz w:val="14"/>
          <w:vertAlign w:val="baseline"/>
        </w:rPr>
        <w:footnoteRef/>
      </w:r>
      <w:r>
        <w:tab/>
      </w:r>
      <w:r w:rsidRPr="00626389">
        <w:t>MI</w:t>
      </w:r>
      <w:r>
        <w:t xml:space="preserve">GA, </w:t>
      </w:r>
      <w:r w:rsidRPr="00626389">
        <w:t>201</w:t>
      </w:r>
      <w:r>
        <w:t>2</w:t>
      </w:r>
      <w:r w:rsidRPr="00626389">
        <w:t>.</w:t>
      </w:r>
    </w:p>
  </w:footnote>
  <w:footnote w:id="48">
    <w:p w:rsidR="00250027" w:rsidRPr="00DC45BA" w:rsidRDefault="00250027" w:rsidP="00D47936">
      <w:pPr>
        <w:pStyle w:val="FootnoteText"/>
        <w:ind w:left="284" w:hanging="284"/>
      </w:pPr>
      <w:r w:rsidRPr="00DC45BA">
        <w:rPr>
          <w:rStyle w:val="FootnoteReference"/>
          <w:rFonts w:ascii="Georgia" w:hAnsi="Georgia"/>
          <w:sz w:val="14"/>
          <w:vertAlign w:val="baseline"/>
        </w:rPr>
        <w:footnoteRef/>
      </w:r>
      <w:r>
        <w:tab/>
      </w:r>
      <w:r w:rsidRPr="00DC45BA">
        <w:t>N</w:t>
      </w:r>
      <w:r>
        <w:t>ursing and Midwifery Board of Australia, 2012</w:t>
      </w:r>
      <w:r w:rsidRPr="00DC45BA">
        <w:t xml:space="preserve">, </w:t>
      </w:r>
      <w:r>
        <w:t>p.</w:t>
      </w:r>
      <w:r w:rsidRPr="00DC45BA">
        <w:t>5.</w:t>
      </w:r>
      <w:r>
        <w:t xml:space="preserve"> </w:t>
      </w:r>
    </w:p>
  </w:footnote>
  <w:footnote w:id="49">
    <w:p w:rsidR="00250027" w:rsidRPr="00175841" w:rsidRDefault="00250027" w:rsidP="00D47936">
      <w:pPr>
        <w:pStyle w:val="FootnoteText"/>
        <w:tabs>
          <w:tab w:val="clear" w:pos="284"/>
        </w:tabs>
        <w:ind w:left="284" w:hanging="284"/>
      </w:pPr>
      <w:r w:rsidRPr="00DC45BA">
        <w:rPr>
          <w:rStyle w:val="FootnoteReference"/>
          <w:rFonts w:ascii="Georgia" w:hAnsi="Georgia"/>
          <w:sz w:val="14"/>
          <w:vertAlign w:val="baseline"/>
        </w:rPr>
        <w:footnoteRef/>
      </w:r>
      <w:r w:rsidRPr="00DC45BA">
        <w:tab/>
        <w:t xml:space="preserve">A caseload refers to the number of women that are in the care of a PPM. A full caseload has been considered in previous reports to be around 40 births per year. UTS Centre for Family </w:t>
      </w:r>
      <w:r w:rsidRPr="00175841">
        <w:t>Health and Midwifery 2001.</w:t>
      </w:r>
    </w:p>
  </w:footnote>
  <w:footnote w:id="50">
    <w:p w:rsidR="00250027" w:rsidRPr="00E01371" w:rsidRDefault="00250027" w:rsidP="00D47936">
      <w:pPr>
        <w:pStyle w:val="FootnoteText"/>
        <w:tabs>
          <w:tab w:val="clear" w:pos="284"/>
        </w:tabs>
        <w:ind w:left="284" w:hanging="284"/>
      </w:pPr>
      <w:r w:rsidRPr="00175841">
        <w:footnoteRef/>
      </w:r>
      <w:r w:rsidRPr="00175841">
        <w:tab/>
        <w:t>UTS Centre for Family Health and Midwifery</w:t>
      </w:r>
      <w:r>
        <w:t xml:space="preserve"> 2001, p.</w:t>
      </w:r>
      <w:r w:rsidRPr="00175841">
        <w:t>10.</w:t>
      </w:r>
    </w:p>
  </w:footnote>
  <w:footnote w:id="51">
    <w:p w:rsidR="00250027" w:rsidRPr="00DC45BA" w:rsidRDefault="00250027" w:rsidP="00D47936">
      <w:pPr>
        <w:pStyle w:val="FootnoteText"/>
        <w:ind w:left="284" w:hanging="284"/>
      </w:pPr>
      <w:r w:rsidRPr="00DC45BA">
        <w:rPr>
          <w:rStyle w:val="FootnoteReference"/>
          <w:rFonts w:ascii="Georgia" w:hAnsi="Georgia"/>
          <w:sz w:val="14"/>
          <w:vertAlign w:val="baseline"/>
        </w:rPr>
        <w:footnoteRef/>
      </w:r>
      <w:r>
        <w:tab/>
      </w:r>
      <w:r w:rsidRPr="00DC45BA">
        <w:t>Personal communication, March 2013.</w:t>
      </w:r>
    </w:p>
  </w:footnote>
  <w:footnote w:id="52">
    <w:p w:rsidR="00250027" w:rsidRPr="00E01371" w:rsidRDefault="00250027" w:rsidP="00D47936">
      <w:pPr>
        <w:pStyle w:val="FootnoteText"/>
        <w:tabs>
          <w:tab w:val="clear" w:pos="284"/>
        </w:tabs>
        <w:ind w:left="284" w:hanging="284"/>
      </w:pPr>
      <w:r w:rsidRPr="00DC45BA">
        <w:rPr>
          <w:rStyle w:val="FootnoteReference"/>
          <w:rFonts w:ascii="Georgia" w:hAnsi="Georgia"/>
          <w:sz w:val="14"/>
          <w:vertAlign w:val="baseline"/>
        </w:rPr>
        <w:footnoteRef/>
      </w:r>
      <w:r>
        <w:tab/>
      </w:r>
      <w:r>
        <w:rPr>
          <w:lang w:val="en-GB"/>
        </w:rPr>
        <w:t>South Australia Department of Health, 2007.</w:t>
      </w:r>
    </w:p>
  </w:footnote>
  <w:footnote w:id="53">
    <w:p w:rsidR="00250027" w:rsidRPr="00E01371" w:rsidRDefault="00250027" w:rsidP="00D47936">
      <w:pPr>
        <w:pStyle w:val="FootnoteText"/>
        <w:tabs>
          <w:tab w:val="clear" w:pos="284"/>
        </w:tabs>
        <w:ind w:left="284" w:hanging="284"/>
      </w:pPr>
      <w:r w:rsidRPr="00E01371">
        <w:rPr>
          <w:rStyle w:val="FootnoteReference"/>
        </w:rPr>
        <w:footnoteRef/>
      </w:r>
      <w:r>
        <w:tab/>
      </w:r>
      <w:r w:rsidRPr="00E01371">
        <w:t>Internati</w:t>
      </w:r>
      <w:r>
        <w:t>onal Confederation of Midwives, 2012</w:t>
      </w:r>
      <w:r w:rsidRPr="00E01371">
        <w:t>.</w:t>
      </w:r>
    </w:p>
  </w:footnote>
  <w:footnote w:id="54">
    <w:p w:rsidR="00250027" w:rsidRPr="00E01371" w:rsidRDefault="00250027" w:rsidP="00D47936">
      <w:pPr>
        <w:pStyle w:val="FootnoteText"/>
        <w:tabs>
          <w:tab w:val="clear" w:pos="284"/>
        </w:tabs>
        <w:ind w:left="284" w:hanging="284"/>
      </w:pPr>
      <w:r w:rsidRPr="00E01371">
        <w:rPr>
          <w:rStyle w:val="FootnoteReference"/>
        </w:rPr>
        <w:footnoteRef/>
      </w:r>
      <w:r>
        <w:tab/>
      </w:r>
      <w:r w:rsidRPr="00E01371">
        <w:t>N</w:t>
      </w:r>
      <w:r>
        <w:t xml:space="preserve">ursing and Midwifery Board of Australia, </w:t>
      </w:r>
      <w:r w:rsidRPr="00E01371">
        <w:t>2010.</w:t>
      </w:r>
    </w:p>
  </w:footnote>
  <w:footnote w:id="55">
    <w:p w:rsidR="00250027" w:rsidRPr="003E0158" w:rsidRDefault="00250027" w:rsidP="00D47936">
      <w:pPr>
        <w:pStyle w:val="FootnoteText"/>
        <w:ind w:left="284" w:hanging="284"/>
      </w:pPr>
      <w:r w:rsidRPr="003E0158">
        <w:rPr>
          <w:rStyle w:val="FootnoteReference"/>
          <w:rFonts w:ascii="Georgia" w:hAnsi="Georgia"/>
          <w:sz w:val="14"/>
          <w:vertAlign w:val="baseline"/>
        </w:rPr>
        <w:footnoteRef/>
      </w:r>
      <w:r>
        <w:tab/>
      </w:r>
      <w:r w:rsidRPr="003E0158">
        <w:t xml:space="preserve">Note that variation in practice </w:t>
      </w:r>
      <w:r>
        <w:t>h</w:t>
      </w:r>
      <w:r w:rsidRPr="003E0158">
        <w:t>as been reduced as a result of the establishment of AHPRA.</w:t>
      </w:r>
    </w:p>
  </w:footnote>
  <w:footnote w:id="56">
    <w:p w:rsidR="00250027" w:rsidRPr="003E0158" w:rsidRDefault="00250027" w:rsidP="00D47936">
      <w:pPr>
        <w:pStyle w:val="FootnoteText"/>
        <w:tabs>
          <w:tab w:val="clear" w:pos="284"/>
        </w:tabs>
        <w:ind w:left="284" w:hanging="284"/>
      </w:pPr>
      <w:r w:rsidRPr="003E0158">
        <w:rPr>
          <w:rStyle w:val="FootnoteReference"/>
          <w:rFonts w:ascii="Georgia" w:hAnsi="Georgia"/>
          <w:sz w:val="14"/>
          <w:vertAlign w:val="baseline"/>
        </w:rPr>
        <w:footnoteRef/>
      </w:r>
      <w:r>
        <w:tab/>
      </w:r>
      <w:r w:rsidRPr="003E0158">
        <w:t>Personal communication, November 2012.</w:t>
      </w:r>
    </w:p>
  </w:footnote>
  <w:footnote w:id="57">
    <w:p w:rsidR="00250027" w:rsidRPr="00E01371" w:rsidRDefault="00250027" w:rsidP="00D47936">
      <w:pPr>
        <w:pStyle w:val="FootnoteText"/>
        <w:ind w:left="284" w:hanging="284"/>
      </w:pPr>
      <w:r w:rsidRPr="003E0158">
        <w:rPr>
          <w:rStyle w:val="FootnoteReference"/>
          <w:rFonts w:ascii="Georgia" w:hAnsi="Georgia"/>
          <w:sz w:val="14"/>
          <w:vertAlign w:val="baseline"/>
        </w:rPr>
        <w:footnoteRef/>
      </w:r>
      <w:r>
        <w:tab/>
      </w:r>
      <w:r w:rsidRPr="003E0158">
        <w:t>Department of Health WA</w:t>
      </w:r>
      <w:r>
        <w:t>, 2008</w:t>
      </w:r>
      <w:r w:rsidRPr="003E0158">
        <w:t xml:space="preserve">, </w:t>
      </w:r>
      <w:r>
        <w:t>p.</w:t>
      </w:r>
      <w:r w:rsidRPr="003E0158">
        <w:t>15.</w:t>
      </w:r>
      <w:r w:rsidRPr="00E01371">
        <w:t xml:space="preserve"> </w:t>
      </w:r>
    </w:p>
  </w:footnote>
  <w:footnote w:id="58">
    <w:p w:rsidR="00250027" w:rsidRPr="007F3FBD" w:rsidRDefault="00250027" w:rsidP="003E4E4D">
      <w:pPr>
        <w:pStyle w:val="FootnoteText"/>
        <w:ind w:left="284" w:hanging="284"/>
      </w:pPr>
      <w:r w:rsidRPr="007F3FBD">
        <w:rPr>
          <w:rStyle w:val="FootnoteReference"/>
          <w:rFonts w:ascii="Georgia" w:hAnsi="Georgia"/>
          <w:sz w:val="14"/>
          <w:vertAlign w:val="baseline"/>
        </w:rPr>
        <w:footnoteRef/>
      </w:r>
      <w:r>
        <w:tab/>
      </w:r>
      <w:r w:rsidRPr="007F3FBD">
        <w:t>N</w:t>
      </w:r>
      <w:r>
        <w:t>ursing and Midwifery Board, 2013b.</w:t>
      </w:r>
    </w:p>
  </w:footnote>
  <w:footnote w:id="59">
    <w:p w:rsidR="00250027" w:rsidRPr="007F3FBD" w:rsidRDefault="00250027" w:rsidP="00D47936">
      <w:pPr>
        <w:pStyle w:val="FootnoteText"/>
        <w:ind w:left="284" w:hanging="284"/>
      </w:pPr>
      <w:r w:rsidRPr="007F3FBD">
        <w:rPr>
          <w:rStyle w:val="FootnoteReference"/>
          <w:rFonts w:ascii="Georgia" w:hAnsi="Georgia"/>
          <w:sz w:val="14"/>
          <w:vertAlign w:val="baseline"/>
        </w:rPr>
        <w:footnoteRef/>
      </w:r>
      <w:r>
        <w:tab/>
      </w:r>
      <w:r w:rsidRPr="007F3FBD">
        <w:t>Australian College of Midwives</w:t>
      </w:r>
      <w:r>
        <w:t>,</w:t>
      </w:r>
      <w:r w:rsidRPr="007F3FBD">
        <w:t xml:space="preserve"> </w:t>
      </w:r>
      <w:r>
        <w:t>2008</w:t>
      </w:r>
      <w:r w:rsidRPr="007F3FBD">
        <w:t>.</w:t>
      </w:r>
    </w:p>
  </w:footnote>
  <w:footnote w:id="60">
    <w:p w:rsidR="00250027" w:rsidRPr="007F3FBD" w:rsidRDefault="00250027" w:rsidP="00D47936">
      <w:pPr>
        <w:pStyle w:val="FootnoteText"/>
        <w:tabs>
          <w:tab w:val="clear" w:pos="284"/>
        </w:tabs>
        <w:ind w:left="284" w:hanging="284"/>
      </w:pPr>
      <w:r w:rsidRPr="007F3FBD">
        <w:rPr>
          <w:rStyle w:val="FootnoteReference"/>
          <w:rFonts w:ascii="Georgia" w:hAnsi="Georgia"/>
          <w:sz w:val="14"/>
          <w:vertAlign w:val="baseline"/>
        </w:rPr>
        <w:footnoteRef/>
      </w:r>
      <w:r>
        <w:tab/>
        <w:t>Ibid.</w:t>
      </w:r>
    </w:p>
  </w:footnote>
  <w:footnote w:id="61">
    <w:p w:rsidR="00250027" w:rsidRPr="00E01371" w:rsidRDefault="00250027" w:rsidP="00D47936">
      <w:pPr>
        <w:pStyle w:val="FootnoteText"/>
        <w:tabs>
          <w:tab w:val="clear" w:pos="284"/>
        </w:tabs>
        <w:ind w:left="284" w:hanging="284"/>
      </w:pPr>
      <w:r w:rsidRPr="007F3FBD">
        <w:rPr>
          <w:rStyle w:val="FootnoteReference"/>
          <w:rFonts w:ascii="Georgia" w:hAnsi="Georgia"/>
          <w:sz w:val="14"/>
          <w:vertAlign w:val="baseline"/>
        </w:rPr>
        <w:footnoteRef/>
      </w:r>
      <w:r>
        <w:tab/>
        <w:t>Ibid.</w:t>
      </w:r>
    </w:p>
  </w:footnote>
  <w:footnote w:id="62">
    <w:p w:rsidR="00250027" w:rsidRPr="007F3FBD" w:rsidRDefault="00250027" w:rsidP="00D47936">
      <w:pPr>
        <w:pStyle w:val="FootnoteText"/>
        <w:tabs>
          <w:tab w:val="clear" w:pos="284"/>
        </w:tabs>
        <w:ind w:left="284" w:hanging="284"/>
      </w:pPr>
      <w:r w:rsidRPr="007F3FBD">
        <w:rPr>
          <w:rStyle w:val="FootnoteReference"/>
          <w:rFonts w:ascii="Georgia" w:hAnsi="Georgia"/>
          <w:sz w:val="14"/>
          <w:vertAlign w:val="baseline"/>
        </w:rPr>
        <w:footnoteRef/>
      </w:r>
      <w:r>
        <w:tab/>
      </w:r>
      <w:r w:rsidRPr="007F3FBD">
        <w:t>Australian College of Midwives</w:t>
      </w:r>
      <w:r>
        <w:t>,</w:t>
      </w:r>
      <w:r w:rsidRPr="007F3FBD">
        <w:t xml:space="preserve"> </w:t>
      </w:r>
      <w:r>
        <w:t>2008</w:t>
      </w:r>
      <w:r w:rsidRPr="007F3FBD">
        <w:t>.</w:t>
      </w:r>
    </w:p>
  </w:footnote>
  <w:footnote w:id="63">
    <w:p w:rsidR="00250027" w:rsidRDefault="00250027" w:rsidP="00D47936">
      <w:pPr>
        <w:pStyle w:val="FootnoteText"/>
        <w:ind w:left="284" w:hanging="284"/>
      </w:pPr>
      <w:r>
        <w:rPr>
          <w:rStyle w:val="FootnoteReference"/>
        </w:rPr>
        <w:footnoteRef/>
      </w:r>
      <w:r>
        <w:tab/>
        <w:t>Note that the 3</w:t>
      </w:r>
      <w:r w:rsidRPr="00661921">
        <w:rPr>
          <w:vertAlign w:val="superscript"/>
        </w:rPr>
        <w:t>rd</w:t>
      </w:r>
      <w:r>
        <w:t xml:space="preserve"> edition of the ACM guidelines were released during the finalisation of this report. As a result, the report reflects the 2</w:t>
      </w:r>
      <w:r w:rsidRPr="00661921">
        <w:rPr>
          <w:vertAlign w:val="superscript"/>
        </w:rPr>
        <w:t>nd</w:t>
      </w:r>
      <w:r>
        <w:t xml:space="preserve"> edition. The principles still remain the same.</w:t>
      </w:r>
    </w:p>
  </w:footnote>
  <w:footnote w:id="64">
    <w:p w:rsidR="00250027" w:rsidRPr="00AE7C57" w:rsidRDefault="00250027" w:rsidP="00D47936">
      <w:pPr>
        <w:pStyle w:val="FootnoteText"/>
        <w:ind w:left="284" w:hanging="284"/>
      </w:pPr>
      <w:r w:rsidRPr="00AE7C57">
        <w:rPr>
          <w:rStyle w:val="FootnoteReference"/>
          <w:rFonts w:ascii="Georgia" w:hAnsi="Georgia"/>
          <w:sz w:val="14"/>
          <w:vertAlign w:val="baseline"/>
        </w:rPr>
        <w:footnoteRef/>
      </w:r>
      <w:r>
        <w:tab/>
      </w:r>
      <w:r>
        <w:rPr>
          <w:lang w:val="en-GB"/>
        </w:rPr>
        <w:t>South Australia Department of Health, 2007.</w:t>
      </w:r>
    </w:p>
  </w:footnote>
  <w:footnote w:id="65">
    <w:p w:rsidR="00250027" w:rsidRPr="00E01371" w:rsidRDefault="00250027" w:rsidP="00D47936">
      <w:pPr>
        <w:pStyle w:val="FootnoteText"/>
        <w:tabs>
          <w:tab w:val="clear" w:pos="284"/>
        </w:tabs>
        <w:ind w:left="284" w:hanging="284"/>
      </w:pPr>
      <w:r w:rsidRPr="00AE7C57">
        <w:rPr>
          <w:rStyle w:val="FootnoteReference"/>
          <w:rFonts w:ascii="Georgia" w:hAnsi="Georgia"/>
          <w:sz w:val="14"/>
          <w:vertAlign w:val="baseline"/>
        </w:rPr>
        <w:footnoteRef/>
      </w:r>
      <w:r>
        <w:tab/>
      </w:r>
      <w:r w:rsidRPr="00AE7C57">
        <w:t>The Royal Australian and New Zealand College of Obstetricians and Gynaecologists</w:t>
      </w:r>
      <w:r>
        <w:t>,</w:t>
      </w:r>
      <w:r w:rsidRPr="00AE7C57">
        <w:t xml:space="preserve"> </w:t>
      </w:r>
      <w:r>
        <w:t>2011.</w:t>
      </w:r>
    </w:p>
  </w:footnote>
  <w:footnote w:id="66">
    <w:p w:rsidR="00250027" w:rsidRPr="00EA6565" w:rsidRDefault="00250027" w:rsidP="00D47936">
      <w:pPr>
        <w:pStyle w:val="FootnoteText"/>
        <w:ind w:left="284" w:hanging="284"/>
      </w:pPr>
      <w:r w:rsidRPr="00EA6565">
        <w:rPr>
          <w:rStyle w:val="FootnoteReference"/>
          <w:rFonts w:ascii="Georgia" w:hAnsi="Georgia"/>
          <w:sz w:val="14"/>
          <w:vertAlign w:val="baseline"/>
        </w:rPr>
        <w:footnoteRef/>
      </w:r>
      <w:r>
        <w:tab/>
      </w:r>
      <w:r w:rsidRPr="00EA6565">
        <w:t xml:space="preserve">Personal Communication, November 2012. </w:t>
      </w:r>
    </w:p>
  </w:footnote>
  <w:footnote w:id="67">
    <w:p w:rsidR="00250027" w:rsidRPr="00EA6565" w:rsidRDefault="00250027" w:rsidP="00D47936">
      <w:pPr>
        <w:pStyle w:val="FootnoteText"/>
        <w:ind w:left="284" w:hanging="284"/>
      </w:pPr>
      <w:r w:rsidRPr="00EA6565">
        <w:rPr>
          <w:rStyle w:val="FootnoteReference"/>
          <w:rFonts w:ascii="Georgia" w:hAnsi="Georgia"/>
          <w:sz w:val="14"/>
          <w:vertAlign w:val="baseline"/>
        </w:rPr>
        <w:footnoteRef/>
      </w:r>
      <w:r>
        <w:tab/>
        <w:t xml:space="preserve">Australian College of Midwives, </w:t>
      </w:r>
      <w:r w:rsidRPr="00EA6565">
        <w:t>2008.</w:t>
      </w:r>
    </w:p>
  </w:footnote>
  <w:footnote w:id="68">
    <w:p w:rsidR="00250027" w:rsidRPr="00EA6565" w:rsidRDefault="00250027" w:rsidP="00D47936">
      <w:pPr>
        <w:pStyle w:val="FootnoteText"/>
        <w:tabs>
          <w:tab w:val="clear" w:pos="284"/>
        </w:tabs>
        <w:ind w:left="284" w:hanging="284"/>
      </w:pPr>
      <w:r w:rsidRPr="00EA6565">
        <w:rPr>
          <w:rStyle w:val="FootnoteReference"/>
          <w:rFonts w:ascii="Georgia" w:hAnsi="Georgia"/>
          <w:sz w:val="14"/>
          <w:vertAlign w:val="baseline"/>
        </w:rPr>
        <w:footnoteRef/>
      </w:r>
      <w:r>
        <w:tab/>
      </w:r>
      <w:r>
        <w:rPr>
          <w:lang w:val="en-GB"/>
        </w:rPr>
        <w:t>South Australia Department of Health, 2007.</w:t>
      </w:r>
    </w:p>
  </w:footnote>
  <w:footnote w:id="69">
    <w:p w:rsidR="00250027" w:rsidRPr="00E01371" w:rsidRDefault="00250027" w:rsidP="00D47936">
      <w:pPr>
        <w:pStyle w:val="FootnoteText"/>
        <w:tabs>
          <w:tab w:val="clear" w:pos="284"/>
        </w:tabs>
        <w:ind w:left="284" w:hanging="284"/>
      </w:pPr>
      <w:r w:rsidRPr="00EA6565">
        <w:rPr>
          <w:rStyle w:val="FootnoteReference"/>
          <w:rFonts w:ascii="Georgia" w:hAnsi="Georgia"/>
          <w:sz w:val="14"/>
          <w:vertAlign w:val="baseline"/>
        </w:rPr>
        <w:footnoteRef/>
      </w:r>
      <w:r>
        <w:tab/>
      </w:r>
      <w:r>
        <w:rPr>
          <w:lang w:val="en-GB"/>
        </w:rPr>
        <w:t>Department of Health WA, 2012</w:t>
      </w:r>
      <w:r w:rsidRPr="00EA6565">
        <w:t>.</w:t>
      </w:r>
    </w:p>
  </w:footnote>
  <w:footnote w:id="70">
    <w:p w:rsidR="00250027" w:rsidRPr="002F7DC7" w:rsidRDefault="00250027" w:rsidP="00D47936">
      <w:pPr>
        <w:pStyle w:val="FootnoteText"/>
        <w:tabs>
          <w:tab w:val="clear" w:pos="284"/>
        </w:tabs>
        <w:ind w:left="284" w:hanging="284"/>
      </w:pPr>
      <w:r w:rsidRPr="002F7DC7">
        <w:rPr>
          <w:rStyle w:val="FootnoteReference"/>
          <w:rFonts w:ascii="Georgia" w:hAnsi="Georgia"/>
          <w:sz w:val="14"/>
          <w:vertAlign w:val="baseline"/>
        </w:rPr>
        <w:footnoteRef/>
      </w:r>
      <w:r>
        <w:tab/>
      </w:r>
      <w:r w:rsidRPr="002F7DC7">
        <w:t xml:space="preserve">Personal communication, </w:t>
      </w:r>
      <w:r>
        <w:t xml:space="preserve">March </w:t>
      </w:r>
      <w:r w:rsidRPr="002F7DC7">
        <w:t>2013.</w:t>
      </w:r>
    </w:p>
  </w:footnote>
  <w:footnote w:id="71">
    <w:p w:rsidR="00250027" w:rsidRPr="00E01371" w:rsidRDefault="00250027" w:rsidP="00D47936">
      <w:pPr>
        <w:pStyle w:val="FootnoteText"/>
        <w:tabs>
          <w:tab w:val="clear" w:pos="284"/>
        </w:tabs>
        <w:ind w:left="284" w:hanging="284"/>
      </w:pPr>
      <w:r w:rsidRPr="002F7DC7">
        <w:rPr>
          <w:rStyle w:val="FootnoteReference"/>
          <w:rFonts w:ascii="Georgia" w:hAnsi="Georgia"/>
          <w:sz w:val="14"/>
          <w:vertAlign w:val="baseline"/>
        </w:rPr>
        <w:footnoteRef/>
      </w:r>
      <w:r>
        <w:tab/>
      </w:r>
      <w:r w:rsidRPr="002F7DC7">
        <w:t>College of Midwifery Ontario</w:t>
      </w:r>
      <w:r>
        <w:t>, 2</w:t>
      </w:r>
      <w:r w:rsidRPr="002F7DC7">
        <w:t>000.</w:t>
      </w:r>
    </w:p>
  </w:footnote>
  <w:footnote w:id="72">
    <w:p w:rsidR="00250027" w:rsidRPr="00E01371" w:rsidRDefault="00250027" w:rsidP="00D47936">
      <w:pPr>
        <w:pStyle w:val="FootnoteText"/>
        <w:tabs>
          <w:tab w:val="clear" w:pos="284"/>
        </w:tabs>
        <w:ind w:left="284" w:hanging="284"/>
      </w:pPr>
      <w:r w:rsidRPr="00E01371">
        <w:rPr>
          <w:rStyle w:val="FootnoteReference"/>
        </w:rPr>
        <w:footnoteRef/>
      </w:r>
      <w:r>
        <w:tab/>
      </w:r>
      <w:r w:rsidRPr="00E01371">
        <w:t xml:space="preserve">Please refer to the </w:t>
      </w:r>
      <w:r w:rsidRPr="00711B07">
        <w:rPr>
          <w:i/>
        </w:rPr>
        <w:t>PwC Claims report 2013</w:t>
      </w:r>
      <w:r w:rsidRPr="00E01371">
        <w:t xml:space="preserve"> for data limitations relating to the completeness and access to data.</w:t>
      </w:r>
    </w:p>
  </w:footnote>
  <w:footnote w:id="73">
    <w:p w:rsidR="00250027" w:rsidRPr="00E01371" w:rsidRDefault="00250027" w:rsidP="00D47936">
      <w:pPr>
        <w:pStyle w:val="FootnoteText"/>
        <w:ind w:left="284" w:hanging="284"/>
      </w:pPr>
      <w:r w:rsidRPr="00E01371">
        <w:rPr>
          <w:rStyle w:val="FootnoteReference"/>
        </w:rPr>
        <w:footnoteRef/>
      </w:r>
      <w:r>
        <w:tab/>
      </w:r>
      <w:r w:rsidRPr="00E01371">
        <w:t>Note, this result is not held to be statistically significant given the number.</w:t>
      </w:r>
    </w:p>
  </w:footnote>
  <w:footnote w:id="74">
    <w:p w:rsidR="00250027" w:rsidRPr="00874545" w:rsidRDefault="00250027" w:rsidP="00D47936">
      <w:pPr>
        <w:pStyle w:val="FootnoteText"/>
        <w:tabs>
          <w:tab w:val="clear" w:pos="284"/>
        </w:tabs>
        <w:ind w:left="284" w:hanging="284"/>
        <w:rPr>
          <w:rStyle w:val="FootnoteReference"/>
          <w:rFonts w:ascii="Georgia" w:hAnsi="Georgia"/>
          <w:sz w:val="14"/>
          <w:vertAlign w:val="baseline"/>
        </w:rPr>
      </w:pPr>
      <w:r w:rsidRPr="00874545">
        <w:rPr>
          <w:rStyle w:val="FootnoteReference"/>
          <w:rFonts w:ascii="Georgia" w:hAnsi="Georgia"/>
          <w:sz w:val="14"/>
          <w:vertAlign w:val="baseline"/>
        </w:rPr>
        <w:footnoteRef/>
      </w:r>
      <w:r w:rsidRPr="00874545">
        <w:rPr>
          <w:rStyle w:val="FootnoteReference"/>
          <w:rFonts w:ascii="Georgia" w:hAnsi="Georgia"/>
          <w:sz w:val="14"/>
          <w:vertAlign w:val="baseline"/>
        </w:rPr>
        <w:tab/>
        <w:t>Bubhub</w:t>
      </w:r>
      <w:r>
        <w:rPr>
          <w:rStyle w:val="FootnoteReference"/>
          <w:rFonts w:ascii="Georgia" w:hAnsi="Georgia"/>
          <w:sz w:val="14"/>
          <w:vertAlign w:val="baseline"/>
        </w:rPr>
        <w:t xml:space="preserve">, </w:t>
      </w:r>
      <w:r w:rsidRPr="00874545">
        <w:rPr>
          <w:rStyle w:val="FootnoteReference"/>
          <w:rFonts w:ascii="Georgia" w:hAnsi="Georgia"/>
          <w:sz w:val="14"/>
          <w:vertAlign w:val="baseline"/>
        </w:rPr>
        <w:t xml:space="preserve">2012. </w:t>
      </w:r>
    </w:p>
  </w:footnote>
  <w:footnote w:id="75">
    <w:p w:rsidR="00250027" w:rsidRPr="00874545" w:rsidRDefault="00250027" w:rsidP="00D47936">
      <w:pPr>
        <w:pStyle w:val="FootnoteText"/>
        <w:tabs>
          <w:tab w:val="clear" w:pos="284"/>
        </w:tabs>
        <w:ind w:left="284" w:hanging="284"/>
        <w:rPr>
          <w:rStyle w:val="FootnoteReference"/>
          <w:rFonts w:ascii="Georgia" w:hAnsi="Georgia"/>
          <w:sz w:val="14"/>
          <w:vertAlign w:val="baseline"/>
        </w:rPr>
      </w:pPr>
      <w:r w:rsidRPr="00874545">
        <w:rPr>
          <w:rStyle w:val="FootnoteReference"/>
          <w:rFonts w:ascii="Georgia" w:hAnsi="Georgia"/>
          <w:sz w:val="14"/>
          <w:vertAlign w:val="baseline"/>
        </w:rPr>
        <w:footnoteRef/>
      </w:r>
      <w:r w:rsidRPr="00874545">
        <w:rPr>
          <w:rStyle w:val="FootnoteReference"/>
          <w:rFonts w:ascii="Georgia" w:hAnsi="Georgia"/>
          <w:sz w:val="14"/>
          <w:vertAlign w:val="baseline"/>
        </w:rPr>
        <w:tab/>
        <w:t xml:space="preserve">Homebirth </w:t>
      </w:r>
      <w:r>
        <w:t>A</w:t>
      </w:r>
      <w:r>
        <w:rPr>
          <w:rStyle w:val="FootnoteReference"/>
          <w:rFonts w:ascii="Georgia" w:hAnsi="Georgia"/>
          <w:sz w:val="14"/>
          <w:vertAlign w:val="baseline"/>
        </w:rPr>
        <w:t xml:space="preserve">ccess Sydney, </w:t>
      </w:r>
      <w:r w:rsidRPr="00874545">
        <w:rPr>
          <w:rStyle w:val="FootnoteReference"/>
          <w:rFonts w:ascii="Georgia" w:hAnsi="Georgia"/>
          <w:sz w:val="14"/>
          <w:vertAlign w:val="baseline"/>
        </w:rPr>
        <w:t>2012.</w:t>
      </w:r>
    </w:p>
  </w:footnote>
  <w:footnote w:id="76">
    <w:p w:rsidR="00250027" w:rsidRPr="00874545" w:rsidRDefault="00250027" w:rsidP="00D47936">
      <w:pPr>
        <w:pStyle w:val="FootnoteText"/>
        <w:tabs>
          <w:tab w:val="clear" w:pos="284"/>
        </w:tabs>
        <w:ind w:left="284" w:hanging="284"/>
        <w:rPr>
          <w:rStyle w:val="FootnoteReference"/>
          <w:rFonts w:ascii="Georgia" w:hAnsi="Georgia"/>
          <w:sz w:val="14"/>
          <w:vertAlign w:val="baseline"/>
        </w:rPr>
      </w:pPr>
      <w:r w:rsidRPr="00874545">
        <w:rPr>
          <w:rStyle w:val="FootnoteReference"/>
          <w:rFonts w:ascii="Georgia" w:eastAsia="MS Mincho" w:hAnsi="Georgia"/>
          <w:sz w:val="14"/>
          <w:vertAlign w:val="baseline"/>
        </w:rPr>
        <w:footnoteRef/>
      </w:r>
      <w:r w:rsidRPr="00874545">
        <w:rPr>
          <w:rStyle w:val="FootnoteReference"/>
          <w:rFonts w:ascii="Georgia" w:eastAsia="MS Mincho" w:hAnsi="Georgia"/>
          <w:sz w:val="14"/>
          <w:vertAlign w:val="baseline"/>
        </w:rPr>
        <w:tab/>
      </w:r>
      <w:r>
        <w:rPr>
          <w:rStyle w:val="FootnoteReference"/>
          <w:rFonts w:ascii="Georgia" w:eastAsia="MS Mincho" w:hAnsi="Georgia"/>
          <w:sz w:val="14"/>
          <w:vertAlign w:val="baseline"/>
        </w:rPr>
        <w:t>Nursing and Midwifery Board of Australia, 2013a</w:t>
      </w:r>
      <w:r w:rsidRPr="00874545">
        <w:rPr>
          <w:rStyle w:val="FootnoteReference"/>
          <w:rFonts w:ascii="Georgia" w:hAnsi="Georgia"/>
          <w:sz w:val="14"/>
          <w:vertAlign w:val="baseline"/>
        </w:rPr>
        <w:t>.</w:t>
      </w:r>
    </w:p>
  </w:footnote>
  <w:footnote w:id="77">
    <w:p w:rsidR="00250027" w:rsidRPr="00C55CEC" w:rsidRDefault="00250027" w:rsidP="00D47936">
      <w:pPr>
        <w:pStyle w:val="FootnoteText"/>
        <w:tabs>
          <w:tab w:val="clear" w:pos="284"/>
        </w:tabs>
        <w:ind w:left="284" w:hanging="284"/>
      </w:pPr>
      <w:r w:rsidRPr="00874545">
        <w:rPr>
          <w:rStyle w:val="FootnoteReference"/>
          <w:rFonts w:ascii="Georgia" w:hAnsi="Georgia"/>
          <w:sz w:val="14"/>
          <w:vertAlign w:val="baseline"/>
        </w:rPr>
        <w:footnoteRef/>
      </w:r>
      <w:r w:rsidRPr="00874545">
        <w:tab/>
        <w:t>Note that this may not represent the full number of PPMs that are current practising, only the number of survey participants who identified themselves as PPM and does not account for data limitations.</w:t>
      </w:r>
    </w:p>
  </w:footnote>
  <w:footnote w:id="78">
    <w:p w:rsidR="00250027" w:rsidRPr="00A97DCD" w:rsidRDefault="00250027" w:rsidP="00D47936">
      <w:pPr>
        <w:pStyle w:val="FootnoteText"/>
        <w:tabs>
          <w:tab w:val="clear" w:pos="284"/>
        </w:tabs>
        <w:ind w:left="284" w:hanging="284"/>
      </w:pPr>
      <w:r w:rsidRPr="00A97DCD">
        <w:rPr>
          <w:rStyle w:val="FootnoteReference"/>
          <w:rFonts w:ascii="Georgia" w:hAnsi="Georgia"/>
          <w:sz w:val="14"/>
          <w:vertAlign w:val="baseline"/>
        </w:rPr>
        <w:footnoteRef/>
      </w:r>
      <w:r>
        <w:tab/>
      </w:r>
      <w:r w:rsidRPr="00A97DCD">
        <w:t>A</w:t>
      </w:r>
      <w:r>
        <w:t>ustralian Institute of Health and Welfare, 2013.</w:t>
      </w:r>
    </w:p>
  </w:footnote>
  <w:footnote w:id="79">
    <w:p w:rsidR="00250027" w:rsidRPr="00A97DCD" w:rsidRDefault="00250027" w:rsidP="00D47936">
      <w:pPr>
        <w:pStyle w:val="FootnoteText"/>
        <w:ind w:left="284" w:hanging="284"/>
      </w:pPr>
      <w:r w:rsidRPr="00A97DCD">
        <w:rPr>
          <w:rStyle w:val="FootnoteReference"/>
          <w:rFonts w:ascii="Georgia" w:hAnsi="Georgia"/>
          <w:sz w:val="14"/>
          <w:vertAlign w:val="baseline"/>
        </w:rPr>
        <w:footnoteRef/>
      </w:r>
      <w:r>
        <w:tab/>
      </w:r>
      <w:r w:rsidRPr="00A97DCD">
        <w:t>A</w:t>
      </w:r>
      <w:r>
        <w:t>ustralian Institute of Health and Welfare, 2013</w:t>
      </w:r>
      <w:r w:rsidRPr="00A97DCD">
        <w:t>.</w:t>
      </w:r>
    </w:p>
  </w:footnote>
  <w:footnote w:id="80">
    <w:p w:rsidR="00250027" w:rsidRPr="00E01371" w:rsidRDefault="00250027" w:rsidP="00873298">
      <w:pPr>
        <w:pStyle w:val="FootnoteText"/>
        <w:tabs>
          <w:tab w:val="clear" w:pos="284"/>
        </w:tabs>
        <w:ind w:left="284" w:hanging="284"/>
      </w:pPr>
      <w:r w:rsidRPr="00A97DCD">
        <w:rPr>
          <w:rStyle w:val="FootnoteReference"/>
          <w:rFonts w:ascii="Georgia" w:hAnsi="Georgia"/>
          <w:sz w:val="14"/>
          <w:vertAlign w:val="baseline"/>
        </w:rPr>
        <w:footnoteRef/>
      </w:r>
      <w:r>
        <w:tab/>
      </w:r>
      <w:r w:rsidRPr="00A97DCD">
        <w:t>From our survey completed, of the 85 respondents only 61%, also were eligible midwives. Only 74% of those PPMs were also eligible midwives.</w:t>
      </w:r>
    </w:p>
  </w:footnote>
  <w:footnote w:id="81">
    <w:p w:rsidR="00250027" w:rsidRPr="00557A76" w:rsidRDefault="00250027" w:rsidP="00D47936">
      <w:pPr>
        <w:pStyle w:val="FootnoteText"/>
        <w:tabs>
          <w:tab w:val="clear" w:pos="284"/>
        </w:tabs>
        <w:ind w:left="284" w:hanging="284"/>
      </w:pPr>
      <w:r w:rsidRPr="00557A76">
        <w:rPr>
          <w:rStyle w:val="FootnoteReference"/>
          <w:rFonts w:ascii="Georgia" w:hAnsi="Georgia"/>
          <w:sz w:val="14"/>
          <w:vertAlign w:val="baseline"/>
        </w:rPr>
        <w:footnoteRef/>
      </w:r>
      <w:r w:rsidRPr="00557A76">
        <w:tab/>
      </w:r>
      <w:r w:rsidRPr="005A16C9">
        <w:rPr>
          <w:lang w:val="en-GB"/>
        </w:rPr>
        <w:t>Hatem M</w:t>
      </w:r>
      <w:r>
        <w:rPr>
          <w:lang w:val="en-GB"/>
        </w:rPr>
        <w:t>, Sandall J, Devane D, Soltani H &amp;</w:t>
      </w:r>
      <w:r w:rsidRPr="005A16C9">
        <w:rPr>
          <w:lang w:val="en-GB"/>
        </w:rPr>
        <w:t xml:space="preserve"> Gates S</w:t>
      </w:r>
      <w:r>
        <w:t xml:space="preserve"> 2009.</w:t>
      </w:r>
    </w:p>
  </w:footnote>
  <w:footnote w:id="82">
    <w:p w:rsidR="00250027" w:rsidRPr="00557A76" w:rsidRDefault="00250027" w:rsidP="00D47936">
      <w:pPr>
        <w:pStyle w:val="FootnoteText"/>
        <w:tabs>
          <w:tab w:val="clear" w:pos="284"/>
        </w:tabs>
        <w:ind w:left="284" w:hanging="284"/>
      </w:pPr>
      <w:r w:rsidRPr="00557A76">
        <w:rPr>
          <w:rStyle w:val="FootnoteReference"/>
          <w:rFonts w:ascii="Georgia" w:hAnsi="Georgia"/>
          <w:sz w:val="14"/>
          <w:vertAlign w:val="baseline"/>
        </w:rPr>
        <w:footnoteRef/>
      </w:r>
      <w:r w:rsidRPr="00557A76">
        <w:tab/>
        <w:t xml:space="preserve"> McLachlan HL, Forster DA, Davey MA, Farrell T, Gold L, Biro MA, Albers L, Flood M, Oats J, Waldenstrom U</w:t>
      </w:r>
      <w:r>
        <w:t xml:space="preserve"> 2012</w:t>
      </w:r>
      <w:r w:rsidRPr="00557A76">
        <w:t>.</w:t>
      </w:r>
    </w:p>
  </w:footnote>
  <w:footnote w:id="83">
    <w:p w:rsidR="00250027" w:rsidRPr="00557A76" w:rsidRDefault="00250027" w:rsidP="00D47936">
      <w:pPr>
        <w:pStyle w:val="FootnoteText"/>
        <w:ind w:left="284" w:hanging="284"/>
      </w:pPr>
      <w:r w:rsidRPr="00557A76">
        <w:rPr>
          <w:rStyle w:val="FootnoteReference"/>
          <w:rFonts w:ascii="Georgia" w:hAnsi="Georgia"/>
          <w:sz w:val="14"/>
          <w:vertAlign w:val="baseline"/>
        </w:rPr>
        <w:footnoteRef/>
      </w:r>
      <w:r w:rsidRPr="00557A76">
        <w:tab/>
        <w:t xml:space="preserve">This is a model similar to those seen in the province of Ontario and New Zealand – see </w:t>
      </w:r>
      <w:r w:rsidRPr="0020177E">
        <w:t>Chapter 4</w:t>
      </w:r>
      <w:r>
        <w:t>.</w:t>
      </w:r>
    </w:p>
  </w:footnote>
  <w:footnote w:id="84">
    <w:p w:rsidR="00250027" w:rsidRPr="00557A76" w:rsidRDefault="00250027" w:rsidP="00D47936">
      <w:pPr>
        <w:pStyle w:val="FootnoteText"/>
        <w:ind w:left="284" w:hanging="284"/>
      </w:pPr>
      <w:r w:rsidRPr="00557A76">
        <w:rPr>
          <w:rStyle w:val="FootnoteReference"/>
          <w:rFonts w:ascii="Georgia" w:hAnsi="Georgia"/>
          <w:sz w:val="14"/>
          <w:vertAlign w:val="baseline"/>
        </w:rPr>
        <w:footnoteRef/>
      </w:r>
      <w:r w:rsidRPr="00557A76">
        <w:tab/>
        <w:t>Note that the number of fetal loss equates to a relatively small number of absolute deaths seen.</w:t>
      </w:r>
    </w:p>
  </w:footnote>
  <w:footnote w:id="85">
    <w:p w:rsidR="00250027" w:rsidRPr="00E01371" w:rsidRDefault="00250027" w:rsidP="00D47936">
      <w:pPr>
        <w:pStyle w:val="FootnoteText"/>
        <w:ind w:left="284" w:hanging="284"/>
        <w:rPr>
          <w:noProof/>
        </w:rPr>
      </w:pPr>
      <w:r w:rsidRPr="00557A76">
        <w:rPr>
          <w:rStyle w:val="FootnoteReference"/>
          <w:rFonts w:ascii="Georgia" w:hAnsi="Georgia"/>
          <w:sz w:val="14"/>
          <w:vertAlign w:val="baseline"/>
        </w:rPr>
        <w:footnoteRef/>
      </w:r>
      <w:r w:rsidRPr="00557A76">
        <w:tab/>
        <w:t>Tracy SK</w:t>
      </w:r>
      <w:r>
        <w:t xml:space="preserve"> &amp;</w:t>
      </w:r>
      <w:r w:rsidRPr="00557A76">
        <w:t xml:space="preserve"> Tracy MB</w:t>
      </w:r>
      <w:r>
        <w:t xml:space="preserve"> 2003</w:t>
      </w:r>
      <w:r w:rsidRPr="00557A76">
        <w:t>.</w:t>
      </w:r>
    </w:p>
  </w:footnote>
  <w:footnote w:id="86">
    <w:p w:rsidR="00250027" w:rsidRDefault="00250027" w:rsidP="00D47936">
      <w:pPr>
        <w:pStyle w:val="FootnoteText"/>
        <w:ind w:left="284" w:hanging="284"/>
      </w:pPr>
      <w:r>
        <w:rPr>
          <w:rStyle w:val="FootnoteReference"/>
        </w:rPr>
        <w:footnoteRef/>
      </w:r>
      <w:r>
        <w:tab/>
        <w:t>Nulliparous</w:t>
      </w:r>
      <w:r w:rsidRPr="003A2DF6">
        <w:t xml:space="preserve"> refers to a woman who has never given birth, or given birth to a viable, or live, infant</w:t>
      </w:r>
      <w:r>
        <w:t>.</w:t>
      </w:r>
    </w:p>
  </w:footnote>
  <w:footnote w:id="87">
    <w:p w:rsidR="00250027" w:rsidRDefault="00250027" w:rsidP="001A57CA">
      <w:pPr>
        <w:pStyle w:val="FootnoteText"/>
        <w:ind w:left="284" w:hanging="284"/>
      </w:pPr>
      <w:r>
        <w:rPr>
          <w:rStyle w:val="FootnoteReference"/>
        </w:rPr>
        <w:footnoteRef/>
      </w:r>
      <w:r>
        <w:tab/>
        <w:t>Catling-Paull C, Coddington RL, Foureur MJ &amp; Homer CSE 2013.</w:t>
      </w:r>
    </w:p>
  </w:footnote>
  <w:footnote w:id="88">
    <w:p w:rsidR="00250027" w:rsidRPr="00002044" w:rsidRDefault="00250027" w:rsidP="00D47936">
      <w:pPr>
        <w:pStyle w:val="FootnoteText"/>
        <w:ind w:left="284" w:hanging="284"/>
      </w:pPr>
      <w:r w:rsidRPr="00002044">
        <w:rPr>
          <w:rStyle w:val="FootnoteReference"/>
          <w:rFonts w:ascii="Georgia" w:hAnsi="Georgia"/>
          <w:sz w:val="14"/>
          <w:vertAlign w:val="baseline"/>
        </w:rPr>
        <w:footnoteRef/>
      </w:r>
      <w:r w:rsidRPr="00002044">
        <w:t xml:space="preserve"> </w:t>
      </w:r>
      <w:r>
        <w:tab/>
      </w:r>
      <w:r w:rsidRPr="005A16C9">
        <w:rPr>
          <w:lang w:val="en-GB"/>
        </w:rPr>
        <w:t xml:space="preserve">Janssen </w:t>
      </w:r>
      <w:r>
        <w:rPr>
          <w:lang w:val="en-GB"/>
        </w:rPr>
        <w:t xml:space="preserve">PA, </w:t>
      </w:r>
      <w:r w:rsidRPr="005A16C9">
        <w:rPr>
          <w:lang w:val="en-GB"/>
        </w:rPr>
        <w:t>Saxell L</w:t>
      </w:r>
      <w:r>
        <w:rPr>
          <w:lang w:val="en-GB"/>
        </w:rPr>
        <w:t>, Page LA, Klein MC, Liston RM &amp; Lee SK 2009</w:t>
      </w:r>
      <w:r w:rsidRPr="00002044">
        <w:t>.</w:t>
      </w:r>
    </w:p>
  </w:footnote>
  <w:footnote w:id="89">
    <w:p w:rsidR="00250027" w:rsidRPr="00002044" w:rsidRDefault="00250027" w:rsidP="00D47936">
      <w:pPr>
        <w:pStyle w:val="FootnoteText"/>
        <w:ind w:left="284" w:hanging="284"/>
      </w:pPr>
      <w:r w:rsidRPr="00002044">
        <w:rPr>
          <w:rStyle w:val="FootnoteReference"/>
          <w:rFonts w:ascii="Georgia" w:hAnsi="Georgia"/>
          <w:sz w:val="14"/>
          <w:vertAlign w:val="baseline"/>
        </w:rPr>
        <w:footnoteRef/>
      </w:r>
      <w:r w:rsidRPr="00002044">
        <w:t xml:space="preserve"> </w:t>
      </w:r>
      <w:r>
        <w:tab/>
        <w:t>Ibid.</w:t>
      </w:r>
    </w:p>
  </w:footnote>
  <w:footnote w:id="90">
    <w:p w:rsidR="00250027" w:rsidRPr="00002044" w:rsidRDefault="00250027" w:rsidP="00D47936">
      <w:pPr>
        <w:pStyle w:val="FootnoteText"/>
        <w:ind w:left="284" w:hanging="284"/>
      </w:pPr>
      <w:r w:rsidRPr="00002044">
        <w:rPr>
          <w:rStyle w:val="FootnoteReference"/>
          <w:rFonts w:ascii="Georgia" w:hAnsi="Georgia"/>
          <w:sz w:val="14"/>
          <w:vertAlign w:val="baseline"/>
        </w:rPr>
        <w:footnoteRef/>
      </w:r>
      <w:r>
        <w:tab/>
      </w:r>
      <w:r>
        <w:rPr>
          <w:lang w:val="en-GB"/>
        </w:rPr>
        <w:t>Dowsell T, Thornton JG, Hewison J, Lilford RJ, Raisler J, Macfarlane A, Young G, Newburn M, Dodds R &amp; Settatree RS 1996.</w:t>
      </w:r>
    </w:p>
  </w:footnote>
  <w:footnote w:id="91">
    <w:p w:rsidR="00250027" w:rsidRPr="00002044" w:rsidRDefault="00250027" w:rsidP="00D47936">
      <w:pPr>
        <w:pStyle w:val="FootnoteText"/>
        <w:ind w:left="284" w:hanging="284"/>
      </w:pPr>
      <w:r w:rsidRPr="00002044">
        <w:rPr>
          <w:rStyle w:val="FootnoteReference"/>
          <w:rFonts w:ascii="Georgia" w:hAnsi="Georgia"/>
          <w:sz w:val="14"/>
          <w:vertAlign w:val="baseline"/>
        </w:rPr>
        <w:footnoteRef/>
      </w:r>
      <w:r>
        <w:tab/>
      </w:r>
      <w:r>
        <w:rPr>
          <w:lang w:val="en-GB"/>
        </w:rPr>
        <w:t>Hendrix M, Van Horck M, Moreta D, Nieman F, Nieuwenhuijze M, Severens J, Nijhuis J 2009</w:t>
      </w:r>
      <w:r w:rsidRPr="00002044">
        <w:t>.</w:t>
      </w:r>
    </w:p>
  </w:footnote>
  <w:footnote w:id="92">
    <w:p w:rsidR="00250027" w:rsidRPr="00002044" w:rsidRDefault="00250027" w:rsidP="00D47936">
      <w:pPr>
        <w:pStyle w:val="FootnoteText"/>
        <w:tabs>
          <w:tab w:val="clear" w:pos="284"/>
        </w:tabs>
        <w:ind w:left="284" w:hanging="284"/>
      </w:pPr>
      <w:r w:rsidRPr="00002044">
        <w:rPr>
          <w:rStyle w:val="FootnoteReference"/>
          <w:rFonts w:ascii="Georgia" w:hAnsi="Georgia"/>
          <w:sz w:val="14"/>
          <w:vertAlign w:val="baseline"/>
        </w:rPr>
        <w:footnoteRef/>
      </w:r>
      <w:r>
        <w:tab/>
      </w:r>
      <w:r w:rsidRPr="005A16C9">
        <w:rPr>
          <w:lang w:val="en-GB"/>
        </w:rPr>
        <w:t xml:space="preserve">Kennare RM, Keirse MJ, Tucker GR &amp; Chan AC </w:t>
      </w:r>
      <w:r w:rsidRPr="00397E40">
        <w:t>2010</w:t>
      </w:r>
      <w:r w:rsidRPr="00002044">
        <w:t xml:space="preserve"> states the bias is based on the following argument: Opponents of homebirth argue that unexpected complications do arise, with appropriate help more likely to be available in hospital. Proponents argue that such complications are rare, and are disproportionate to the frequency of childbirth interventions that have their own complications in most obstetric departments.</w:t>
      </w:r>
    </w:p>
  </w:footnote>
  <w:footnote w:id="93">
    <w:p w:rsidR="00250027" w:rsidRPr="00E01371" w:rsidRDefault="00250027" w:rsidP="00D47936">
      <w:pPr>
        <w:pStyle w:val="FootnoteText"/>
        <w:ind w:left="284" w:hanging="284"/>
      </w:pPr>
      <w:r w:rsidRPr="00002044">
        <w:rPr>
          <w:rStyle w:val="FootnoteReference"/>
          <w:rFonts w:ascii="Georgia" w:hAnsi="Georgia"/>
          <w:sz w:val="14"/>
          <w:vertAlign w:val="baseline"/>
        </w:rPr>
        <w:footnoteRef/>
      </w:r>
      <w:r>
        <w:tab/>
      </w:r>
      <w:r w:rsidRPr="00002044">
        <w:t xml:space="preserve">Personal </w:t>
      </w:r>
      <w:r w:rsidRPr="00F51FC2">
        <w:t>communication, November 2012.</w:t>
      </w:r>
    </w:p>
  </w:footnote>
  <w:footnote w:id="94">
    <w:p w:rsidR="00250027" w:rsidRPr="00002044" w:rsidRDefault="00250027" w:rsidP="00D47936">
      <w:pPr>
        <w:pStyle w:val="FootnoteText"/>
        <w:ind w:left="284" w:hanging="284"/>
      </w:pPr>
      <w:r w:rsidRPr="00002044">
        <w:rPr>
          <w:rStyle w:val="FootnoteReference"/>
          <w:rFonts w:ascii="Georgia" w:hAnsi="Georgia"/>
          <w:sz w:val="14"/>
          <w:vertAlign w:val="baseline"/>
        </w:rPr>
        <w:footnoteRef/>
      </w:r>
      <w:r>
        <w:rPr>
          <w:szCs w:val="18"/>
        </w:rPr>
        <w:tab/>
      </w:r>
      <w:r w:rsidRPr="00002044">
        <w:rPr>
          <w:szCs w:val="18"/>
        </w:rPr>
        <w:t>Fahy K</w:t>
      </w:r>
      <w:r>
        <w:rPr>
          <w:szCs w:val="18"/>
        </w:rPr>
        <w:t xml:space="preserve"> &amp;</w:t>
      </w:r>
      <w:r w:rsidRPr="00002044">
        <w:rPr>
          <w:szCs w:val="18"/>
        </w:rPr>
        <w:t xml:space="preserve"> Tracy SK</w:t>
      </w:r>
      <w:r>
        <w:rPr>
          <w:szCs w:val="18"/>
        </w:rPr>
        <w:t xml:space="preserve"> 2007</w:t>
      </w:r>
      <w:r w:rsidRPr="00002044">
        <w:rPr>
          <w:szCs w:val="18"/>
        </w:rPr>
        <w:t>.</w:t>
      </w:r>
    </w:p>
  </w:footnote>
  <w:footnote w:id="95">
    <w:p w:rsidR="00250027" w:rsidRPr="00E01371" w:rsidRDefault="00250027" w:rsidP="00D47936">
      <w:pPr>
        <w:pStyle w:val="FootnoteText"/>
        <w:ind w:left="284" w:hanging="284"/>
        <w:rPr>
          <w:noProof/>
        </w:rPr>
      </w:pPr>
      <w:r w:rsidRPr="00002044">
        <w:rPr>
          <w:rStyle w:val="FootnoteReference"/>
          <w:rFonts w:ascii="Georgia" w:hAnsi="Georgia"/>
          <w:sz w:val="14"/>
          <w:vertAlign w:val="baseline"/>
        </w:rPr>
        <w:footnoteRef/>
      </w:r>
      <w:r>
        <w:tab/>
      </w:r>
      <w:r w:rsidRPr="00002044">
        <w:rPr>
          <w:szCs w:val="18"/>
        </w:rPr>
        <w:t>Hodnett ED, Downe S, Edwards N &amp; Walsh D</w:t>
      </w:r>
      <w:r>
        <w:rPr>
          <w:szCs w:val="18"/>
        </w:rPr>
        <w:t xml:space="preserve"> 2005.</w:t>
      </w:r>
    </w:p>
  </w:footnote>
  <w:footnote w:id="96">
    <w:p w:rsidR="00250027" w:rsidRPr="00397E40" w:rsidRDefault="00250027" w:rsidP="00D47936">
      <w:pPr>
        <w:pStyle w:val="FootnoteText"/>
        <w:ind w:left="284" w:hanging="284"/>
      </w:pPr>
      <w:r w:rsidRPr="00397E40">
        <w:rPr>
          <w:rStyle w:val="FootnoteReference"/>
          <w:rFonts w:ascii="Georgia" w:hAnsi="Georgia"/>
          <w:sz w:val="14"/>
          <w:vertAlign w:val="baseline"/>
        </w:rPr>
        <w:footnoteRef/>
      </w:r>
      <w:r>
        <w:tab/>
      </w:r>
      <w:r w:rsidRPr="005A16C9">
        <w:rPr>
          <w:lang w:val="en-GB"/>
        </w:rPr>
        <w:t xml:space="preserve">Kennare RM, Keirse MJ, Tucker GR &amp; Chan AC </w:t>
      </w:r>
      <w:r w:rsidRPr="00397E40">
        <w:t xml:space="preserve">2010. </w:t>
      </w:r>
      <w:r>
        <w:t>Note - t</w:t>
      </w:r>
      <w:r w:rsidRPr="00397E40">
        <w:t xml:space="preserve">he academic study </w:t>
      </w:r>
      <w:r>
        <w:t xml:space="preserve">considered </w:t>
      </w:r>
      <w:r w:rsidRPr="00397E40">
        <w:t>onl</w:t>
      </w:r>
      <w:r>
        <w:t>y</w:t>
      </w:r>
      <w:r w:rsidRPr="00397E40">
        <w:t xml:space="preserve"> South Australian data.</w:t>
      </w:r>
    </w:p>
  </w:footnote>
  <w:footnote w:id="97">
    <w:p w:rsidR="00250027" w:rsidRPr="00397E40" w:rsidRDefault="00250027" w:rsidP="00D47936">
      <w:pPr>
        <w:pStyle w:val="FootnoteText"/>
        <w:ind w:left="284" w:hanging="284"/>
      </w:pPr>
      <w:r w:rsidRPr="00397E40">
        <w:rPr>
          <w:rStyle w:val="FootnoteReference"/>
          <w:rFonts w:ascii="Georgia" w:hAnsi="Georgia"/>
          <w:sz w:val="14"/>
          <w:vertAlign w:val="baseline"/>
        </w:rPr>
        <w:footnoteRef/>
      </w:r>
      <w:r>
        <w:tab/>
      </w:r>
      <w:r w:rsidRPr="005A16C9">
        <w:rPr>
          <w:lang w:val="en-GB"/>
        </w:rPr>
        <w:t>McMurtrie J</w:t>
      </w:r>
      <w:r>
        <w:rPr>
          <w:lang w:val="en-GB"/>
        </w:rPr>
        <w:t>,</w:t>
      </w:r>
      <w:r w:rsidRPr="005A16C9">
        <w:rPr>
          <w:lang w:val="en-GB"/>
        </w:rPr>
        <w:t xml:space="preserve"> Catling-Paul</w:t>
      </w:r>
      <w:r>
        <w:rPr>
          <w:lang w:val="en-GB"/>
        </w:rPr>
        <w:t>l</w:t>
      </w:r>
      <w:r w:rsidRPr="005A16C9">
        <w:rPr>
          <w:lang w:val="en-GB"/>
        </w:rPr>
        <w:t xml:space="preserve"> C</w:t>
      </w:r>
      <w:r>
        <w:rPr>
          <w:lang w:val="en-GB"/>
        </w:rPr>
        <w:t>,</w:t>
      </w:r>
      <w:r w:rsidRPr="005A16C9">
        <w:rPr>
          <w:lang w:val="en-GB"/>
        </w:rPr>
        <w:t xml:space="preserve"> Teate A</w:t>
      </w:r>
      <w:r>
        <w:rPr>
          <w:lang w:val="en-GB"/>
        </w:rPr>
        <w:t>,</w:t>
      </w:r>
      <w:r w:rsidRPr="005A16C9">
        <w:rPr>
          <w:lang w:val="en-GB"/>
        </w:rPr>
        <w:t xml:space="preserve"> Caplice S</w:t>
      </w:r>
      <w:r>
        <w:rPr>
          <w:lang w:val="en-GB"/>
        </w:rPr>
        <w:t>,</w:t>
      </w:r>
      <w:r w:rsidRPr="005A16C9">
        <w:rPr>
          <w:lang w:val="en-GB"/>
        </w:rPr>
        <w:t xml:space="preserve"> Chapman M</w:t>
      </w:r>
      <w:r>
        <w:rPr>
          <w:lang w:val="en-GB"/>
        </w:rPr>
        <w:t xml:space="preserve"> &amp;</w:t>
      </w:r>
      <w:r w:rsidRPr="005A16C9">
        <w:rPr>
          <w:lang w:val="en-GB"/>
        </w:rPr>
        <w:t xml:space="preserve"> Homer C</w:t>
      </w:r>
      <w:r w:rsidRPr="00397E40">
        <w:t xml:space="preserve"> 2009. </w:t>
      </w:r>
      <w:r>
        <w:t>Note - t</w:t>
      </w:r>
      <w:r w:rsidRPr="00397E40">
        <w:t xml:space="preserve">he academic study </w:t>
      </w:r>
      <w:r>
        <w:t>considere</w:t>
      </w:r>
      <w:r w:rsidRPr="00397E40">
        <w:t xml:space="preserve">d </w:t>
      </w:r>
      <w:r>
        <w:t>only</w:t>
      </w:r>
      <w:r w:rsidRPr="00397E40">
        <w:t xml:space="preserve"> NSW data</w:t>
      </w:r>
      <w:r>
        <w:t>.</w:t>
      </w:r>
    </w:p>
  </w:footnote>
  <w:footnote w:id="98">
    <w:p w:rsidR="00250027" w:rsidRPr="00397E40" w:rsidRDefault="00250027" w:rsidP="00D47936">
      <w:pPr>
        <w:pStyle w:val="FootnoteText"/>
        <w:ind w:left="284" w:hanging="284"/>
      </w:pPr>
      <w:r w:rsidRPr="00397E40">
        <w:rPr>
          <w:rStyle w:val="FootnoteReference"/>
          <w:rFonts w:ascii="Georgia" w:hAnsi="Georgia"/>
          <w:sz w:val="14"/>
          <w:vertAlign w:val="baseline"/>
        </w:rPr>
        <w:footnoteRef/>
      </w:r>
      <w:r>
        <w:tab/>
      </w:r>
      <w:r w:rsidRPr="00397E40">
        <w:t>Bastian</w:t>
      </w:r>
      <w:r>
        <w:t xml:space="preserve"> H</w:t>
      </w:r>
      <w:r w:rsidRPr="00397E40">
        <w:t>, Keirse</w:t>
      </w:r>
      <w:r>
        <w:t xml:space="preserve"> MJ &amp;</w:t>
      </w:r>
      <w:r w:rsidRPr="00397E40">
        <w:t xml:space="preserve"> Lancaster</w:t>
      </w:r>
      <w:r>
        <w:t xml:space="preserve"> PA</w:t>
      </w:r>
      <w:r w:rsidRPr="00397E40">
        <w:t xml:space="preserve"> 1998.</w:t>
      </w:r>
    </w:p>
  </w:footnote>
  <w:footnote w:id="99">
    <w:p w:rsidR="00250027" w:rsidRPr="00397E40" w:rsidRDefault="00250027" w:rsidP="00D47936">
      <w:pPr>
        <w:pStyle w:val="FootnoteText"/>
        <w:tabs>
          <w:tab w:val="clear" w:pos="284"/>
        </w:tabs>
        <w:ind w:left="284" w:hanging="284"/>
      </w:pPr>
      <w:r w:rsidRPr="00397E40">
        <w:rPr>
          <w:rStyle w:val="FootnoteReference"/>
          <w:rFonts w:ascii="Georgia" w:hAnsi="Georgia"/>
          <w:sz w:val="14"/>
          <w:vertAlign w:val="baseline"/>
        </w:rPr>
        <w:footnoteRef/>
      </w:r>
      <w:r>
        <w:tab/>
      </w:r>
      <w:r w:rsidRPr="00397E40">
        <w:t>A</w:t>
      </w:r>
      <w:r>
        <w:t>ustralian Institute of Health and Welfare, 2013</w:t>
      </w:r>
      <w:r w:rsidRPr="00397E40">
        <w:t xml:space="preserve">. </w:t>
      </w:r>
    </w:p>
  </w:footnote>
  <w:footnote w:id="100">
    <w:p w:rsidR="00250027" w:rsidRPr="00397E40" w:rsidRDefault="00250027" w:rsidP="00D47936">
      <w:pPr>
        <w:pStyle w:val="FootnoteText"/>
        <w:ind w:left="284" w:hanging="284"/>
      </w:pPr>
      <w:r w:rsidRPr="00397E40">
        <w:rPr>
          <w:rStyle w:val="FootnoteReference"/>
          <w:rFonts w:ascii="Georgia" w:hAnsi="Georgia"/>
          <w:sz w:val="14"/>
          <w:vertAlign w:val="baseline"/>
        </w:rPr>
        <w:footnoteRef/>
      </w:r>
      <w:r>
        <w:tab/>
      </w:r>
      <w:r w:rsidRPr="005A16C9">
        <w:rPr>
          <w:lang w:val="en-GB"/>
        </w:rPr>
        <w:t xml:space="preserve">Kennare RM, Keirse MJ, Tucker GR &amp; Chan AC </w:t>
      </w:r>
      <w:r w:rsidRPr="00397E40">
        <w:t>2010.</w:t>
      </w:r>
    </w:p>
  </w:footnote>
  <w:footnote w:id="101">
    <w:p w:rsidR="00250027" w:rsidRPr="00397E40" w:rsidRDefault="00250027" w:rsidP="00D47936">
      <w:pPr>
        <w:pStyle w:val="FootnoteText"/>
        <w:ind w:left="284" w:hanging="284"/>
      </w:pPr>
      <w:r w:rsidRPr="00397E40">
        <w:rPr>
          <w:rStyle w:val="FootnoteReference"/>
          <w:rFonts w:ascii="Georgia" w:hAnsi="Georgia"/>
          <w:sz w:val="14"/>
          <w:vertAlign w:val="baseline"/>
        </w:rPr>
        <w:footnoteRef/>
      </w:r>
      <w:r>
        <w:tab/>
      </w:r>
      <w:r w:rsidRPr="00397E40">
        <w:t xml:space="preserve">However, not all planned homebirths actually occur at the home. Some births will instead take place in a hospital setting based on the circumstances of the birth. </w:t>
      </w:r>
    </w:p>
  </w:footnote>
  <w:footnote w:id="102">
    <w:p w:rsidR="00250027" w:rsidRDefault="00250027" w:rsidP="001A57CA">
      <w:pPr>
        <w:pStyle w:val="FootnoteText"/>
        <w:ind w:left="284" w:hanging="284"/>
      </w:pPr>
      <w:r>
        <w:rPr>
          <w:rStyle w:val="FootnoteReference"/>
        </w:rPr>
        <w:footnoteRef/>
      </w:r>
      <w:r>
        <w:tab/>
        <w:t>Catling-Paull C, Coddington RL, Foureur MJ &amp; Homer CSE 2013.</w:t>
      </w:r>
    </w:p>
  </w:footnote>
  <w:footnote w:id="103">
    <w:p w:rsidR="00250027" w:rsidRPr="00397E40" w:rsidRDefault="00250027" w:rsidP="00D47936">
      <w:pPr>
        <w:pStyle w:val="FootnoteText"/>
        <w:ind w:left="284" w:hanging="284"/>
        <w:rPr>
          <w:highlight w:val="yellow"/>
        </w:rPr>
      </w:pPr>
      <w:r w:rsidRPr="00397E40">
        <w:rPr>
          <w:rStyle w:val="FootnoteReference"/>
          <w:rFonts w:ascii="Georgia" w:hAnsi="Georgia"/>
          <w:sz w:val="14"/>
          <w:vertAlign w:val="baseline"/>
        </w:rPr>
        <w:footnoteRef/>
      </w:r>
      <w:r>
        <w:tab/>
      </w:r>
      <w:r w:rsidRPr="00397E40">
        <w:t>Crotty</w:t>
      </w:r>
      <w:r>
        <w:t xml:space="preserve"> M</w:t>
      </w:r>
      <w:r w:rsidRPr="00397E40">
        <w:t xml:space="preserve">, Ramsay </w:t>
      </w:r>
      <w:r>
        <w:t xml:space="preserve">AT, </w:t>
      </w:r>
      <w:r w:rsidRPr="00397E40">
        <w:t>Smart</w:t>
      </w:r>
      <w:r>
        <w:t xml:space="preserve"> R</w:t>
      </w:r>
      <w:r w:rsidRPr="00397E40">
        <w:t xml:space="preserve"> &amp; Chan</w:t>
      </w:r>
      <w:r>
        <w:t xml:space="preserve"> A</w:t>
      </w:r>
      <w:r w:rsidRPr="00397E40">
        <w:t xml:space="preserve"> 1990.</w:t>
      </w:r>
    </w:p>
  </w:footnote>
  <w:footnote w:id="104">
    <w:p w:rsidR="00250027" w:rsidRPr="00397E40" w:rsidRDefault="00250027" w:rsidP="00D47936">
      <w:pPr>
        <w:pStyle w:val="FootnoteText"/>
        <w:ind w:left="284" w:hanging="284"/>
      </w:pPr>
      <w:r w:rsidRPr="00397E40">
        <w:rPr>
          <w:rStyle w:val="FootnoteReference"/>
          <w:rFonts w:ascii="Georgia" w:hAnsi="Georgia"/>
          <w:sz w:val="14"/>
          <w:vertAlign w:val="baseline"/>
        </w:rPr>
        <w:footnoteRef/>
      </w:r>
      <w:r>
        <w:tab/>
      </w:r>
      <w:r w:rsidRPr="00397E40">
        <w:t>Woodcock</w:t>
      </w:r>
      <w:r>
        <w:t xml:space="preserve"> HC</w:t>
      </w:r>
      <w:r w:rsidRPr="00397E40">
        <w:t>, Read</w:t>
      </w:r>
      <w:r>
        <w:t xml:space="preserve"> AW</w:t>
      </w:r>
      <w:r w:rsidRPr="00397E40">
        <w:t>, Bower</w:t>
      </w:r>
      <w:r>
        <w:t xml:space="preserve"> C</w:t>
      </w:r>
      <w:r w:rsidRPr="00397E40">
        <w:t>, Stanley</w:t>
      </w:r>
      <w:r>
        <w:t xml:space="preserve"> FJ</w:t>
      </w:r>
      <w:r w:rsidRPr="00397E40">
        <w:t xml:space="preserve"> &amp; Moore</w:t>
      </w:r>
      <w:r>
        <w:t xml:space="preserve"> DJ</w:t>
      </w:r>
      <w:r w:rsidRPr="00397E40">
        <w:t xml:space="preserve"> 1994.</w:t>
      </w:r>
    </w:p>
  </w:footnote>
  <w:footnote w:id="105">
    <w:p w:rsidR="00250027" w:rsidRPr="00B83B15" w:rsidRDefault="00250027" w:rsidP="00D47936">
      <w:pPr>
        <w:pStyle w:val="FootnoteText"/>
        <w:ind w:left="284" w:hanging="284"/>
      </w:pPr>
      <w:r w:rsidRPr="00B83B15">
        <w:rPr>
          <w:rStyle w:val="FootnoteReference"/>
          <w:rFonts w:ascii="Georgia" w:hAnsi="Georgia"/>
          <w:sz w:val="14"/>
          <w:vertAlign w:val="baseline"/>
        </w:rPr>
        <w:footnoteRef/>
      </w:r>
      <w:r>
        <w:t xml:space="preserve"> </w:t>
      </w:r>
      <w:r>
        <w:tab/>
        <w:t xml:space="preserve">Personal </w:t>
      </w:r>
      <w:r w:rsidRPr="00F51FC2">
        <w:t>communication, November 201</w:t>
      </w:r>
      <w:r>
        <w:t>2</w:t>
      </w:r>
      <w:r w:rsidRPr="00F51FC2">
        <w:t>.</w:t>
      </w:r>
    </w:p>
  </w:footnote>
  <w:footnote w:id="106">
    <w:p w:rsidR="00250027" w:rsidRPr="00B83B15" w:rsidRDefault="00250027" w:rsidP="00D47936">
      <w:pPr>
        <w:pStyle w:val="FootnoteText"/>
        <w:ind w:left="284" w:hanging="284"/>
      </w:pPr>
      <w:r w:rsidRPr="00B83B15">
        <w:rPr>
          <w:rStyle w:val="FootnoteReference"/>
          <w:rFonts w:ascii="Georgia" w:hAnsi="Georgia"/>
          <w:sz w:val="14"/>
          <w:vertAlign w:val="baseline"/>
        </w:rPr>
        <w:footnoteRef/>
      </w:r>
      <w:r>
        <w:tab/>
      </w:r>
      <w:r w:rsidRPr="00B83B15">
        <w:t xml:space="preserve">Personal Communication, October 2012. </w:t>
      </w:r>
    </w:p>
  </w:footnote>
  <w:footnote w:id="107">
    <w:p w:rsidR="00250027" w:rsidRPr="00705EE8" w:rsidRDefault="00250027" w:rsidP="00D47936">
      <w:pPr>
        <w:pStyle w:val="FootnoteText"/>
        <w:ind w:left="284" w:hanging="284"/>
      </w:pPr>
      <w:r w:rsidRPr="00705EE8">
        <w:rPr>
          <w:rStyle w:val="FootnoteReference"/>
          <w:rFonts w:ascii="Georgia" w:hAnsi="Georgia"/>
          <w:sz w:val="14"/>
          <w:vertAlign w:val="baseline"/>
        </w:rPr>
        <w:footnoteRef/>
      </w:r>
      <w:r>
        <w:tab/>
      </w:r>
      <w:r w:rsidRPr="00705EE8">
        <w:t>Australian Government Actuary</w:t>
      </w:r>
      <w:r>
        <w:t>,</w:t>
      </w:r>
      <w:r w:rsidRPr="00705EE8">
        <w:t xml:space="preserve"> 2012.</w:t>
      </w:r>
    </w:p>
  </w:footnote>
  <w:footnote w:id="108">
    <w:p w:rsidR="00250027" w:rsidRPr="0026125B" w:rsidRDefault="00250027" w:rsidP="00D47936">
      <w:pPr>
        <w:pStyle w:val="FootnoteText"/>
        <w:ind w:left="284" w:hanging="284"/>
      </w:pPr>
      <w:r w:rsidRPr="00705EE8">
        <w:rPr>
          <w:rStyle w:val="FootnoteReference"/>
          <w:rFonts w:ascii="Georgia" w:hAnsi="Georgia"/>
          <w:sz w:val="14"/>
          <w:vertAlign w:val="baseline"/>
        </w:rPr>
        <w:footnoteRef/>
      </w:r>
      <w:r>
        <w:tab/>
      </w:r>
      <w:r w:rsidRPr="00705EE8">
        <w:t>Australian Competition &amp; Consumer Commission</w:t>
      </w:r>
      <w:r>
        <w:t>,</w:t>
      </w:r>
      <w:r w:rsidRPr="00705EE8">
        <w:t xml:space="preserve"> 2009.</w:t>
      </w:r>
      <w:r w:rsidRPr="0026125B">
        <w:t xml:space="preserve"> </w:t>
      </w:r>
    </w:p>
  </w:footnote>
  <w:footnote w:id="109">
    <w:p w:rsidR="00250027" w:rsidRDefault="00250027" w:rsidP="00D47936">
      <w:pPr>
        <w:pStyle w:val="FootnoteText"/>
        <w:tabs>
          <w:tab w:val="clear" w:pos="284"/>
        </w:tabs>
        <w:ind w:left="284" w:hanging="284"/>
      </w:pPr>
      <w:r>
        <w:rPr>
          <w:rStyle w:val="FootnoteReference"/>
        </w:rPr>
        <w:footnoteRef/>
      </w:r>
      <w:r>
        <w:tab/>
        <w:t>Australian Institute of Health and Welfare, 2013.</w:t>
      </w:r>
    </w:p>
  </w:footnote>
  <w:footnote w:id="110">
    <w:p w:rsidR="00250027" w:rsidRPr="00705EE8" w:rsidRDefault="00250027" w:rsidP="00D47936">
      <w:pPr>
        <w:pStyle w:val="FootnoteText"/>
        <w:ind w:left="284" w:hanging="284"/>
      </w:pPr>
      <w:r w:rsidRPr="00705EE8">
        <w:rPr>
          <w:rStyle w:val="FootnoteReference"/>
          <w:rFonts w:ascii="Georgia" w:hAnsi="Georgia"/>
          <w:sz w:val="14"/>
          <w:vertAlign w:val="baseline"/>
        </w:rPr>
        <w:footnoteRef/>
      </w:r>
      <w:r w:rsidRPr="00705EE8">
        <w:tab/>
        <w:t>Insurers from England and the Netherlands declined to participate in providing us with data on claims, due to commercial reasons, and information from New Zealand was still being collected at the time of finalising the report.</w:t>
      </w:r>
    </w:p>
  </w:footnote>
  <w:footnote w:id="111">
    <w:p w:rsidR="00250027" w:rsidRPr="00705EE8" w:rsidRDefault="00250027" w:rsidP="00D47936">
      <w:pPr>
        <w:pStyle w:val="FootnoteText"/>
        <w:ind w:left="284" w:hanging="284"/>
      </w:pPr>
      <w:r w:rsidRPr="00705EE8">
        <w:rPr>
          <w:rStyle w:val="FootnoteReference"/>
          <w:rFonts w:ascii="Georgia" w:hAnsi="Georgia"/>
          <w:sz w:val="14"/>
          <w:vertAlign w:val="baseline"/>
        </w:rPr>
        <w:footnoteRef/>
      </w:r>
      <w:r>
        <w:tab/>
      </w:r>
      <w:r w:rsidRPr="00705EE8">
        <w:t>Australian Competition and Consumer Commission</w:t>
      </w:r>
      <w:r>
        <w:t>,</w:t>
      </w:r>
      <w:r w:rsidRPr="00705EE8">
        <w:t xml:space="preserve"> 2009, </w:t>
      </w:r>
      <w:r>
        <w:t>p.</w:t>
      </w:r>
      <w:r w:rsidRPr="00705EE8">
        <w:t xml:space="preserve">21. </w:t>
      </w:r>
    </w:p>
  </w:footnote>
  <w:footnote w:id="112">
    <w:p w:rsidR="00250027" w:rsidRDefault="00250027">
      <w:pPr>
        <w:pStyle w:val="FootnoteText"/>
      </w:pPr>
      <w:r>
        <w:rPr>
          <w:rStyle w:val="FootnoteReference"/>
        </w:rPr>
        <w:footnoteRef/>
      </w:r>
      <w:r>
        <w:t xml:space="preserve"> Note this data is the property of HIROC and is not to be used for any other purpose than in assisting Australian midwifery research for AHPRA. Data is as close of business on 31 December 2012.</w:t>
      </w:r>
    </w:p>
  </w:footnote>
  <w:footnote w:id="113">
    <w:p w:rsidR="00250027" w:rsidRPr="00D15816" w:rsidRDefault="00250027" w:rsidP="00D47936">
      <w:pPr>
        <w:pStyle w:val="FootnoteText"/>
        <w:ind w:left="284" w:hanging="284"/>
      </w:pPr>
      <w:r w:rsidRPr="00D15816">
        <w:rPr>
          <w:rStyle w:val="FootnoteReference"/>
          <w:rFonts w:ascii="Georgia" w:hAnsi="Georgia"/>
          <w:sz w:val="14"/>
          <w:vertAlign w:val="baseline"/>
        </w:rPr>
        <w:footnoteRef/>
      </w:r>
      <w:r>
        <w:tab/>
      </w:r>
      <w:r w:rsidRPr="00D15816">
        <w:t>Of the two cases in the data, HIROC acknowledge the two actual claims are for large amounts where catastrophic injuries can be attached with 100% liability to the midwife.</w:t>
      </w:r>
    </w:p>
  </w:footnote>
  <w:footnote w:id="114">
    <w:p w:rsidR="00250027" w:rsidRDefault="00250027">
      <w:pPr>
        <w:pStyle w:val="FootnoteText"/>
      </w:pPr>
      <w:r>
        <w:rPr>
          <w:rStyle w:val="FootnoteReference"/>
        </w:rPr>
        <w:footnoteRef/>
      </w:r>
      <w:r>
        <w:t xml:space="preserve"> Note this data is the property of HIROC and is not to be used for any other purpose than in assisting Australian midwifery research for AHPRA. Data is as close of business on 31 December 2012.</w:t>
      </w:r>
    </w:p>
  </w:footnote>
  <w:footnote w:id="115">
    <w:p w:rsidR="00250027" w:rsidRPr="009B706C" w:rsidRDefault="00250027" w:rsidP="00D47936">
      <w:pPr>
        <w:pStyle w:val="FootnoteText"/>
        <w:ind w:left="284" w:hanging="284"/>
      </w:pPr>
      <w:r w:rsidRPr="009B706C">
        <w:rPr>
          <w:rStyle w:val="FootnoteReference"/>
          <w:rFonts w:ascii="Georgia" w:hAnsi="Georgia"/>
          <w:sz w:val="14"/>
          <w:vertAlign w:val="baseline"/>
        </w:rPr>
        <w:footnoteRef/>
      </w:r>
      <w:r>
        <w:tab/>
        <w:t>Personal communication</w:t>
      </w:r>
      <w:r w:rsidRPr="009B706C">
        <w:t>, November 2012 and March 2013</w:t>
      </w:r>
      <w:r>
        <w:t>.</w:t>
      </w:r>
    </w:p>
  </w:footnote>
  <w:footnote w:id="116">
    <w:p w:rsidR="00250027" w:rsidRPr="009B706C" w:rsidRDefault="00250027" w:rsidP="00D47936">
      <w:pPr>
        <w:pStyle w:val="FootnoteText"/>
        <w:ind w:left="284" w:hanging="284"/>
      </w:pPr>
      <w:r w:rsidRPr="009B706C">
        <w:rPr>
          <w:rStyle w:val="FootnoteReference"/>
          <w:rFonts w:ascii="Georgia" w:hAnsi="Georgia"/>
          <w:sz w:val="14"/>
          <w:vertAlign w:val="baseline"/>
        </w:rPr>
        <w:footnoteRef/>
      </w:r>
      <w:r>
        <w:tab/>
      </w:r>
      <w:r w:rsidRPr="009B706C">
        <w:t>HIROC, Personal Communication, February 2013.</w:t>
      </w:r>
    </w:p>
  </w:footnote>
  <w:footnote w:id="117">
    <w:p w:rsidR="00250027" w:rsidRPr="00FB01BD" w:rsidRDefault="00250027" w:rsidP="00D47936">
      <w:pPr>
        <w:pStyle w:val="FootnoteText"/>
        <w:ind w:left="284" w:hanging="284"/>
        <w:rPr>
          <w:rStyle w:val="FootnoteReference"/>
        </w:rPr>
      </w:pPr>
      <w:r w:rsidRPr="009B706C">
        <w:rPr>
          <w:rStyle w:val="FootnoteReference"/>
          <w:rFonts w:ascii="Georgia" w:hAnsi="Georgia"/>
          <w:sz w:val="14"/>
          <w:vertAlign w:val="baseline"/>
        </w:rPr>
        <w:footnoteRef/>
      </w:r>
      <w:r>
        <w:rPr>
          <w:rStyle w:val="FootnoteReference"/>
          <w:rFonts w:ascii="Georgia" w:hAnsi="Georgia"/>
          <w:sz w:val="14"/>
          <w:vertAlign w:val="baseline"/>
        </w:rPr>
        <w:tab/>
      </w:r>
      <w:r w:rsidRPr="009B706C">
        <w:rPr>
          <w:rStyle w:val="FootnoteReference"/>
          <w:rFonts w:ascii="Georgia" w:hAnsi="Georgia"/>
          <w:sz w:val="14"/>
          <w:vertAlign w:val="baseline"/>
        </w:rPr>
        <w:t>Claims Canada</w:t>
      </w:r>
      <w:r>
        <w:t>,</w:t>
      </w:r>
      <w:r w:rsidRPr="009B706C">
        <w:rPr>
          <w:rStyle w:val="FootnoteReference"/>
          <w:rFonts w:ascii="Georgia" w:hAnsi="Georgia"/>
          <w:sz w:val="14"/>
          <w:vertAlign w:val="baseline"/>
        </w:rPr>
        <w:t xml:space="preserve"> 2013.</w:t>
      </w:r>
    </w:p>
  </w:footnote>
  <w:footnote w:id="118">
    <w:p w:rsidR="00250027" w:rsidRPr="00C133AF" w:rsidRDefault="00250027" w:rsidP="00D47936">
      <w:pPr>
        <w:pStyle w:val="FootnoteText"/>
        <w:ind w:left="284" w:hanging="284"/>
      </w:pPr>
      <w:r w:rsidRPr="00C133AF">
        <w:rPr>
          <w:rStyle w:val="FootnoteReference"/>
          <w:rFonts w:ascii="Georgia" w:hAnsi="Georgia"/>
          <w:sz w:val="14"/>
          <w:vertAlign w:val="baseline"/>
        </w:rPr>
        <w:footnoteRef/>
      </w:r>
      <w:r w:rsidRPr="00C133AF">
        <w:t xml:space="preserve"> </w:t>
      </w:r>
      <w:r>
        <w:tab/>
      </w:r>
      <w:r w:rsidRPr="00C133AF">
        <w:t>Personal communication, November 2012</w:t>
      </w:r>
      <w:r>
        <w:t>.</w:t>
      </w:r>
    </w:p>
  </w:footnote>
  <w:footnote w:id="119">
    <w:p w:rsidR="00250027" w:rsidRPr="00701D69" w:rsidRDefault="00250027" w:rsidP="00D47936">
      <w:pPr>
        <w:pStyle w:val="FootnoteText"/>
        <w:ind w:left="284" w:hanging="284"/>
      </w:pPr>
      <w:r w:rsidRPr="00701D69">
        <w:rPr>
          <w:rStyle w:val="FootnoteReference"/>
          <w:rFonts w:ascii="Georgia" w:hAnsi="Georgia"/>
          <w:sz w:val="14"/>
          <w:vertAlign w:val="baseline"/>
        </w:rPr>
        <w:footnoteRef/>
      </w:r>
      <w:r w:rsidRPr="00701D69">
        <w:tab/>
        <w:t>Nursing and Midwifery Board of Australia</w:t>
      </w:r>
      <w:r>
        <w:t>, 2013a.</w:t>
      </w:r>
    </w:p>
  </w:footnote>
  <w:footnote w:id="120">
    <w:p w:rsidR="00250027" w:rsidRPr="00701D69" w:rsidRDefault="00250027" w:rsidP="00D47936">
      <w:pPr>
        <w:pStyle w:val="FootnoteText"/>
        <w:ind w:left="284" w:hanging="284"/>
        <w:rPr>
          <w:szCs w:val="18"/>
        </w:rPr>
      </w:pPr>
      <w:r w:rsidRPr="00701D69">
        <w:rPr>
          <w:rStyle w:val="FootnoteReference"/>
          <w:rFonts w:ascii="Georgia" w:hAnsi="Georgia"/>
          <w:sz w:val="14"/>
          <w:vertAlign w:val="baseline"/>
        </w:rPr>
        <w:footnoteRef/>
      </w:r>
      <w:r w:rsidRPr="00701D69">
        <w:tab/>
      </w:r>
      <w:r w:rsidRPr="00701D69">
        <w:rPr>
          <w:szCs w:val="18"/>
        </w:rPr>
        <w:t>Commonwealth of Australia</w:t>
      </w:r>
      <w:r>
        <w:rPr>
          <w:szCs w:val="18"/>
        </w:rPr>
        <w:t xml:space="preserve">, </w:t>
      </w:r>
      <w:r w:rsidRPr="00701D69">
        <w:rPr>
          <w:szCs w:val="18"/>
        </w:rPr>
        <w:t>1995.</w:t>
      </w:r>
    </w:p>
  </w:footnote>
  <w:footnote w:id="121">
    <w:p w:rsidR="00250027" w:rsidRPr="00701D69" w:rsidRDefault="00250027" w:rsidP="00D47936">
      <w:pPr>
        <w:pStyle w:val="FootnoteText"/>
        <w:ind w:left="284" w:hanging="284"/>
      </w:pPr>
      <w:r w:rsidRPr="00701D69">
        <w:rPr>
          <w:rStyle w:val="FootnoteReference"/>
          <w:rFonts w:ascii="Georgia" w:hAnsi="Georgia"/>
          <w:sz w:val="14"/>
          <w:vertAlign w:val="baseline"/>
        </w:rPr>
        <w:footnoteRef/>
      </w:r>
      <w:r w:rsidRPr="00701D69">
        <w:t xml:space="preserve"> </w:t>
      </w:r>
      <w:r>
        <w:tab/>
      </w:r>
      <w:r w:rsidRPr="00701D69">
        <w:t>Personal communication, 2012; Flaxman Partners</w:t>
      </w:r>
      <w:r>
        <w:t xml:space="preserve">, </w:t>
      </w:r>
      <w:r w:rsidRPr="00701D69">
        <w:t>2011.</w:t>
      </w:r>
    </w:p>
  </w:footnote>
  <w:footnote w:id="122">
    <w:p w:rsidR="00250027" w:rsidRPr="00E01371" w:rsidRDefault="00250027" w:rsidP="00D47936">
      <w:pPr>
        <w:pStyle w:val="FootnoteText"/>
        <w:ind w:left="284" w:hanging="284"/>
      </w:pPr>
      <w:r w:rsidRPr="00701D69">
        <w:rPr>
          <w:rStyle w:val="FootnoteReference"/>
          <w:rFonts w:ascii="Georgia" w:hAnsi="Georgia"/>
          <w:sz w:val="14"/>
          <w:vertAlign w:val="baseline"/>
        </w:rPr>
        <w:footnoteRef/>
      </w:r>
      <w:r w:rsidRPr="00701D69">
        <w:t xml:space="preserve"> </w:t>
      </w:r>
      <w:r>
        <w:tab/>
      </w:r>
      <w:r w:rsidRPr="00EF3072">
        <w:t>Department of Health and Ageing</w:t>
      </w:r>
      <w:r>
        <w:t>,</w:t>
      </w:r>
      <w:r w:rsidRPr="00EF3072">
        <w:t xml:space="preserve"> 2013</w:t>
      </w:r>
      <w:r>
        <w:t>c.</w:t>
      </w:r>
    </w:p>
  </w:footnote>
  <w:footnote w:id="123">
    <w:p w:rsidR="00250027" w:rsidRPr="00701D69" w:rsidRDefault="00250027" w:rsidP="00D47936">
      <w:pPr>
        <w:pStyle w:val="FootnoteText"/>
        <w:ind w:left="284" w:hanging="284"/>
      </w:pPr>
      <w:r w:rsidRPr="00701D69">
        <w:rPr>
          <w:rStyle w:val="FootnoteReference"/>
          <w:rFonts w:ascii="Georgia" w:hAnsi="Georgia"/>
          <w:sz w:val="14"/>
          <w:vertAlign w:val="baseline"/>
        </w:rPr>
        <w:footnoteRef/>
      </w:r>
      <w:r w:rsidRPr="00701D69">
        <w:t xml:space="preserve"> </w:t>
      </w:r>
      <w:r>
        <w:tab/>
      </w:r>
      <w:r w:rsidRPr="00EF3072">
        <w:t>Australian Competition and Consumer Commission</w:t>
      </w:r>
      <w:r>
        <w:t>,</w:t>
      </w:r>
      <w:r w:rsidRPr="00EF3072">
        <w:t xml:space="preserve"> 2009.</w:t>
      </w:r>
    </w:p>
  </w:footnote>
  <w:footnote w:id="124">
    <w:p w:rsidR="00250027" w:rsidRPr="00701D69" w:rsidRDefault="00250027" w:rsidP="00D47936">
      <w:pPr>
        <w:pStyle w:val="FootnoteText"/>
        <w:ind w:left="284" w:hanging="284"/>
      </w:pPr>
      <w:r w:rsidRPr="00701D69">
        <w:rPr>
          <w:rStyle w:val="FootnoteReference"/>
          <w:rFonts w:ascii="Georgia" w:hAnsi="Georgia"/>
          <w:sz w:val="14"/>
          <w:vertAlign w:val="baseline"/>
        </w:rPr>
        <w:footnoteRef/>
      </w:r>
      <w:r w:rsidRPr="00701D69">
        <w:t xml:space="preserve"> </w:t>
      </w:r>
      <w:r>
        <w:tab/>
      </w:r>
      <w:r w:rsidRPr="00EF3072">
        <w:t>Flaxman Partners</w:t>
      </w:r>
      <w:r>
        <w:t>,</w:t>
      </w:r>
      <w:r w:rsidRPr="00EF3072">
        <w:t xml:space="preserve"> 2011.</w:t>
      </w:r>
    </w:p>
  </w:footnote>
  <w:footnote w:id="125">
    <w:p w:rsidR="00250027" w:rsidRPr="00E01371" w:rsidRDefault="00250027" w:rsidP="00D47936">
      <w:pPr>
        <w:pStyle w:val="FootnoteText"/>
        <w:ind w:left="284" w:hanging="284"/>
      </w:pPr>
      <w:r w:rsidRPr="00701D69">
        <w:rPr>
          <w:rStyle w:val="FootnoteReference"/>
          <w:rFonts w:ascii="Georgia" w:hAnsi="Georgia"/>
          <w:sz w:val="14"/>
          <w:vertAlign w:val="baseline"/>
        </w:rPr>
        <w:footnoteRef/>
      </w:r>
      <w:r w:rsidRPr="00701D69">
        <w:t xml:space="preserve"> </w:t>
      </w:r>
      <w:r>
        <w:tab/>
      </w:r>
      <w:r w:rsidRPr="00EF3072">
        <w:t>Australian Competition and Consumer Commission</w:t>
      </w:r>
      <w:r>
        <w:t>,</w:t>
      </w:r>
      <w:r w:rsidRPr="00EF3072">
        <w:t xml:space="preserve"> 2009.</w:t>
      </w:r>
    </w:p>
  </w:footnote>
  <w:footnote w:id="126">
    <w:p w:rsidR="00250027" w:rsidRDefault="00250027">
      <w:pPr>
        <w:pStyle w:val="FootnoteText"/>
      </w:pPr>
      <w:r>
        <w:rPr>
          <w:rStyle w:val="FootnoteReference"/>
        </w:rPr>
        <w:footnoteRef/>
      </w:r>
      <w:r>
        <w:t xml:space="preserve"> </w:t>
      </w:r>
      <w:r w:rsidRPr="00CB32B1">
        <w:t>Australian Government Actuary, 2012</w:t>
      </w:r>
      <w:r>
        <w:t>.</w:t>
      </w:r>
    </w:p>
  </w:footnote>
  <w:footnote w:id="127">
    <w:p w:rsidR="00250027" w:rsidRPr="00B0587D" w:rsidRDefault="00250027" w:rsidP="00D47936">
      <w:pPr>
        <w:pStyle w:val="FootnoteText"/>
        <w:tabs>
          <w:tab w:val="clear" w:pos="284"/>
        </w:tabs>
        <w:ind w:left="284" w:hanging="284"/>
      </w:pPr>
      <w:r w:rsidRPr="00B0587D">
        <w:rPr>
          <w:rStyle w:val="FootnoteReference"/>
          <w:rFonts w:ascii="Georgia" w:hAnsi="Georgia"/>
          <w:sz w:val="14"/>
          <w:vertAlign w:val="baseline"/>
        </w:rPr>
        <w:footnoteRef/>
      </w:r>
      <w:r w:rsidRPr="00B0587D">
        <w:t xml:space="preserve"> </w:t>
      </w:r>
      <w:r>
        <w:tab/>
      </w:r>
      <w:r w:rsidRPr="00997CFA">
        <w:t>Australian Competition and Consumer Commission</w:t>
      </w:r>
      <w:r>
        <w:t>,</w:t>
      </w:r>
      <w:r w:rsidRPr="00997CFA">
        <w:t xml:space="preserve"> 2009, p6.</w:t>
      </w:r>
    </w:p>
  </w:footnote>
  <w:footnote w:id="128">
    <w:p w:rsidR="00250027" w:rsidRPr="00E01371" w:rsidRDefault="00250027" w:rsidP="00D47936">
      <w:pPr>
        <w:pStyle w:val="FootnoteText"/>
        <w:ind w:left="284" w:hanging="284"/>
      </w:pPr>
      <w:r w:rsidRPr="00B0587D">
        <w:rPr>
          <w:rStyle w:val="FootnoteReference"/>
          <w:rFonts w:ascii="Georgia" w:hAnsi="Georgia"/>
          <w:sz w:val="14"/>
          <w:vertAlign w:val="baseline"/>
        </w:rPr>
        <w:footnoteRef/>
      </w:r>
      <w:r w:rsidRPr="00B0587D">
        <w:t xml:space="preserve"> </w:t>
      </w:r>
      <w:r>
        <w:tab/>
      </w:r>
      <w:r w:rsidRPr="00997CFA">
        <w:t xml:space="preserve">Personal communication, </w:t>
      </w:r>
      <w:r>
        <w:t>March 2013</w:t>
      </w:r>
      <w:r w:rsidRPr="00997CFA">
        <w:t>.</w:t>
      </w:r>
    </w:p>
  </w:footnote>
  <w:footnote w:id="129">
    <w:p w:rsidR="00250027" w:rsidRPr="00997CFA" w:rsidRDefault="00250027" w:rsidP="00D47936">
      <w:pPr>
        <w:pStyle w:val="FootnoteText"/>
        <w:ind w:left="284" w:hanging="284"/>
        <w:rPr>
          <w:lang w:val="en-US"/>
        </w:rPr>
      </w:pPr>
      <w:r>
        <w:rPr>
          <w:rStyle w:val="FootnoteReference"/>
        </w:rPr>
        <w:footnoteRef/>
      </w:r>
      <w:r>
        <w:t xml:space="preserve"> </w:t>
      </w:r>
      <w:r>
        <w:tab/>
      </w:r>
      <w:r w:rsidRPr="00997CFA">
        <w:t xml:space="preserve">Personal </w:t>
      </w:r>
      <w:r>
        <w:t>c</w:t>
      </w:r>
      <w:r w:rsidRPr="00997CFA">
        <w:t>ommunication, December 2012.</w:t>
      </w:r>
    </w:p>
  </w:footnote>
  <w:footnote w:id="130">
    <w:p w:rsidR="00250027" w:rsidRPr="00332803" w:rsidRDefault="00250027" w:rsidP="00D47936">
      <w:pPr>
        <w:pStyle w:val="FootnoteText"/>
        <w:ind w:left="284" w:hanging="284"/>
      </w:pPr>
      <w:r w:rsidRPr="00332803">
        <w:rPr>
          <w:rStyle w:val="FootnoteReference"/>
          <w:rFonts w:ascii="Georgia" w:hAnsi="Georgia"/>
          <w:sz w:val="14"/>
          <w:vertAlign w:val="baseline"/>
        </w:rPr>
        <w:footnoteRef/>
      </w:r>
      <w:r>
        <w:tab/>
      </w:r>
      <w:r w:rsidRPr="00332803">
        <w:t>Australian Government Actuary</w:t>
      </w:r>
      <w:r>
        <w:t>,</w:t>
      </w:r>
      <w:r w:rsidRPr="00332803">
        <w:t xml:space="preserve"> 2012.</w:t>
      </w:r>
    </w:p>
  </w:footnote>
  <w:footnote w:id="131">
    <w:p w:rsidR="00250027" w:rsidRPr="00332803" w:rsidRDefault="00250027" w:rsidP="00D2468A">
      <w:pPr>
        <w:pStyle w:val="FootnoteText"/>
        <w:ind w:left="284" w:hanging="284"/>
      </w:pPr>
      <w:r w:rsidRPr="00332803">
        <w:rPr>
          <w:rStyle w:val="FootnoteReference"/>
          <w:rFonts w:ascii="Georgia" w:hAnsi="Georgia"/>
          <w:sz w:val="14"/>
          <w:vertAlign w:val="baseline"/>
        </w:rPr>
        <w:footnoteRef/>
      </w:r>
      <w:r>
        <w:tab/>
      </w:r>
      <w:r w:rsidRPr="00332803">
        <w:t>Australian Government Actuary</w:t>
      </w:r>
      <w:r>
        <w:t>,</w:t>
      </w:r>
      <w:r w:rsidRPr="00332803">
        <w:t xml:space="preserve"> 2012.</w:t>
      </w:r>
    </w:p>
  </w:footnote>
  <w:footnote w:id="132">
    <w:p w:rsidR="00250027" w:rsidRPr="00332803" w:rsidRDefault="00250027" w:rsidP="00D2468A">
      <w:pPr>
        <w:pStyle w:val="FootnoteText"/>
        <w:ind w:left="284" w:hanging="284"/>
        <w:rPr>
          <w:lang w:val="en-US"/>
        </w:rPr>
      </w:pPr>
      <w:r w:rsidRPr="00332803">
        <w:rPr>
          <w:rStyle w:val="FootnoteReference"/>
          <w:rFonts w:ascii="Georgia" w:hAnsi="Georgia"/>
          <w:sz w:val="14"/>
          <w:vertAlign w:val="baseline"/>
        </w:rPr>
        <w:footnoteRef/>
      </w:r>
      <w:r>
        <w:tab/>
        <w:t>Ibid.</w:t>
      </w:r>
    </w:p>
  </w:footnote>
  <w:footnote w:id="133">
    <w:p w:rsidR="00250027" w:rsidRPr="007C32FB" w:rsidRDefault="00250027" w:rsidP="00D2468A">
      <w:pPr>
        <w:pStyle w:val="FootnoteText"/>
        <w:ind w:left="284" w:hanging="284"/>
      </w:pPr>
      <w:r w:rsidRPr="007C32FB">
        <w:rPr>
          <w:rStyle w:val="FootnoteReference"/>
          <w:rFonts w:ascii="Georgia" w:hAnsi="Georgia"/>
          <w:sz w:val="14"/>
          <w:vertAlign w:val="baseline"/>
        </w:rPr>
        <w:footnoteRef/>
      </w:r>
      <w:r w:rsidRPr="007C32FB">
        <w:t xml:space="preserve"> </w:t>
      </w:r>
      <w:r w:rsidRPr="007C32FB">
        <w:tab/>
        <w:t xml:space="preserve">A maternity is a pregnancy which could result in one or more children, and includes still births. Office of National </w:t>
      </w:r>
      <w:r>
        <w:t>Statistics, 2011.</w:t>
      </w:r>
    </w:p>
  </w:footnote>
  <w:footnote w:id="134">
    <w:p w:rsidR="00250027" w:rsidRPr="007C32FB" w:rsidRDefault="00250027" w:rsidP="00D2468A">
      <w:pPr>
        <w:pStyle w:val="FootnoteText"/>
        <w:ind w:left="284" w:hanging="284"/>
        <w:rPr>
          <w:lang w:val="en-US"/>
        </w:rPr>
      </w:pPr>
      <w:r w:rsidRPr="007C32FB">
        <w:rPr>
          <w:rStyle w:val="FootnoteReference"/>
          <w:rFonts w:ascii="Georgia" w:hAnsi="Georgia"/>
          <w:sz w:val="14"/>
          <w:vertAlign w:val="baseline"/>
        </w:rPr>
        <w:footnoteRef/>
      </w:r>
      <w:r w:rsidRPr="007C32FB">
        <w:t xml:space="preserve"> </w:t>
      </w:r>
      <w:r w:rsidRPr="007C32FB">
        <w:tab/>
        <w:t>Office of National Statistics</w:t>
      </w:r>
      <w:r>
        <w:t>, 2011</w:t>
      </w:r>
      <w:r w:rsidRPr="007C32FB">
        <w:t>.</w:t>
      </w:r>
    </w:p>
  </w:footnote>
  <w:footnote w:id="135">
    <w:p w:rsidR="00250027" w:rsidRPr="007C32FB" w:rsidRDefault="00250027" w:rsidP="00D2468A">
      <w:pPr>
        <w:pStyle w:val="FootnoteText"/>
        <w:ind w:left="284" w:hanging="284"/>
      </w:pPr>
      <w:r w:rsidRPr="007C32FB">
        <w:rPr>
          <w:rStyle w:val="FootnoteReference"/>
          <w:rFonts w:ascii="Georgia" w:hAnsi="Georgia"/>
          <w:sz w:val="14"/>
          <w:vertAlign w:val="baseline"/>
        </w:rPr>
        <w:footnoteRef/>
      </w:r>
      <w:r>
        <w:tab/>
      </w:r>
      <w:r w:rsidRPr="007C32FB">
        <w:t>Flaxman Partners 2011</w:t>
      </w:r>
      <w:r>
        <w:t>, p.6</w:t>
      </w:r>
      <w:r w:rsidRPr="007C32FB">
        <w:t>.</w:t>
      </w:r>
    </w:p>
  </w:footnote>
  <w:footnote w:id="136">
    <w:p w:rsidR="00250027" w:rsidRPr="007C32FB" w:rsidRDefault="00250027" w:rsidP="00D2468A">
      <w:pPr>
        <w:pStyle w:val="FootnoteText"/>
        <w:ind w:left="284" w:hanging="284"/>
      </w:pPr>
      <w:r w:rsidRPr="006E176A">
        <w:rPr>
          <w:rStyle w:val="FootnoteReference"/>
          <w:rFonts w:ascii="Georgia" w:hAnsi="Georgia"/>
          <w:sz w:val="14"/>
          <w:vertAlign w:val="baseline"/>
        </w:rPr>
        <w:footnoteRef/>
      </w:r>
      <w:r>
        <w:tab/>
      </w:r>
      <w:r w:rsidRPr="006E176A">
        <w:t>Birthrights</w:t>
      </w:r>
      <w:r>
        <w:t>,</w:t>
      </w:r>
      <w:r w:rsidRPr="006E176A">
        <w:t xml:space="preserve"> 2013.</w:t>
      </w:r>
    </w:p>
  </w:footnote>
  <w:footnote w:id="137">
    <w:p w:rsidR="00250027" w:rsidRPr="007C32FB" w:rsidRDefault="00250027" w:rsidP="00D2468A">
      <w:pPr>
        <w:pStyle w:val="FootnoteText"/>
        <w:ind w:left="284" w:hanging="284"/>
      </w:pPr>
      <w:r w:rsidRPr="007C32FB">
        <w:rPr>
          <w:rStyle w:val="FootnoteReference"/>
          <w:rFonts w:ascii="Georgia" w:hAnsi="Georgia"/>
          <w:sz w:val="14"/>
          <w:vertAlign w:val="baseline"/>
        </w:rPr>
        <w:footnoteRef/>
      </w:r>
      <w:r w:rsidRPr="007C32FB">
        <w:t xml:space="preserve"> </w:t>
      </w:r>
      <w:r>
        <w:tab/>
      </w:r>
      <w:r w:rsidRPr="007C32FB">
        <w:t>Personal communication, April 2013. Consultations also highlighted that, at present, a franchising model is also being developed at present.</w:t>
      </w:r>
    </w:p>
  </w:footnote>
  <w:footnote w:id="138">
    <w:p w:rsidR="00250027" w:rsidRPr="007C32FB" w:rsidRDefault="00250027" w:rsidP="00D2468A">
      <w:pPr>
        <w:pStyle w:val="FootnoteText"/>
        <w:ind w:left="284" w:hanging="284"/>
      </w:pPr>
      <w:r w:rsidRPr="007C32FB">
        <w:rPr>
          <w:rStyle w:val="FootnoteReference"/>
          <w:rFonts w:ascii="Georgia" w:hAnsi="Georgia"/>
          <w:sz w:val="14"/>
          <w:vertAlign w:val="baseline"/>
        </w:rPr>
        <w:footnoteRef/>
      </w:r>
      <w:r w:rsidRPr="007C32FB">
        <w:t xml:space="preserve"> </w:t>
      </w:r>
      <w:r>
        <w:tab/>
      </w:r>
      <w:r w:rsidRPr="007C32FB">
        <w:t>A legal entity is defined by Flaxman Partners</w:t>
      </w:r>
      <w:r>
        <w:t xml:space="preserve"> </w:t>
      </w:r>
      <w:r w:rsidRPr="007C32FB">
        <w:t>2011 as a ‘business’.</w:t>
      </w:r>
    </w:p>
  </w:footnote>
  <w:footnote w:id="139">
    <w:p w:rsidR="00250027" w:rsidRPr="007C32FB" w:rsidRDefault="00250027" w:rsidP="00D2468A">
      <w:pPr>
        <w:pStyle w:val="FootnoteText"/>
        <w:ind w:left="284" w:hanging="284"/>
      </w:pPr>
      <w:r w:rsidRPr="007C32FB">
        <w:rPr>
          <w:rStyle w:val="FootnoteReference"/>
          <w:rFonts w:ascii="Georgia" w:hAnsi="Georgia"/>
          <w:sz w:val="14"/>
          <w:vertAlign w:val="baseline"/>
        </w:rPr>
        <w:footnoteRef/>
      </w:r>
      <w:r w:rsidRPr="007C32FB">
        <w:t xml:space="preserve"> </w:t>
      </w:r>
      <w:r>
        <w:tab/>
      </w:r>
      <w:r w:rsidRPr="007C32FB">
        <w:t>In this case there is only one private model, “One-to-one” operating at the time of drafting this report, in the Wirral.</w:t>
      </w:r>
    </w:p>
  </w:footnote>
  <w:footnote w:id="140">
    <w:p w:rsidR="00250027" w:rsidRPr="007C32FB" w:rsidRDefault="00250027" w:rsidP="00D2468A">
      <w:pPr>
        <w:pStyle w:val="FootnoteText"/>
        <w:ind w:left="284" w:hanging="284"/>
      </w:pPr>
      <w:r w:rsidRPr="007C32FB">
        <w:rPr>
          <w:rStyle w:val="FootnoteReference"/>
          <w:rFonts w:ascii="Georgia" w:hAnsi="Georgia"/>
          <w:sz w:val="14"/>
          <w:vertAlign w:val="baseline"/>
        </w:rPr>
        <w:footnoteRef/>
      </w:r>
      <w:r w:rsidRPr="007C32FB">
        <w:t xml:space="preserve"> </w:t>
      </w:r>
      <w:r>
        <w:tab/>
      </w:r>
      <w:r w:rsidRPr="007C32FB">
        <w:t>One to One</w:t>
      </w:r>
      <w:r>
        <w:t>, 2013.</w:t>
      </w:r>
    </w:p>
  </w:footnote>
  <w:footnote w:id="141">
    <w:p w:rsidR="00250027" w:rsidRPr="007C32FB" w:rsidRDefault="00250027" w:rsidP="00D2468A">
      <w:pPr>
        <w:pStyle w:val="FootnoteText"/>
        <w:ind w:left="284" w:hanging="284"/>
        <w:rPr>
          <w:lang w:val="en-US"/>
        </w:rPr>
      </w:pPr>
      <w:r w:rsidRPr="007C32FB">
        <w:rPr>
          <w:rStyle w:val="FootnoteReference"/>
          <w:rFonts w:ascii="Georgia" w:hAnsi="Georgia"/>
          <w:sz w:val="14"/>
          <w:vertAlign w:val="baseline"/>
        </w:rPr>
        <w:footnoteRef/>
      </w:r>
      <w:r w:rsidRPr="007C32FB">
        <w:t xml:space="preserve"> </w:t>
      </w:r>
      <w:r>
        <w:tab/>
      </w:r>
      <w:r w:rsidRPr="007C32FB">
        <w:t>There is only one SEC operating at the time of drafting this report, in London.</w:t>
      </w:r>
    </w:p>
  </w:footnote>
  <w:footnote w:id="142">
    <w:p w:rsidR="00250027" w:rsidRPr="007C32FB" w:rsidRDefault="00250027" w:rsidP="00D2468A">
      <w:pPr>
        <w:pStyle w:val="FootnoteText"/>
        <w:ind w:left="284" w:hanging="284"/>
        <w:rPr>
          <w:lang w:val="en-US"/>
        </w:rPr>
      </w:pPr>
      <w:r>
        <w:rPr>
          <w:rStyle w:val="FootnoteReference"/>
        </w:rPr>
        <w:footnoteRef/>
      </w:r>
      <w:r>
        <w:t xml:space="preserve"> </w:t>
      </w:r>
      <w:r>
        <w:tab/>
      </w:r>
      <w:r w:rsidRPr="007C32FB">
        <w:t>The Royal College of Midwives are a professional organisation and trade union for UK midwives</w:t>
      </w:r>
      <w:r>
        <w:t>.</w:t>
      </w:r>
    </w:p>
  </w:footnote>
  <w:footnote w:id="143">
    <w:p w:rsidR="00250027" w:rsidRPr="00134EA3" w:rsidRDefault="00250027" w:rsidP="00D2468A">
      <w:pPr>
        <w:pStyle w:val="FootnoteText"/>
        <w:ind w:left="284" w:hanging="284"/>
      </w:pPr>
      <w:r w:rsidRPr="00134EA3">
        <w:rPr>
          <w:rStyle w:val="FootnoteReference"/>
          <w:rFonts w:ascii="Georgia" w:hAnsi="Georgia"/>
          <w:sz w:val="14"/>
          <w:vertAlign w:val="baseline"/>
        </w:rPr>
        <w:footnoteRef/>
      </w:r>
      <w:r w:rsidRPr="00134EA3">
        <w:t xml:space="preserve"> </w:t>
      </w:r>
      <w:r>
        <w:tab/>
      </w:r>
      <w:r w:rsidRPr="00134EA3">
        <w:t>Personal Communication, November 2012.</w:t>
      </w:r>
    </w:p>
  </w:footnote>
  <w:footnote w:id="144">
    <w:p w:rsidR="00250027" w:rsidRPr="00134EA3" w:rsidRDefault="00250027" w:rsidP="00D2468A">
      <w:pPr>
        <w:pStyle w:val="FootnoteText"/>
        <w:ind w:left="284" w:hanging="284"/>
      </w:pPr>
      <w:r w:rsidRPr="00134EA3">
        <w:rPr>
          <w:rStyle w:val="FootnoteReference"/>
          <w:rFonts w:ascii="Georgia" w:hAnsi="Georgia"/>
          <w:sz w:val="14"/>
          <w:vertAlign w:val="baseline"/>
        </w:rPr>
        <w:footnoteRef/>
      </w:r>
      <w:r w:rsidRPr="00134EA3">
        <w:t xml:space="preserve"> </w:t>
      </w:r>
      <w:r>
        <w:tab/>
      </w:r>
      <w:r w:rsidRPr="00134EA3">
        <w:t>Independent Midwives</w:t>
      </w:r>
      <w:r>
        <w:t>, 2012</w:t>
      </w:r>
      <w:r w:rsidRPr="00134EA3">
        <w:t>.</w:t>
      </w:r>
    </w:p>
  </w:footnote>
  <w:footnote w:id="145">
    <w:p w:rsidR="00250027" w:rsidRPr="00134EA3" w:rsidRDefault="00250027" w:rsidP="00D2468A">
      <w:pPr>
        <w:pStyle w:val="FootnoteText"/>
        <w:ind w:left="284" w:hanging="284"/>
        <w:rPr>
          <w:lang w:val="en-US"/>
        </w:rPr>
      </w:pPr>
      <w:r w:rsidRPr="00134EA3">
        <w:rPr>
          <w:rStyle w:val="FootnoteReference"/>
          <w:rFonts w:ascii="Georgia" w:hAnsi="Georgia"/>
          <w:sz w:val="14"/>
          <w:vertAlign w:val="baseline"/>
        </w:rPr>
        <w:footnoteRef/>
      </w:r>
      <w:r>
        <w:t xml:space="preserve"> </w:t>
      </w:r>
      <w:r>
        <w:tab/>
        <w:t>Personal communication</w:t>
      </w:r>
      <w:r w:rsidRPr="00134EA3">
        <w:t>, November 2012.</w:t>
      </w:r>
    </w:p>
  </w:footnote>
  <w:footnote w:id="146">
    <w:p w:rsidR="00250027" w:rsidRPr="00FB3959" w:rsidRDefault="00250027" w:rsidP="00D2468A">
      <w:pPr>
        <w:pStyle w:val="FootnoteText"/>
        <w:ind w:left="284" w:hanging="284"/>
        <w:rPr>
          <w:lang w:val="en-US"/>
        </w:rPr>
      </w:pPr>
      <w:r>
        <w:rPr>
          <w:rStyle w:val="FootnoteReference"/>
        </w:rPr>
        <w:footnoteRef/>
      </w:r>
      <w:r>
        <w:t xml:space="preserve"> </w:t>
      </w:r>
      <w:r>
        <w:tab/>
      </w:r>
      <w:r w:rsidRPr="00FB3959">
        <w:t>Personal communication, November 2012.</w:t>
      </w:r>
    </w:p>
  </w:footnote>
  <w:footnote w:id="147">
    <w:p w:rsidR="00250027" w:rsidRPr="00FB3959" w:rsidRDefault="00250027" w:rsidP="00D2468A">
      <w:pPr>
        <w:pStyle w:val="FootnoteText"/>
        <w:ind w:left="284" w:hanging="284"/>
        <w:rPr>
          <w:lang w:val="en-US"/>
        </w:rPr>
      </w:pPr>
      <w:r>
        <w:rPr>
          <w:rStyle w:val="FootnoteReference"/>
        </w:rPr>
        <w:footnoteRef/>
      </w:r>
      <w:r>
        <w:t xml:space="preserve"> </w:t>
      </w:r>
      <w:r>
        <w:tab/>
      </w:r>
      <w:r w:rsidRPr="00806C5F">
        <w:t>Independent Midwives</w:t>
      </w:r>
      <w:r>
        <w:t>,</w:t>
      </w:r>
      <w:r w:rsidRPr="00806C5F">
        <w:t xml:space="preserve"> 2012.</w:t>
      </w:r>
    </w:p>
  </w:footnote>
  <w:footnote w:id="148">
    <w:p w:rsidR="00250027" w:rsidRPr="00FB3959" w:rsidRDefault="00250027" w:rsidP="00D2468A">
      <w:pPr>
        <w:pStyle w:val="FootnoteText"/>
        <w:ind w:left="284" w:hanging="284"/>
        <w:rPr>
          <w:lang w:val="en-US"/>
        </w:rPr>
      </w:pPr>
      <w:r w:rsidRPr="00806C5F">
        <w:rPr>
          <w:rStyle w:val="FootnoteReference"/>
        </w:rPr>
        <w:footnoteRef/>
      </w:r>
      <w:r>
        <w:tab/>
      </w:r>
      <w:r w:rsidRPr="00806C5F">
        <w:t>Official Journal of the European Union</w:t>
      </w:r>
      <w:r>
        <w:t>,</w:t>
      </w:r>
      <w:r w:rsidRPr="00806C5F">
        <w:t xml:space="preserve"> </w:t>
      </w:r>
      <w:r>
        <w:t>2012</w:t>
      </w:r>
      <w:r w:rsidRPr="00806C5F">
        <w:t>.</w:t>
      </w:r>
    </w:p>
  </w:footnote>
  <w:footnote w:id="149">
    <w:p w:rsidR="00250027" w:rsidRPr="00FB3959" w:rsidRDefault="00250027" w:rsidP="00D2468A">
      <w:pPr>
        <w:pStyle w:val="FootnoteText"/>
        <w:ind w:left="284" w:hanging="284"/>
        <w:rPr>
          <w:lang w:val="en-US"/>
        </w:rPr>
      </w:pPr>
      <w:r>
        <w:rPr>
          <w:rStyle w:val="FootnoteReference"/>
        </w:rPr>
        <w:footnoteRef/>
      </w:r>
      <w:r>
        <w:tab/>
      </w:r>
      <w:r w:rsidRPr="002F4CDC">
        <w:t>Scott 2010</w:t>
      </w:r>
      <w:r>
        <w:t>, p.4</w:t>
      </w:r>
      <w:r w:rsidRPr="002F4CDC">
        <w:t>.</w:t>
      </w:r>
    </w:p>
  </w:footnote>
  <w:footnote w:id="150">
    <w:p w:rsidR="00250027" w:rsidRPr="00FB3959" w:rsidRDefault="00250027" w:rsidP="00E2778D">
      <w:pPr>
        <w:pStyle w:val="FootnoteText"/>
        <w:ind w:left="284" w:hanging="284"/>
        <w:rPr>
          <w:lang w:val="en-US"/>
        </w:rPr>
      </w:pPr>
      <w:r>
        <w:rPr>
          <w:rStyle w:val="FootnoteReference"/>
        </w:rPr>
        <w:footnoteRef/>
      </w:r>
      <w:r>
        <w:tab/>
        <w:t>Ibid.</w:t>
      </w:r>
    </w:p>
  </w:footnote>
  <w:footnote w:id="151">
    <w:p w:rsidR="00250027" w:rsidRPr="002F4CDC" w:rsidRDefault="00250027" w:rsidP="00D2468A">
      <w:pPr>
        <w:pStyle w:val="FootnoteText"/>
        <w:ind w:left="284" w:hanging="284"/>
      </w:pPr>
      <w:r w:rsidRPr="002F4CDC">
        <w:rPr>
          <w:rStyle w:val="FootnoteReference"/>
          <w:rFonts w:ascii="Georgia" w:hAnsi="Georgia"/>
          <w:sz w:val="14"/>
          <w:vertAlign w:val="baseline"/>
        </w:rPr>
        <w:footnoteRef/>
      </w:r>
      <w:r>
        <w:tab/>
      </w:r>
      <w:r w:rsidRPr="002F4CDC">
        <w:t>Department</w:t>
      </w:r>
      <w:r>
        <w:t xml:space="preserve"> of Health</w:t>
      </w:r>
      <w:r w:rsidRPr="002F4CDC">
        <w:t xml:space="preserve"> UK</w:t>
      </w:r>
      <w:r>
        <w:t>,</w:t>
      </w:r>
      <w:r w:rsidRPr="002F4CDC">
        <w:t xml:space="preserve"> 2013.</w:t>
      </w:r>
    </w:p>
  </w:footnote>
  <w:footnote w:id="152">
    <w:p w:rsidR="00250027" w:rsidRPr="002F4CDC" w:rsidRDefault="00250027" w:rsidP="00D2468A">
      <w:pPr>
        <w:pStyle w:val="FootnoteText"/>
        <w:ind w:left="284" w:hanging="284"/>
      </w:pPr>
      <w:r w:rsidRPr="002F4CDC">
        <w:rPr>
          <w:rStyle w:val="FootnoteReference"/>
          <w:rFonts w:ascii="Georgia" w:hAnsi="Georgia"/>
          <w:sz w:val="14"/>
          <w:vertAlign w:val="baseline"/>
        </w:rPr>
        <w:footnoteRef/>
      </w:r>
      <w:r>
        <w:tab/>
      </w:r>
      <w:r w:rsidRPr="002F4CDC">
        <w:t>PricewaterhouseCoopers LLP</w:t>
      </w:r>
      <w:r>
        <w:t>,</w:t>
      </w:r>
      <w:r w:rsidRPr="002F4CDC">
        <w:t xml:space="preserve"> 2010.</w:t>
      </w:r>
    </w:p>
  </w:footnote>
  <w:footnote w:id="153">
    <w:p w:rsidR="00250027" w:rsidRPr="002F4CDC" w:rsidRDefault="00250027" w:rsidP="00D2468A">
      <w:pPr>
        <w:pStyle w:val="FootnoteText"/>
        <w:ind w:left="284" w:hanging="284"/>
      </w:pPr>
      <w:r w:rsidRPr="002F4CDC">
        <w:rPr>
          <w:rStyle w:val="FootnoteReference"/>
          <w:rFonts w:ascii="Georgia" w:hAnsi="Georgia"/>
          <w:sz w:val="14"/>
          <w:vertAlign w:val="baseline"/>
        </w:rPr>
        <w:footnoteRef/>
      </w:r>
      <w:r>
        <w:tab/>
      </w:r>
      <w:r w:rsidRPr="002F4CDC">
        <w:t>Scott 2010</w:t>
      </w:r>
      <w:r>
        <w:t>, p.28</w:t>
      </w:r>
      <w:r w:rsidRPr="002F4CDC">
        <w:t>.</w:t>
      </w:r>
    </w:p>
  </w:footnote>
  <w:footnote w:id="154">
    <w:p w:rsidR="00250027" w:rsidRPr="003779A5" w:rsidRDefault="00250027" w:rsidP="00D2468A">
      <w:pPr>
        <w:pStyle w:val="FootnoteText"/>
        <w:ind w:left="284" w:hanging="284"/>
      </w:pPr>
      <w:r w:rsidRPr="003779A5">
        <w:rPr>
          <w:rStyle w:val="FootnoteReference"/>
          <w:rFonts w:ascii="Georgia" w:hAnsi="Georgia"/>
          <w:sz w:val="14"/>
          <w:vertAlign w:val="baseline"/>
        </w:rPr>
        <w:footnoteRef/>
      </w:r>
      <w:r>
        <w:tab/>
      </w:r>
      <w:r w:rsidRPr="003779A5">
        <w:t>PricewaterhouseCoopers LLP</w:t>
      </w:r>
      <w:r>
        <w:t>,</w:t>
      </w:r>
      <w:r w:rsidRPr="003779A5">
        <w:t xml:space="preserve"> 2010.</w:t>
      </w:r>
    </w:p>
  </w:footnote>
  <w:footnote w:id="155">
    <w:p w:rsidR="00250027" w:rsidRPr="003779A5" w:rsidRDefault="00250027" w:rsidP="00D2468A">
      <w:pPr>
        <w:pStyle w:val="FootnoteText"/>
        <w:ind w:left="284" w:hanging="284"/>
      </w:pPr>
      <w:r w:rsidRPr="003779A5">
        <w:rPr>
          <w:rStyle w:val="FootnoteReference"/>
          <w:rFonts w:ascii="Georgia" w:hAnsi="Georgia"/>
          <w:sz w:val="14"/>
          <w:vertAlign w:val="baseline"/>
        </w:rPr>
        <w:footnoteRef/>
      </w:r>
      <w:r>
        <w:tab/>
      </w:r>
      <w:r w:rsidRPr="003779A5">
        <w:t>Flaxman Partners</w:t>
      </w:r>
      <w:r>
        <w:t>,</w:t>
      </w:r>
      <w:r w:rsidRPr="003779A5">
        <w:t xml:space="preserve"> 2011.</w:t>
      </w:r>
    </w:p>
  </w:footnote>
  <w:footnote w:id="156">
    <w:p w:rsidR="00250027" w:rsidRPr="00E01371" w:rsidRDefault="00250027" w:rsidP="00D2468A">
      <w:pPr>
        <w:pStyle w:val="FootnoteText"/>
        <w:ind w:left="284" w:hanging="284"/>
      </w:pPr>
      <w:r w:rsidRPr="003779A5">
        <w:rPr>
          <w:rStyle w:val="FootnoteReference"/>
          <w:rFonts w:ascii="Georgia" w:hAnsi="Georgia"/>
          <w:sz w:val="14"/>
          <w:vertAlign w:val="baseline"/>
        </w:rPr>
        <w:footnoteRef/>
      </w:r>
      <w:r>
        <w:tab/>
        <w:t>Ibid.</w:t>
      </w:r>
    </w:p>
  </w:footnote>
  <w:footnote w:id="157">
    <w:p w:rsidR="00250027" w:rsidRPr="003779A5" w:rsidRDefault="00250027" w:rsidP="00D2468A">
      <w:pPr>
        <w:pStyle w:val="FootnoteText"/>
        <w:ind w:left="284" w:hanging="284"/>
      </w:pPr>
      <w:r w:rsidRPr="003779A5">
        <w:rPr>
          <w:rStyle w:val="FootnoteReference"/>
          <w:rFonts w:ascii="Georgia" w:hAnsi="Georgia"/>
          <w:sz w:val="14"/>
          <w:vertAlign w:val="baseline"/>
        </w:rPr>
        <w:footnoteRef/>
      </w:r>
      <w:r>
        <w:tab/>
      </w:r>
      <w:r w:rsidRPr="003779A5">
        <w:t>PricewaterhouseCoopers LLP</w:t>
      </w:r>
      <w:r>
        <w:t>,</w:t>
      </w:r>
      <w:r w:rsidRPr="003779A5">
        <w:t xml:space="preserve"> 2010.</w:t>
      </w:r>
    </w:p>
  </w:footnote>
  <w:footnote w:id="158">
    <w:p w:rsidR="00250027" w:rsidRPr="00E01371" w:rsidRDefault="00250027" w:rsidP="008D66F4">
      <w:pPr>
        <w:pStyle w:val="FootnoteText"/>
        <w:ind w:left="284" w:hanging="284"/>
      </w:pPr>
      <w:r w:rsidRPr="003779A5">
        <w:rPr>
          <w:rStyle w:val="FootnoteReference"/>
          <w:rFonts w:ascii="Georgia" w:hAnsi="Georgia"/>
          <w:sz w:val="14"/>
          <w:vertAlign w:val="baseline"/>
        </w:rPr>
        <w:footnoteRef/>
      </w:r>
      <w:r>
        <w:tab/>
      </w:r>
      <w:r w:rsidRPr="003779A5">
        <w:t>PricewaterhouseCoopers LLP</w:t>
      </w:r>
      <w:r>
        <w:t>,</w:t>
      </w:r>
      <w:r w:rsidRPr="003779A5">
        <w:t xml:space="preserve"> 2010.</w:t>
      </w:r>
    </w:p>
  </w:footnote>
  <w:footnote w:id="159">
    <w:p w:rsidR="00250027" w:rsidRPr="003779A5" w:rsidRDefault="00250027" w:rsidP="00D2468A">
      <w:pPr>
        <w:pStyle w:val="FootnoteText"/>
        <w:ind w:left="284" w:hanging="284"/>
      </w:pPr>
      <w:r w:rsidRPr="003779A5">
        <w:rPr>
          <w:rStyle w:val="FootnoteReference"/>
          <w:rFonts w:ascii="Georgia" w:hAnsi="Georgia"/>
          <w:sz w:val="14"/>
          <w:vertAlign w:val="baseline"/>
        </w:rPr>
        <w:footnoteRef/>
      </w:r>
      <w:r>
        <w:tab/>
      </w:r>
      <w:r w:rsidRPr="003779A5">
        <w:t xml:space="preserve">Clinical Negligence Scheme for Trusts are responsible for the NHS provided maternity care and have their own Maternity Standards. </w:t>
      </w:r>
    </w:p>
  </w:footnote>
  <w:footnote w:id="160">
    <w:p w:rsidR="00250027" w:rsidRPr="003A2DF6" w:rsidRDefault="00250027" w:rsidP="00D2468A">
      <w:pPr>
        <w:pStyle w:val="FootnoteText"/>
        <w:ind w:left="284" w:hanging="284"/>
      </w:pPr>
      <w:r w:rsidRPr="003A2DF6">
        <w:rPr>
          <w:rStyle w:val="FootnoteReference"/>
          <w:rFonts w:ascii="Georgia" w:hAnsi="Georgia"/>
          <w:sz w:val="14"/>
          <w:vertAlign w:val="baseline"/>
        </w:rPr>
        <w:footnoteRef/>
      </w:r>
      <w:r>
        <w:tab/>
      </w:r>
      <w:r w:rsidRPr="003A2DF6">
        <w:t>PricewaterhouseCoopers LLP</w:t>
      </w:r>
      <w:r>
        <w:t>, 2010.</w:t>
      </w:r>
    </w:p>
  </w:footnote>
  <w:footnote w:id="161">
    <w:p w:rsidR="00250027" w:rsidRPr="003A2DF6" w:rsidRDefault="00250027" w:rsidP="00D2468A">
      <w:pPr>
        <w:pStyle w:val="FootnoteText"/>
        <w:ind w:left="284" w:hanging="284"/>
      </w:pPr>
      <w:r w:rsidRPr="003A2DF6">
        <w:rPr>
          <w:rStyle w:val="FootnoteReference"/>
          <w:rFonts w:ascii="Georgia" w:hAnsi="Georgia"/>
          <w:sz w:val="14"/>
          <w:vertAlign w:val="baseline"/>
        </w:rPr>
        <w:footnoteRef/>
      </w:r>
      <w:r>
        <w:tab/>
        <w:t>Ibid.</w:t>
      </w:r>
    </w:p>
  </w:footnote>
  <w:footnote w:id="162">
    <w:p w:rsidR="00250027" w:rsidRPr="003A2DF6" w:rsidRDefault="00250027" w:rsidP="00D2468A">
      <w:pPr>
        <w:pStyle w:val="FootnoteText"/>
        <w:ind w:left="284" w:hanging="284"/>
      </w:pPr>
      <w:r w:rsidRPr="00CA4490">
        <w:rPr>
          <w:rStyle w:val="FootnoteReference"/>
          <w:rFonts w:ascii="Georgia" w:hAnsi="Georgia"/>
          <w:sz w:val="14"/>
          <w:vertAlign w:val="baseline"/>
        </w:rPr>
        <w:footnoteRef/>
      </w:r>
      <w:r w:rsidRPr="00CA4490">
        <w:tab/>
        <w:t>National Institute for Health Research</w:t>
      </w:r>
      <w:r>
        <w:t>,</w:t>
      </w:r>
      <w:r w:rsidRPr="00CA4490">
        <w:t xml:space="preserve"> 2011.</w:t>
      </w:r>
      <w:r w:rsidRPr="003A2DF6">
        <w:t xml:space="preserve"> </w:t>
      </w:r>
    </w:p>
  </w:footnote>
  <w:footnote w:id="163">
    <w:p w:rsidR="00250027" w:rsidRPr="003A2DF6" w:rsidRDefault="00250027" w:rsidP="00D2468A">
      <w:pPr>
        <w:pStyle w:val="FootnoteText"/>
        <w:ind w:left="284" w:hanging="284"/>
      </w:pPr>
      <w:r w:rsidRPr="003A2DF6">
        <w:rPr>
          <w:rStyle w:val="FootnoteReference"/>
          <w:rFonts w:ascii="Georgia" w:hAnsi="Georgia"/>
          <w:sz w:val="14"/>
          <w:vertAlign w:val="baseline"/>
        </w:rPr>
        <w:footnoteRef/>
      </w:r>
      <w:r>
        <w:tab/>
      </w:r>
      <w:r w:rsidRPr="003A2DF6">
        <w:t>This includes intrapartum still birth, early neonatal death, neonatal encephalopathy, meconium aspiration and specified birth related injuries including brachial plexus injury</w:t>
      </w:r>
      <w:r>
        <w:t>.</w:t>
      </w:r>
    </w:p>
  </w:footnote>
  <w:footnote w:id="164">
    <w:p w:rsidR="00250027" w:rsidRPr="003A2DF6" w:rsidRDefault="00250027" w:rsidP="00D2468A">
      <w:pPr>
        <w:pStyle w:val="FootnoteText"/>
        <w:ind w:left="284" w:hanging="284"/>
      </w:pPr>
      <w:r w:rsidRPr="003A2DF6">
        <w:rPr>
          <w:rStyle w:val="FootnoteReference"/>
          <w:rFonts w:ascii="Georgia" w:hAnsi="Georgia"/>
          <w:sz w:val="14"/>
          <w:vertAlign w:val="baseline"/>
        </w:rPr>
        <w:footnoteRef/>
      </w:r>
      <w:r>
        <w:tab/>
      </w:r>
      <w:r w:rsidRPr="003A2DF6">
        <w:t>‘Multiparous’ refers to a wom</w:t>
      </w:r>
      <w:r>
        <w:t>a</w:t>
      </w:r>
      <w:r w:rsidRPr="003A2DF6">
        <w:t>n who has given birth two or more times</w:t>
      </w:r>
      <w:r>
        <w:t>.</w:t>
      </w:r>
    </w:p>
  </w:footnote>
  <w:footnote w:id="165">
    <w:p w:rsidR="00250027" w:rsidRPr="003A2DF6" w:rsidRDefault="00250027" w:rsidP="00D2468A">
      <w:pPr>
        <w:pStyle w:val="FootnoteText"/>
        <w:tabs>
          <w:tab w:val="clear" w:pos="284"/>
        </w:tabs>
        <w:ind w:left="284" w:hanging="284"/>
      </w:pPr>
      <w:r w:rsidRPr="003A2DF6">
        <w:rPr>
          <w:rStyle w:val="FootnoteReference"/>
          <w:rFonts w:ascii="Georgia" w:hAnsi="Georgia"/>
          <w:sz w:val="14"/>
          <w:vertAlign w:val="baseline"/>
        </w:rPr>
        <w:footnoteRef/>
      </w:r>
      <w:r>
        <w:tab/>
      </w:r>
      <w:r w:rsidRPr="003A2DF6">
        <w:t>Nulliparous’ refers to a woman who has never given birth, or given birth to a viable, or live, infant</w:t>
      </w:r>
      <w:r>
        <w:t>.</w:t>
      </w:r>
    </w:p>
  </w:footnote>
  <w:footnote w:id="166">
    <w:p w:rsidR="00250027" w:rsidRPr="00E01371" w:rsidRDefault="00250027" w:rsidP="00D2468A">
      <w:pPr>
        <w:pStyle w:val="FootnoteText"/>
        <w:ind w:left="284" w:hanging="284"/>
      </w:pPr>
      <w:r w:rsidRPr="003A2DF6">
        <w:rPr>
          <w:rStyle w:val="FootnoteReference"/>
          <w:rFonts w:ascii="Georgia" w:hAnsi="Georgia"/>
          <w:sz w:val="14"/>
          <w:vertAlign w:val="baseline"/>
        </w:rPr>
        <w:footnoteRef/>
      </w:r>
      <w:r>
        <w:tab/>
      </w:r>
      <w:r w:rsidRPr="003A2DF6">
        <w:t>This refers to third or fourth degree perineal trauma, blood transfusion or admission to a higher level of care</w:t>
      </w:r>
      <w:r>
        <w:t>.</w:t>
      </w:r>
    </w:p>
  </w:footnote>
  <w:footnote w:id="167">
    <w:p w:rsidR="00250027" w:rsidRPr="003A2DF6" w:rsidRDefault="00250027" w:rsidP="00D2468A">
      <w:pPr>
        <w:pStyle w:val="FootnoteText"/>
        <w:ind w:left="284" w:hanging="284"/>
      </w:pPr>
      <w:r w:rsidRPr="003A2DF6">
        <w:rPr>
          <w:rStyle w:val="FootnoteReference"/>
          <w:rFonts w:ascii="Georgia" w:hAnsi="Georgia"/>
          <w:sz w:val="14"/>
          <w:vertAlign w:val="baseline"/>
        </w:rPr>
        <w:footnoteRef/>
      </w:r>
      <w:r>
        <w:tab/>
      </w:r>
      <w:r w:rsidRPr="003A2DF6">
        <w:t>Personal communication, April 2013</w:t>
      </w:r>
    </w:p>
  </w:footnote>
  <w:footnote w:id="168">
    <w:p w:rsidR="00250027" w:rsidRPr="00D53B19" w:rsidRDefault="00250027" w:rsidP="00D2468A">
      <w:pPr>
        <w:pStyle w:val="FootnoteText"/>
        <w:ind w:left="284" w:hanging="284"/>
      </w:pPr>
      <w:r w:rsidRPr="00D53B19">
        <w:rPr>
          <w:rStyle w:val="FootnoteReference"/>
          <w:rFonts w:ascii="Georgia" w:hAnsi="Georgia"/>
          <w:sz w:val="14"/>
          <w:vertAlign w:val="baseline"/>
        </w:rPr>
        <w:footnoteRef/>
      </w:r>
      <w:r>
        <w:tab/>
      </w:r>
      <w:r w:rsidRPr="00D53B19">
        <w:t>Flaxman Partners</w:t>
      </w:r>
      <w:r>
        <w:t>, 2011</w:t>
      </w:r>
      <w:r w:rsidRPr="00D53B19">
        <w:t>.</w:t>
      </w:r>
    </w:p>
  </w:footnote>
  <w:footnote w:id="169">
    <w:p w:rsidR="00250027" w:rsidRPr="00D53B19" w:rsidRDefault="00250027" w:rsidP="00D2468A">
      <w:pPr>
        <w:pStyle w:val="FootnoteText"/>
        <w:ind w:left="284" w:hanging="284"/>
      </w:pPr>
      <w:r w:rsidRPr="00D53B19">
        <w:rPr>
          <w:rStyle w:val="FootnoteReference"/>
          <w:rFonts w:ascii="Georgia" w:hAnsi="Georgia"/>
          <w:sz w:val="14"/>
          <w:vertAlign w:val="baseline"/>
        </w:rPr>
        <w:footnoteRef/>
      </w:r>
      <w:r>
        <w:tab/>
        <w:t>Ibid.</w:t>
      </w:r>
    </w:p>
  </w:footnote>
  <w:footnote w:id="170">
    <w:p w:rsidR="00250027" w:rsidRPr="00D53B19" w:rsidRDefault="00250027" w:rsidP="00D2468A">
      <w:pPr>
        <w:pStyle w:val="FootnoteText"/>
        <w:ind w:left="284" w:hanging="284"/>
      </w:pPr>
      <w:r w:rsidRPr="00D53B19">
        <w:rPr>
          <w:rStyle w:val="FootnoteReference"/>
          <w:rFonts w:ascii="Georgia" w:hAnsi="Georgia"/>
          <w:sz w:val="14"/>
          <w:vertAlign w:val="baseline"/>
        </w:rPr>
        <w:footnoteRef/>
      </w:r>
      <w:r>
        <w:rPr>
          <w:szCs w:val="18"/>
        </w:rPr>
        <w:tab/>
      </w:r>
      <w:r w:rsidRPr="00D53B19">
        <w:rPr>
          <w:szCs w:val="18"/>
        </w:rPr>
        <w:t>Taylor A</w:t>
      </w:r>
      <w:r>
        <w:rPr>
          <w:szCs w:val="18"/>
        </w:rPr>
        <w:t xml:space="preserve"> </w:t>
      </w:r>
      <w:r w:rsidRPr="00D53B19">
        <w:rPr>
          <w:szCs w:val="18"/>
        </w:rPr>
        <w:t>2008.</w:t>
      </w:r>
    </w:p>
  </w:footnote>
  <w:footnote w:id="171">
    <w:p w:rsidR="00250027" w:rsidRPr="00E01371" w:rsidRDefault="00250027" w:rsidP="00D2468A">
      <w:pPr>
        <w:pStyle w:val="FootnoteText"/>
        <w:ind w:left="284" w:hanging="284"/>
        <w:rPr>
          <w:noProof/>
        </w:rPr>
      </w:pPr>
      <w:r w:rsidRPr="00D53B19">
        <w:rPr>
          <w:rStyle w:val="FootnoteReference"/>
          <w:rFonts w:ascii="Georgia" w:hAnsi="Georgia"/>
          <w:sz w:val="14"/>
          <w:vertAlign w:val="baseline"/>
        </w:rPr>
        <w:footnoteRef/>
      </w:r>
      <w:r>
        <w:rPr>
          <w:szCs w:val="18"/>
        </w:rPr>
        <w:tab/>
      </w:r>
      <w:r w:rsidRPr="00D53B19">
        <w:rPr>
          <w:szCs w:val="18"/>
        </w:rPr>
        <w:t>Cameron HL 2005.</w:t>
      </w:r>
    </w:p>
  </w:footnote>
  <w:footnote w:id="172">
    <w:p w:rsidR="00250027" w:rsidRPr="00D53B19" w:rsidRDefault="00250027" w:rsidP="00D2468A">
      <w:pPr>
        <w:pStyle w:val="FootnoteText"/>
        <w:ind w:left="284" w:hanging="284"/>
      </w:pPr>
      <w:r w:rsidRPr="00D53B19">
        <w:rPr>
          <w:rStyle w:val="FootnoteReference"/>
          <w:rFonts w:ascii="Georgia" w:hAnsi="Georgia"/>
          <w:sz w:val="14"/>
          <w:vertAlign w:val="baseline"/>
        </w:rPr>
        <w:footnoteRef/>
      </w:r>
      <w:r>
        <w:tab/>
      </w:r>
      <w:r w:rsidRPr="00D53B19">
        <w:t>Ontario Hospital Association</w:t>
      </w:r>
      <w:r>
        <w:t>,</w:t>
      </w:r>
      <w:r w:rsidRPr="00D53B19">
        <w:t xml:space="preserve"> 2010.</w:t>
      </w:r>
    </w:p>
  </w:footnote>
  <w:footnote w:id="173">
    <w:p w:rsidR="00250027" w:rsidRPr="00D53B19" w:rsidRDefault="00250027" w:rsidP="00D2468A">
      <w:pPr>
        <w:pStyle w:val="FootnoteText"/>
        <w:ind w:left="284" w:hanging="284"/>
      </w:pPr>
      <w:r w:rsidRPr="00D53B19">
        <w:rPr>
          <w:rStyle w:val="FootnoteReference"/>
          <w:rFonts w:ascii="Georgia" w:hAnsi="Georgia"/>
          <w:sz w:val="14"/>
          <w:vertAlign w:val="baseline"/>
        </w:rPr>
        <w:footnoteRef/>
      </w:r>
      <w:r>
        <w:tab/>
      </w:r>
      <w:r w:rsidRPr="00D53B19">
        <w:t>Association of Midwives Ontario</w:t>
      </w:r>
      <w:r>
        <w:t>, 2013c</w:t>
      </w:r>
      <w:r w:rsidRPr="00D53B19">
        <w:t>.</w:t>
      </w:r>
    </w:p>
  </w:footnote>
  <w:footnote w:id="174">
    <w:p w:rsidR="00250027" w:rsidRPr="00D53B19" w:rsidRDefault="00250027" w:rsidP="00D2468A">
      <w:pPr>
        <w:pStyle w:val="FootnoteText"/>
        <w:ind w:left="284" w:hanging="284"/>
      </w:pPr>
      <w:r w:rsidRPr="00D53B19">
        <w:rPr>
          <w:rStyle w:val="FootnoteReference"/>
          <w:rFonts w:ascii="Georgia" w:hAnsi="Georgia"/>
          <w:sz w:val="14"/>
          <w:vertAlign w:val="baseline"/>
        </w:rPr>
        <w:footnoteRef/>
      </w:r>
      <w:r>
        <w:tab/>
      </w:r>
      <w:r w:rsidRPr="00D53B19">
        <w:t>College of Midwives of Ontario</w:t>
      </w:r>
      <w:r>
        <w:t>, 2013a</w:t>
      </w:r>
      <w:r w:rsidRPr="00D53B19">
        <w:t>.</w:t>
      </w:r>
    </w:p>
  </w:footnote>
  <w:footnote w:id="175">
    <w:p w:rsidR="00250027" w:rsidRPr="00E01371" w:rsidRDefault="00250027" w:rsidP="00D2468A">
      <w:pPr>
        <w:pStyle w:val="FootnoteText"/>
        <w:ind w:left="284" w:hanging="284"/>
        <w:rPr>
          <w:noProof/>
        </w:rPr>
      </w:pPr>
      <w:r w:rsidRPr="00D53B19">
        <w:rPr>
          <w:rStyle w:val="FootnoteReference"/>
          <w:rFonts w:ascii="Georgia" w:hAnsi="Georgia"/>
          <w:sz w:val="14"/>
          <w:vertAlign w:val="baseline"/>
        </w:rPr>
        <w:footnoteRef/>
      </w:r>
      <w:r>
        <w:tab/>
      </w:r>
      <w:r w:rsidRPr="00D53B19">
        <w:t>Association of Ontario Midwives</w:t>
      </w:r>
      <w:r>
        <w:t>,</w:t>
      </w:r>
      <w:r w:rsidRPr="00D53B19">
        <w:t xml:space="preserve"> 2013</w:t>
      </w:r>
      <w:r>
        <w:t>a</w:t>
      </w:r>
      <w:r w:rsidRPr="00D53B19">
        <w:t>.</w:t>
      </w:r>
    </w:p>
  </w:footnote>
  <w:footnote w:id="176">
    <w:p w:rsidR="00250027" w:rsidRPr="00D53B19" w:rsidRDefault="00250027" w:rsidP="00D2468A">
      <w:pPr>
        <w:pStyle w:val="FootnoteText"/>
        <w:ind w:left="284" w:hanging="284"/>
      </w:pPr>
      <w:r w:rsidRPr="00D53B19">
        <w:rPr>
          <w:rStyle w:val="FootnoteReference"/>
          <w:rFonts w:ascii="Georgia" w:hAnsi="Georgia"/>
          <w:sz w:val="14"/>
          <w:vertAlign w:val="baseline"/>
        </w:rPr>
        <w:footnoteRef/>
      </w:r>
      <w:r>
        <w:tab/>
      </w:r>
      <w:r w:rsidRPr="00D53B19">
        <w:t>Association of Ontario Midwives</w:t>
      </w:r>
      <w:r>
        <w:t>,</w:t>
      </w:r>
      <w:r w:rsidRPr="00D53B19">
        <w:t xml:space="preserve"> </w:t>
      </w:r>
      <w:r>
        <w:t>2013b</w:t>
      </w:r>
      <w:r w:rsidRPr="00D53B19">
        <w:t>.</w:t>
      </w:r>
    </w:p>
  </w:footnote>
  <w:footnote w:id="177">
    <w:p w:rsidR="00250027" w:rsidRPr="00D53B19" w:rsidRDefault="00250027" w:rsidP="00D2468A">
      <w:pPr>
        <w:pStyle w:val="FootnoteText"/>
        <w:ind w:left="284" w:hanging="284"/>
      </w:pPr>
      <w:r w:rsidRPr="00D53B19">
        <w:rPr>
          <w:rStyle w:val="FootnoteReference"/>
          <w:rFonts w:ascii="Georgia" w:hAnsi="Georgia"/>
          <w:sz w:val="14"/>
          <w:vertAlign w:val="baseline"/>
        </w:rPr>
        <w:footnoteRef/>
      </w:r>
      <w:r>
        <w:tab/>
      </w:r>
      <w:r w:rsidRPr="00D53B19">
        <w:t>The IRCM was an interdisciplinary body formed in 1989, prior to the regulation of midwifery in Ontario. The purpose of this body was to develop the regulatory framework for the profession, creating policies, standards of practice, and qualifications for entry to practice. </w:t>
      </w:r>
    </w:p>
  </w:footnote>
  <w:footnote w:id="178">
    <w:p w:rsidR="00250027" w:rsidRPr="00D53B19" w:rsidRDefault="00250027" w:rsidP="00D2468A">
      <w:pPr>
        <w:pStyle w:val="FootnoteText"/>
        <w:ind w:left="284" w:hanging="284"/>
      </w:pPr>
      <w:r w:rsidRPr="00D53B19">
        <w:rPr>
          <w:rStyle w:val="FootnoteReference"/>
          <w:rFonts w:ascii="Georgia" w:hAnsi="Georgia"/>
          <w:sz w:val="14"/>
          <w:vertAlign w:val="baseline"/>
        </w:rPr>
        <w:footnoteRef/>
      </w:r>
      <w:r>
        <w:tab/>
      </w:r>
      <w:r w:rsidRPr="00D53B19">
        <w:t>College of Midwives of Ontario</w:t>
      </w:r>
      <w:r>
        <w:t>,</w:t>
      </w:r>
      <w:r w:rsidRPr="00D53B19">
        <w:t xml:space="preserve"> 1994.</w:t>
      </w:r>
    </w:p>
  </w:footnote>
  <w:footnote w:id="179">
    <w:p w:rsidR="00250027" w:rsidRPr="00D53B19" w:rsidRDefault="00250027" w:rsidP="00D2468A">
      <w:pPr>
        <w:pStyle w:val="FootnoteText"/>
        <w:ind w:left="284" w:hanging="284"/>
      </w:pPr>
      <w:r w:rsidRPr="00D53B19">
        <w:rPr>
          <w:rStyle w:val="FootnoteReference"/>
          <w:rFonts w:ascii="Georgia" w:hAnsi="Georgia"/>
          <w:sz w:val="14"/>
          <w:vertAlign w:val="baseline"/>
        </w:rPr>
        <w:footnoteRef/>
      </w:r>
      <w:r>
        <w:tab/>
      </w:r>
      <w:r w:rsidRPr="00D53B19">
        <w:t>Personal communication, November 2012</w:t>
      </w:r>
      <w:r>
        <w:t>.</w:t>
      </w:r>
    </w:p>
  </w:footnote>
  <w:footnote w:id="180">
    <w:p w:rsidR="00250027" w:rsidRPr="00D53B19" w:rsidRDefault="00250027" w:rsidP="00D2468A">
      <w:pPr>
        <w:pStyle w:val="FootnoteText"/>
        <w:ind w:left="284" w:hanging="284"/>
      </w:pPr>
      <w:r w:rsidRPr="00D53B19">
        <w:rPr>
          <w:rStyle w:val="FootnoteReference"/>
          <w:rFonts w:ascii="Georgia" w:hAnsi="Georgia"/>
          <w:sz w:val="14"/>
          <w:vertAlign w:val="baseline"/>
        </w:rPr>
        <w:footnoteRef/>
      </w:r>
      <w:r>
        <w:tab/>
      </w:r>
      <w:r w:rsidRPr="00D53B19">
        <w:t>HIROC</w:t>
      </w:r>
      <w:r>
        <w:t>,</w:t>
      </w:r>
      <w:r w:rsidRPr="00D53B19">
        <w:t xml:space="preserve"> 2013</w:t>
      </w:r>
      <w:r>
        <w:t>a</w:t>
      </w:r>
      <w:r w:rsidRPr="00D53B19">
        <w:t>.</w:t>
      </w:r>
    </w:p>
  </w:footnote>
  <w:footnote w:id="181">
    <w:p w:rsidR="00250027" w:rsidRPr="00E01371" w:rsidRDefault="00250027" w:rsidP="00D2468A">
      <w:pPr>
        <w:pStyle w:val="FootnoteText"/>
        <w:ind w:left="284" w:hanging="284"/>
      </w:pPr>
      <w:r w:rsidRPr="00D53B19">
        <w:rPr>
          <w:rStyle w:val="FootnoteReference"/>
          <w:rFonts w:ascii="Georgia" w:hAnsi="Georgia"/>
          <w:sz w:val="14"/>
          <w:vertAlign w:val="baseline"/>
        </w:rPr>
        <w:footnoteRef/>
      </w:r>
      <w:r>
        <w:tab/>
        <w:t>Ibid.</w:t>
      </w:r>
    </w:p>
  </w:footnote>
  <w:footnote w:id="182">
    <w:p w:rsidR="00250027" w:rsidRPr="00D53B19" w:rsidRDefault="00250027" w:rsidP="00D2468A">
      <w:pPr>
        <w:pStyle w:val="FootnoteText"/>
        <w:ind w:left="284" w:hanging="284"/>
      </w:pPr>
      <w:r w:rsidRPr="00D53B19">
        <w:rPr>
          <w:rStyle w:val="FootnoteReference"/>
          <w:rFonts w:ascii="Georgia" w:hAnsi="Georgia"/>
          <w:sz w:val="14"/>
          <w:vertAlign w:val="baseline"/>
        </w:rPr>
        <w:footnoteRef/>
      </w:r>
      <w:r>
        <w:tab/>
      </w:r>
      <w:r w:rsidRPr="00D53B19">
        <w:t>H</w:t>
      </w:r>
      <w:r>
        <w:t>IROC,</w:t>
      </w:r>
      <w:r w:rsidRPr="00D53B19">
        <w:t xml:space="preserve"> 2013</w:t>
      </w:r>
      <w:r>
        <w:t>b</w:t>
      </w:r>
      <w:r w:rsidRPr="00D53B19">
        <w:t>.</w:t>
      </w:r>
    </w:p>
  </w:footnote>
  <w:footnote w:id="183">
    <w:p w:rsidR="00250027" w:rsidRPr="00D53B19" w:rsidRDefault="00250027" w:rsidP="00D2468A">
      <w:pPr>
        <w:pStyle w:val="FootnoteText"/>
        <w:ind w:left="284" w:hanging="284"/>
      </w:pPr>
      <w:r w:rsidRPr="00D53B19">
        <w:rPr>
          <w:rStyle w:val="FootnoteReference"/>
          <w:rFonts w:ascii="Georgia" w:hAnsi="Georgia"/>
          <w:sz w:val="14"/>
          <w:vertAlign w:val="baseline"/>
        </w:rPr>
        <w:footnoteRef/>
      </w:r>
      <w:r>
        <w:tab/>
        <w:t>Ibid.</w:t>
      </w:r>
    </w:p>
  </w:footnote>
  <w:footnote w:id="184">
    <w:p w:rsidR="00250027" w:rsidRPr="00E01371" w:rsidRDefault="00250027" w:rsidP="00D2468A">
      <w:pPr>
        <w:pStyle w:val="FootnoteText"/>
        <w:ind w:left="284" w:hanging="284"/>
      </w:pPr>
      <w:r w:rsidRPr="00D53B19">
        <w:rPr>
          <w:rStyle w:val="FootnoteReference"/>
          <w:rFonts w:ascii="Georgia" w:hAnsi="Georgia"/>
          <w:sz w:val="14"/>
          <w:vertAlign w:val="baseline"/>
        </w:rPr>
        <w:footnoteRef/>
      </w:r>
      <w:r>
        <w:tab/>
      </w:r>
      <w:r w:rsidRPr="00D53B19">
        <w:t>HIROC, Personal Communication, 2013.</w:t>
      </w:r>
      <w:r w:rsidRPr="00E01371">
        <w:t xml:space="preserve"> </w:t>
      </w:r>
    </w:p>
  </w:footnote>
  <w:footnote w:id="185">
    <w:p w:rsidR="00250027" w:rsidRDefault="00250027">
      <w:pPr>
        <w:pStyle w:val="FootnoteText"/>
      </w:pPr>
      <w:r>
        <w:rPr>
          <w:rStyle w:val="FootnoteReference"/>
        </w:rPr>
        <w:footnoteRef/>
      </w:r>
      <w:r>
        <w:t xml:space="preserve"> Note this data is the property of HIROC and is not to be used for any other purpose than in assisting Australian midwifery research for AHPRA. Data is as close of business on 31 December 2012.</w:t>
      </w:r>
    </w:p>
  </w:footnote>
  <w:footnote w:id="186">
    <w:p w:rsidR="00250027" w:rsidRPr="00EB50F8" w:rsidRDefault="00250027" w:rsidP="00D2468A">
      <w:pPr>
        <w:pStyle w:val="FootnoteText"/>
        <w:ind w:left="284" w:hanging="284"/>
      </w:pPr>
      <w:r w:rsidRPr="00EB50F8">
        <w:rPr>
          <w:rStyle w:val="FootnoteReference"/>
          <w:rFonts w:ascii="Georgia" w:hAnsi="Georgia"/>
          <w:sz w:val="14"/>
          <w:vertAlign w:val="baseline"/>
        </w:rPr>
        <w:footnoteRef/>
      </w:r>
      <w:r>
        <w:tab/>
        <w:t>Ibid.</w:t>
      </w:r>
    </w:p>
  </w:footnote>
  <w:footnote w:id="187">
    <w:p w:rsidR="00250027" w:rsidRPr="00EB50F8" w:rsidRDefault="00250027" w:rsidP="00D2468A">
      <w:pPr>
        <w:pStyle w:val="FootnoteText"/>
        <w:ind w:left="284" w:hanging="284"/>
      </w:pPr>
      <w:r w:rsidRPr="00EB50F8">
        <w:rPr>
          <w:rStyle w:val="FootnoteReference"/>
          <w:rFonts w:ascii="Georgia" w:hAnsi="Georgia"/>
          <w:sz w:val="14"/>
          <w:vertAlign w:val="baseline"/>
        </w:rPr>
        <w:footnoteRef/>
      </w:r>
      <w:r>
        <w:tab/>
      </w:r>
      <w:r w:rsidRPr="00EB50F8">
        <w:rPr>
          <w:szCs w:val="18"/>
        </w:rPr>
        <w:t>Ontario Hospital Association</w:t>
      </w:r>
      <w:r>
        <w:rPr>
          <w:szCs w:val="18"/>
        </w:rPr>
        <w:t>,</w:t>
      </w:r>
      <w:r w:rsidRPr="00EB50F8">
        <w:rPr>
          <w:szCs w:val="18"/>
        </w:rPr>
        <w:t xml:space="preserve"> 201</w:t>
      </w:r>
      <w:r>
        <w:rPr>
          <w:szCs w:val="18"/>
        </w:rPr>
        <w:t>0</w:t>
      </w:r>
      <w:r w:rsidRPr="00EB50F8">
        <w:rPr>
          <w:szCs w:val="18"/>
        </w:rPr>
        <w:t>.</w:t>
      </w:r>
    </w:p>
  </w:footnote>
  <w:footnote w:id="188">
    <w:p w:rsidR="00250027" w:rsidRPr="00E01371" w:rsidRDefault="00250027" w:rsidP="00D2468A">
      <w:pPr>
        <w:pStyle w:val="FootnoteText"/>
        <w:ind w:left="284" w:hanging="284"/>
      </w:pPr>
      <w:r w:rsidRPr="00EB50F8">
        <w:rPr>
          <w:rStyle w:val="FootnoteReference"/>
          <w:rFonts w:ascii="Georgia" w:hAnsi="Georgia"/>
          <w:sz w:val="14"/>
          <w:vertAlign w:val="baseline"/>
        </w:rPr>
        <w:footnoteRef/>
      </w:r>
      <w:r>
        <w:tab/>
        <w:t>Personal communication, November 2012.</w:t>
      </w:r>
    </w:p>
  </w:footnote>
  <w:footnote w:id="189">
    <w:p w:rsidR="00250027" w:rsidRPr="00EB50F8" w:rsidRDefault="00250027" w:rsidP="00D2468A">
      <w:pPr>
        <w:pStyle w:val="FootnoteText"/>
        <w:ind w:left="284" w:hanging="284"/>
      </w:pPr>
      <w:r w:rsidRPr="00EB50F8">
        <w:rPr>
          <w:rStyle w:val="FootnoteReference"/>
          <w:rFonts w:ascii="Georgia" w:hAnsi="Georgia"/>
          <w:sz w:val="14"/>
          <w:vertAlign w:val="baseline"/>
        </w:rPr>
        <w:footnoteRef/>
      </w:r>
      <w:r>
        <w:tab/>
        <w:t>Ibid.</w:t>
      </w:r>
    </w:p>
  </w:footnote>
  <w:footnote w:id="190">
    <w:p w:rsidR="00250027" w:rsidRDefault="00250027" w:rsidP="00D2468A">
      <w:pPr>
        <w:pStyle w:val="FootnoteText"/>
        <w:ind w:left="284" w:hanging="284"/>
      </w:pPr>
      <w:r>
        <w:rPr>
          <w:rStyle w:val="FootnoteReference"/>
        </w:rPr>
        <w:footnoteRef/>
      </w:r>
      <w:r>
        <w:t xml:space="preserve"> </w:t>
      </w:r>
      <w:r w:rsidRPr="00875B69">
        <w:rPr>
          <w:lang w:val="en-GB"/>
        </w:rPr>
        <w:t>College of Midwives of Ontario</w:t>
      </w:r>
      <w:r>
        <w:rPr>
          <w:lang w:val="en-GB"/>
        </w:rPr>
        <w:t>, 2013e.</w:t>
      </w:r>
    </w:p>
  </w:footnote>
  <w:footnote w:id="191">
    <w:p w:rsidR="00250027" w:rsidRPr="00EB50F8" w:rsidRDefault="00250027" w:rsidP="00D2468A">
      <w:pPr>
        <w:pStyle w:val="FootnoteText"/>
        <w:ind w:left="284" w:hanging="284"/>
      </w:pPr>
      <w:r w:rsidRPr="00EB50F8">
        <w:rPr>
          <w:rStyle w:val="FootnoteReference"/>
          <w:rFonts w:ascii="Georgia" w:hAnsi="Georgia"/>
          <w:sz w:val="14"/>
          <w:vertAlign w:val="baseline"/>
        </w:rPr>
        <w:footnoteRef/>
      </w:r>
      <w:r>
        <w:tab/>
      </w:r>
      <w:r w:rsidRPr="00EB50F8">
        <w:rPr>
          <w:szCs w:val="18"/>
        </w:rPr>
        <w:t>Ontario Hospital Association</w:t>
      </w:r>
      <w:r>
        <w:rPr>
          <w:szCs w:val="18"/>
        </w:rPr>
        <w:t>,</w:t>
      </w:r>
      <w:r w:rsidRPr="00EB50F8">
        <w:rPr>
          <w:szCs w:val="18"/>
        </w:rPr>
        <w:t xml:space="preserve"> 201</w:t>
      </w:r>
      <w:r>
        <w:rPr>
          <w:szCs w:val="18"/>
        </w:rPr>
        <w:t>0</w:t>
      </w:r>
      <w:r w:rsidRPr="00EB50F8">
        <w:rPr>
          <w:szCs w:val="18"/>
        </w:rPr>
        <w:t>.</w:t>
      </w:r>
    </w:p>
  </w:footnote>
  <w:footnote w:id="192">
    <w:p w:rsidR="00250027" w:rsidRPr="00EB50F8" w:rsidRDefault="00250027" w:rsidP="00D2468A">
      <w:pPr>
        <w:pStyle w:val="FootnoteText"/>
        <w:ind w:left="284" w:hanging="284"/>
      </w:pPr>
      <w:r w:rsidRPr="00EB50F8">
        <w:rPr>
          <w:rStyle w:val="FootnoteReference"/>
          <w:rFonts w:ascii="Georgia" w:hAnsi="Georgia"/>
          <w:sz w:val="14"/>
          <w:vertAlign w:val="baseline"/>
        </w:rPr>
        <w:footnoteRef/>
      </w:r>
      <w:r>
        <w:tab/>
      </w:r>
      <w:r>
        <w:rPr>
          <w:szCs w:val="18"/>
        </w:rPr>
        <w:t>Ibid.</w:t>
      </w:r>
    </w:p>
  </w:footnote>
  <w:footnote w:id="193">
    <w:p w:rsidR="00250027" w:rsidRPr="00E01371" w:rsidRDefault="00250027" w:rsidP="00D2468A">
      <w:pPr>
        <w:pStyle w:val="FootnoteText"/>
        <w:ind w:left="284" w:hanging="284"/>
        <w:rPr>
          <w:noProof/>
        </w:rPr>
      </w:pPr>
      <w:r w:rsidRPr="00EB50F8">
        <w:rPr>
          <w:rStyle w:val="FootnoteReference"/>
          <w:rFonts w:ascii="Georgia" w:hAnsi="Georgia"/>
          <w:sz w:val="14"/>
          <w:vertAlign w:val="baseline"/>
        </w:rPr>
        <w:footnoteRef/>
      </w:r>
      <w:r>
        <w:rPr>
          <w:szCs w:val="18"/>
        </w:rPr>
        <w:tab/>
      </w:r>
      <w:r w:rsidRPr="00EB50F8">
        <w:rPr>
          <w:szCs w:val="18"/>
        </w:rPr>
        <w:t>HIROC</w:t>
      </w:r>
      <w:r>
        <w:rPr>
          <w:szCs w:val="18"/>
        </w:rPr>
        <w:t xml:space="preserve"> 2013c, p.2.</w:t>
      </w:r>
    </w:p>
  </w:footnote>
  <w:footnote w:id="194">
    <w:p w:rsidR="00250027" w:rsidRPr="0005022B" w:rsidRDefault="00250027" w:rsidP="00D2468A">
      <w:pPr>
        <w:pStyle w:val="FootnoteText"/>
        <w:ind w:left="284" w:hanging="284"/>
      </w:pPr>
      <w:r w:rsidRPr="0005022B">
        <w:rPr>
          <w:rStyle w:val="FootnoteReference"/>
          <w:rFonts w:ascii="Georgia" w:hAnsi="Georgia"/>
          <w:sz w:val="14"/>
          <w:vertAlign w:val="baseline"/>
        </w:rPr>
        <w:footnoteRef/>
      </w:r>
      <w:r>
        <w:tab/>
      </w:r>
      <w:r w:rsidRPr="0005022B">
        <w:t>Personal communication, November 2012</w:t>
      </w:r>
    </w:p>
  </w:footnote>
  <w:footnote w:id="195">
    <w:p w:rsidR="00250027" w:rsidRPr="0005022B" w:rsidRDefault="00250027" w:rsidP="007D314F">
      <w:pPr>
        <w:pStyle w:val="FootnoteText"/>
        <w:ind w:left="284" w:hanging="284"/>
      </w:pPr>
      <w:r w:rsidRPr="0005022B">
        <w:rPr>
          <w:rStyle w:val="FootnoteReference"/>
          <w:rFonts w:ascii="Georgia" w:hAnsi="Georgia"/>
          <w:sz w:val="14"/>
          <w:vertAlign w:val="baseline"/>
        </w:rPr>
        <w:footnoteRef/>
      </w:r>
      <w:r>
        <w:rPr>
          <w:szCs w:val="18"/>
        </w:rPr>
        <w:tab/>
      </w:r>
      <w:r w:rsidRPr="0005022B">
        <w:rPr>
          <w:szCs w:val="18"/>
        </w:rPr>
        <w:t xml:space="preserve">HIROC. </w:t>
      </w:r>
      <w:r>
        <w:rPr>
          <w:szCs w:val="18"/>
        </w:rPr>
        <w:t>2013c, p.2</w:t>
      </w:r>
      <w:r w:rsidRPr="0005022B">
        <w:rPr>
          <w:szCs w:val="18"/>
        </w:rPr>
        <w:t>.</w:t>
      </w:r>
    </w:p>
  </w:footnote>
  <w:footnote w:id="196">
    <w:p w:rsidR="00250027" w:rsidRPr="00E01371" w:rsidRDefault="00250027" w:rsidP="00D2468A">
      <w:pPr>
        <w:pStyle w:val="FootnoteText"/>
        <w:ind w:left="284" w:hanging="284"/>
      </w:pPr>
      <w:r w:rsidRPr="0005022B">
        <w:rPr>
          <w:rStyle w:val="FootnoteReference"/>
          <w:rFonts w:ascii="Georgia" w:hAnsi="Georgia"/>
          <w:sz w:val="14"/>
          <w:vertAlign w:val="baseline"/>
        </w:rPr>
        <w:footnoteRef/>
      </w:r>
      <w:r>
        <w:tab/>
      </w:r>
      <w:r w:rsidRPr="00CA4490">
        <w:t>College of Midwives of Ontario</w:t>
      </w:r>
      <w:r>
        <w:t>,</w:t>
      </w:r>
      <w:r w:rsidRPr="00CA4490">
        <w:t xml:space="preserve"> 2013b.</w:t>
      </w:r>
    </w:p>
  </w:footnote>
  <w:footnote w:id="197">
    <w:p w:rsidR="00250027" w:rsidRPr="0005022B" w:rsidRDefault="00250027" w:rsidP="00D2468A">
      <w:pPr>
        <w:pStyle w:val="FootnoteText"/>
        <w:ind w:left="284" w:hanging="284"/>
      </w:pPr>
      <w:r w:rsidRPr="0005022B">
        <w:rPr>
          <w:rStyle w:val="FootnoteReference"/>
          <w:rFonts w:ascii="Georgia" w:hAnsi="Georgia"/>
          <w:sz w:val="14"/>
          <w:vertAlign w:val="baseline"/>
        </w:rPr>
        <w:footnoteRef/>
      </w:r>
      <w:r>
        <w:tab/>
      </w:r>
      <w:r w:rsidRPr="0005022B">
        <w:t>Personal communication, March 2013</w:t>
      </w:r>
      <w:r>
        <w:t>.</w:t>
      </w:r>
    </w:p>
  </w:footnote>
  <w:footnote w:id="198">
    <w:p w:rsidR="00250027" w:rsidRPr="00241006" w:rsidRDefault="00250027" w:rsidP="00D2468A">
      <w:pPr>
        <w:pStyle w:val="FootnoteText"/>
        <w:ind w:left="284" w:hanging="284"/>
      </w:pPr>
      <w:r w:rsidRPr="00241006">
        <w:rPr>
          <w:rStyle w:val="FootnoteReference"/>
          <w:rFonts w:ascii="Georgia" w:hAnsi="Georgia"/>
          <w:sz w:val="14"/>
          <w:vertAlign w:val="baseline"/>
        </w:rPr>
        <w:footnoteRef/>
      </w:r>
      <w:r>
        <w:tab/>
        <w:t>Personal communication</w:t>
      </w:r>
      <w:r w:rsidRPr="00241006">
        <w:t>, November 2013</w:t>
      </w:r>
      <w:r>
        <w:t>.</w:t>
      </w:r>
    </w:p>
  </w:footnote>
  <w:footnote w:id="199">
    <w:p w:rsidR="00250027" w:rsidRPr="00241006" w:rsidRDefault="00250027" w:rsidP="00D2468A">
      <w:pPr>
        <w:pStyle w:val="FootnoteText"/>
        <w:ind w:left="284" w:hanging="284"/>
      </w:pPr>
      <w:r w:rsidRPr="00241006">
        <w:rPr>
          <w:rStyle w:val="FootnoteReference"/>
          <w:rFonts w:ascii="Georgia" w:hAnsi="Georgia"/>
          <w:sz w:val="14"/>
          <w:vertAlign w:val="baseline"/>
        </w:rPr>
        <w:footnoteRef/>
      </w:r>
      <w:r w:rsidRPr="00241006">
        <w:tab/>
        <w:t>Claims Canada</w:t>
      </w:r>
      <w:r>
        <w:t>, 2013.</w:t>
      </w:r>
    </w:p>
  </w:footnote>
  <w:footnote w:id="200">
    <w:p w:rsidR="00250027" w:rsidRPr="00241006" w:rsidRDefault="00250027" w:rsidP="00D2468A">
      <w:pPr>
        <w:pStyle w:val="FootnoteText"/>
        <w:ind w:left="284" w:hanging="284"/>
      </w:pPr>
      <w:r w:rsidRPr="00241006">
        <w:rPr>
          <w:rStyle w:val="FootnoteReference"/>
          <w:rFonts w:ascii="Georgia" w:hAnsi="Georgia"/>
          <w:sz w:val="14"/>
          <w:vertAlign w:val="baseline"/>
        </w:rPr>
        <w:footnoteRef/>
      </w:r>
      <w:r>
        <w:tab/>
        <w:t>Ibid.</w:t>
      </w:r>
    </w:p>
  </w:footnote>
  <w:footnote w:id="201">
    <w:p w:rsidR="00250027" w:rsidRPr="00241006" w:rsidRDefault="00250027" w:rsidP="00D2468A">
      <w:pPr>
        <w:pStyle w:val="FootnoteText"/>
        <w:ind w:left="284" w:hanging="284"/>
      </w:pPr>
      <w:r w:rsidRPr="004D4F44">
        <w:rPr>
          <w:rStyle w:val="FootnoteReference"/>
          <w:rFonts w:ascii="Georgia" w:hAnsi="Georgia"/>
          <w:sz w:val="14"/>
          <w:vertAlign w:val="baseline"/>
        </w:rPr>
        <w:footnoteRef/>
      </w:r>
      <w:r w:rsidRPr="004D4F44">
        <w:tab/>
        <w:t>Association of Ontario Midwives</w:t>
      </w:r>
      <w:r>
        <w:t>,</w:t>
      </w:r>
      <w:r w:rsidRPr="004D4F44">
        <w:t xml:space="preserve"> 2013c.</w:t>
      </w:r>
    </w:p>
  </w:footnote>
  <w:footnote w:id="202">
    <w:p w:rsidR="00250027" w:rsidRPr="00241006" w:rsidRDefault="00250027" w:rsidP="00D2468A">
      <w:pPr>
        <w:pStyle w:val="FootnoteText"/>
        <w:ind w:left="284" w:hanging="284"/>
      </w:pPr>
      <w:r w:rsidRPr="00241006">
        <w:rPr>
          <w:rStyle w:val="FootnoteReference"/>
          <w:rFonts w:ascii="Georgia" w:hAnsi="Georgia"/>
          <w:sz w:val="14"/>
          <w:vertAlign w:val="baseline"/>
        </w:rPr>
        <w:footnoteRef/>
      </w:r>
      <w:r>
        <w:tab/>
      </w:r>
      <w:r w:rsidRPr="00241006">
        <w:t>Cameron</w:t>
      </w:r>
      <w:r>
        <w:t xml:space="preserve"> HL</w:t>
      </w:r>
      <w:r w:rsidRPr="00241006">
        <w:t xml:space="preserve"> 2005.</w:t>
      </w:r>
    </w:p>
  </w:footnote>
  <w:footnote w:id="203">
    <w:p w:rsidR="00250027" w:rsidRPr="00241006" w:rsidRDefault="00250027" w:rsidP="00D2468A">
      <w:pPr>
        <w:pStyle w:val="FootnoteText"/>
        <w:ind w:left="284" w:hanging="284"/>
      </w:pPr>
      <w:r w:rsidRPr="00241006">
        <w:rPr>
          <w:rStyle w:val="FootnoteReference"/>
          <w:rFonts w:ascii="Georgia" w:hAnsi="Georgia"/>
          <w:sz w:val="14"/>
          <w:vertAlign w:val="baseline"/>
        </w:rPr>
        <w:footnoteRef/>
      </w:r>
      <w:r>
        <w:tab/>
      </w:r>
      <w:r w:rsidRPr="00241006">
        <w:t>Financial benefit was through reduced rates of C- section episiotomy, fewer re-admissions into hospital and shortened hospital stays</w:t>
      </w:r>
      <w:r>
        <w:t>,</w:t>
      </w:r>
      <w:r w:rsidRPr="00241006">
        <w:t xml:space="preserve"> </w:t>
      </w:r>
      <w:r w:rsidRPr="004D4F44">
        <w:t>Association of Ontario Midwives</w:t>
      </w:r>
      <w:r>
        <w:t>,</w:t>
      </w:r>
      <w:r w:rsidRPr="004D4F44">
        <w:t xml:space="preserve"> 2013c.</w:t>
      </w:r>
    </w:p>
  </w:footnote>
  <w:footnote w:id="204">
    <w:p w:rsidR="00250027" w:rsidRPr="00E01371" w:rsidRDefault="00250027" w:rsidP="00D2468A">
      <w:pPr>
        <w:pStyle w:val="FootnoteText"/>
        <w:ind w:left="284" w:hanging="284"/>
        <w:rPr>
          <w:szCs w:val="22"/>
        </w:rPr>
      </w:pPr>
      <w:r w:rsidRPr="00241006">
        <w:rPr>
          <w:rStyle w:val="FootnoteReference"/>
          <w:rFonts w:ascii="Georgia" w:hAnsi="Georgia"/>
          <w:sz w:val="14"/>
          <w:vertAlign w:val="baseline"/>
        </w:rPr>
        <w:footnoteRef/>
      </w:r>
      <w:r>
        <w:tab/>
      </w:r>
      <w:r w:rsidRPr="004D4F44">
        <w:t>Association of Ontario Midwives</w:t>
      </w:r>
      <w:r>
        <w:t>,</w:t>
      </w:r>
      <w:r w:rsidRPr="004D4F44">
        <w:t xml:space="preserve"> 2013c.</w:t>
      </w:r>
    </w:p>
  </w:footnote>
  <w:footnote w:id="205">
    <w:p w:rsidR="00250027" w:rsidRPr="00241006" w:rsidRDefault="00250027" w:rsidP="00D2468A">
      <w:pPr>
        <w:pStyle w:val="FootnoteText"/>
        <w:ind w:left="284" w:hanging="284"/>
      </w:pPr>
      <w:r w:rsidRPr="00241006">
        <w:rPr>
          <w:rStyle w:val="FootnoteReference"/>
          <w:rFonts w:ascii="Georgia" w:hAnsi="Georgia"/>
          <w:sz w:val="14"/>
          <w:vertAlign w:val="baseline"/>
        </w:rPr>
        <w:footnoteRef/>
      </w:r>
      <w:r>
        <w:tab/>
      </w:r>
      <w:r w:rsidRPr="00241006">
        <w:t xml:space="preserve">Weigers TA, </w:t>
      </w:r>
      <w:r>
        <w:t>v</w:t>
      </w:r>
      <w:r w:rsidRPr="00241006">
        <w:t xml:space="preserve">an </w:t>
      </w:r>
      <w:r>
        <w:t>d</w:t>
      </w:r>
      <w:r w:rsidRPr="00241006">
        <w:t>er Zee J, Kerseens JJ</w:t>
      </w:r>
      <w:r>
        <w:t xml:space="preserve"> &amp;</w:t>
      </w:r>
      <w:r w:rsidRPr="00241006">
        <w:t xml:space="preserve"> Keirse MJ</w:t>
      </w:r>
      <w:r>
        <w:t xml:space="preserve"> 1998.</w:t>
      </w:r>
    </w:p>
  </w:footnote>
  <w:footnote w:id="206">
    <w:p w:rsidR="00250027" w:rsidRPr="00241006" w:rsidRDefault="00250027" w:rsidP="00D2468A">
      <w:pPr>
        <w:pStyle w:val="FootnoteText"/>
        <w:ind w:left="284" w:hanging="284"/>
      </w:pPr>
      <w:r w:rsidRPr="00241006">
        <w:rPr>
          <w:rStyle w:val="FootnoteReference"/>
          <w:rFonts w:ascii="Georgia" w:hAnsi="Georgia"/>
          <w:sz w:val="14"/>
          <w:vertAlign w:val="baseline"/>
        </w:rPr>
        <w:footnoteRef/>
      </w:r>
      <w:r>
        <w:tab/>
        <w:t>Statistics Netherlands, 2013.</w:t>
      </w:r>
    </w:p>
  </w:footnote>
  <w:footnote w:id="207">
    <w:p w:rsidR="00250027" w:rsidRPr="00241006" w:rsidRDefault="00250027" w:rsidP="00D2468A">
      <w:pPr>
        <w:pStyle w:val="FootnoteText"/>
        <w:ind w:left="284" w:hanging="284"/>
      </w:pPr>
      <w:r w:rsidRPr="00241006">
        <w:rPr>
          <w:rStyle w:val="FootnoteReference"/>
          <w:rFonts w:ascii="Georgia" w:hAnsi="Georgia"/>
          <w:sz w:val="14"/>
          <w:vertAlign w:val="baseline"/>
        </w:rPr>
        <w:footnoteRef/>
      </w:r>
      <w:r>
        <w:tab/>
      </w:r>
      <w:r w:rsidRPr="00241006">
        <w:t>Wiegers TA, Keirse MJ, van der Zee J</w:t>
      </w:r>
      <w:r>
        <w:t xml:space="preserve"> &amp;</w:t>
      </w:r>
      <w:r w:rsidRPr="00241006">
        <w:t xml:space="preserve"> Berghs GA</w:t>
      </w:r>
      <w:r>
        <w:t xml:space="preserve"> 1996</w:t>
      </w:r>
      <w:r w:rsidRPr="00241006">
        <w:t>.</w:t>
      </w:r>
    </w:p>
  </w:footnote>
  <w:footnote w:id="208">
    <w:p w:rsidR="00250027" w:rsidRPr="00E01371" w:rsidRDefault="00250027" w:rsidP="00D2468A">
      <w:pPr>
        <w:pStyle w:val="FootnoteText"/>
        <w:ind w:left="284" w:hanging="284"/>
      </w:pPr>
      <w:r w:rsidRPr="00241006">
        <w:rPr>
          <w:rStyle w:val="FootnoteReference"/>
          <w:rFonts w:ascii="Georgia" w:hAnsi="Georgia"/>
          <w:sz w:val="14"/>
          <w:vertAlign w:val="baseline"/>
        </w:rPr>
        <w:footnoteRef/>
      </w:r>
      <w:r>
        <w:tab/>
        <w:t>Personal communication</w:t>
      </w:r>
      <w:r w:rsidRPr="00241006">
        <w:t>, April 2013.</w:t>
      </w:r>
    </w:p>
  </w:footnote>
  <w:footnote w:id="209">
    <w:p w:rsidR="00250027" w:rsidRPr="00241006" w:rsidRDefault="00250027" w:rsidP="00D2468A">
      <w:pPr>
        <w:pStyle w:val="FootnoteText"/>
        <w:ind w:left="284" w:hanging="284"/>
      </w:pPr>
      <w:r w:rsidRPr="00241006">
        <w:rPr>
          <w:rStyle w:val="FootnoteReference"/>
          <w:rFonts w:ascii="Georgia" w:hAnsi="Georgia"/>
          <w:sz w:val="14"/>
          <w:vertAlign w:val="baseline"/>
        </w:rPr>
        <w:footnoteRef/>
      </w:r>
      <w:r>
        <w:tab/>
        <w:t>Statistics Netherlands, 2013.</w:t>
      </w:r>
    </w:p>
  </w:footnote>
  <w:footnote w:id="210">
    <w:p w:rsidR="00250027" w:rsidRPr="00241006" w:rsidRDefault="00250027" w:rsidP="00D2468A">
      <w:pPr>
        <w:pStyle w:val="FootnoteText"/>
        <w:ind w:left="284" w:hanging="284"/>
      </w:pPr>
      <w:r w:rsidRPr="00241006">
        <w:rPr>
          <w:rStyle w:val="FootnoteReference"/>
          <w:rFonts w:ascii="Georgia" w:hAnsi="Georgia"/>
          <w:sz w:val="14"/>
          <w:vertAlign w:val="baseline"/>
        </w:rPr>
        <w:footnoteRef/>
      </w:r>
      <w:r>
        <w:tab/>
      </w:r>
      <w:r w:rsidRPr="00241006">
        <w:rPr>
          <w:szCs w:val="18"/>
        </w:rPr>
        <w:t>Weigers TA</w:t>
      </w:r>
      <w:r>
        <w:rPr>
          <w:szCs w:val="18"/>
        </w:rPr>
        <w:t>,</w:t>
      </w:r>
      <w:r w:rsidRPr="00241006">
        <w:rPr>
          <w:szCs w:val="18"/>
        </w:rPr>
        <w:t xml:space="preserve"> </w:t>
      </w:r>
      <w:r>
        <w:rPr>
          <w:szCs w:val="18"/>
        </w:rPr>
        <w:t>v</w:t>
      </w:r>
      <w:r w:rsidRPr="00241006">
        <w:rPr>
          <w:szCs w:val="18"/>
        </w:rPr>
        <w:t xml:space="preserve">an </w:t>
      </w:r>
      <w:r>
        <w:rPr>
          <w:szCs w:val="18"/>
        </w:rPr>
        <w:t>der Zee J, Kerseens JJ &amp;</w:t>
      </w:r>
      <w:r w:rsidRPr="00241006">
        <w:rPr>
          <w:szCs w:val="18"/>
        </w:rPr>
        <w:t xml:space="preserve"> Keirse MJ</w:t>
      </w:r>
      <w:r>
        <w:rPr>
          <w:szCs w:val="18"/>
        </w:rPr>
        <w:t xml:space="preserve"> 1998</w:t>
      </w:r>
      <w:r w:rsidRPr="00241006">
        <w:rPr>
          <w:szCs w:val="18"/>
        </w:rPr>
        <w:t>.</w:t>
      </w:r>
    </w:p>
  </w:footnote>
  <w:footnote w:id="211">
    <w:p w:rsidR="00250027" w:rsidRPr="00241006" w:rsidRDefault="00250027" w:rsidP="00D2468A">
      <w:pPr>
        <w:pStyle w:val="FootnoteText"/>
        <w:ind w:left="284" w:hanging="284"/>
      </w:pPr>
      <w:r w:rsidRPr="00241006">
        <w:rPr>
          <w:rStyle w:val="FootnoteReference"/>
          <w:rFonts w:ascii="Georgia" w:hAnsi="Georgia"/>
          <w:sz w:val="14"/>
          <w:vertAlign w:val="baseline"/>
        </w:rPr>
        <w:footnoteRef/>
      </w:r>
      <w:r>
        <w:tab/>
      </w:r>
      <w:r w:rsidRPr="00241006">
        <w:t>In some circumstances (eg living alone, earning under €47,520/year) compensation is available.</w:t>
      </w:r>
    </w:p>
  </w:footnote>
  <w:footnote w:id="212">
    <w:p w:rsidR="00250027" w:rsidRPr="00241006" w:rsidRDefault="00250027" w:rsidP="00D2468A">
      <w:pPr>
        <w:pStyle w:val="FootnoteText"/>
        <w:ind w:left="284" w:hanging="284"/>
      </w:pPr>
      <w:r w:rsidRPr="00241006">
        <w:rPr>
          <w:rStyle w:val="FootnoteReference"/>
          <w:rFonts w:ascii="Georgia" w:hAnsi="Georgia"/>
          <w:sz w:val="14"/>
          <w:vertAlign w:val="baseline"/>
        </w:rPr>
        <w:footnoteRef/>
      </w:r>
      <w:r>
        <w:tab/>
      </w:r>
      <w:r w:rsidRPr="00241006">
        <w:rPr>
          <w:szCs w:val="18"/>
        </w:rPr>
        <w:t>Undutchables</w:t>
      </w:r>
      <w:r>
        <w:rPr>
          <w:szCs w:val="18"/>
        </w:rPr>
        <w:t>,</w:t>
      </w:r>
      <w:r w:rsidRPr="00241006">
        <w:rPr>
          <w:szCs w:val="18"/>
        </w:rPr>
        <w:t xml:space="preserve"> 2013.</w:t>
      </w:r>
    </w:p>
  </w:footnote>
  <w:footnote w:id="213">
    <w:p w:rsidR="00250027" w:rsidRPr="00241006" w:rsidRDefault="00250027" w:rsidP="00D2468A">
      <w:pPr>
        <w:pStyle w:val="FootnoteText"/>
        <w:ind w:left="284" w:hanging="284"/>
      </w:pPr>
      <w:r w:rsidRPr="00241006">
        <w:rPr>
          <w:rStyle w:val="FootnoteReference"/>
          <w:rFonts w:ascii="Georgia" w:hAnsi="Georgia"/>
          <w:sz w:val="14"/>
          <w:vertAlign w:val="baseline"/>
        </w:rPr>
        <w:footnoteRef/>
      </w:r>
      <w:r>
        <w:tab/>
      </w:r>
      <w:r w:rsidRPr="00241006">
        <w:t>KNOV (The Royal Dutch Organisation of Midwives)</w:t>
      </w:r>
      <w:r>
        <w:t>,</w:t>
      </w:r>
      <w:r w:rsidRPr="00241006">
        <w:t xml:space="preserve"> 2012. </w:t>
      </w:r>
    </w:p>
  </w:footnote>
  <w:footnote w:id="214">
    <w:p w:rsidR="00250027" w:rsidRPr="00241006" w:rsidRDefault="00250027" w:rsidP="007D314F">
      <w:pPr>
        <w:pStyle w:val="FootnoteText"/>
        <w:ind w:left="284" w:hanging="284"/>
      </w:pPr>
      <w:r w:rsidRPr="00241006">
        <w:rPr>
          <w:rStyle w:val="FootnoteReference"/>
          <w:rFonts w:ascii="Georgia" w:hAnsi="Georgia"/>
          <w:sz w:val="14"/>
          <w:vertAlign w:val="baseline"/>
        </w:rPr>
        <w:footnoteRef/>
      </w:r>
      <w:r>
        <w:tab/>
        <w:t>Ibid.</w:t>
      </w:r>
    </w:p>
  </w:footnote>
  <w:footnote w:id="215">
    <w:p w:rsidR="00250027" w:rsidRPr="00E01371" w:rsidRDefault="00250027" w:rsidP="00D2468A">
      <w:pPr>
        <w:pStyle w:val="FootnoteText"/>
        <w:ind w:left="284" w:hanging="284"/>
      </w:pPr>
      <w:r w:rsidRPr="00241006">
        <w:rPr>
          <w:rStyle w:val="FootnoteReference"/>
          <w:rFonts w:ascii="Georgia" w:hAnsi="Georgia"/>
          <w:sz w:val="14"/>
          <w:vertAlign w:val="baseline"/>
        </w:rPr>
        <w:footnoteRef/>
      </w:r>
      <w:r>
        <w:tab/>
        <w:t>Ibid.</w:t>
      </w:r>
    </w:p>
  </w:footnote>
  <w:footnote w:id="216">
    <w:p w:rsidR="00250027" w:rsidRPr="00241006" w:rsidRDefault="00250027" w:rsidP="00D2468A">
      <w:pPr>
        <w:pStyle w:val="FootnoteText"/>
        <w:ind w:left="284" w:hanging="284"/>
      </w:pPr>
      <w:r w:rsidRPr="003452D0">
        <w:rPr>
          <w:rStyle w:val="FootnoteReference"/>
          <w:rFonts w:ascii="Georgia" w:hAnsi="Georgia"/>
          <w:sz w:val="14"/>
          <w:vertAlign w:val="baseline"/>
        </w:rPr>
        <w:footnoteRef/>
      </w:r>
      <w:r w:rsidRPr="003452D0">
        <w:tab/>
        <w:t>See Appendix K</w:t>
      </w:r>
      <w:r>
        <w:t>.</w:t>
      </w:r>
    </w:p>
  </w:footnote>
  <w:footnote w:id="217">
    <w:p w:rsidR="00250027" w:rsidRPr="00241006" w:rsidRDefault="00250027" w:rsidP="00D2468A">
      <w:pPr>
        <w:pStyle w:val="FootnoteText"/>
        <w:ind w:left="284" w:hanging="284"/>
      </w:pPr>
      <w:r w:rsidRPr="00241006">
        <w:rPr>
          <w:rStyle w:val="FootnoteReference"/>
          <w:rFonts w:ascii="Georgia" w:hAnsi="Georgia"/>
          <w:sz w:val="14"/>
          <w:vertAlign w:val="baseline"/>
        </w:rPr>
        <w:footnoteRef/>
      </w:r>
      <w:r>
        <w:tab/>
      </w:r>
      <w:r w:rsidRPr="00241006">
        <w:t>Personal communication, April 2013</w:t>
      </w:r>
      <w:r>
        <w:t>.</w:t>
      </w:r>
    </w:p>
  </w:footnote>
  <w:footnote w:id="218">
    <w:p w:rsidR="00250027" w:rsidRPr="00241006" w:rsidRDefault="00250027" w:rsidP="00D2468A">
      <w:pPr>
        <w:pStyle w:val="FootnoteText"/>
        <w:ind w:left="284" w:hanging="284"/>
      </w:pPr>
      <w:r w:rsidRPr="00806C5F">
        <w:rPr>
          <w:rStyle w:val="FootnoteReference"/>
          <w:rFonts w:ascii="Georgia" w:hAnsi="Georgia"/>
          <w:sz w:val="14"/>
          <w:vertAlign w:val="baseline"/>
        </w:rPr>
        <w:footnoteRef/>
      </w:r>
      <w:r>
        <w:tab/>
      </w:r>
      <w:r w:rsidRPr="00806C5F">
        <w:t>Official Journal of the European Union</w:t>
      </w:r>
      <w:r>
        <w:t>,</w:t>
      </w:r>
      <w:r w:rsidRPr="00806C5F">
        <w:t xml:space="preserve"> 2012.</w:t>
      </w:r>
      <w:r w:rsidRPr="00241006">
        <w:t xml:space="preserve"> The European Union Directive (2011/24/EU) (the “Directive”) states that there is responsibility on member states of the European Union to provide systems of professional liability insurance, or a guarantee or similar arrangement that is equivalent or essentially comparable as regards its purpose and the extent of the risk, are in place for treatment provided on its territory.</w:t>
      </w:r>
    </w:p>
  </w:footnote>
  <w:footnote w:id="219">
    <w:p w:rsidR="00250027" w:rsidRPr="00241006" w:rsidRDefault="00250027" w:rsidP="00D2468A">
      <w:pPr>
        <w:pStyle w:val="FootnoteText"/>
        <w:ind w:left="284" w:hanging="284"/>
      </w:pPr>
      <w:r w:rsidRPr="00241006">
        <w:rPr>
          <w:rStyle w:val="FootnoteReference"/>
          <w:rFonts w:ascii="Georgia" w:hAnsi="Georgia"/>
          <w:sz w:val="14"/>
          <w:vertAlign w:val="baseline"/>
        </w:rPr>
        <w:footnoteRef/>
      </w:r>
      <w:r>
        <w:tab/>
        <w:t>Personal communication</w:t>
      </w:r>
      <w:r w:rsidRPr="00241006">
        <w:t>, April 2013</w:t>
      </w:r>
    </w:p>
  </w:footnote>
  <w:footnote w:id="220">
    <w:p w:rsidR="00250027" w:rsidRPr="00241006" w:rsidRDefault="00250027" w:rsidP="00D2468A">
      <w:pPr>
        <w:pStyle w:val="FootnoteText"/>
        <w:ind w:left="284" w:hanging="284"/>
      </w:pPr>
      <w:r w:rsidRPr="00241006">
        <w:rPr>
          <w:rStyle w:val="FootnoteReference"/>
          <w:rFonts w:ascii="Georgia" w:hAnsi="Georgia"/>
          <w:sz w:val="14"/>
          <w:vertAlign w:val="baseline"/>
        </w:rPr>
        <w:footnoteRef/>
      </w:r>
      <w:r>
        <w:tab/>
        <w:t>Ibid.</w:t>
      </w:r>
    </w:p>
  </w:footnote>
  <w:footnote w:id="221">
    <w:p w:rsidR="00250027" w:rsidRPr="00E01371" w:rsidRDefault="00250027" w:rsidP="00D2468A">
      <w:pPr>
        <w:pStyle w:val="FootnoteText"/>
        <w:ind w:left="284" w:hanging="284"/>
      </w:pPr>
      <w:r w:rsidRPr="00241006">
        <w:rPr>
          <w:rStyle w:val="FootnoteReference"/>
          <w:rFonts w:ascii="Georgia" w:hAnsi="Georgia"/>
          <w:sz w:val="14"/>
          <w:vertAlign w:val="baseline"/>
        </w:rPr>
        <w:footnoteRef/>
      </w:r>
      <w:r>
        <w:tab/>
      </w:r>
      <w:r w:rsidRPr="00241006">
        <w:rPr>
          <w:szCs w:val="18"/>
        </w:rPr>
        <w:t>Government of the Netherlands</w:t>
      </w:r>
      <w:r>
        <w:rPr>
          <w:szCs w:val="18"/>
        </w:rPr>
        <w:t>,</w:t>
      </w:r>
      <w:r w:rsidRPr="00241006">
        <w:rPr>
          <w:szCs w:val="18"/>
        </w:rPr>
        <w:t xml:space="preserve"> 2013.</w:t>
      </w:r>
    </w:p>
  </w:footnote>
  <w:footnote w:id="222">
    <w:p w:rsidR="00250027" w:rsidRPr="00126CEE" w:rsidRDefault="00250027" w:rsidP="00D2468A">
      <w:pPr>
        <w:pStyle w:val="FootnoteText"/>
        <w:ind w:left="284" w:hanging="284"/>
      </w:pPr>
      <w:r w:rsidRPr="00126CEE">
        <w:rPr>
          <w:rStyle w:val="FootnoteReference"/>
          <w:rFonts w:ascii="Georgia" w:hAnsi="Georgia"/>
          <w:sz w:val="14"/>
          <w:vertAlign w:val="baseline"/>
        </w:rPr>
        <w:footnoteRef/>
      </w:r>
      <w:r>
        <w:tab/>
        <w:t>Personal communication</w:t>
      </w:r>
      <w:r w:rsidRPr="00126CEE">
        <w:t>, March 2013</w:t>
      </w:r>
      <w:r>
        <w:t>.</w:t>
      </w:r>
    </w:p>
  </w:footnote>
  <w:footnote w:id="223">
    <w:p w:rsidR="00250027" w:rsidRPr="00126CEE" w:rsidRDefault="00250027" w:rsidP="00D2468A">
      <w:pPr>
        <w:pStyle w:val="FootnoteText"/>
        <w:ind w:left="284" w:hanging="284"/>
      </w:pPr>
      <w:r w:rsidRPr="00126CEE">
        <w:rPr>
          <w:rStyle w:val="FootnoteReference"/>
          <w:rFonts w:ascii="Georgia" w:hAnsi="Georgia"/>
          <w:sz w:val="14"/>
          <w:vertAlign w:val="baseline"/>
        </w:rPr>
        <w:footnoteRef/>
      </w:r>
      <w:r>
        <w:tab/>
      </w:r>
      <w:r w:rsidRPr="00126CEE">
        <w:t>KNOV (The Royal Dutch Organisation of Midwives)</w:t>
      </w:r>
      <w:r>
        <w:t>, 2012.</w:t>
      </w:r>
    </w:p>
  </w:footnote>
  <w:footnote w:id="224">
    <w:p w:rsidR="00250027" w:rsidRPr="00E01371" w:rsidRDefault="00250027" w:rsidP="00D2468A">
      <w:pPr>
        <w:pStyle w:val="FootnoteText"/>
        <w:ind w:left="284" w:hanging="284"/>
      </w:pPr>
      <w:r w:rsidRPr="00126CEE">
        <w:rPr>
          <w:rStyle w:val="FootnoteReference"/>
          <w:rFonts w:ascii="Georgia" w:hAnsi="Georgia"/>
          <w:sz w:val="14"/>
          <w:vertAlign w:val="baseline"/>
        </w:rPr>
        <w:footnoteRef/>
      </w:r>
      <w:r>
        <w:tab/>
        <w:t>Personal communication</w:t>
      </w:r>
      <w:r w:rsidRPr="00126CEE">
        <w:t>, March 2013</w:t>
      </w:r>
      <w:r>
        <w:t>.</w:t>
      </w:r>
    </w:p>
  </w:footnote>
  <w:footnote w:id="225">
    <w:p w:rsidR="00250027" w:rsidRPr="00126CEE" w:rsidRDefault="00250027" w:rsidP="00D2468A">
      <w:pPr>
        <w:pStyle w:val="FootnoteText"/>
        <w:ind w:left="284" w:hanging="284"/>
      </w:pPr>
      <w:r w:rsidRPr="00126CEE">
        <w:rPr>
          <w:rStyle w:val="FootnoteReference"/>
          <w:rFonts w:ascii="Georgia" w:hAnsi="Georgia"/>
          <w:sz w:val="14"/>
          <w:vertAlign w:val="baseline"/>
        </w:rPr>
        <w:footnoteRef/>
      </w:r>
      <w:r>
        <w:tab/>
        <w:t>Personal communication</w:t>
      </w:r>
      <w:r w:rsidRPr="00126CEE">
        <w:t>, March 2013</w:t>
      </w:r>
      <w:r>
        <w:t>.</w:t>
      </w:r>
    </w:p>
  </w:footnote>
  <w:footnote w:id="226">
    <w:p w:rsidR="00250027" w:rsidRPr="00126CEE" w:rsidRDefault="00250027" w:rsidP="00D2468A">
      <w:pPr>
        <w:pStyle w:val="FootnoteText"/>
        <w:ind w:left="284" w:hanging="284"/>
      </w:pPr>
      <w:r w:rsidRPr="00126CEE">
        <w:rPr>
          <w:rStyle w:val="FootnoteReference"/>
          <w:rFonts w:ascii="Georgia" w:hAnsi="Georgia"/>
          <w:sz w:val="14"/>
          <w:vertAlign w:val="baseline"/>
        </w:rPr>
        <w:footnoteRef/>
      </w:r>
      <w:r>
        <w:tab/>
      </w:r>
      <w:r w:rsidRPr="00126CEE">
        <w:t>KNOV (The Royal Dutch Organisation of Midwives)</w:t>
      </w:r>
      <w:r>
        <w:t>, 2012</w:t>
      </w:r>
      <w:r w:rsidRPr="00126CEE">
        <w:t>.</w:t>
      </w:r>
    </w:p>
  </w:footnote>
  <w:footnote w:id="227">
    <w:p w:rsidR="00250027" w:rsidRPr="00E01371" w:rsidRDefault="00250027" w:rsidP="00D2468A">
      <w:pPr>
        <w:pStyle w:val="FootnoteText"/>
        <w:ind w:left="284" w:hanging="284"/>
      </w:pPr>
      <w:r w:rsidRPr="00126CEE">
        <w:rPr>
          <w:rStyle w:val="FootnoteReference"/>
          <w:rFonts w:ascii="Georgia" w:hAnsi="Georgia"/>
          <w:sz w:val="14"/>
          <w:vertAlign w:val="baseline"/>
        </w:rPr>
        <w:footnoteRef/>
      </w:r>
      <w:r>
        <w:tab/>
        <w:t>Personal communication</w:t>
      </w:r>
      <w:r w:rsidRPr="00126CEE">
        <w:t>, March 2013</w:t>
      </w:r>
      <w:r>
        <w:t>.</w:t>
      </w:r>
    </w:p>
  </w:footnote>
  <w:footnote w:id="228">
    <w:p w:rsidR="00250027" w:rsidRPr="00126CEE" w:rsidRDefault="00250027" w:rsidP="00D2468A">
      <w:pPr>
        <w:pStyle w:val="FootnoteText"/>
        <w:ind w:left="284" w:hanging="284"/>
      </w:pPr>
      <w:r w:rsidRPr="00126CEE">
        <w:rPr>
          <w:rStyle w:val="FootnoteReference"/>
          <w:rFonts w:ascii="Georgia" w:hAnsi="Georgia"/>
          <w:sz w:val="14"/>
          <w:vertAlign w:val="baseline"/>
        </w:rPr>
        <w:footnoteRef/>
      </w:r>
      <w:r>
        <w:tab/>
      </w:r>
      <w:r w:rsidRPr="00126CEE">
        <w:t>Personal communication, March 2013</w:t>
      </w:r>
      <w:r>
        <w:t>.</w:t>
      </w:r>
    </w:p>
  </w:footnote>
  <w:footnote w:id="229">
    <w:p w:rsidR="00250027" w:rsidRPr="00E01371" w:rsidRDefault="00250027" w:rsidP="00D2468A">
      <w:pPr>
        <w:pStyle w:val="FootnoteText"/>
        <w:ind w:left="284" w:hanging="284"/>
      </w:pPr>
      <w:r w:rsidRPr="00126CEE">
        <w:rPr>
          <w:rStyle w:val="FootnoteReference"/>
          <w:rFonts w:ascii="Georgia" w:hAnsi="Georgia"/>
          <w:sz w:val="14"/>
          <w:vertAlign w:val="baseline"/>
        </w:rPr>
        <w:footnoteRef/>
      </w:r>
      <w:r>
        <w:tab/>
        <w:t>Ibid.</w:t>
      </w:r>
    </w:p>
  </w:footnote>
  <w:footnote w:id="230">
    <w:p w:rsidR="00250027" w:rsidRPr="00472B36" w:rsidRDefault="00250027" w:rsidP="00D2468A">
      <w:pPr>
        <w:pStyle w:val="FootnoteText"/>
        <w:ind w:left="284" w:hanging="284"/>
      </w:pPr>
      <w:r w:rsidRPr="008742FF">
        <w:rPr>
          <w:rStyle w:val="FootnoteReference"/>
          <w:rFonts w:ascii="Georgia" w:hAnsi="Georgia"/>
          <w:sz w:val="14"/>
          <w:vertAlign w:val="baseline"/>
        </w:rPr>
        <w:footnoteRef/>
      </w:r>
      <w:r w:rsidRPr="008742FF">
        <w:tab/>
      </w:r>
      <w:r w:rsidRPr="00472B36">
        <w:t>KNOV</w:t>
      </w:r>
      <w:r>
        <w:t xml:space="preserve"> </w:t>
      </w:r>
      <w:r w:rsidRPr="00472B36">
        <w:t>(The Royal Dutch Organisation of Midwives)</w:t>
      </w:r>
      <w:r>
        <w:t>, 2013a</w:t>
      </w:r>
      <w:r w:rsidRPr="00472B36">
        <w:t>.</w:t>
      </w:r>
    </w:p>
  </w:footnote>
  <w:footnote w:id="231">
    <w:p w:rsidR="00250027" w:rsidRPr="008742FF" w:rsidRDefault="00250027" w:rsidP="00D2468A">
      <w:pPr>
        <w:pStyle w:val="FootnoteText"/>
        <w:ind w:left="284" w:hanging="284"/>
      </w:pPr>
      <w:r w:rsidRPr="00472B36">
        <w:rPr>
          <w:rStyle w:val="FootnoteReference"/>
          <w:rFonts w:ascii="Georgia" w:hAnsi="Georgia"/>
          <w:sz w:val="14"/>
          <w:vertAlign w:val="baseline"/>
        </w:rPr>
        <w:footnoteRef/>
      </w:r>
      <w:r w:rsidRPr="00472B36">
        <w:tab/>
        <w:t>KNOV (The</w:t>
      </w:r>
      <w:r w:rsidRPr="008742FF">
        <w:t xml:space="preserve"> Royal Dutch Organisation of Midwives)</w:t>
      </w:r>
      <w:r>
        <w:t>, 2012</w:t>
      </w:r>
      <w:r w:rsidRPr="008742FF">
        <w:t>.</w:t>
      </w:r>
    </w:p>
  </w:footnote>
  <w:footnote w:id="232">
    <w:p w:rsidR="00250027" w:rsidRDefault="00250027" w:rsidP="00D2468A">
      <w:pPr>
        <w:pStyle w:val="FootnoteText"/>
        <w:ind w:left="284" w:hanging="284"/>
      </w:pPr>
      <w:r>
        <w:rPr>
          <w:rStyle w:val="FootnoteReference"/>
        </w:rPr>
        <w:footnoteRef/>
      </w:r>
      <w:r>
        <w:tab/>
        <w:t>Note that stakeholders believe this register reflects the expectations of the NMBA and is believed by some to be less complex than the MidPlus Safety and Quality program offered by ACM.</w:t>
      </w:r>
    </w:p>
  </w:footnote>
  <w:footnote w:id="233">
    <w:p w:rsidR="00250027" w:rsidRPr="008742FF" w:rsidRDefault="00250027" w:rsidP="00D2468A">
      <w:pPr>
        <w:pStyle w:val="FootnoteText"/>
        <w:ind w:left="284" w:hanging="284"/>
      </w:pPr>
      <w:r w:rsidRPr="008742FF">
        <w:rPr>
          <w:rStyle w:val="FootnoteReference"/>
          <w:rFonts w:ascii="Georgia" w:hAnsi="Georgia"/>
          <w:sz w:val="14"/>
          <w:vertAlign w:val="baseline"/>
        </w:rPr>
        <w:footnoteRef/>
      </w:r>
      <w:r>
        <w:tab/>
        <w:t>Personal communication</w:t>
      </w:r>
      <w:r w:rsidRPr="008742FF">
        <w:t>, November 2012</w:t>
      </w:r>
      <w:r>
        <w:t>.</w:t>
      </w:r>
    </w:p>
  </w:footnote>
  <w:footnote w:id="234">
    <w:p w:rsidR="00250027" w:rsidRPr="00E01371" w:rsidRDefault="00250027" w:rsidP="00D2468A">
      <w:pPr>
        <w:pStyle w:val="FootnoteText"/>
        <w:ind w:left="284" w:hanging="284"/>
      </w:pPr>
      <w:r w:rsidRPr="008742FF">
        <w:rPr>
          <w:rStyle w:val="FootnoteReference"/>
          <w:rFonts w:ascii="Georgia" w:hAnsi="Georgia"/>
          <w:sz w:val="14"/>
          <w:vertAlign w:val="baseline"/>
        </w:rPr>
        <w:footnoteRef/>
      </w:r>
      <w:r w:rsidRPr="008742FF">
        <w:tab/>
        <w:t>KNOV (The Royal Dutch Organisation of Midwives)</w:t>
      </w:r>
      <w:r>
        <w:t>, 2012</w:t>
      </w:r>
      <w:r w:rsidRPr="008742FF">
        <w:t>.</w:t>
      </w:r>
    </w:p>
  </w:footnote>
  <w:footnote w:id="235">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t>Personal communication, March 2013</w:t>
      </w:r>
    </w:p>
  </w:footnote>
  <w:footnote w:id="236">
    <w:p w:rsidR="00250027" w:rsidRPr="003440D2" w:rsidRDefault="00250027" w:rsidP="00D2468A">
      <w:pPr>
        <w:pStyle w:val="FootnoteText"/>
        <w:ind w:left="284" w:hanging="284"/>
      </w:pPr>
      <w:r w:rsidRPr="00BF6367">
        <w:rPr>
          <w:rStyle w:val="FootnoteReference"/>
          <w:rFonts w:ascii="Georgia" w:hAnsi="Georgia"/>
          <w:sz w:val="14"/>
          <w:vertAlign w:val="baseline"/>
        </w:rPr>
        <w:footnoteRef/>
      </w:r>
      <w:r>
        <w:tab/>
      </w:r>
      <w:r w:rsidRPr="003440D2">
        <w:t>KNOV (The Royal Dutch Organisation of Midwives)</w:t>
      </w:r>
      <w:r>
        <w:t>,</w:t>
      </w:r>
      <w:r w:rsidRPr="003440D2">
        <w:t xml:space="preserve"> 2012. </w:t>
      </w:r>
    </w:p>
  </w:footnote>
  <w:footnote w:id="237">
    <w:p w:rsidR="00250027" w:rsidRPr="00BF6367" w:rsidRDefault="00250027" w:rsidP="00D2468A">
      <w:pPr>
        <w:pStyle w:val="FootnoteText"/>
        <w:tabs>
          <w:tab w:val="clear" w:pos="284"/>
        </w:tabs>
        <w:ind w:left="284" w:hanging="284"/>
      </w:pPr>
      <w:r w:rsidRPr="003440D2">
        <w:rPr>
          <w:rStyle w:val="FootnoteReference"/>
          <w:rFonts w:ascii="Georgia" w:hAnsi="Georgia"/>
          <w:sz w:val="14"/>
          <w:vertAlign w:val="baseline"/>
        </w:rPr>
        <w:footnoteRef/>
      </w:r>
      <w:r w:rsidRPr="003440D2">
        <w:tab/>
      </w:r>
      <w:r w:rsidRPr="003440D2">
        <w:rPr>
          <w:lang w:val="en-GB"/>
        </w:rPr>
        <w:t>Veldhuis</w:t>
      </w:r>
      <w:r>
        <w:rPr>
          <w:lang w:val="en-GB"/>
        </w:rPr>
        <w:t xml:space="preserve"> M 1994.</w:t>
      </w:r>
    </w:p>
  </w:footnote>
  <w:footnote w:id="238">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t>Personal communication, April 2013</w:t>
      </w:r>
      <w:r>
        <w:t>.</w:t>
      </w:r>
    </w:p>
  </w:footnote>
  <w:footnote w:id="239">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t>Ibid.</w:t>
      </w:r>
    </w:p>
  </w:footnote>
  <w:footnote w:id="240">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rPr>
          <w:szCs w:val="18"/>
        </w:rPr>
        <w:t>Guil</w:t>
      </w:r>
      <w:r>
        <w:rPr>
          <w:szCs w:val="18"/>
        </w:rPr>
        <w:t>l</w:t>
      </w:r>
      <w:r w:rsidRPr="00BF6367">
        <w:rPr>
          <w:szCs w:val="18"/>
        </w:rPr>
        <w:t>iland K</w:t>
      </w:r>
      <w:r>
        <w:rPr>
          <w:szCs w:val="18"/>
        </w:rPr>
        <w:t xml:space="preserve"> 1999</w:t>
      </w:r>
      <w:r w:rsidRPr="00BF6367">
        <w:rPr>
          <w:szCs w:val="18"/>
        </w:rPr>
        <w:t>.</w:t>
      </w:r>
    </w:p>
  </w:footnote>
  <w:footnote w:id="241">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rPr>
          <w:szCs w:val="18"/>
        </w:rPr>
        <w:tab/>
        <w:t>Ibid.</w:t>
      </w:r>
    </w:p>
  </w:footnote>
  <w:footnote w:id="242">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t>Iglehart JK</w:t>
      </w:r>
      <w:r>
        <w:t xml:space="preserve"> 2013</w:t>
      </w:r>
      <w:r w:rsidRPr="00BF6367">
        <w:t>.</w:t>
      </w:r>
    </w:p>
  </w:footnote>
  <w:footnote w:id="243">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t xml:space="preserve">NZCOM, Personal Communications 2012, where New Zealand was communicated as not having private practitioners. </w:t>
      </w:r>
    </w:p>
  </w:footnote>
  <w:footnote w:id="244">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rPr>
          <w:szCs w:val="18"/>
        </w:rPr>
        <w:tab/>
      </w:r>
      <w:r w:rsidRPr="00BF6367">
        <w:rPr>
          <w:szCs w:val="18"/>
        </w:rPr>
        <w:t>Kutinova A 2008.</w:t>
      </w:r>
    </w:p>
  </w:footnote>
  <w:footnote w:id="245">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rPr>
          <w:szCs w:val="18"/>
        </w:rPr>
        <w:tab/>
      </w:r>
      <w:r w:rsidRPr="00BF6367">
        <w:rPr>
          <w:szCs w:val="18"/>
        </w:rPr>
        <w:t>Ministry of Health (NZ)</w:t>
      </w:r>
      <w:r>
        <w:rPr>
          <w:szCs w:val="18"/>
        </w:rPr>
        <w:t>,</w:t>
      </w:r>
      <w:r w:rsidRPr="00BF6367">
        <w:rPr>
          <w:szCs w:val="18"/>
        </w:rPr>
        <w:t xml:space="preserve"> 2007.</w:t>
      </w:r>
    </w:p>
  </w:footnote>
  <w:footnote w:id="246">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t>See link for more information on access arrangements: www.health.govt.nz/publication/section-88-primary-maternity-services-notice-2007</w:t>
      </w:r>
    </w:p>
  </w:footnote>
  <w:footnote w:id="247">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rPr>
          <w:szCs w:val="18"/>
        </w:rPr>
        <w:tab/>
      </w:r>
      <w:r w:rsidRPr="00BF6367">
        <w:rPr>
          <w:szCs w:val="18"/>
        </w:rPr>
        <w:t xml:space="preserve">New </w:t>
      </w:r>
      <w:r>
        <w:rPr>
          <w:szCs w:val="18"/>
        </w:rPr>
        <w:t>Zealand College of Midwives,</w:t>
      </w:r>
      <w:r w:rsidRPr="00BF6367">
        <w:rPr>
          <w:szCs w:val="18"/>
        </w:rPr>
        <w:t xml:space="preserve"> 2013</w:t>
      </w:r>
      <w:r>
        <w:rPr>
          <w:szCs w:val="18"/>
        </w:rPr>
        <w:t>a</w:t>
      </w:r>
      <w:r w:rsidRPr="00BF6367">
        <w:rPr>
          <w:szCs w:val="18"/>
        </w:rPr>
        <w:t>.</w:t>
      </w:r>
    </w:p>
  </w:footnote>
  <w:footnote w:id="248">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t>Personal communication, November 2012</w:t>
      </w:r>
      <w:r>
        <w:t>.</w:t>
      </w:r>
    </w:p>
  </w:footnote>
  <w:footnote w:id="249">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t>Ibid.</w:t>
      </w:r>
    </w:p>
  </w:footnote>
  <w:footnote w:id="250">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rPr>
          <w:szCs w:val="18"/>
        </w:rPr>
        <w:t>Gui</w:t>
      </w:r>
      <w:r>
        <w:rPr>
          <w:szCs w:val="18"/>
        </w:rPr>
        <w:t>l</w:t>
      </w:r>
      <w:r w:rsidRPr="00BF6367">
        <w:rPr>
          <w:szCs w:val="18"/>
        </w:rPr>
        <w:t>liland K</w:t>
      </w:r>
      <w:r>
        <w:rPr>
          <w:szCs w:val="18"/>
        </w:rPr>
        <w:t xml:space="preserve"> 1999.</w:t>
      </w:r>
    </w:p>
  </w:footnote>
  <w:footnote w:id="251">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rPr>
          <w:szCs w:val="18"/>
        </w:rPr>
        <w:tab/>
      </w:r>
      <w:r w:rsidRPr="00BF6367">
        <w:rPr>
          <w:szCs w:val="18"/>
        </w:rPr>
        <w:t>Wastney M</w:t>
      </w:r>
      <w:r>
        <w:rPr>
          <w:szCs w:val="18"/>
        </w:rPr>
        <w:t xml:space="preserve"> 2012</w:t>
      </w:r>
      <w:r w:rsidRPr="00BF6367">
        <w:rPr>
          <w:szCs w:val="18"/>
        </w:rPr>
        <w:t>.</w:t>
      </w:r>
    </w:p>
  </w:footnote>
  <w:footnote w:id="252">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rsidRPr="00BF6367">
        <w:tab/>
      </w:r>
      <w:r w:rsidRPr="00BF6367">
        <w:rPr>
          <w:szCs w:val="18"/>
        </w:rPr>
        <w:t>New Zealand College of Midwives</w:t>
      </w:r>
      <w:r>
        <w:rPr>
          <w:szCs w:val="18"/>
        </w:rPr>
        <w:t>,</w:t>
      </w:r>
      <w:r w:rsidRPr="00BF6367">
        <w:rPr>
          <w:szCs w:val="18"/>
        </w:rPr>
        <w:t xml:space="preserve"> 2013</w:t>
      </w:r>
      <w:r>
        <w:rPr>
          <w:szCs w:val="18"/>
        </w:rPr>
        <w:t>a</w:t>
      </w:r>
      <w:r w:rsidRPr="00BF6367">
        <w:rPr>
          <w:szCs w:val="18"/>
        </w:rPr>
        <w:t>.</w:t>
      </w:r>
    </w:p>
  </w:footnote>
  <w:footnote w:id="253">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t>Personal communication, April 2013</w:t>
      </w:r>
    </w:p>
  </w:footnote>
  <w:footnote w:id="254">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t>Personal communications, November, January and March 2013</w:t>
      </w:r>
    </w:p>
  </w:footnote>
  <w:footnote w:id="255">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t>New Zealand College of Midwives</w:t>
      </w:r>
      <w:r>
        <w:t>,</w:t>
      </w:r>
      <w:r w:rsidRPr="00BF6367">
        <w:t xml:space="preserve"> 2013</w:t>
      </w:r>
      <w:r>
        <w:t>b.</w:t>
      </w:r>
    </w:p>
  </w:footnote>
  <w:footnote w:id="256">
    <w:p w:rsidR="00250027" w:rsidRPr="00E01371" w:rsidRDefault="00250027" w:rsidP="00D2468A">
      <w:pPr>
        <w:pStyle w:val="FootnoteText"/>
        <w:ind w:left="284" w:hanging="284"/>
      </w:pPr>
      <w:r w:rsidRPr="00BF6367">
        <w:rPr>
          <w:rStyle w:val="FootnoteReference"/>
          <w:rFonts w:ascii="Georgia" w:hAnsi="Georgia"/>
          <w:sz w:val="14"/>
          <w:vertAlign w:val="baseline"/>
        </w:rPr>
        <w:footnoteRef/>
      </w:r>
      <w:r>
        <w:tab/>
      </w:r>
      <w:r w:rsidRPr="00BF6367">
        <w:t xml:space="preserve">There </w:t>
      </w:r>
      <w:r>
        <w:t>are</w:t>
      </w:r>
      <w:r w:rsidRPr="00BF6367">
        <w:t xml:space="preserve"> an unlimited number of times that a product holder can place a claim during the year</w:t>
      </w:r>
      <w:r>
        <w:t>.</w:t>
      </w:r>
    </w:p>
  </w:footnote>
  <w:footnote w:id="257">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t>Personal communication, March 2013</w:t>
      </w:r>
      <w:r>
        <w:t>.</w:t>
      </w:r>
    </w:p>
  </w:footnote>
  <w:footnote w:id="258">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t>Ibid.</w:t>
      </w:r>
    </w:p>
  </w:footnote>
  <w:footnote w:id="259">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t>Ibid.</w:t>
      </w:r>
    </w:p>
  </w:footnote>
  <w:footnote w:id="260">
    <w:p w:rsidR="00250027" w:rsidRPr="00E01371" w:rsidRDefault="00250027" w:rsidP="00D2468A">
      <w:pPr>
        <w:pStyle w:val="FootnoteText"/>
        <w:ind w:left="284" w:hanging="284"/>
      </w:pPr>
      <w:r w:rsidRPr="00BF6367">
        <w:rPr>
          <w:rStyle w:val="FootnoteReference"/>
          <w:rFonts w:ascii="Georgia" w:hAnsi="Georgia"/>
          <w:sz w:val="14"/>
          <w:vertAlign w:val="baseline"/>
        </w:rPr>
        <w:footnoteRef/>
      </w:r>
      <w:r>
        <w:tab/>
      </w:r>
      <w:r w:rsidRPr="00BF6367">
        <w:t>At the time of finalising this report, data from New Zealand were still being collected.</w:t>
      </w:r>
    </w:p>
  </w:footnote>
  <w:footnote w:id="261">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t>See link for more information on the Guidelines: www.health.govt.nz/publication/guidelines-consultation-obstetric-and-related-medical-services-referral-guidelines</w:t>
      </w:r>
    </w:p>
  </w:footnote>
  <w:footnote w:id="262">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rPr>
          <w:szCs w:val="18"/>
        </w:rPr>
        <w:tab/>
      </w:r>
      <w:r w:rsidRPr="00BF6367">
        <w:rPr>
          <w:szCs w:val="18"/>
        </w:rPr>
        <w:t>Ministry of Health (NZ)</w:t>
      </w:r>
      <w:r>
        <w:rPr>
          <w:szCs w:val="18"/>
        </w:rPr>
        <w:t>, 2012</w:t>
      </w:r>
      <w:r w:rsidRPr="00BF6367">
        <w:rPr>
          <w:szCs w:val="18"/>
        </w:rPr>
        <w:t>.</w:t>
      </w:r>
    </w:p>
  </w:footnote>
  <w:footnote w:id="263">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rPr>
          <w:szCs w:val="18"/>
        </w:rPr>
        <w:t>Guil</w:t>
      </w:r>
      <w:r>
        <w:rPr>
          <w:szCs w:val="18"/>
        </w:rPr>
        <w:t>l</w:t>
      </w:r>
      <w:r w:rsidRPr="00BF6367">
        <w:rPr>
          <w:szCs w:val="18"/>
        </w:rPr>
        <w:t xml:space="preserve">iland K. </w:t>
      </w:r>
      <w:r>
        <w:rPr>
          <w:szCs w:val="18"/>
        </w:rPr>
        <w:t>1999</w:t>
      </w:r>
      <w:r w:rsidRPr="00BF6367">
        <w:rPr>
          <w:szCs w:val="18"/>
        </w:rPr>
        <w:t>.</w:t>
      </w:r>
    </w:p>
  </w:footnote>
  <w:footnote w:id="264">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t>Personal communications, November, January and March 2013.</w:t>
      </w:r>
    </w:p>
  </w:footnote>
  <w:footnote w:id="265">
    <w:p w:rsidR="00250027" w:rsidRPr="00E01371" w:rsidRDefault="00250027" w:rsidP="00D2468A">
      <w:pPr>
        <w:pStyle w:val="FootnoteText"/>
        <w:ind w:left="284" w:hanging="284"/>
      </w:pPr>
      <w:r w:rsidRPr="00BF6367">
        <w:rPr>
          <w:rStyle w:val="FootnoteReference"/>
          <w:rFonts w:ascii="Georgia" w:hAnsi="Georgia"/>
          <w:sz w:val="14"/>
          <w:vertAlign w:val="baseline"/>
        </w:rPr>
        <w:footnoteRef/>
      </w:r>
      <w:r>
        <w:tab/>
      </w:r>
      <w:r w:rsidRPr="00BF6367">
        <w:t>Personal communication, March 2013.</w:t>
      </w:r>
    </w:p>
  </w:footnote>
  <w:footnote w:id="266">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t xml:space="preserve">Consideration on </w:t>
      </w:r>
      <w:r>
        <w:t>DisabilityCare Australia</w:t>
      </w:r>
      <w:r w:rsidRPr="00C765D1">
        <w:t xml:space="preserve"> is made in Chapter 5</w:t>
      </w:r>
      <w:r>
        <w:t>.</w:t>
      </w:r>
    </w:p>
  </w:footnote>
  <w:footnote w:id="267">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t>An example of the benefits and challenges are outlined below; however, this list is not exhaustive.</w:t>
      </w:r>
    </w:p>
  </w:footnote>
  <w:footnote w:id="268">
    <w:p w:rsidR="00250027" w:rsidRPr="00BF6367" w:rsidRDefault="00250027" w:rsidP="00D2468A">
      <w:pPr>
        <w:pStyle w:val="FootnoteText"/>
        <w:tabs>
          <w:tab w:val="clear" w:pos="284"/>
        </w:tabs>
        <w:ind w:left="284" w:hanging="284"/>
      </w:pPr>
      <w:r w:rsidRPr="00BF6367">
        <w:rPr>
          <w:rStyle w:val="FootnoteReference"/>
          <w:rFonts w:ascii="Georgia" w:hAnsi="Georgia"/>
          <w:sz w:val="14"/>
          <w:vertAlign w:val="baseline"/>
        </w:rPr>
        <w:footnoteRef/>
      </w:r>
      <w:r>
        <w:tab/>
      </w:r>
      <w:r w:rsidRPr="00BF6367">
        <w:t>Free births are defined as unassisted births where women give birth intentionally without the assistance of a health practitioner.</w:t>
      </w:r>
    </w:p>
  </w:footnote>
  <w:footnote w:id="269">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t>To the extent that Medicare Australia plays a role in monitoring practice and outcomes.</w:t>
      </w:r>
    </w:p>
  </w:footnote>
  <w:footnote w:id="270">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t>Personal communication, November 2012</w:t>
      </w:r>
      <w:r>
        <w:t>.</w:t>
      </w:r>
    </w:p>
  </w:footnote>
  <w:footnote w:id="271">
    <w:p w:rsidR="00250027" w:rsidRPr="00E01371" w:rsidRDefault="00250027" w:rsidP="00D2468A">
      <w:pPr>
        <w:pStyle w:val="FootnoteText"/>
        <w:ind w:left="284" w:hanging="284"/>
      </w:pPr>
      <w:r w:rsidRPr="00BF6367">
        <w:rPr>
          <w:rStyle w:val="FootnoteReference"/>
          <w:rFonts w:ascii="Georgia" w:hAnsi="Georgia"/>
          <w:sz w:val="14"/>
          <w:vertAlign w:val="baseline"/>
        </w:rPr>
        <w:footnoteRef/>
      </w:r>
      <w:r>
        <w:tab/>
      </w:r>
      <w:r w:rsidRPr="00BF6367">
        <w:t>Personal communication, November 2012 and March 2013</w:t>
      </w:r>
      <w:r>
        <w:t>.</w:t>
      </w:r>
    </w:p>
  </w:footnote>
  <w:footnote w:id="272">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rPr>
          <w:szCs w:val="18"/>
        </w:rPr>
        <w:tab/>
      </w:r>
      <w:r w:rsidRPr="00BF6367">
        <w:rPr>
          <w:szCs w:val="18"/>
        </w:rPr>
        <w:t>Lewis P</w:t>
      </w:r>
      <w:r>
        <w:rPr>
          <w:szCs w:val="18"/>
        </w:rPr>
        <w:t xml:space="preserve"> 2002</w:t>
      </w:r>
      <w:r w:rsidRPr="00BF6367">
        <w:rPr>
          <w:szCs w:val="18"/>
        </w:rPr>
        <w:t>.</w:t>
      </w:r>
    </w:p>
  </w:footnote>
  <w:footnote w:id="273">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t>Personal communication, February 2013</w:t>
      </w:r>
      <w:r>
        <w:t>.</w:t>
      </w:r>
    </w:p>
  </w:footnote>
  <w:footnote w:id="274">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t>Personal communication, November 2012</w:t>
      </w:r>
      <w:r>
        <w:t>.</w:t>
      </w:r>
    </w:p>
  </w:footnote>
  <w:footnote w:id="275">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t>United Nations Population Fund</w:t>
      </w:r>
      <w:r>
        <w:t>,</w:t>
      </w:r>
      <w:r w:rsidRPr="00BF6367">
        <w:t xml:space="preserve"> 2011.</w:t>
      </w:r>
    </w:p>
  </w:footnote>
  <w:footnote w:id="276">
    <w:p w:rsidR="00250027" w:rsidRPr="00E01371" w:rsidRDefault="00250027" w:rsidP="00D2468A">
      <w:pPr>
        <w:pStyle w:val="FootnoteText"/>
        <w:ind w:left="284" w:hanging="284"/>
        <w:rPr>
          <w:noProof/>
        </w:rPr>
      </w:pPr>
      <w:r w:rsidRPr="00BF6367">
        <w:rPr>
          <w:rStyle w:val="FootnoteReference"/>
          <w:rFonts w:ascii="Georgia" w:hAnsi="Georgia"/>
          <w:sz w:val="14"/>
          <w:vertAlign w:val="baseline"/>
        </w:rPr>
        <w:footnoteRef/>
      </w:r>
      <w:r>
        <w:rPr>
          <w:szCs w:val="18"/>
        </w:rPr>
        <w:tab/>
      </w:r>
      <w:r w:rsidRPr="00BF6367">
        <w:rPr>
          <w:szCs w:val="18"/>
        </w:rPr>
        <w:t>Iglehart JK</w:t>
      </w:r>
      <w:r>
        <w:rPr>
          <w:szCs w:val="18"/>
        </w:rPr>
        <w:t xml:space="preserve"> 2013</w:t>
      </w:r>
      <w:r w:rsidRPr="00BF6367">
        <w:rPr>
          <w:szCs w:val="18"/>
        </w:rPr>
        <w:t>.</w:t>
      </w:r>
    </w:p>
  </w:footnote>
  <w:footnote w:id="277">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tab/>
      </w:r>
      <w:r w:rsidRPr="00BF6367">
        <w:t>Barclay L</w:t>
      </w:r>
      <w:r>
        <w:t xml:space="preserve"> &amp;</w:t>
      </w:r>
      <w:r w:rsidRPr="00BF6367">
        <w:t xml:space="preserve"> Tracy SK</w:t>
      </w:r>
      <w:r>
        <w:t xml:space="preserve"> 2010</w:t>
      </w:r>
      <w:r w:rsidRPr="00BF6367">
        <w:t>.</w:t>
      </w:r>
    </w:p>
  </w:footnote>
  <w:footnote w:id="278">
    <w:p w:rsidR="00250027" w:rsidRPr="00E01371" w:rsidRDefault="00250027" w:rsidP="00D2468A">
      <w:pPr>
        <w:pStyle w:val="FootnoteText"/>
        <w:ind w:left="284" w:hanging="284"/>
        <w:rPr>
          <w:noProof/>
        </w:rPr>
      </w:pPr>
      <w:r w:rsidRPr="003440D2">
        <w:rPr>
          <w:rStyle w:val="FootnoteReference"/>
          <w:rFonts w:ascii="Georgia" w:hAnsi="Georgia"/>
          <w:sz w:val="14"/>
          <w:vertAlign w:val="baseline"/>
        </w:rPr>
        <w:footnoteRef/>
      </w:r>
      <w:r w:rsidRPr="003440D2">
        <w:tab/>
        <w:t>Commonwealth of Australia</w:t>
      </w:r>
      <w:r>
        <w:t>,</w:t>
      </w:r>
      <w:r w:rsidRPr="003440D2">
        <w:t xml:space="preserve"> 2013.</w:t>
      </w:r>
    </w:p>
  </w:footnote>
  <w:footnote w:id="279">
    <w:p w:rsidR="00250027" w:rsidRPr="00BF6367" w:rsidRDefault="00250027" w:rsidP="00D2468A">
      <w:pPr>
        <w:pStyle w:val="FootnoteText"/>
        <w:ind w:left="284" w:hanging="284"/>
      </w:pPr>
      <w:r w:rsidRPr="00BF6367">
        <w:rPr>
          <w:rStyle w:val="FootnoteReference"/>
          <w:rFonts w:ascii="Georgia" w:hAnsi="Georgia"/>
          <w:sz w:val="14"/>
          <w:vertAlign w:val="baseline"/>
        </w:rPr>
        <w:footnoteRef/>
      </w:r>
      <w:r w:rsidRPr="00BF6367">
        <w:tab/>
        <w:t>Department of Hea</w:t>
      </w:r>
      <w:r>
        <w:t>l</w:t>
      </w:r>
      <w:r w:rsidRPr="00BF6367">
        <w:t>th and Ageing</w:t>
      </w:r>
      <w:r>
        <w:t xml:space="preserve">, </w:t>
      </w:r>
      <w:r w:rsidRPr="00BF6367">
        <w:t>2013</w:t>
      </w:r>
      <w:r>
        <w:t>b.</w:t>
      </w:r>
    </w:p>
  </w:footnote>
  <w:footnote w:id="280">
    <w:p w:rsidR="00250027" w:rsidRPr="00B71251" w:rsidRDefault="00250027" w:rsidP="00D2468A">
      <w:pPr>
        <w:pStyle w:val="FootnoteText"/>
        <w:ind w:left="284" w:hanging="284"/>
        <w:rPr>
          <w:highlight w:val="green"/>
        </w:rPr>
      </w:pPr>
      <w:r w:rsidRPr="00A0363B">
        <w:rPr>
          <w:rStyle w:val="FootnoteReference"/>
          <w:sz w:val="14"/>
          <w:vertAlign w:val="baseline"/>
        </w:rPr>
        <w:footnoteRef/>
      </w:r>
      <w:r>
        <w:tab/>
      </w:r>
      <w:r w:rsidRPr="00A0363B">
        <w:t>National Alternative Dispute Resolution Advisory Council</w:t>
      </w:r>
      <w:r>
        <w:t>,</w:t>
      </w:r>
      <w:r w:rsidRPr="00A0363B">
        <w:t xml:space="preserve"> 2013.</w:t>
      </w:r>
    </w:p>
  </w:footnote>
  <w:footnote w:id="281">
    <w:p w:rsidR="00250027" w:rsidRPr="00B71251" w:rsidRDefault="00250027" w:rsidP="00D2468A">
      <w:pPr>
        <w:pStyle w:val="FootnoteText"/>
        <w:ind w:left="284" w:hanging="284"/>
        <w:rPr>
          <w:highlight w:val="green"/>
        </w:rPr>
      </w:pPr>
      <w:r w:rsidRPr="00B71251">
        <w:rPr>
          <w:rStyle w:val="FootnoteReference"/>
          <w:sz w:val="14"/>
          <w:vertAlign w:val="baseline"/>
        </w:rPr>
        <w:footnoteRef/>
      </w:r>
      <w:r>
        <w:tab/>
      </w:r>
      <w:r w:rsidRPr="00B71251">
        <w:t>Online Medical Dictionary</w:t>
      </w:r>
      <w:r>
        <w:t>,</w:t>
      </w:r>
      <w:r w:rsidRPr="00B71251">
        <w:t xml:space="preserve"> 2013.</w:t>
      </w:r>
    </w:p>
  </w:footnote>
  <w:footnote w:id="282">
    <w:p w:rsidR="00250027" w:rsidRPr="00B71251" w:rsidRDefault="00250027" w:rsidP="00D2468A">
      <w:pPr>
        <w:pStyle w:val="FootnoteText"/>
        <w:ind w:left="284" w:hanging="284"/>
        <w:rPr>
          <w:highlight w:val="green"/>
        </w:rPr>
      </w:pPr>
      <w:r w:rsidRPr="00A0363B">
        <w:rPr>
          <w:rStyle w:val="FootnoteReference"/>
          <w:sz w:val="14"/>
          <w:vertAlign w:val="baseline"/>
        </w:rPr>
        <w:footnoteRef/>
      </w:r>
      <w:r>
        <w:tab/>
      </w:r>
      <w:r w:rsidRPr="00A0363B">
        <w:t>World Health Organi</w:t>
      </w:r>
      <w:r>
        <w:t>z</w:t>
      </w:r>
      <w:r w:rsidRPr="00A0363B">
        <w:t>ation</w:t>
      </w:r>
      <w:r>
        <w:t>,</w:t>
      </w:r>
      <w:r w:rsidRPr="00A0363B">
        <w:t xml:space="preserve"> 2013.</w:t>
      </w:r>
    </w:p>
  </w:footnote>
  <w:footnote w:id="283">
    <w:p w:rsidR="00250027" w:rsidRPr="00B71251" w:rsidRDefault="00250027" w:rsidP="00D2468A">
      <w:pPr>
        <w:pStyle w:val="FootnoteText"/>
        <w:ind w:left="284" w:hanging="284"/>
        <w:rPr>
          <w:highlight w:val="green"/>
        </w:rPr>
      </w:pPr>
      <w:r w:rsidRPr="00A0363B">
        <w:rPr>
          <w:rStyle w:val="FootnoteReference"/>
          <w:sz w:val="14"/>
          <w:vertAlign w:val="baseline"/>
        </w:rPr>
        <w:footnoteRef/>
      </w:r>
      <w:r w:rsidRPr="00A0363B">
        <w:tab/>
        <w:t>Medical Encyclopaedia</w:t>
      </w:r>
      <w:r>
        <w:t>,</w:t>
      </w:r>
      <w:r w:rsidRPr="00A0363B">
        <w:t xml:space="preserve"> 2013.</w:t>
      </w:r>
    </w:p>
  </w:footnote>
  <w:footnote w:id="284">
    <w:p w:rsidR="00250027" w:rsidRPr="00175841" w:rsidRDefault="00250027" w:rsidP="00D2468A">
      <w:pPr>
        <w:pStyle w:val="FootnoteText"/>
        <w:ind w:left="284" w:hanging="284"/>
      </w:pPr>
      <w:r w:rsidRPr="00175841">
        <w:rPr>
          <w:rStyle w:val="FootnoteReference"/>
          <w:sz w:val="14"/>
          <w:vertAlign w:val="baseline"/>
        </w:rPr>
        <w:footnoteRef/>
      </w:r>
      <w:r w:rsidRPr="00175841">
        <w:tab/>
        <w:t>Virtual Medical Centre</w:t>
      </w:r>
      <w:r>
        <w:t>,</w:t>
      </w:r>
      <w:r w:rsidRPr="00175841">
        <w:t xml:space="preserve"> 2013.</w:t>
      </w:r>
    </w:p>
  </w:footnote>
  <w:footnote w:id="285">
    <w:p w:rsidR="00250027" w:rsidRPr="00B71251" w:rsidRDefault="00250027" w:rsidP="00D2468A">
      <w:pPr>
        <w:pStyle w:val="FootnoteText"/>
        <w:ind w:left="284" w:hanging="284"/>
        <w:rPr>
          <w:highlight w:val="green"/>
        </w:rPr>
      </w:pPr>
      <w:r w:rsidRPr="00175841">
        <w:rPr>
          <w:rStyle w:val="FootnoteReference"/>
          <w:sz w:val="14"/>
          <w:vertAlign w:val="baseline"/>
        </w:rPr>
        <w:footnoteRef/>
      </w:r>
      <w:r w:rsidRPr="00175841">
        <w:tab/>
        <w:t>University of Melbourne Law Library</w:t>
      </w:r>
      <w:r>
        <w:t>,</w:t>
      </w:r>
      <w:r w:rsidRPr="00175841">
        <w:t xml:space="preserve"> 2013.</w:t>
      </w:r>
    </w:p>
  </w:footnote>
  <w:footnote w:id="286">
    <w:p w:rsidR="00250027" w:rsidRPr="00B71251" w:rsidRDefault="00250027" w:rsidP="00D2468A">
      <w:pPr>
        <w:pStyle w:val="FootnoteText"/>
        <w:ind w:left="284" w:hanging="284"/>
        <w:rPr>
          <w:highlight w:val="green"/>
        </w:rPr>
      </w:pPr>
      <w:r w:rsidRPr="00175841">
        <w:rPr>
          <w:rStyle w:val="FootnoteReference"/>
          <w:sz w:val="14"/>
          <w:vertAlign w:val="baseline"/>
        </w:rPr>
        <w:footnoteRef/>
      </w:r>
      <w:r>
        <w:tab/>
      </w:r>
      <w:r w:rsidRPr="00175841">
        <w:t>UTS Centre for Family Health and Midwifery</w:t>
      </w:r>
      <w:r>
        <w:t>,</w:t>
      </w:r>
      <w:r w:rsidRPr="00175841">
        <w:t xml:space="preserve"> 2001.</w:t>
      </w:r>
    </w:p>
  </w:footnote>
  <w:footnote w:id="287">
    <w:p w:rsidR="00250027" w:rsidRPr="007174B1" w:rsidRDefault="00250027" w:rsidP="00D2468A">
      <w:pPr>
        <w:pStyle w:val="FootnoteText"/>
        <w:ind w:left="284" w:hanging="284"/>
      </w:pPr>
      <w:r w:rsidRPr="00B71251">
        <w:rPr>
          <w:rStyle w:val="FootnoteReference"/>
          <w:sz w:val="14"/>
          <w:vertAlign w:val="baseline"/>
        </w:rPr>
        <w:footnoteRef/>
      </w:r>
      <w:r w:rsidRPr="00B71251">
        <w:tab/>
        <w:t>Online Medical Dictionary</w:t>
      </w:r>
      <w:r>
        <w:t>,</w:t>
      </w:r>
      <w:r w:rsidRPr="00B71251">
        <w:t xml:space="preserve"> 2013.</w:t>
      </w:r>
    </w:p>
  </w:footnote>
  <w:footnote w:id="288">
    <w:p w:rsidR="00250027" w:rsidRDefault="00250027" w:rsidP="00D2468A">
      <w:pPr>
        <w:pStyle w:val="FootnoteText"/>
        <w:ind w:left="284" w:hanging="284"/>
      </w:pPr>
      <w:r>
        <w:rPr>
          <w:rStyle w:val="FootnoteReference"/>
        </w:rPr>
        <w:footnoteRef/>
      </w:r>
      <w:r>
        <w:tab/>
        <w:t>National Health and Medical Research Council, 2010.</w:t>
      </w:r>
    </w:p>
  </w:footnote>
  <w:footnote w:id="289">
    <w:p w:rsidR="00250027" w:rsidRDefault="00250027" w:rsidP="00E952DC">
      <w:pPr>
        <w:pStyle w:val="FootnoteText"/>
        <w:ind w:left="284" w:hanging="284"/>
      </w:pPr>
      <w:r>
        <w:rPr>
          <w:rStyle w:val="FootnoteReference"/>
        </w:rPr>
        <w:footnoteRef/>
      </w:r>
      <w:r>
        <w:tab/>
        <w:t>Nursing and Midwifery Board of Australia, 2010.</w:t>
      </w:r>
    </w:p>
  </w:footnote>
  <w:footnote w:id="290">
    <w:p w:rsidR="00250027" w:rsidRPr="006426C3" w:rsidRDefault="00250027" w:rsidP="00D2468A">
      <w:pPr>
        <w:pStyle w:val="FootnoteText"/>
        <w:ind w:left="284" w:hanging="284"/>
      </w:pPr>
      <w:r w:rsidRPr="006426C3">
        <w:rPr>
          <w:rStyle w:val="FootnoteReference"/>
          <w:sz w:val="14"/>
          <w:vertAlign w:val="baseline"/>
        </w:rPr>
        <w:footnoteRef/>
      </w:r>
      <w:r w:rsidRPr="006426C3">
        <w:tab/>
      </w:r>
      <w:r>
        <w:t>Nursing and Midwifery Council UK, 2013e.</w:t>
      </w:r>
      <w:r w:rsidRPr="006426C3">
        <w:t xml:space="preserve"> </w:t>
      </w:r>
    </w:p>
  </w:footnote>
  <w:footnote w:id="291">
    <w:p w:rsidR="00250027" w:rsidRPr="00B71251" w:rsidRDefault="00250027" w:rsidP="00D2468A">
      <w:pPr>
        <w:pStyle w:val="FootnoteText"/>
        <w:ind w:left="284" w:hanging="284"/>
        <w:rPr>
          <w:highlight w:val="green"/>
        </w:rPr>
      </w:pPr>
      <w:r w:rsidRPr="009A378F">
        <w:rPr>
          <w:rStyle w:val="FootnoteReference"/>
          <w:sz w:val="14"/>
          <w:vertAlign w:val="baseline"/>
        </w:rPr>
        <w:footnoteRef/>
      </w:r>
      <w:r>
        <w:tab/>
        <w:t>Department of Health WA, 2007.</w:t>
      </w:r>
    </w:p>
  </w:footnote>
  <w:footnote w:id="292">
    <w:p w:rsidR="00250027" w:rsidRPr="009A378F" w:rsidRDefault="00250027" w:rsidP="00D2468A">
      <w:pPr>
        <w:pStyle w:val="FootnoteText"/>
        <w:ind w:left="284" w:hanging="284"/>
      </w:pPr>
      <w:r w:rsidRPr="00B71251">
        <w:rPr>
          <w:rStyle w:val="FootnoteReference"/>
          <w:sz w:val="14"/>
          <w:vertAlign w:val="baseline"/>
        </w:rPr>
        <w:footnoteRef/>
      </w:r>
      <w:r>
        <w:tab/>
      </w:r>
      <w:r w:rsidRPr="00B71251">
        <w:t>Online Medical Dicti</w:t>
      </w:r>
      <w:r w:rsidRPr="009A378F">
        <w:t>onary</w:t>
      </w:r>
      <w:r>
        <w:t>,</w:t>
      </w:r>
      <w:r w:rsidRPr="009A378F">
        <w:t xml:space="preserve"> 2013.</w:t>
      </w:r>
    </w:p>
  </w:footnote>
  <w:footnote w:id="293">
    <w:p w:rsidR="00250027" w:rsidRPr="009A378F" w:rsidRDefault="00250027" w:rsidP="00D2468A">
      <w:pPr>
        <w:pStyle w:val="FootnoteText"/>
        <w:ind w:left="284" w:hanging="284"/>
      </w:pPr>
      <w:r w:rsidRPr="009A378F">
        <w:rPr>
          <w:rStyle w:val="FootnoteReference"/>
          <w:sz w:val="14"/>
          <w:vertAlign w:val="baseline"/>
        </w:rPr>
        <w:footnoteRef/>
      </w:r>
      <w:r>
        <w:tab/>
      </w:r>
      <w:r w:rsidRPr="009A378F">
        <w:t>IRMI Online</w:t>
      </w:r>
      <w:r>
        <w:t>,</w:t>
      </w:r>
      <w:r w:rsidRPr="009A378F">
        <w:t xml:space="preserve"> 2013.</w:t>
      </w:r>
    </w:p>
  </w:footnote>
  <w:footnote w:id="294">
    <w:p w:rsidR="00250027" w:rsidRPr="006426C3" w:rsidRDefault="00250027" w:rsidP="00D2468A">
      <w:pPr>
        <w:pStyle w:val="FootnoteText"/>
        <w:ind w:left="284" w:hanging="284"/>
      </w:pPr>
      <w:r w:rsidRPr="009A378F">
        <w:rPr>
          <w:rStyle w:val="FootnoteReference"/>
          <w:sz w:val="14"/>
          <w:vertAlign w:val="baseline"/>
        </w:rPr>
        <w:footnoteRef/>
      </w:r>
      <w:r w:rsidRPr="009A378F">
        <w:tab/>
        <w:t>LexisNexis AU</w:t>
      </w:r>
      <w:r>
        <w:t>,</w:t>
      </w:r>
      <w:r w:rsidRPr="009A378F">
        <w:t xml:space="preserve"> 2013.</w:t>
      </w:r>
    </w:p>
  </w:footnote>
  <w:footnote w:id="295">
    <w:p w:rsidR="00250027" w:rsidRPr="006426C3" w:rsidRDefault="00250027" w:rsidP="00D2468A">
      <w:pPr>
        <w:pStyle w:val="FootnoteText"/>
        <w:ind w:left="284" w:hanging="284"/>
      </w:pPr>
      <w:r w:rsidRPr="006426C3">
        <w:rPr>
          <w:rStyle w:val="FootnoteReference"/>
          <w:sz w:val="14"/>
          <w:vertAlign w:val="baseline"/>
        </w:rPr>
        <w:footnoteRef/>
      </w:r>
      <w:r>
        <w:tab/>
      </w:r>
      <w:r w:rsidRPr="006426C3">
        <w:t>National Health and Medical Research Council</w:t>
      </w:r>
      <w:r>
        <w:t>, 2010</w:t>
      </w:r>
      <w:r w:rsidRPr="006426C3">
        <w:t>.</w:t>
      </w:r>
    </w:p>
  </w:footnote>
  <w:footnote w:id="296">
    <w:p w:rsidR="00250027" w:rsidRPr="00E01371" w:rsidRDefault="00250027" w:rsidP="00D2468A">
      <w:pPr>
        <w:pStyle w:val="FootnoteText"/>
        <w:ind w:left="284" w:hanging="284"/>
      </w:pPr>
      <w:r w:rsidRPr="00E01371">
        <w:rPr>
          <w:rStyle w:val="FootnoteReference"/>
        </w:rPr>
        <w:footnoteRef/>
      </w:r>
      <w:r>
        <w:tab/>
      </w:r>
      <w:r w:rsidRPr="00E01371">
        <w:t>International Confederation of Midwives</w:t>
      </w:r>
      <w:r>
        <w:t>,</w:t>
      </w:r>
      <w:r w:rsidRPr="00E01371">
        <w:t xml:space="preserve"> </w:t>
      </w:r>
      <w:r>
        <w:t>2012</w:t>
      </w:r>
      <w:r w:rsidRPr="00E01371">
        <w:t>.</w:t>
      </w:r>
    </w:p>
  </w:footnote>
  <w:footnote w:id="297">
    <w:p w:rsidR="00250027" w:rsidRPr="00E01371" w:rsidRDefault="00250027" w:rsidP="00D2468A">
      <w:pPr>
        <w:pStyle w:val="FootnoteText"/>
        <w:ind w:left="284" w:hanging="284"/>
      </w:pPr>
      <w:r w:rsidRPr="00E01371">
        <w:rPr>
          <w:rStyle w:val="FootnoteReference"/>
        </w:rPr>
        <w:footnoteRef/>
      </w:r>
      <w:r>
        <w:tab/>
      </w:r>
      <w:r w:rsidRPr="00B71251">
        <w:t>Online Medical Dictionary</w:t>
      </w:r>
      <w:r>
        <w:t>,</w:t>
      </w:r>
      <w:r w:rsidRPr="00B71251">
        <w:t xml:space="preserve"> 2013.</w:t>
      </w:r>
    </w:p>
  </w:footnote>
  <w:footnote w:id="298">
    <w:p w:rsidR="00250027" w:rsidRPr="00E01371" w:rsidRDefault="00250027" w:rsidP="00D2468A">
      <w:pPr>
        <w:pStyle w:val="FootnoteText"/>
        <w:ind w:left="284" w:hanging="284"/>
      </w:pPr>
      <w:r w:rsidRPr="00E01371">
        <w:rPr>
          <w:rStyle w:val="FootnoteReference"/>
        </w:rPr>
        <w:footnoteRef/>
      </w:r>
      <w:r>
        <w:tab/>
        <w:t>Ibid</w:t>
      </w:r>
      <w:r w:rsidRPr="00B71251">
        <w:t>.</w:t>
      </w:r>
    </w:p>
  </w:footnote>
  <w:footnote w:id="299">
    <w:p w:rsidR="00250027" w:rsidRPr="00E01371" w:rsidRDefault="00250027" w:rsidP="00D2468A">
      <w:pPr>
        <w:pStyle w:val="FootnoteText"/>
        <w:ind w:left="284" w:hanging="284"/>
      </w:pPr>
      <w:r w:rsidRPr="00E01371">
        <w:rPr>
          <w:rStyle w:val="FootnoteReference"/>
        </w:rPr>
        <w:footnoteRef/>
      </w:r>
      <w:r>
        <w:tab/>
      </w:r>
      <w:r w:rsidRPr="00E01371">
        <w:t>Nursing and Midwifery Board of Australia</w:t>
      </w:r>
      <w:r>
        <w:t>,</w:t>
      </w:r>
      <w:r w:rsidRPr="00E01371">
        <w:t xml:space="preserve"> 2012.</w:t>
      </w:r>
    </w:p>
  </w:footnote>
  <w:footnote w:id="300">
    <w:p w:rsidR="00250027" w:rsidRPr="0026712A" w:rsidRDefault="00250027" w:rsidP="00D2468A">
      <w:pPr>
        <w:pStyle w:val="FootnoteText"/>
        <w:ind w:left="284" w:hanging="284"/>
        <w:rPr>
          <w:noProof/>
        </w:rPr>
      </w:pPr>
      <w:r>
        <w:rPr>
          <w:rStyle w:val="FootnoteReference"/>
        </w:rPr>
        <w:footnoteRef/>
      </w:r>
      <w:r>
        <w:tab/>
      </w:r>
      <w:r>
        <w:rPr>
          <w:noProof/>
        </w:rPr>
        <w:t>Ibid.</w:t>
      </w:r>
    </w:p>
  </w:footnote>
  <w:footnote w:id="301">
    <w:p w:rsidR="00250027" w:rsidRDefault="00250027" w:rsidP="00D2468A">
      <w:pPr>
        <w:pStyle w:val="FootnoteText"/>
        <w:ind w:left="284" w:hanging="284"/>
      </w:pPr>
      <w:r>
        <w:rPr>
          <w:rStyle w:val="FootnoteReference"/>
        </w:rPr>
        <w:footnoteRef/>
      </w:r>
      <w:r>
        <w:tab/>
        <w:t>Nursing and Midwifery Board of Australia, 2011.</w:t>
      </w:r>
    </w:p>
  </w:footnote>
  <w:footnote w:id="302">
    <w:p w:rsidR="00250027" w:rsidRPr="00863990" w:rsidRDefault="00250027" w:rsidP="00D2468A">
      <w:pPr>
        <w:pStyle w:val="FootnoteText"/>
        <w:ind w:left="284" w:hanging="284"/>
      </w:pPr>
      <w:r w:rsidRPr="00863990">
        <w:rPr>
          <w:rStyle w:val="FootnoteReference"/>
          <w:sz w:val="14"/>
          <w:vertAlign w:val="baseline"/>
        </w:rPr>
        <w:footnoteRef/>
      </w:r>
      <w:r>
        <w:tab/>
        <w:t>Ibid.</w:t>
      </w:r>
    </w:p>
  </w:footnote>
  <w:footnote w:id="303">
    <w:p w:rsidR="00250027" w:rsidRPr="00863990" w:rsidRDefault="00250027" w:rsidP="00D2468A">
      <w:pPr>
        <w:pStyle w:val="FootnoteText"/>
        <w:ind w:left="284" w:hanging="284"/>
      </w:pPr>
      <w:r w:rsidRPr="009A378F">
        <w:rPr>
          <w:rStyle w:val="FootnoteReference"/>
          <w:sz w:val="14"/>
          <w:vertAlign w:val="baseline"/>
        </w:rPr>
        <w:footnoteRef/>
      </w:r>
      <w:r>
        <w:tab/>
      </w:r>
      <w:r w:rsidRPr="009A378F">
        <w:t>LexisNexis AU</w:t>
      </w:r>
      <w:r>
        <w:t>,</w:t>
      </w:r>
      <w:r w:rsidRPr="009A378F">
        <w:t xml:space="preserve"> 2013.</w:t>
      </w:r>
    </w:p>
  </w:footnote>
  <w:footnote w:id="304">
    <w:p w:rsidR="00250027" w:rsidRPr="00F71F74" w:rsidRDefault="00250027" w:rsidP="008A6281">
      <w:pPr>
        <w:pStyle w:val="FootnoteText"/>
        <w:ind w:left="284" w:hanging="284"/>
        <w:rPr>
          <w:lang w:val="en-US"/>
        </w:rPr>
      </w:pPr>
      <w:r>
        <w:rPr>
          <w:rStyle w:val="FootnoteReference"/>
        </w:rPr>
        <w:footnoteRef/>
      </w:r>
      <w:r>
        <w:tab/>
      </w:r>
      <w:r w:rsidRPr="00F71F74">
        <w:t>International Confederation of Midwives</w:t>
      </w:r>
      <w:r>
        <w:t>, 2012.</w:t>
      </w:r>
    </w:p>
  </w:footnote>
  <w:footnote w:id="305">
    <w:p w:rsidR="00250027" w:rsidRDefault="00250027" w:rsidP="00831915">
      <w:pPr>
        <w:pStyle w:val="FootnoteText"/>
        <w:ind w:left="284" w:hanging="284"/>
      </w:pPr>
      <w:r>
        <w:rPr>
          <w:rStyle w:val="FootnoteReference"/>
        </w:rPr>
        <w:footnoteRef/>
      </w:r>
      <w:r>
        <w:tab/>
      </w:r>
      <w:r w:rsidRPr="00CB32B1">
        <w:t>Nursing and Midwifery Board of Australia, 2012</w:t>
      </w:r>
      <w:r>
        <w:t>.</w:t>
      </w:r>
    </w:p>
  </w:footnote>
  <w:footnote w:id="306">
    <w:p w:rsidR="00250027" w:rsidRDefault="00250027" w:rsidP="008A6281">
      <w:pPr>
        <w:pStyle w:val="FootnoteText"/>
        <w:ind w:left="284" w:hanging="284"/>
      </w:pPr>
      <w:r>
        <w:rPr>
          <w:rStyle w:val="FootnoteReference"/>
        </w:rPr>
        <w:footnoteRef/>
      </w:r>
      <w:r>
        <w:tab/>
      </w:r>
      <w:r w:rsidRPr="005A16C9">
        <w:rPr>
          <w:lang w:val="en-GB"/>
        </w:rPr>
        <w:t>Nursing and Mid</w:t>
      </w:r>
      <w:r>
        <w:rPr>
          <w:lang w:val="en-GB"/>
        </w:rPr>
        <w:t>wifery Board of Australia 2012.</w:t>
      </w:r>
    </w:p>
  </w:footnote>
  <w:footnote w:id="307">
    <w:p w:rsidR="00250027" w:rsidRDefault="00250027" w:rsidP="00831915">
      <w:pPr>
        <w:pStyle w:val="FootnoteText"/>
        <w:ind w:left="284" w:hanging="284"/>
      </w:pPr>
      <w:r>
        <w:rPr>
          <w:rStyle w:val="FootnoteReference"/>
        </w:rPr>
        <w:footnoteRef/>
      </w:r>
      <w:r>
        <w:t xml:space="preserve"> Ibid.</w:t>
      </w:r>
    </w:p>
  </w:footnote>
  <w:footnote w:id="308">
    <w:p w:rsidR="00250027" w:rsidRPr="00B031E7" w:rsidRDefault="00250027" w:rsidP="008A6281">
      <w:pPr>
        <w:pStyle w:val="FootnoteText"/>
        <w:ind w:left="284" w:hanging="284"/>
        <w:rPr>
          <w:lang w:val="en-US"/>
        </w:rPr>
      </w:pPr>
      <w:r>
        <w:rPr>
          <w:rStyle w:val="FootnoteReference"/>
        </w:rPr>
        <w:footnoteRef/>
      </w:r>
      <w:r>
        <w:tab/>
        <w:t>Commonwealth of Australia 2008a.</w:t>
      </w:r>
    </w:p>
  </w:footnote>
  <w:footnote w:id="309">
    <w:p w:rsidR="00250027" w:rsidRPr="00B031E7" w:rsidRDefault="00250027" w:rsidP="008A6281">
      <w:pPr>
        <w:pStyle w:val="FootnoteText"/>
        <w:ind w:left="284" w:hanging="284"/>
        <w:rPr>
          <w:lang w:val="en-US"/>
        </w:rPr>
      </w:pPr>
      <w:r>
        <w:rPr>
          <w:rStyle w:val="FootnoteReference"/>
        </w:rPr>
        <w:footnoteRef/>
      </w:r>
      <w:r>
        <w:tab/>
      </w:r>
      <w:r w:rsidRPr="00B031E7">
        <w:t>Commonwealth Government, 2010.</w:t>
      </w:r>
    </w:p>
  </w:footnote>
  <w:footnote w:id="310">
    <w:p w:rsidR="00250027" w:rsidRPr="00B031E7" w:rsidRDefault="00250027" w:rsidP="00693A3D">
      <w:pPr>
        <w:pStyle w:val="FootnoteText"/>
      </w:pPr>
      <w:r w:rsidRPr="00B031E7">
        <w:rPr>
          <w:rStyle w:val="FootnoteReference"/>
          <w:sz w:val="14"/>
          <w:vertAlign w:val="baseline"/>
        </w:rPr>
        <w:footnoteRef/>
      </w:r>
      <w:r w:rsidRPr="00B031E7">
        <w:tab/>
      </w:r>
      <w:r>
        <w:rPr>
          <w:lang w:val="en-GB"/>
        </w:rPr>
        <w:t>Department of Health and Ageing, 2012.</w:t>
      </w:r>
    </w:p>
  </w:footnote>
  <w:footnote w:id="311">
    <w:p w:rsidR="00250027" w:rsidRPr="00B031E7" w:rsidRDefault="00250027" w:rsidP="00831915">
      <w:pPr>
        <w:pStyle w:val="FootnoteText"/>
        <w:ind w:left="284" w:hanging="284"/>
      </w:pPr>
      <w:r w:rsidRPr="00B031E7">
        <w:rPr>
          <w:rStyle w:val="FootnoteReference"/>
          <w:sz w:val="14"/>
          <w:vertAlign w:val="baseline"/>
        </w:rPr>
        <w:footnoteRef/>
      </w:r>
      <w:r w:rsidRPr="00B031E7">
        <w:tab/>
        <w:t>Collaborative arrangements are a key requirement to be an eligible midwife, where a midwife must have medical practitioner that must provide for consultation with a specified medical practitioner; referral of a patient to a specified medical practitioner; and transfer of the patient’s care to a specified medical practitioner, as clinically relevant, to ensure safe, high quality health care.</w:t>
      </w:r>
    </w:p>
  </w:footnote>
  <w:footnote w:id="312">
    <w:p w:rsidR="00250027" w:rsidRPr="00B031E7" w:rsidRDefault="00250027" w:rsidP="00693A3D">
      <w:pPr>
        <w:pStyle w:val="FootnoteText"/>
      </w:pPr>
      <w:r w:rsidRPr="00B031E7">
        <w:rPr>
          <w:rStyle w:val="FootnoteReference"/>
          <w:sz w:val="14"/>
          <w:vertAlign w:val="baseline"/>
        </w:rPr>
        <w:footnoteRef/>
      </w:r>
      <w:r w:rsidRPr="00B031E7">
        <w:tab/>
        <w:t>The right to be able to practise and use the drugs required in a hospital.</w:t>
      </w:r>
    </w:p>
  </w:footnote>
  <w:footnote w:id="313">
    <w:p w:rsidR="00250027" w:rsidRPr="00B031E7" w:rsidRDefault="00250027" w:rsidP="00693A3D">
      <w:pPr>
        <w:pStyle w:val="FootnoteText"/>
      </w:pPr>
      <w:r w:rsidRPr="00B031E7">
        <w:rPr>
          <w:rStyle w:val="FootnoteReference"/>
          <w:sz w:val="14"/>
          <w:vertAlign w:val="baseline"/>
        </w:rPr>
        <w:footnoteRef/>
      </w:r>
      <w:r w:rsidRPr="00B031E7">
        <w:tab/>
        <w:t>National Health and Medical Research Council</w:t>
      </w:r>
      <w:r>
        <w:t>, 2010.</w:t>
      </w:r>
    </w:p>
  </w:footnote>
  <w:footnote w:id="314">
    <w:p w:rsidR="00250027" w:rsidRPr="00B031E7" w:rsidRDefault="00250027" w:rsidP="00693A3D">
      <w:pPr>
        <w:pStyle w:val="FootnoteText"/>
      </w:pPr>
      <w:r w:rsidRPr="00B031E7">
        <w:rPr>
          <w:rStyle w:val="FootnoteReference"/>
          <w:sz w:val="14"/>
          <w:vertAlign w:val="baseline"/>
        </w:rPr>
        <w:footnoteRef/>
      </w:r>
      <w:r w:rsidRPr="00B031E7">
        <w:tab/>
      </w:r>
      <w:r>
        <w:t>Ibid.</w:t>
      </w:r>
    </w:p>
  </w:footnote>
  <w:footnote w:id="315">
    <w:p w:rsidR="00250027" w:rsidRPr="00A8116B" w:rsidRDefault="00250027" w:rsidP="00831915">
      <w:pPr>
        <w:pStyle w:val="FootnoteText"/>
        <w:ind w:left="284" w:hanging="284"/>
        <w:rPr>
          <w:lang w:val="en-US"/>
        </w:rPr>
      </w:pPr>
      <w:r>
        <w:rPr>
          <w:rStyle w:val="FootnoteReference"/>
        </w:rPr>
        <w:footnoteRef/>
      </w:r>
      <w:r>
        <w:tab/>
      </w:r>
      <w:r w:rsidRPr="00D02CB0">
        <w:t>National Health and Medical Research Council</w:t>
      </w:r>
      <w:r>
        <w:t>, 2010</w:t>
      </w:r>
      <w:r w:rsidRPr="00D02CB0">
        <w:t>.</w:t>
      </w:r>
    </w:p>
  </w:footnote>
  <w:footnote w:id="316">
    <w:p w:rsidR="00250027" w:rsidRPr="000351F7" w:rsidRDefault="00250027" w:rsidP="000B6699">
      <w:pPr>
        <w:pStyle w:val="FootnoteText"/>
        <w:ind w:left="284" w:hanging="284"/>
      </w:pPr>
      <w:r w:rsidRPr="000351F7">
        <w:rPr>
          <w:rStyle w:val="FootnoteReference"/>
          <w:sz w:val="14"/>
          <w:vertAlign w:val="baseline"/>
        </w:rPr>
        <w:footnoteRef/>
      </w:r>
      <w:r w:rsidRPr="000351F7">
        <w:tab/>
      </w:r>
      <w:r>
        <w:rPr>
          <w:lang w:val="en-GB"/>
        </w:rPr>
        <w:t>Commonwealth of Australia, 2011.</w:t>
      </w:r>
    </w:p>
  </w:footnote>
  <w:footnote w:id="317">
    <w:p w:rsidR="00250027" w:rsidRPr="000351F7" w:rsidRDefault="00250027" w:rsidP="000B6699">
      <w:pPr>
        <w:pStyle w:val="FootnoteText"/>
        <w:ind w:left="284" w:hanging="284"/>
      </w:pPr>
      <w:r w:rsidRPr="000351F7">
        <w:rPr>
          <w:rStyle w:val="FootnoteReference"/>
          <w:sz w:val="14"/>
          <w:vertAlign w:val="baseline"/>
        </w:rPr>
        <w:footnoteRef/>
      </w:r>
      <w:r>
        <w:tab/>
      </w:r>
      <w:r>
        <w:rPr>
          <w:lang w:val="en-GB"/>
        </w:rPr>
        <w:t>Department of Health and Ageing, 2012.</w:t>
      </w:r>
    </w:p>
  </w:footnote>
  <w:footnote w:id="318">
    <w:p w:rsidR="00250027" w:rsidRPr="000351F7" w:rsidRDefault="00250027" w:rsidP="000B6699">
      <w:pPr>
        <w:pStyle w:val="FootnoteText"/>
        <w:ind w:left="284" w:hanging="284"/>
      </w:pPr>
      <w:r w:rsidRPr="000351F7">
        <w:rPr>
          <w:rStyle w:val="FootnoteReference"/>
          <w:sz w:val="14"/>
          <w:vertAlign w:val="baseline"/>
        </w:rPr>
        <w:footnoteRef/>
      </w:r>
      <w:r>
        <w:tab/>
        <w:t>Ibid.</w:t>
      </w:r>
    </w:p>
  </w:footnote>
  <w:footnote w:id="319">
    <w:p w:rsidR="00250027" w:rsidRPr="000351F7" w:rsidRDefault="00250027" w:rsidP="000B6699">
      <w:pPr>
        <w:pStyle w:val="FootnoteText"/>
        <w:ind w:left="284" w:hanging="284"/>
      </w:pPr>
      <w:r w:rsidRPr="000B1C40">
        <w:rPr>
          <w:rStyle w:val="FootnoteReference"/>
          <w:sz w:val="14"/>
          <w:vertAlign w:val="baseline"/>
        </w:rPr>
        <w:footnoteRef/>
      </w:r>
      <w:r>
        <w:tab/>
      </w:r>
      <w:r w:rsidRPr="000B1C40">
        <w:t>Department of Health, Victoria</w:t>
      </w:r>
      <w:r>
        <w:t>,</w:t>
      </w:r>
      <w:r w:rsidRPr="000B1C40">
        <w:t xml:space="preserve"> 2012.</w:t>
      </w:r>
    </w:p>
  </w:footnote>
  <w:footnote w:id="320">
    <w:p w:rsidR="00250027" w:rsidRPr="00911EE5" w:rsidRDefault="00250027" w:rsidP="000B6699">
      <w:pPr>
        <w:pStyle w:val="FootnoteText"/>
        <w:ind w:left="284" w:hanging="284"/>
      </w:pPr>
      <w:r w:rsidRPr="00911EE5">
        <w:rPr>
          <w:rStyle w:val="FootnoteReference"/>
          <w:sz w:val="14"/>
          <w:vertAlign w:val="baseline"/>
        </w:rPr>
        <w:footnoteRef/>
      </w:r>
      <w:r>
        <w:tab/>
      </w:r>
      <w:r w:rsidRPr="00911EE5">
        <w:t>Personal communication, April 2013</w:t>
      </w:r>
      <w:r>
        <w:t>.</w:t>
      </w:r>
    </w:p>
  </w:footnote>
  <w:footnote w:id="321">
    <w:p w:rsidR="00250027" w:rsidRPr="00911EE5" w:rsidRDefault="00250027" w:rsidP="000B6699">
      <w:pPr>
        <w:pStyle w:val="FootnoteText"/>
        <w:ind w:left="284" w:hanging="284"/>
      </w:pPr>
      <w:r w:rsidRPr="00911EE5">
        <w:rPr>
          <w:rStyle w:val="FootnoteReference"/>
          <w:sz w:val="14"/>
          <w:vertAlign w:val="baseline"/>
        </w:rPr>
        <w:footnoteRef/>
      </w:r>
      <w:r w:rsidRPr="00911EE5">
        <w:tab/>
      </w:r>
      <w:r>
        <w:rPr>
          <w:lang w:val="en-GB"/>
        </w:rPr>
        <w:t>Commonwealth of Australia, 2011</w:t>
      </w:r>
      <w:r w:rsidRPr="00911EE5">
        <w:t>.</w:t>
      </w:r>
    </w:p>
  </w:footnote>
  <w:footnote w:id="322">
    <w:p w:rsidR="00250027" w:rsidRPr="004F7941" w:rsidRDefault="00250027" w:rsidP="000B6699">
      <w:pPr>
        <w:pStyle w:val="FootnoteText"/>
        <w:ind w:left="284" w:hanging="284"/>
      </w:pPr>
      <w:r w:rsidRPr="004F7941">
        <w:rPr>
          <w:rStyle w:val="FootnoteReference"/>
          <w:sz w:val="14"/>
          <w:vertAlign w:val="baseline"/>
        </w:rPr>
        <w:footnoteRef/>
      </w:r>
      <w:r w:rsidRPr="004F7941">
        <w:tab/>
      </w:r>
      <w:r>
        <w:t>Commonwealth of Australia,</w:t>
      </w:r>
      <w:r w:rsidRPr="004F7941">
        <w:t xml:space="preserve"> 2011.</w:t>
      </w:r>
    </w:p>
  </w:footnote>
  <w:footnote w:id="323">
    <w:p w:rsidR="00250027" w:rsidRPr="004F7941" w:rsidRDefault="00250027" w:rsidP="000B6699">
      <w:pPr>
        <w:pStyle w:val="FootnoteText"/>
        <w:ind w:left="284" w:hanging="284"/>
      </w:pPr>
      <w:r w:rsidRPr="004F7941">
        <w:rPr>
          <w:rStyle w:val="FootnoteReference"/>
          <w:sz w:val="14"/>
          <w:vertAlign w:val="baseline"/>
        </w:rPr>
        <w:footnoteRef/>
      </w:r>
      <w:r w:rsidRPr="004F7941">
        <w:tab/>
      </w:r>
      <w:r>
        <w:t>Commonwealth of Australia, 2011.</w:t>
      </w:r>
    </w:p>
  </w:footnote>
  <w:footnote w:id="324">
    <w:p w:rsidR="00250027" w:rsidRDefault="00250027" w:rsidP="001F7539">
      <w:pPr>
        <w:pStyle w:val="FootnoteText"/>
        <w:ind w:left="284" w:hanging="284"/>
      </w:pPr>
      <w:r>
        <w:rPr>
          <w:rStyle w:val="FootnoteReference"/>
        </w:rPr>
        <w:footnoteRef/>
      </w:r>
      <w:r>
        <w:tab/>
        <w:t>Caitling-Paull C, Coddington RL, Foureur MJ &amp; Homer CSE 2013.</w:t>
      </w:r>
    </w:p>
  </w:footnote>
  <w:footnote w:id="325">
    <w:p w:rsidR="00250027" w:rsidRPr="004F7941" w:rsidRDefault="00250027" w:rsidP="000B6699">
      <w:pPr>
        <w:pStyle w:val="FootnoteText"/>
        <w:ind w:left="284" w:hanging="284"/>
      </w:pPr>
      <w:r w:rsidRPr="004F7941">
        <w:rPr>
          <w:rStyle w:val="FootnoteReference"/>
          <w:sz w:val="14"/>
          <w:vertAlign w:val="baseline"/>
        </w:rPr>
        <w:footnoteRef/>
      </w:r>
      <w:r w:rsidRPr="004F7941">
        <w:tab/>
        <w:t>Caitling-Paull C, Foureur MJ</w:t>
      </w:r>
      <w:r>
        <w:t xml:space="preserve"> &amp;</w:t>
      </w:r>
      <w:r w:rsidRPr="004F7941">
        <w:t xml:space="preserve"> Homer CS 2011.</w:t>
      </w:r>
    </w:p>
  </w:footnote>
  <w:footnote w:id="326">
    <w:p w:rsidR="00250027" w:rsidRPr="004F7941" w:rsidRDefault="00250027" w:rsidP="000B6699">
      <w:pPr>
        <w:pStyle w:val="FootnoteText"/>
        <w:ind w:left="284" w:hanging="284"/>
        <w:rPr>
          <w:lang w:val="en-US"/>
        </w:rPr>
      </w:pPr>
      <w:r>
        <w:rPr>
          <w:rStyle w:val="FootnoteReference"/>
        </w:rPr>
        <w:footnoteRef/>
      </w:r>
      <w:r>
        <w:tab/>
      </w:r>
      <w:r w:rsidRPr="004F7941">
        <w:t>Caitling-Paull C, Foureur MJ</w:t>
      </w:r>
      <w:r>
        <w:t xml:space="preserve"> &amp;</w:t>
      </w:r>
      <w:r w:rsidRPr="004F7941">
        <w:t xml:space="preserve"> Homer CS 2011.</w:t>
      </w:r>
    </w:p>
  </w:footnote>
  <w:footnote w:id="327">
    <w:p w:rsidR="00250027" w:rsidRDefault="00250027">
      <w:pPr>
        <w:pStyle w:val="FootnoteText"/>
      </w:pPr>
      <w:r>
        <w:rPr>
          <w:rStyle w:val="FootnoteReference"/>
        </w:rPr>
        <w:footnoteRef/>
      </w:r>
      <w:r>
        <w:t xml:space="preserve"> At the time of finalising this report, the 3</w:t>
      </w:r>
      <w:r w:rsidRPr="001D6BC8">
        <w:rPr>
          <w:vertAlign w:val="superscript"/>
        </w:rPr>
        <w:t>rd</w:t>
      </w:r>
      <w:r>
        <w:t xml:space="preserve"> edition has been released.</w:t>
      </w:r>
    </w:p>
  </w:footnote>
  <w:footnote w:id="328">
    <w:p w:rsidR="00250027" w:rsidRPr="00E01371" w:rsidRDefault="00250027" w:rsidP="000B6699">
      <w:pPr>
        <w:pStyle w:val="FootnoteText"/>
        <w:ind w:left="284" w:hanging="284"/>
      </w:pPr>
      <w:r w:rsidRPr="00DF63A6">
        <w:rPr>
          <w:rStyle w:val="FootnoteReference"/>
          <w:sz w:val="14"/>
          <w:vertAlign w:val="baseline"/>
        </w:rPr>
        <w:footnoteRef/>
      </w:r>
      <w:r>
        <w:tab/>
      </w:r>
      <w:r w:rsidRPr="00167C8B">
        <w:t>Kennare RM, Keirse MJ, Tucker GR &amp; Chan AC 2010</w:t>
      </w:r>
      <w:r w:rsidRPr="00DF63A6">
        <w:t>; Crotty</w:t>
      </w:r>
      <w:r>
        <w:t xml:space="preserve"> M</w:t>
      </w:r>
      <w:r w:rsidRPr="00DF63A6">
        <w:t xml:space="preserve">, Ramsay </w:t>
      </w:r>
      <w:r>
        <w:t xml:space="preserve">AT, Smart R &amp; </w:t>
      </w:r>
      <w:r w:rsidRPr="00DF63A6">
        <w:t>Chan</w:t>
      </w:r>
      <w:r>
        <w:t xml:space="preserve"> A </w:t>
      </w:r>
      <w:r w:rsidRPr="00DF63A6">
        <w:t>1990;</w:t>
      </w:r>
      <w:r>
        <w:t xml:space="preserve"> </w:t>
      </w:r>
      <w:r w:rsidRPr="00DF63A6">
        <w:t>Woodcock</w:t>
      </w:r>
      <w:r>
        <w:t xml:space="preserve"> HC, Read AW, Moore DJ, Stanley FJ &amp; Bower C 1990.</w:t>
      </w:r>
    </w:p>
  </w:footnote>
  <w:footnote w:id="329">
    <w:p w:rsidR="00250027" w:rsidRPr="00DF63A6" w:rsidRDefault="00250027" w:rsidP="000B6699">
      <w:pPr>
        <w:pStyle w:val="FootnoteText"/>
        <w:ind w:left="284" w:hanging="284"/>
      </w:pPr>
      <w:r w:rsidRPr="00DF63A6">
        <w:rPr>
          <w:rStyle w:val="FootnoteReference"/>
          <w:sz w:val="14"/>
          <w:vertAlign w:val="baseline"/>
        </w:rPr>
        <w:footnoteRef/>
      </w:r>
      <w:r w:rsidRPr="00DF63A6">
        <w:tab/>
      </w:r>
      <w:r w:rsidRPr="00167C8B">
        <w:t>Kennare RM, Keirse MJ, Tucker GR &amp; Chan AC 2010</w:t>
      </w:r>
      <w:r>
        <w:t>.</w:t>
      </w:r>
    </w:p>
  </w:footnote>
  <w:footnote w:id="330">
    <w:p w:rsidR="00250027" w:rsidRPr="001535F1" w:rsidRDefault="00250027" w:rsidP="00D92F94">
      <w:pPr>
        <w:pStyle w:val="FootnoteText"/>
        <w:ind w:left="284" w:hanging="284"/>
      </w:pPr>
      <w:r w:rsidRPr="001535F1">
        <w:rPr>
          <w:rStyle w:val="FootnoteReference"/>
          <w:sz w:val="14"/>
          <w:vertAlign w:val="baseline"/>
        </w:rPr>
        <w:footnoteRef/>
      </w:r>
      <w:r>
        <w:tab/>
      </w:r>
      <w:r w:rsidRPr="001535F1">
        <w:t xml:space="preserve">Other conditions which could have been assessed are prolapsed cord, uterine rupture, blood transfusions, obstetric shock, manual removal of placenta, uterine prolapsed, infections and other types of tear. </w:t>
      </w:r>
    </w:p>
  </w:footnote>
  <w:footnote w:id="331">
    <w:p w:rsidR="00250027" w:rsidRPr="00E01371" w:rsidRDefault="00250027" w:rsidP="00D92F94">
      <w:pPr>
        <w:pStyle w:val="FootnoteText"/>
        <w:ind w:left="284" w:hanging="284"/>
      </w:pPr>
      <w:r w:rsidRPr="001535F1">
        <w:rPr>
          <w:rStyle w:val="FootnoteReference"/>
          <w:sz w:val="14"/>
          <w:vertAlign w:val="baseline"/>
        </w:rPr>
        <w:footnoteRef/>
      </w:r>
      <w:r w:rsidRPr="001535F1">
        <w:tab/>
        <w:t>Note that episiotomies were not included and combined lacerations and episiotomies were not included.</w:t>
      </w:r>
      <w:r w:rsidRPr="00E01371">
        <w:t xml:space="preserve"> </w:t>
      </w:r>
    </w:p>
  </w:footnote>
  <w:footnote w:id="332">
    <w:p w:rsidR="00250027" w:rsidRPr="00DF63A6" w:rsidRDefault="00250027" w:rsidP="000B6699">
      <w:pPr>
        <w:pStyle w:val="FootnoteText"/>
        <w:ind w:left="284" w:hanging="284"/>
      </w:pPr>
      <w:r w:rsidRPr="00DF63A6">
        <w:rPr>
          <w:rStyle w:val="FootnoteReference"/>
          <w:sz w:val="14"/>
          <w:vertAlign w:val="baseline"/>
        </w:rPr>
        <w:footnoteRef/>
      </w:r>
      <w:r w:rsidRPr="00DF63A6">
        <w:tab/>
        <w:t>Hutton</w:t>
      </w:r>
      <w:r>
        <w:t xml:space="preserve"> EK, Reitsma AH &amp; Kaufman K 2009; </w:t>
      </w:r>
      <w:r w:rsidRPr="00DF63A6">
        <w:t>Jansssen</w:t>
      </w:r>
      <w:r>
        <w:t xml:space="preserve">, PA, Saxell L, Page LA, Klein MC, Liston RM &amp; Lee SK </w:t>
      </w:r>
      <w:r w:rsidRPr="00DF63A6">
        <w:t xml:space="preserve">2009. </w:t>
      </w:r>
    </w:p>
  </w:footnote>
  <w:footnote w:id="333">
    <w:p w:rsidR="00250027" w:rsidRPr="00E01371" w:rsidRDefault="00250027" w:rsidP="000B6699">
      <w:pPr>
        <w:pStyle w:val="FootnoteText"/>
        <w:ind w:left="284" w:hanging="284"/>
      </w:pPr>
      <w:r w:rsidRPr="00DF63A6">
        <w:rPr>
          <w:rStyle w:val="FootnoteReference"/>
          <w:sz w:val="14"/>
          <w:vertAlign w:val="baseline"/>
        </w:rPr>
        <w:footnoteRef/>
      </w:r>
      <w:r w:rsidRPr="00DF63A6">
        <w:tab/>
        <w:t>Nationa</w:t>
      </w:r>
      <w:r>
        <w:t>l Institute for Health Research,</w:t>
      </w:r>
      <w:r w:rsidRPr="00DF63A6">
        <w:t xml:space="preserve"> 2011.</w:t>
      </w:r>
    </w:p>
  </w:footnote>
  <w:footnote w:id="334">
    <w:p w:rsidR="00250027" w:rsidRPr="001535F1" w:rsidRDefault="00250027" w:rsidP="000B6699">
      <w:pPr>
        <w:pStyle w:val="FootnoteText"/>
        <w:ind w:left="284" w:hanging="284"/>
      </w:pPr>
      <w:r w:rsidRPr="001535F1">
        <w:rPr>
          <w:rStyle w:val="FootnoteReference"/>
          <w:sz w:val="14"/>
          <w:vertAlign w:val="baseline"/>
        </w:rPr>
        <w:footnoteRef/>
      </w:r>
      <w:r w:rsidRPr="001535F1">
        <w:tab/>
        <w:t>A</w:t>
      </w:r>
      <w:r>
        <w:t>ustralian Institute of Health and Welfare, 2013.</w:t>
      </w:r>
    </w:p>
  </w:footnote>
  <w:footnote w:id="335">
    <w:p w:rsidR="00250027" w:rsidRPr="00D91601" w:rsidRDefault="00250027" w:rsidP="000B6699">
      <w:pPr>
        <w:pStyle w:val="FootnoteText"/>
        <w:ind w:left="284" w:hanging="284"/>
      </w:pPr>
      <w:r w:rsidRPr="00167C8B">
        <w:rPr>
          <w:rStyle w:val="FootnoteReference"/>
          <w:sz w:val="14"/>
          <w:vertAlign w:val="baseline"/>
        </w:rPr>
        <w:footnoteRef/>
      </w:r>
      <w:r w:rsidRPr="00167C8B">
        <w:tab/>
        <w:t>Kennare RM, Keirse MJ, Tucker GR &amp; Chan AC 2010.</w:t>
      </w:r>
    </w:p>
  </w:footnote>
  <w:footnote w:id="336">
    <w:p w:rsidR="00250027" w:rsidRPr="00D91601" w:rsidRDefault="00250027" w:rsidP="000B6699">
      <w:pPr>
        <w:pStyle w:val="FootnoteText"/>
        <w:ind w:left="284" w:hanging="284"/>
      </w:pPr>
      <w:r w:rsidRPr="00167C8B">
        <w:rPr>
          <w:rStyle w:val="FootnoteReference"/>
          <w:sz w:val="14"/>
          <w:vertAlign w:val="baseline"/>
        </w:rPr>
        <w:footnoteRef/>
      </w:r>
      <w:r>
        <w:tab/>
      </w:r>
      <w:r w:rsidRPr="00167C8B">
        <w:t>For example, Bastian H, Keirse MJ &amp; Lancaster 1998 demonstrated a higher rate of perinatal mortality for homebirths compared to hospital</w:t>
      </w:r>
      <w:r w:rsidRPr="00D91601">
        <w:t xml:space="preserve"> births (7.1</w:t>
      </w:r>
      <w:r>
        <w:t>/</w:t>
      </w:r>
      <w:r w:rsidRPr="00D91601">
        <w:t>1000 births). However, by removing high-risk women, there was no variation. Also, the study was completed prior to 2000 falling outside of the review period being analysed.</w:t>
      </w:r>
    </w:p>
  </w:footnote>
  <w:footnote w:id="337">
    <w:p w:rsidR="00250027" w:rsidRPr="00D91601" w:rsidRDefault="00250027" w:rsidP="000B6699">
      <w:pPr>
        <w:pStyle w:val="FootnoteText"/>
        <w:ind w:left="284" w:hanging="284"/>
      </w:pPr>
      <w:r w:rsidRPr="00D91601">
        <w:rPr>
          <w:rStyle w:val="FootnoteReference"/>
          <w:sz w:val="14"/>
          <w:vertAlign w:val="baseline"/>
        </w:rPr>
        <w:footnoteRef/>
      </w:r>
      <w:r>
        <w:tab/>
      </w:r>
      <w:r w:rsidRPr="00D91601">
        <w:t xml:space="preserve">For example </w:t>
      </w:r>
      <w:r w:rsidRPr="00167C8B">
        <w:t>Kennare RM, Keirse MJ, Tucker GR &amp; Chan AC 2010</w:t>
      </w:r>
      <w:r>
        <w:t xml:space="preserve"> </w:t>
      </w:r>
      <w:r w:rsidRPr="00D91601">
        <w:t>demonstrated that there was not an increase in perinatal mortality for homebirth compared to hospital births (7.9/1,000 vs. 8.2/1,000). However, the study only looked at South Australia and therefore is not representative of Australia.</w:t>
      </w:r>
    </w:p>
  </w:footnote>
  <w:footnote w:id="338">
    <w:p w:rsidR="00250027" w:rsidRPr="00D91601" w:rsidRDefault="00250027" w:rsidP="000B6699">
      <w:pPr>
        <w:pStyle w:val="FootnoteText"/>
        <w:ind w:left="284" w:hanging="284"/>
      </w:pPr>
      <w:r w:rsidRPr="00D91601">
        <w:rPr>
          <w:rStyle w:val="FootnoteReference"/>
          <w:sz w:val="14"/>
          <w:vertAlign w:val="baseline"/>
        </w:rPr>
        <w:footnoteRef/>
      </w:r>
      <w:r w:rsidRPr="00D91601">
        <w:tab/>
      </w:r>
      <w:r>
        <w:t>Australian Institute of Health and Welfare, 2013.</w:t>
      </w:r>
    </w:p>
  </w:footnote>
  <w:footnote w:id="339">
    <w:p w:rsidR="00250027" w:rsidRPr="00657884" w:rsidRDefault="00250027" w:rsidP="000B6699">
      <w:pPr>
        <w:pStyle w:val="FootnoteText"/>
        <w:ind w:left="284" w:hanging="284"/>
        <w:rPr>
          <w:lang w:val="en-US"/>
        </w:rPr>
      </w:pPr>
      <w:r w:rsidRPr="00D91601">
        <w:rPr>
          <w:rStyle w:val="FootnoteReference"/>
          <w:sz w:val="14"/>
          <w:vertAlign w:val="baseline"/>
        </w:rPr>
        <w:footnoteRef/>
      </w:r>
      <w:r w:rsidRPr="00D91601">
        <w:tab/>
      </w:r>
      <w:r w:rsidRPr="00167C8B">
        <w:t>Kennare RM, Keirse MJ, Tucker GR &amp; Chan AC 2010.</w:t>
      </w:r>
    </w:p>
  </w:footnote>
  <w:footnote w:id="340">
    <w:p w:rsidR="00250027" w:rsidRPr="00D91601" w:rsidRDefault="00250027" w:rsidP="000B6699">
      <w:pPr>
        <w:pStyle w:val="FootnoteText"/>
        <w:ind w:left="284" w:hanging="284"/>
      </w:pPr>
      <w:r w:rsidRPr="00D91601">
        <w:rPr>
          <w:rStyle w:val="FootnoteReference"/>
          <w:sz w:val="14"/>
          <w:vertAlign w:val="baseline"/>
        </w:rPr>
        <w:footnoteRef/>
      </w:r>
      <w:r w:rsidRPr="00D91601">
        <w:tab/>
        <w:t>Janssen</w:t>
      </w:r>
      <w:r>
        <w:t xml:space="preserve"> PA, </w:t>
      </w:r>
      <w:r w:rsidRPr="00D91601">
        <w:t>Saxell</w:t>
      </w:r>
      <w:r>
        <w:t xml:space="preserve"> L, Page LA, Klein MC, Liston RM &amp; Lee SK 2009</w:t>
      </w:r>
      <w:r w:rsidRPr="00D91601">
        <w:t>.</w:t>
      </w:r>
    </w:p>
  </w:footnote>
  <w:footnote w:id="341">
    <w:p w:rsidR="00250027" w:rsidRPr="00D91601" w:rsidRDefault="00250027" w:rsidP="000B6699">
      <w:pPr>
        <w:pStyle w:val="FootnoteText"/>
        <w:ind w:left="284" w:hanging="284"/>
      </w:pPr>
      <w:r w:rsidRPr="00D91601">
        <w:rPr>
          <w:rStyle w:val="FootnoteReference"/>
          <w:sz w:val="14"/>
          <w:vertAlign w:val="baseline"/>
        </w:rPr>
        <w:footnoteRef/>
      </w:r>
      <w:r w:rsidRPr="00D91601">
        <w:tab/>
        <w:t xml:space="preserve">Johnson </w:t>
      </w:r>
      <w:r>
        <w:t>KC &amp;</w:t>
      </w:r>
      <w:r w:rsidRPr="00D91601">
        <w:t xml:space="preserve"> Daviss </w:t>
      </w:r>
      <w:r>
        <w:t>BA</w:t>
      </w:r>
      <w:r w:rsidRPr="00D91601">
        <w:t xml:space="preserve"> 2005.</w:t>
      </w:r>
    </w:p>
  </w:footnote>
  <w:footnote w:id="342">
    <w:p w:rsidR="00250027" w:rsidRPr="00D91601" w:rsidRDefault="00250027" w:rsidP="000B6699">
      <w:pPr>
        <w:pStyle w:val="FootnoteText"/>
        <w:ind w:left="284" w:hanging="284"/>
      </w:pPr>
      <w:r w:rsidRPr="00C405B3">
        <w:rPr>
          <w:rStyle w:val="FootnoteReference"/>
          <w:sz w:val="14"/>
          <w:vertAlign w:val="baseline"/>
        </w:rPr>
        <w:footnoteRef/>
      </w:r>
      <w:r w:rsidRPr="00C405B3">
        <w:tab/>
        <w:t>Australian College of Midwives</w:t>
      </w:r>
      <w:r>
        <w:t>,</w:t>
      </w:r>
      <w:r w:rsidRPr="00C405B3">
        <w:t xml:space="preserve"> 2011</w:t>
      </w:r>
      <w:r w:rsidRPr="00C405B3">
        <w:rPr>
          <w:i/>
        </w:rPr>
        <w:t>.</w:t>
      </w:r>
    </w:p>
  </w:footnote>
  <w:footnote w:id="343">
    <w:p w:rsidR="00250027" w:rsidRPr="00D91601" w:rsidRDefault="00250027" w:rsidP="000B6699">
      <w:pPr>
        <w:pStyle w:val="FootnoteText"/>
        <w:ind w:left="284" w:hanging="284"/>
      </w:pPr>
      <w:r w:rsidRPr="00D91601">
        <w:rPr>
          <w:rStyle w:val="FootnoteReference"/>
          <w:sz w:val="14"/>
          <w:vertAlign w:val="baseline"/>
        </w:rPr>
        <w:footnoteRef/>
      </w:r>
      <w:r w:rsidRPr="00D91601">
        <w:tab/>
        <w:t>Hutton</w:t>
      </w:r>
      <w:r>
        <w:t xml:space="preserve"> EK,</w:t>
      </w:r>
      <w:r w:rsidRPr="00D91601">
        <w:t xml:space="preserve"> Reitsma</w:t>
      </w:r>
      <w:r>
        <w:t xml:space="preserve"> AH &amp; Kaufman K 2009.</w:t>
      </w:r>
    </w:p>
  </w:footnote>
  <w:footnote w:id="344">
    <w:p w:rsidR="00250027" w:rsidRPr="00D91601" w:rsidRDefault="00250027" w:rsidP="00D92F94">
      <w:pPr>
        <w:pStyle w:val="FootnoteText"/>
        <w:ind w:left="284" w:hanging="284"/>
      </w:pPr>
      <w:r w:rsidRPr="00D91601">
        <w:rPr>
          <w:rStyle w:val="FootnoteReference"/>
          <w:sz w:val="14"/>
          <w:vertAlign w:val="baseline"/>
        </w:rPr>
        <w:footnoteRef/>
      </w:r>
      <w:r w:rsidRPr="00D91601">
        <w:tab/>
        <w:t>Janssen</w:t>
      </w:r>
      <w:r>
        <w:t xml:space="preserve"> PA, </w:t>
      </w:r>
      <w:r w:rsidRPr="00D91601">
        <w:t>Saxell</w:t>
      </w:r>
      <w:r>
        <w:t xml:space="preserve"> L, Page LA, Klein MC, Liston RM &amp; Lee SK 2009.</w:t>
      </w:r>
    </w:p>
  </w:footnote>
  <w:footnote w:id="345">
    <w:p w:rsidR="00250027" w:rsidRPr="00D91601" w:rsidRDefault="00250027" w:rsidP="000B6699">
      <w:pPr>
        <w:pStyle w:val="FootnoteText"/>
        <w:ind w:left="284" w:hanging="284"/>
      </w:pPr>
      <w:r w:rsidRPr="00D91601">
        <w:rPr>
          <w:rStyle w:val="FootnoteReference"/>
          <w:sz w:val="14"/>
          <w:vertAlign w:val="baseline"/>
        </w:rPr>
        <w:footnoteRef/>
      </w:r>
      <w:r>
        <w:tab/>
        <w:t>d</w:t>
      </w:r>
      <w:r w:rsidRPr="00D91601">
        <w:t xml:space="preserve">e Jonge </w:t>
      </w:r>
      <w:r>
        <w:t>A, van der Goes BY, Ravelli AC, Amelink-Verburg MP, Mol BW, Nijhuis JG, Bennebroek Gravenhorst J &amp; Butiendijk SE 2009.</w:t>
      </w:r>
    </w:p>
  </w:footnote>
  <w:footnote w:id="346">
    <w:p w:rsidR="00250027" w:rsidRPr="00525A39" w:rsidRDefault="00250027" w:rsidP="000B6699">
      <w:pPr>
        <w:pStyle w:val="FootnoteText"/>
        <w:ind w:left="284" w:hanging="284"/>
        <w:rPr>
          <w:lang w:val="en-US"/>
        </w:rPr>
      </w:pPr>
      <w:r w:rsidRPr="00D91601">
        <w:rPr>
          <w:rStyle w:val="FootnoteReference"/>
          <w:sz w:val="14"/>
          <w:vertAlign w:val="baseline"/>
        </w:rPr>
        <w:footnoteRef/>
      </w:r>
      <w:r w:rsidRPr="00D91601">
        <w:tab/>
        <w:t>Lindgren</w:t>
      </w:r>
      <w:r>
        <w:t xml:space="preserve"> HE, Radestad IJ, Christensson K &amp; Hildingsson IM</w:t>
      </w:r>
      <w:r w:rsidRPr="00D91601">
        <w:t xml:space="preserve"> 2008.</w:t>
      </w:r>
    </w:p>
  </w:footnote>
  <w:footnote w:id="347">
    <w:p w:rsidR="00250027" w:rsidRPr="00D91601" w:rsidRDefault="00250027" w:rsidP="000B6699">
      <w:pPr>
        <w:pStyle w:val="FootnoteText"/>
        <w:ind w:left="284" w:hanging="284"/>
      </w:pPr>
      <w:r w:rsidRPr="00D91601">
        <w:rPr>
          <w:rStyle w:val="FootnoteReference"/>
          <w:sz w:val="14"/>
          <w:vertAlign w:val="baseline"/>
        </w:rPr>
        <w:footnoteRef/>
      </w:r>
      <w:r w:rsidRPr="00D91601">
        <w:tab/>
        <w:t>Woodcock</w:t>
      </w:r>
      <w:r>
        <w:t xml:space="preserve"> HC, Read AW, Bower C, Stanley FJ &amp; Moore DJ 1994.</w:t>
      </w:r>
    </w:p>
  </w:footnote>
  <w:footnote w:id="348">
    <w:p w:rsidR="00250027" w:rsidRPr="00B0746E" w:rsidRDefault="00250027" w:rsidP="000B6699">
      <w:pPr>
        <w:pStyle w:val="FootnoteText"/>
        <w:ind w:left="284" w:hanging="284"/>
        <w:rPr>
          <w:lang w:val="en-US"/>
        </w:rPr>
      </w:pPr>
      <w:r w:rsidRPr="00D91601">
        <w:rPr>
          <w:rStyle w:val="FootnoteReference"/>
          <w:sz w:val="14"/>
          <w:vertAlign w:val="baseline"/>
        </w:rPr>
        <w:footnoteRef/>
      </w:r>
      <w:r w:rsidRPr="00D91601">
        <w:tab/>
        <w:t>HIROC, Person</w:t>
      </w:r>
      <w:r>
        <w:t>al Communication</w:t>
      </w:r>
      <w:r w:rsidRPr="00D91601">
        <w:t xml:space="preserve">, </w:t>
      </w:r>
      <w:r>
        <w:t xml:space="preserve">March </w:t>
      </w:r>
      <w:r w:rsidRPr="00D91601">
        <w:t>2013.</w:t>
      </w:r>
    </w:p>
  </w:footnote>
  <w:footnote w:id="349">
    <w:p w:rsidR="00250027" w:rsidRPr="00273543" w:rsidRDefault="00250027" w:rsidP="000B6699">
      <w:pPr>
        <w:pStyle w:val="FootnoteText"/>
        <w:ind w:left="284" w:hanging="284"/>
      </w:pPr>
      <w:r w:rsidRPr="00273543">
        <w:rPr>
          <w:rStyle w:val="FootnoteReference"/>
          <w:sz w:val="14"/>
          <w:vertAlign w:val="baseline"/>
        </w:rPr>
        <w:footnoteRef/>
      </w:r>
      <w:r w:rsidRPr="00273543">
        <w:tab/>
        <w:t>National Institute for Health Research</w:t>
      </w:r>
      <w:r>
        <w:t>,</w:t>
      </w:r>
      <w:r w:rsidRPr="00273543">
        <w:t xml:space="preserve"> 2011.</w:t>
      </w:r>
    </w:p>
  </w:footnote>
  <w:footnote w:id="350">
    <w:p w:rsidR="00250027" w:rsidRPr="00273543" w:rsidRDefault="00250027" w:rsidP="000B6699">
      <w:pPr>
        <w:pStyle w:val="FootnoteText"/>
        <w:ind w:left="284" w:hanging="284"/>
      </w:pPr>
      <w:r w:rsidRPr="00273543">
        <w:rPr>
          <w:rStyle w:val="FootnoteReference"/>
          <w:sz w:val="14"/>
          <w:vertAlign w:val="baseline"/>
        </w:rPr>
        <w:footnoteRef/>
      </w:r>
      <w:r>
        <w:tab/>
        <w:t>Personal communication</w:t>
      </w:r>
      <w:r w:rsidRPr="00273543">
        <w:t xml:space="preserve">, </w:t>
      </w:r>
      <w:r>
        <w:t xml:space="preserve">December </w:t>
      </w:r>
      <w:r w:rsidRPr="00273543">
        <w:t>2012.</w:t>
      </w:r>
    </w:p>
  </w:footnote>
  <w:footnote w:id="351">
    <w:p w:rsidR="00250027" w:rsidRPr="001C033C" w:rsidRDefault="00250027" w:rsidP="000B6699">
      <w:pPr>
        <w:pStyle w:val="FootnoteText"/>
        <w:ind w:left="284" w:hanging="284"/>
        <w:rPr>
          <w:lang w:val="en-US"/>
        </w:rPr>
      </w:pPr>
      <w:r w:rsidRPr="00CB151C">
        <w:rPr>
          <w:rStyle w:val="FootnoteReference"/>
          <w:sz w:val="14"/>
          <w:vertAlign w:val="baseline"/>
        </w:rPr>
        <w:footnoteRef/>
      </w:r>
      <w:r>
        <w:tab/>
      </w:r>
      <w:r w:rsidRPr="00CB151C">
        <w:t>BORN Ontario</w:t>
      </w:r>
      <w:r>
        <w:t>,</w:t>
      </w:r>
      <w:r w:rsidRPr="00CB151C">
        <w:t xml:space="preserve"> 2012.</w:t>
      </w:r>
    </w:p>
  </w:footnote>
  <w:footnote w:id="352">
    <w:p w:rsidR="00250027" w:rsidRPr="00273543" w:rsidRDefault="00250027" w:rsidP="000B6699">
      <w:pPr>
        <w:pStyle w:val="FootnoteText"/>
        <w:ind w:left="284" w:hanging="284"/>
      </w:pPr>
      <w:r w:rsidRPr="00C405B3">
        <w:rPr>
          <w:rStyle w:val="FootnoteReference"/>
          <w:sz w:val="14"/>
          <w:vertAlign w:val="baseline"/>
        </w:rPr>
        <w:footnoteRef/>
      </w:r>
      <w:r w:rsidRPr="00C405B3">
        <w:tab/>
        <w:t>Department of Health WA 2011, p.xi.</w:t>
      </w:r>
    </w:p>
  </w:footnote>
  <w:footnote w:id="353">
    <w:p w:rsidR="00250027" w:rsidRPr="008E51A5" w:rsidRDefault="00250027" w:rsidP="000B6699">
      <w:pPr>
        <w:pStyle w:val="FootnoteText"/>
        <w:ind w:left="284" w:hanging="284"/>
      </w:pPr>
      <w:r w:rsidRPr="00C405B3">
        <w:rPr>
          <w:rStyle w:val="FootnoteReference"/>
          <w:sz w:val="14"/>
          <w:vertAlign w:val="baseline"/>
        </w:rPr>
        <w:footnoteRef/>
      </w:r>
      <w:r w:rsidRPr="00C405B3">
        <w:tab/>
        <w:t>Australian College of Midwives</w:t>
      </w:r>
      <w:r>
        <w:t>,</w:t>
      </w:r>
      <w:r w:rsidRPr="00C405B3">
        <w:t xml:space="preserve"> 2011.</w:t>
      </w:r>
    </w:p>
  </w:footnote>
  <w:footnote w:id="354">
    <w:p w:rsidR="00250027" w:rsidRPr="009A0C36" w:rsidRDefault="00250027" w:rsidP="000B6699">
      <w:pPr>
        <w:pStyle w:val="FootnoteText"/>
        <w:ind w:left="284" w:hanging="284"/>
      </w:pPr>
      <w:r w:rsidRPr="009A0C36">
        <w:rPr>
          <w:rStyle w:val="FootnoteReference"/>
          <w:sz w:val="14"/>
          <w:vertAlign w:val="baseline"/>
        </w:rPr>
        <w:footnoteRef/>
      </w:r>
      <w:r>
        <w:tab/>
        <w:t>Personal communication</w:t>
      </w:r>
      <w:r w:rsidRPr="009A0C36">
        <w:t xml:space="preserve">, </w:t>
      </w:r>
      <w:r>
        <w:t xml:space="preserve">November </w:t>
      </w:r>
      <w:r w:rsidRPr="009A0C36">
        <w:t>2012.</w:t>
      </w:r>
    </w:p>
  </w:footnote>
  <w:footnote w:id="355">
    <w:p w:rsidR="00250027" w:rsidRPr="009A0C36" w:rsidRDefault="00250027" w:rsidP="000B6699">
      <w:pPr>
        <w:pStyle w:val="FootnoteText"/>
        <w:ind w:left="284" w:hanging="284"/>
        <w:rPr>
          <w:lang w:val="en-US"/>
        </w:rPr>
      </w:pPr>
      <w:r w:rsidRPr="009A0C36">
        <w:rPr>
          <w:rStyle w:val="FootnoteReference"/>
          <w:sz w:val="14"/>
          <w:vertAlign w:val="baseline"/>
        </w:rPr>
        <w:footnoteRef/>
      </w:r>
      <w:r>
        <w:tab/>
        <w:t>Ibid.</w:t>
      </w:r>
    </w:p>
  </w:footnote>
  <w:footnote w:id="356">
    <w:p w:rsidR="00250027" w:rsidRPr="007F1953" w:rsidRDefault="00250027" w:rsidP="000B6699">
      <w:pPr>
        <w:pStyle w:val="FootnoteText"/>
        <w:ind w:left="284" w:hanging="284"/>
      </w:pPr>
      <w:r w:rsidRPr="007F1953">
        <w:rPr>
          <w:rStyle w:val="FootnoteReference"/>
          <w:sz w:val="14"/>
          <w:vertAlign w:val="baseline"/>
        </w:rPr>
        <w:footnoteRef/>
      </w:r>
      <w:r w:rsidRPr="007F1953">
        <w:tab/>
      </w:r>
      <w:r>
        <w:t>Australian Institute of Health and Welfare, 2004b-2013.</w:t>
      </w:r>
    </w:p>
  </w:footnote>
  <w:footnote w:id="357">
    <w:p w:rsidR="00250027" w:rsidRPr="00A60E40" w:rsidRDefault="00250027" w:rsidP="000B6699">
      <w:pPr>
        <w:pStyle w:val="FootnoteText"/>
        <w:ind w:left="284" w:hanging="284"/>
      </w:pPr>
      <w:r w:rsidRPr="00A60E40">
        <w:rPr>
          <w:rStyle w:val="FootnoteReference"/>
          <w:sz w:val="14"/>
          <w:vertAlign w:val="baseline"/>
        </w:rPr>
        <w:footnoteRef/>
      </w:r>
      <w:r>
        <w:tab/>
        <w:t>Personal communication</w:t>
      </w:r>
      <w:r w:rsidRPr="00A60E40">
        <w:t>,</w:t>
      </w:r>
      <w:r>
        <w:t xml:space="preserve"> March</w:t>
      </w:r>
      <w:r w:rsidRPr="00A60E40">
        <w:t xml:space="preserve"> 2013.</w:t>
      </w:r>
    </w:p>
  </w:footnote>
  <w:footnote w:id="358">
    <w:p w:rsidR="00250027" w:rsidRPr="00F34527" w:rsidRDefault="00250027" w:rsidP="000B6699">
      <w:pPr>
        <w:pStyle w:val="FootnoteText"/>
        <w:ind w:left="284" w:hanging="284"/>
      </w:pPr>
      <w:r w:rsidRPr="00CB151C">
        <w:rPr>
          <w:rStyle w:val="FootnoteReference"/>
          <w:sz w:val="14"/>
          <w:vertAlign w:val="baseline"/>
        </w:rPr>
        <w:footnoteRef/>
      </w:r>
      <w:r w:rsidRPr="00CB151C">
        <w:tab/>
        <w:t>Royal Australian and New Zealand College of Obstetricians and Gynaecologists</w:t>
      </w:r>
      <w:r>
        <w:t>,</w:t>
      </w:r>
      <w:r w:rsidRPr="00CB151C">
        <w:t xml:space="preserve"> 2011</w:t>
      </w:r>
      <w:r>
        <w:t>b</w:t>
      </w:r>
      <w:r w:rsidRPr="00CB151C">
        <w:t>.</w:t>
      </w:r>
    </w:p>
  </w:footnote>
  <w:footnote w:id="359">
    <w:p w:rsidR="00250027" w:rsidRPr="00F34527" w:rsidRDefault="00250027" w:rsidP="000B6699">
      <w:pPr>
        <w:pStyle w:val="FootnoteText"/>
        <w:ind w:left="284" w:hanging="284"/>
      </w:pPr>
      <w:r w:rsidRPr="00F34527">
        <w:rPr>
          <w:rStyle w:val="FootnoteReference"/>
          <w:sz w:val="14"/>
          <w:vertAlign w:val="baseline"/>
        </w:rPr>
        <w:footnoteRef/>
      </w:r>
      <w:r w:rsidRPr="00F34527">
        <w:tab/>
      </w:r>
      <w:r w:rsidRPr="00C405B3">
        <w:t>Australian College of Midwives</w:t>
      </w:r>
      <w:r>
        <w:t>,</w:t>
      </w:r>
      <w:r w:rsidRPr="00C405B3">
        <w:t xml:space="preserve"> 2011.</w:t>
      </w:r>
    </w:p>
  </w:footnote>
  <w:footnote w:id="360">
    <w:p w:rsidR="00250027" w:rsidRPr="00AC2EDE" w:rsidRDefault="00250027" w:rsidP="000B6699">
      <w:pPr>
        <w:pStyle w:val="FootnoteText"/>
        <w:ind w:left="284" w:hanging="284"/>
      </w:pPr>
      <w:r w:rsidRPr="00AC2EDE">
        <w:rPr>
          <w:rStyle w:val="FootnoteReference"/>
          <w:sz w:val="14"/>
          <w:vertAlign w:val="baseline"/>
        </w:rPr>
        <w:footnoteRef/>
      </w:r>
      <w:r w:rsidRPr="00AC2EDE">
        <w:tab/>
      </w:r>
      <w:r>
        <w:t>Statistics Netherlands, 2013</w:t>
      </w:r>
      <w:r w:rsidRPr="00AC2EDE">
        <w:t>.</w:t>
      </w:r>
    </w:p>
  </w:footnote>
  <w:footnote w:id="361">
    <w:p w:rsidR="00250027" w:rsidRPr="00FC3216" w:rsidRDefault="00250027" w:rsidP="000B6699">
      <w:pPr>
        <w:pStyle w:val="FootnoteText"/>
        <w:ind w:left="284" w:hanging="284"/>
      </w:pPr>
      <w:r w:rsidRPr="00F94B0D">
        <w:rPr>
          <w:rStyle w:val="FootnoteReference"/>
          <w:sz w:val="14"/>
          <w:vertAlign w:val="baseline"/>
        </w:rPr>
        <w:footnoteRef/>
      </w:r>
      <w:r w:rsidRPr="00F94B0D">
        <w:tab/>
        <w:t>Australian Institute of Health and Welfare, 2004</w:t>
      </w:r>
      <w:r>
        <w:t>b</w:t>
      </w:r>
      <w:r w:rsidRPr="00F94B0D">
        <w:t xml:space="preserve"> – 2013.</w:t>
      </w:r>
    </w:p>
  </w:footnote>
  <w:footnote w:id="362">
    <w:p w:rsidR="00250027" w:rsidRPr="00FC3216" w:rsidRDefault="00250027" w:rsidP="000B6699">
      <w:pPr>
        <w:pStyle w:val="FootnoteText"/>
        <w:ind w:left="284" w:hanging="284"/>
      </w:pPr>
      <w:r w:rsidRPr="00F35E00">
        <w:rPr>
          <w:rStyle w:val="FootnoteReference"/>
          <w:sz w:val="14"/>
          <w:vertAlign w:val="baseline"/>
        </w:rPr>
        <w:footnoteRef/>
      </w:r>
      <w:r w:rsidRPr="00F35E00">
        <w:tab/>
        <w:t>Australian Institute of Health and Welfare, 201</w:t>
      </w:r>
      <w:r>
        <w:t>2</w:t>
      </w:r>
      <w:r w:rsidRPr="00F35E00">
        <w:t>.</w:t>
      </w:r>
    </w:p>
  </w:footnote>
  <w:footnote w:id="363">
    <w:p w:rsidR="00250027" w:rsidRPr="00FC3216" w:rsidRDefault="00250027" w:rsidP="000B6699">
      <w:pPr>
        <w:pStyle w:val="FootnoteText"/>
        <w:ind w:left="284" w:hanging="284"/>
      </w:pPr>
      <w:r w:rsidRPr="00FC3216">
        <w:rPr>
          <w:rStyle w:val="FootnoteReference"/>
          <w:sz w:val="14"/>
          <w:vertAlign w:val="baseline"/>
        </w:rPr>
        <w:footnoteRef/>
      </w:r>
      <w:r w:rsidRPr="00FC3216">
        <w:tab/>
      </w:r>
      <w:r>
        <w:t>Ibid.</w:t>
      </w:r>
    </w:p>
  </w:footnote>
  <w:footnote w:id="364">
    <w:p w:rsidR="00250027" w:rsidRPr="00FC3216" w:rsidRDefault="00250027" w:rsidP="000B6699">
      <w:pPr>
        <w:pStyle w:val="FootnoteText"/>
        <w:ind w:left="284" w:hanging="284"/>
        <w:rPr>
          <w:szCs w:val="18"/>
        </w:rPr>
      </w:pPr>
      <w:r w:rsidRPr="00FC3216">
        <w:rPr>
          <w:rStyle w:val="FootnoteReference"/>
          <w:sz w:val="14"/>
          <w:szCs w:val="18"/>
          <w:vertAlign w:val="baseline"/>
        </w:rPr>
        <w:footnoteRef/>
      </w:r>
      <w:r w:rsidRPr="00FC3216">
        <w:tab/>
      </w:r>
      <w:r w:rsidRPr="000C3101">
        <w:rPr>
          <w:szCs w:val="18"/>
        </w:rPr>
        <w:t xml:space="preserve">Nursing and Midwifery Board of Australia, 2012. </w:t>
      </w:r>
      <w:r w:rsidRPr="000C3101">
        <w:t>Note, this includes both those registered only as midwives as well those that hold dual nursing and midwifery registrations.</w:t>
      </w:r>
    </w:p>
  </w:footnote>
  <w:footnote w:id="365">
    <w:p w:rsidR="00250027" w:rsidRPr="00FC3216" w:rsidRDefault="00250027" w:rsidP="000B6699">
      <w:pPr>
        <w:pStyle w:val="FootnoteText"/>
        <w:ind w:left="284" w:hanging="284"/>
        <w:rPr>
          <w:szCs w:val="18"/>
        </w:rPr>
      </w:pPr>
      <w:r w:rsidRPr="00FC3216">
        <w:rPr>
          <w:rStyle w:val="FootnoteReference"/>
          <w:sz w:val="14"/>
          <w:szCs w:val="18"/>
          <w:vertAlign w:val="baseline"/>
        </w:rPr>
        <w:footnoteRef/>
      </w:r>
      <w:r w:rsidRPr="00FC3216">
        <w:tab/>
      </w:r>
      <w:r>
        <w:rPr>
          <w:szCs w:val="18"/>
        </w:rPr>
        <w:t xml:space="preserve">Nursing and Midwifery Council UK, </w:t>
      </w:r>
      <w:r w:rsidRPr="00FC3216">
        <w:rPr>
          <w:szCs w:val="18"/>
        </w:rPr>
        <w:t>2008.</w:t>
      </w:r>
    </w:p>
  </w:footnote>
  <w:footnote w:id="366">
    <w:p w:rsidR="00250027" w:rsidRPr="00FC3216" w:rsidRDefault="00250027" w:rsidP="000B6699">
      <w:pPr>
        <w:pStyle w:val="FootnoteText"/>
        <w:ind w:left="284" w:hanging="284"/>
        <w:rPr>
          <w:szCs w:val="18"/>
        </w:rPr>
      </w:pPr>
      <w:r w:rsidRPr="00FC3216">
        <w:rPr>
          <w:rStyle w:val="FootnoteReference"/>
          <w:sz w:val="14"/>
          <w:szCs w:val="18"/>
          <w:vertAlign w:val="baseline"/>
        </w:rPr>
        <w:footnoteRef/>
      </w:r>
      <w:r w:rsidRPr="00FC3216">
        <w:tab/>
      </w:r>
      <w:r w:rsidRPr="00FC3216">
        <w:rPr>
          <w:szCs w:val="18"/>
        </w:rPr>
        <w:t>HIROC, Personal Communication, February 2013</w:t>
      </w:r>
      <w:r>
        <w:rPr>
          <w:szCs w:val="18"/>
        </w:rPr>
        <w:t>.</w:t>
      </w:r>
    </w:p>
  </w:footnote>
  <w:footnote w:id="367">
    <w:p w:rsidR="00250027" w:rsidRPr="00FC3216" w:rsidRDefault="00250027" w:rsidP="000B6699">
      <w:pPr>
        <w:pStyle w:val="FootnoteText"/>
        <w:ind w:left="284" w:hanging="284"/>
        <w:rPr>
          <w:szCs w:val="18"/>
        </w:rPr>
      </w:pPr>
      <w:r w:rsidRPr="00FC3216">
        <w:rPr>
          <w:rStyle w:val="FootnoteReference"/>
          <w:sz w:val="14"/>
          <w:szCs w:val="18"/>
          <w:vertAlign w:val="baseline"/>
        </w:rPr>
        <w:footnoteRef/>
      </w:r>
      <w:r w:rsidRPr="00FC3216">
        <w:tab/>
      </w:r>
      <w:r w:rsidRPr="00FC3216">
        <w:rPr>
          <w:szCs w:val="18"/>
        </w:rPr>
        <w:t>NIVEL: Netherlands Institute for h</w:t>
      </w:r>
      <w:r>
        <w:rPr>
          <w:szCs w:val="18"/>
        </w:rPr>
        <w:t>ealth services research, 2013.</w:t>
      </w:r>
    </w:p>
  </w:footnote>
  <w:footnote w:id="368">
    <w:p w:rsidR="00250027" w:rsidRPr="00FC3216" w:rsidRDefault="00250027" w:rsidP="000B6699">
      <w:pPr>
        <w:pStyle w:val="FootnoteText"/>
        <w:ind w:left="284" w:hanging="284"/>
        <w:rPr>
          <w:szCs w:val="18"/>
        </w:rPr>
      </w:pPr>
      <w:r w:rsidRPr="00FC3216">
        <w:rPr>
          <w:rStyle w:val="FootnoteReference"/>
          <w:sz w:val="14"/>
          <w:szCs w:val="18"/>
          <w:vertAlign w:val="baseline"/>
        </w:rPr>
        <w:footnoteRef/>
      </w:r>
      <w:r w:rsidRPr="00FC3216">
        <w:tab/>
      </w:r>
      <w:r w:rsidRPr="00FC3216">
        <w:rPr>
          <w:szCs w:val="18"/>
        </w:rPr>
        <w:t>Midwifery Council</w:t>
      </w:r>
      <w:r>
        <w:rPr>
          <w:szCs w:val="18"/>
        </w:rPr>
        <w:t xml:space="preserve"> of New Zealand,</w:t>
      </w:r>
      <w:r w:rsidRPr="00FC3216">
        <w:rPr>
          <w:szCs w:val="18"/>
        </w:rPr>
        <w:t xml:space="preserve"> 2012</w:t>
      </w:r>
      <w:r>
        <w:rPr>
          <w:szCs w:val="18"/>
        </w:rPr>
        <w:t>.</w:t>
      </w:r>
    </w:p>
  </w:footnote>
  <w:footnote w:id="369">
    <w:p w:rsidR="00250027" w:rsidRPr="00FC3216" w:rsidRDefault="00250027" w:rsidP="000B6699">
      <w:pPr>
        <w:pStyle w:val="FootnoteText"/>
        <w:ind w:left="284" w:hanging="284"/>
        <w:rPr>
          <w:szCs w:val="18"/>
        </w:rPr>
      </w:pPr>
      <w:r w:rsidRPr="00FC3216">
        <w:rPr>
          <w:rStyle w:val="FootnoteReference"/>
          <w:sz w:val="14"/>
          <w:szCs w:val="18"/>
          <w:vertAlign w:val="baseline"/>
        </w:rPr>
        <w:footnoteRef/>
      </w:r>
      <w:r w:rsidRPr="00FC3216">
        <w:tab/>
      </w:r>
      <w:r w:rsidRPr="00FC3216">
        <w:rPr>
          <w:szCs w:val="18"/>
        </w:rPr>
        <w:t>Ontario Hospital Associat</w:t>
      </w:r>
      <w:r>
        <w:rPr>
          <w:szCs w:val="18"/>
        </w:rPr>
        <w:t>ion, 2012</w:t>
      </w:r>
    </w:p>
  </w:footnote>
  <w:footnote w:id="370">
    <w:p w:rsidR="00250027" w:rsidRPr="00FC3216" w:rsidRDefault="00250027" w:rsidP="000B6699">
      <w:pPr>
        <w:pStyle w:val="FootnoteText"/>
        <w:ind w:left="284" w:hanging="284"/>
        <w:rPr>
          <w:szCs w:val="18"/>
        </w:rPr>
      </w:pPr>
      <w:r w:rsidRPr="00FC3216">
        <w:rPr>
          <w:rStyle w:val="FootnoteReference"/>
          <w:sz w:val="14"/>
          <w:szCs w:val="18"/>
          <w:vertAlign w:val="baseline"/>
        </w:rPr>
        <w:footnoteRef/>
      </w:r>
      <w:r w:rsidRPr="00FC3216">
        <w:tab/>
      </w:r>
      <w:r w:rsidRPr="00FC3216">
        <w:rPr>
          <w:szCs w:val="18"/>
        </w:rPr>
        <w:t>NIVEL: Netherlands Institute for health services research</w:t>
      </w:r>
    </w:p>
  </w:footnote>
  <w:footnote w:id="371">
    <w:p w:rsidR="00250027" w:rsidRPr="00FC3216" w:rsidRDefault="00250027" w:rsidP="000B6699">
      <w:pPr>
        <w:pStyle w:val="FootnoteText"/>
        <w:ind w:left="284" w:hanging="284"/>
        <w:rPr>
          <w:szCs w:val="18"/>
        </w:rPr>
      </w:pPr>
      <w:r w:rsidRPr="00FC3216">
        <w:rPr>
          <w:rStyle w:val="FootnoteReference"/>
          <w:sz w:val="14"/>
          <w:szCs w:val="18"/>
          <w:vertAlign w:val="baseline"/>
        </w:rPr>
        <w:footnoteRef/>
      </w:r>
      <w:r w:rsidRPr="00FC3216">
        <w:tab/>
      </w:r>
      <w:r>
        <w:rPr>
          <w:szCs w:val="18"/>
        </w:rPr>
        <w:t>Based on the survey completed by PwC as a part of this report.</w:t>
      </w:r>
    </w:p>
  </w:footnote>
  <w:footnote w:id="372">
    <w:p w:rsidR="00250027" w:rsidRPr="00FC3216" w:rsidRDefault="00250027" w:rsidP="000B6699">
      <w:pPr>
        <w:pStyle w:val="FootnoteText"/>
        <w:ind w:left="284" w:hanging="284"/>
        <w:rPr>
          <w:szCs w:val="18"/>
        </w:rPr>
      </w:pPr>
      <w:r w:rsidRPr="00FC3216">
        <w:rPr>
          <w:rStyle w:val="FootnoteReference"/>
          <w:sz w:val="14"/>
          <w:szCs w:val="18"/>
          <w:vertAlign w:val="baseline"/>
        </w:rPr>
        <w:footnoteRef/>
      </w:r>
      <w:r w:rsidRPr="00FC3216">
        <w:tab/>
      </w:r>
      <w:r>
        <w:rPr>
          <w:szCs w:val="18"/>
        </w:rPr>
        <w:t>Birthrights,</w:t>
      </w:r>
      <w:r w:rsidRPr="00FC3216">
        <w:rPr>
          <w:szCs w:val="18"/>
        </w:rPr>
        <w:t xml:space="preserve"> </w:t>
      </w:r>
      <w:r>
        <w:rPr>
          <w:szCs w:val="18"/>
        </w:rPr>
        <w:t>2013.</w:t>
      </w:r>
    </w:p>
  </w:footnote>
  <w:footnote w:id="373">
    <w:p w:rsidR="00250027" w:rsidRPr="00FC3216" w:rsidRDefault="00250027" w:rsidP="000B6699">
      <w:pPr>
        <w:pStyle w:val="FootnoteText"/>
        <w:ind w:left="284" w:hanging="284"/>
        <w:rPr>
          <w:szCs w:val="18"/>
        </w:rPr>
      </w:pPr>
      <w:r w:rsidRPr="00FC3216">
        <w:rPr>
          <w:rStyle w:val="FootnoteReference"/>
          <w:sz w:val="14"/>
          <w:szCs w:val="18"/>
          <w:vertAlign w:val="baseline"/>
        </w:rPr>
        <w:footnoteRef/>
      </w:r>
      <w:r w:rsidRPr="00FC3216">
        <w:tab/>
      </w:r>
      <w:r w:rsidRPr="00FC3216">
        <w:rPr>
          <w:szCs w:val="18"/>
        </w:rPr>
        <w:t xml:space="preserve">HIROC, Personal Communications, </w:t>
      </w:r>
      <w:r w:rsidRPr="00F94B0D">
        <w:rPr>
          <w:szCs w:val="18"/>
        </w:rPr>
        <w:t>February 2013.</w:t>
      </w:r>
      <w:r w:rsidRPr="00FC3216">
        <w:rPr>
          <w:szCs w:val="18"/>
        </w:rPr>
        <w:t xml:space="preserve"> </w:t>
      </w:r>
    </w:p>
  </w:footnote>
  <w:footnote w:id="374">
    <w:p w:rsidR="00250027" w:rsidRPr="00FC3216" w:rsidRDefault="00250027" w:rsidP="000B6699">
      <w:pPr>
        <w:pStyle w:val="FootnoteText"/>
        <w:ind w:left="284" w:hanging="284"/>
        <w:rPr>
          <w:szCs w:val="18"/>
        </w:rPr>
      </w:pPr>
      <w:r w:rsidRPr="00FC3216">
        <w:rPr>
          <w:rStyle w:val="FootnoteReference"/>
          <w:sz w:val="14"/>
          <w:szCs w:val="18"/>
          <w:vertAlign w:val="baseline"/>
        </w:rPr>
        <w:footnoteRef/>
      </w:r>
      <w:r w:rsidRPr="00FC3216">
        <w:tab/>
      </w:r>
      <w:r w:rsidRPr="00FC3216">
        <w:rPr>
          <w:szCs w:val="18"/>
        </w:rPr>
        <w:t xml:space="preserve">Of the 2,612 midwives KNOV states that 27% work in a hospital therefore 73% is equivalent to 1907 midwives. </w:t>
      </w:r>
    </w:p>
  </w:footnote>
  <w:footnote w:id="375">
    <w:p w:rsidR="00250027" w:rsidRPr="00FC3216" w:rsidRDefault="00250027" w:rsidP="000B6699">
      <w:pPr>
        <w:pStyle w:val="FootnoteText"/>
        <w:tabs>
          <w:tab w:val="clear" w:pos="284"/>
        </w:tabs>
        <w:ind w:left="284" w:hanging="284"/>
        <w:rPr>
          <w:szCs w:val="18"/>
        </w:rPr>
      </w:pPr>
      <w:r w:rsidRPr="00FC3216">
        <w:rPr>
          <w:rStyle w:val="FootnoteReference"/>
          <w:sz w:val="14"/>
          <w:szCs w:val="18"/>
          <w:vertAlign w:val="baseline"/>
        </w:rPr>
        <w:footnoteRef/>
      </w:r>
      <w:r w:rsidRPr="00FC3216">
        <w:tab/>
      </w:r>
      <w:r>
        <w:rPr>
          <w:szCs w:val="18"/>
        </w:rPr>
        <w:t>Midwifery Council of New Zealand,</w:t>
      </w:r>
      <w:r w:rsidRPr="00FC3216">
        <w:rPr>
          <w:szCs w:val="18"/>
        </w:rPr>
        <w:t xml:space="preserve"> 2012. </w:t>
      </w:r>
    </w:p>
  </w:footnote>
  <w:footnote w:id="376">
    <w:p w:rsidR="00250027" w:rsidRPr="001E2819" w:rsidRDefault="00250027" w:rsidP="000B6699">
      <w:pPr>
        <w:pStyle w:val="FootnoteText"/>
        <w:ind w:left="284" w:hanging="284"/>
      </w:pPr>
      <w:r w:rsidRPr="00D4336D">
        <w:rPr>
          <w:rStyle w:val="FootnoteReference"/>
          <w:sz w:val="14"/>
          <w:vertAlign w:val="baseline"/>
        </w:rPr>
        <w:footnoteRef/>
      </w:r>
      <w:r>
        <w:tab/>
      </w:r>
      <w:r w:rsidRPr="00D4336D">
        <w:t>A</w:t>
      </w:r>
      <w:r>
        <w:t xml:space="preserve">ustralian </w:t>
      </w:r>
      <w:r w:rsidRPr="00D4336D">
        <w:t>I</w:t>
      </w:r>
      <w:r>
        <w:t xml:space="preserve">nstitute of </w:t>
      </w:r>
      <w:r w:rsidRPr="001E2819">
        <w:t>Health and Welfare, 2012.</w:t>
      </w:r>
    </w:p>
  </w:footnote>
  <w:footnote w:id="377">
    <w:p w:rsidR="00250027" w:rsidRPr="00D4336D" w:rsidRDefault="00250027" w:rsidP="000B6699">
      <w:pPr>
        <w:pStyle w:val="FootnoteText"/>
        <w:ind w:left="284" w:hanging="284"/>
      </w:pPr>
      <w:r w:rsidRPr="001E2819">
        <w:rPr>
          <w:rStyle w:val="FootnoteReference"/>
          <w:sz w:val="14"/>
          <w:vertAlign w:val="baseline"/>
        </w:rPr>
        <w:footnoteRef/>
      </w:r>
      <w:r w:rsidRPr="001E2819">
        <w:tab/>
        <w:t>Statistics Netherlands, 2013.</w:t>
      </w:r>
    </w:p>
  </w:footnote>
  <w:footnote w:id="378">
    <w:p w:rsidR="00250027" w:rsidRPr="00D4336D" w:rsidRDefault="00250027" w:rsidP="000B6699">
      <w:pPr>
        <w:pStyle w:val="FootnoteText"/>
        <w:ind w:left="284" w:hanging="284"/>
      </w:pPr>
      <w:r w:rsidRPr="00D4336D">
        <w:rPr>
          <w:rStyle w:val="FootnoteReference"/>
          <w:sz w:val="14"/>
          <w:vertAlign w:val="baseline"/>
        </w:rPr>
        <w:footnoteRef/>
      </w:r>
      <w:r>
        <w:tab/>
        <w:t>Ibid.</w:t>
      </w:r>
    </w:p>
  </w:footnote>
  <w:footnote w:id="379">
    <w:p w:rsidR="00250027" w:rsidRPr="00D4336D" w:rsidRDefault="00250027" w:rsidP="000B6699">
      <w:pPr>
        <w:pStyle w:val="FootnoteText"/>
        <w:ind w:left="284" w:hanging="284"/>
      </w:pPr>
      <w:r w:rsidRPr="00D4336D">
        <w:rPr>
          <w:rStyle w:val="FootnoteReference"/>
          <w:sz w:val="14"/>
          <w:vertAlign w:val="baseline"/>
        </w:rPr>
        <w:footnoteRef/>
      </w:r>
      <w:r>
        <w:tab/>
        <w:t>Home Birth Aotearoa, 2013.</w:t>
      </w:r>
    </w:p>
  </w:footnote>
  <w:footnote w:id="380">
    <w:p w:rsidR="00250027" w:rsidRPr="00F94B0D" w:rsidRDefault="00250027" w:rsidP="000B6699">
      <w:pPr>
        <w:pStyle w:val="FootnoteText"/>
        <w:ind w:left="284" w:hanging="284"/>
      </w:pPr>
      <w:r w:rsidRPr="00D4336D">
        <w:rPr>
          <w:rStyle w:val="FootnoteReference"/>
          <w:sz w:val="14"/>
          <w:vertAlign w:val="baseline"/>
        </w:rPr>
        <w:footnoteRef/>
      </w:r>
      <w:r>
        <w:tab/>
      </w:r>
      <w:r w:rsidRPr="00D4336D">
        <w:t xml:space="preserve">HIROC, Personal Communications, February </w:t>
      </w:r>
      <w:r w:rsidRPr="00F94B0D">
        <w:t>2013.</w:t>
      </w:r>
    </w:p>
  </w:footnote>
  <w:footnote w:id="381">
    <w:p w:rsidR="00250027" w:rsidRPr="00D4336D" w:rsidRDefault="00250027" w:rsidP="000B6699">
      <w:pPr>
        <w:pStyle w:val="FootnoteText"/>
        <w:ind w:left="284" w:hanging="284"/>
      </w:pPr>
      <w:r w:rsidRPr="00F94B0D">
        <w:rPr>
          <w:rStyle w:val="FootnoteReference"/>
          <w:sz w:val="14"/>
          <w:vertAlign w:val="baseline"/>
        </w:rPr>
        <w:footnoteRef/>
      </w:r>
      <w:r w:rsidRPr="00F94B0D">
        <w:tab/>
        <w:t>HIROC, Personal Communications, February 2013.</w:t>
      </w:r>
    </w:p>
  </w:footnote>
  <w:footnote w:id="382">
    <w:p w:rsidR="00250027" w:rsidRPr="001C07AE" w:rsidRDefault="00250027" w:rsidP="000B6699">
      <w:pPr>
        <w:pStyle w:val="FootnoteText"/>
        <w:ind w:left="284" w:hanging="284"/>
      </w:pPr>
      <w:r w:rsidRPr="001C07AE">
        <w:rPr>
          <w:rStyle w:val="FootnoteReference"/>
          <w:sz w:val="14"/>
          <w:vertAlign w:val="baseline"/>
        </w:rPr>
        <w:footnoteRef/>
      </w:r>
      <w:r>
        <w:tab/>
        <w:t xml:space="preserve">Nursing and Midwifery Board of Australia, 2013a. </w:t>
      </w:r>
      <w:r w:rsidRPr="000C3101">
        <w:t>Note, this includes both those registered only as midwives as well those that hold dual nursing and midwifery registrations.</w:t>
      </w:r>
    </w:p>
  </w:footnote>
  <w:footnote w:id="383">
    <w:p w:rsidR="00250027" w:rsidRPr="001C07AE" w:rsidRDefault="00250027" w:rsidP="000B6699">
      <w:pPr>
        <w:pStyle w:val="FootnoteText"/>
        <w:ind w:left="284" w:hanging="284"/>
      </w:pPr>
      <w:r w:rsidRPr="001C07AE">
        <w:rPr>
          <w:rStyle w:val="FootnoteReference"/>
          <w:sz w:val="14"/>
          <w:vertAlign w:val="baseline"/>
        </w:rPr>
        <w:footnoteRef/>
      </w:r>
      <w:r>
        <w:tab/>
      </w:r>
      <w:r w:rsidRPr="001C07AE">
        <w:t>Nursing and Midwifery Council UK</w:t>
      </w:r>
      <w:r>
        <w:t xml:space="preserve">, </w:t>
      </w:r>
      <w:r w:rsidRPr="001C07AE">
        <w:t>2008.</w:t>
      </w:r>
    </w:p>
  </w:footnote>
  <w:footnote w:id="384">
    <w:p w:rsidR="00250027" w:rsidRPr="001C07AE" w:rsidRDefault="00250027" w:rsidP="000B6699">
      <w:pPr>
        <w:pStyle w:val="FootnoteText"/>
        <w:ind w:left="284" w:hanging="284"/>
      </w:pPr>
      <w:r w:rsidRPr="001C07AE">
        <w:rPr>
          <w:rStyle w:val="FootnoteReference"/>
          <w:sz w:val="14"/>
          <w:vertAlign w:val="baseline"/>
        </w:rPr>
        <w:footnoteRef/>
      </w:r>
      <w:r>
        <w:tab/>
      </w:r>
      <w:r w:rsidRPr="001C07AE">
        <w:t>HIROC, Personal Communications, February 2013</w:t>
      </w:r>
      <w:r>
        <w:t>.</w:t>
      </w:r>
      <w:r w:rsidRPr="001C07AE">
        <w:t xml:space="preserve"> </w:t>
      </w:r>
    </w:p>
  </w:footnote>
  <w:footnote w:id="385">
    <w:p w:rsidR="00250027" w:rsidRPr="001C07AE" w:rsidRDefault="00250027" w:rsidP="000B6699">
      <w:pPr>
        <w:pStyle w:val="FootnoteText"/>
        <w:ind w:left="284" w:hanging="284"/>
      </w:pPr>
      <w:r w:rsidRPr="001C07AE">
        <w:rPr>
          <w:rStyle w:val="FootnoteReference"/>
          <w:sz w:val="14"/>
          <w:vertAlign w:val="baseline"/>
        </w:rPr>
        <w:footnoteRef/>
      </w:r>
      <w:r>
        <w:tab/>
      </w:r>
      <w:r w:rsidRPr="001C07AE">
        <w:t>NIVEL: Netherlands Institut</w:t>
      </w:r>
      <w:r>
        <w:t>e for health services research, 2013.</w:t>
      </w:r>
    </w:p>
  </w:footnote>
  <w:footnote w:id="386">
    <w:p w:rsidR="00250027" w:rsidRPr="001C07AE" w:rsidRDefault="00250027" w:rsidP="000B6699">
      <w:pPr>
        <w:pStyle w:val="FootnoteText"/>
        <w:ind w:left="284" w:hanging="284"/>
      </w:pPr>
      <w:r w:rsidRPr="001C07AE">
        <w:rPr>
          <w:rStyle w:val="FootnoteReference"/>
          <w:sz w:val="14"/>
          <w:vertAlign w:val="baseline"/>
        </w:rPr>
        <w:footnoteRef/>
      </w:r>
      <w:r>
        <w:tab/>
      </w:r>
      <w:r w:rsidRPr="001C07AE">
        <w:t xml:space="preserve">Midwifery Council </w:t>
      </w:r>
      <w:r>
        <w:t xml:space="preserve">of </w:t>
      </w:r>
      <w:r w:rsidRPr="001C07AE">
        <w:t>N</w:t>
      </w:r>
      <w:r>
        <w:t xml:space="preserve">ew </w:t>
      </w:r>
      <w:r w:rsidRPr="001C07AE">
        <w:t>Z</w:t>
      </w:r>
      <w:r>
        <w:t>ealand</w:t>
      </w:r>
      <w:r w:rsidRPr="001C07AE">
        <w:t xml:space="preserve">, 2012. </w:t>
      </w:r>
    </w:p>
  </w:footnote>
  <w:footnote w:id="387">
    <w:p w:rsidR="00250027" w:rsidRPr="001E2819" w:rsidRDefault="00250027" w:rsidP="000B6699">
      <w:pPr>
        <w:pStyle w:val="FootnoteText"/>
        <w:ind w:left="284" w:hanging="284"/>
      </w:pPr>
      <w:r w:rsidRPr="001C07AE">
        <w:rPr>
          <w:rStyle w:val="FootnoteReference"/>
          <w:sz w:val="14"/>
          <w:vertAlign w:val="baseline"/>
        </w:rPr>
        <w:footnoteRef/>
      </w:r>
      <w:r>
        <w:tab/>
      </w:r>
      <w:r w:rsidRPr="001C07AE">
        <w:t>N</w:t>
      </w:r>
      <w:r>
        <w:t xml:space="preserve">ursing and </w:t>
      </w:r>
      <w:r w:rsidRPr="001C07AE">
        <w:t>M</w:t>
      </w:r>
      <w:r>
        <w:t xml:space="preserve">idwifery </w:t>
      </w:r>
      <w:r w:rsidRPr="001C07AE">
        <w:t>B</w:t>
      </w:r>
      <w:r>
        <w:t xml:space="preserve">oard of </w:t>
      </w:r>
      <w:r w:rsidRPr="001E2819">
        <w:t>Australia, 2013d.</w:t>
      </w:r>
    </w:p>
  </w:footnote>
  <w:footnote w:id="388">
    <w:p w:rsidR="00250027" w:rsidRPr="001E2819" w:rsidRDefault="00250027" w:rsidP="000B6699">
      <w:pPr>
        <w:pStyle w:val="FootnoteText"/>
        <w:ind w:left="284" w:hanging="284"/>
      </w:pPr>
      <w:r w:rsidRPr="001E2819">
        <w:rPr>
          <w:rStyle w:val="FootnoteReference"/>
          <w:sz w:val="14"/>
          <w:vertAlign w:val="baseline"/>
        </w:rPr>
        <w:footnoteRef/>
      </w:r>
      <w:r w:rsidRPr="001E2819">
        <w:tab/>
        <w:t>Nursing and Midwifery Council UK, 2013a.</w:t>
      </w:r>
    </w:p>
  </w:footnote>
  <w:footnote w:id="389">
    <w:p w:rsidR="00250027" w:rsidRPr="001C07AE" w:rsidRDefault="00250027" w:rsidP="000B6699">
      <w:pPr>
        <w:pStyle w:val="FootnoteText"/>
        <w:ind w:left="284" w:hanging="284"/>
      </w:pPr>
      <w:r w:rsidRPr="001E2819">
        <w:rPr>
          <w:rStyle w:val="FootnoteReference"/>
          <w:sz w:val="14"/>
          <w:vertAlign w:val="baseline"/>
        </w:rPr>
        <w:footnoteRef/>
      </w:r>
      <w:r w:rsidRPr="001E2819">
        <w:tab/>
        <w:t>College of Midwives of Ontario, 2013c.</w:t>
      </w:r>
    </w:p>
  </w:footnote>
  <w:footnote w:id="390">
    <w:p w:rsidR="00250027" w:rsidRPr="001C07AE" w:rsidRDefault="00250027" w:rsidP="000B6699">
      <w:pPr>
        <w:pStyle w:val="FootnoteText"/>
        <w:ind w:left="284" w:hanging="284"/>
      </w:pPr>
      <w:r w:rsidRPr="001C07AE">
        <w:rPr>
          <w:rStyle w:val="FootnoteReference"/>
          <w:sz w:val="14"/>
          <w:vertAlign w:val="baseline"/>
        </w:rPr>
        <w:footnoteRef/>
      </w:r>
      <w:r>
        <w:tab/>
      </w:r>
      <w:r w:rsidRPr="00CB32B1">
        <w:t xml:space="preserve">KNOV (The Royal </w:t>
      </w:r>
      <w:r>
        <w:t>Dutch Organisation of Midwives)</w:t>
      </w:r>
      <w:r w:rsidRPr="001C07AE">
        <w:t xml:space="preserve">, </w:t>
      </w:r>
      <w:r>
        <w:t>2012.</w:t>
      </w:r>
    </w:p>
  </w:footnote>
  <w:footnote w:id="391">
    <w:p w:rsidR="00250027" w:rsidRPr="003A57EC" w:rsidRDefault="00250027" w:rsidP="000B6699">
      <w:pPr>
        <w:pStyle w:val="FootnoteText"/>
        <w:ind w:left="284" w:hanging="284"/>
      </w:pPr>
      <w:r w:rsidRPr="003A57EC">
        <w:rPr>
          <w:rStyle w:val="FootnoteReference"/>
          <w:sz w:val="14"/>
          <w:vertAlign w:val="baseline"/>
        </w:rPr>
        <w:footnoteRef/>
      </w:r>
      <w:r w:rsidRPr="003A57EC">
        <w:tab/>
        <w:t>N</w:t>
      </w:r>
      <w:r>
        <w:t xml:space="preserve">ursing and </w:t>
      </w:r>
      <w:r w:rsidRPr="003A57EC">
        <w:t>M</w:t>
      </w:r>
      <w:r>
        <w:t xml:space="preserve">idwifery </w:t>
      </w:r>
      <w:r w:rsidRPr="003A57EC">
        <w:t>B</w:t>
      </w:r>
      <w:r>
        <w:t xml:space="preserve">oard of </w:t>
      </w:r>
      <w:r w:rsidRPr="003A57EC">
        <w:t>A</w:t>
      </w:r>
      <w:r>
        <w:t>ustralia</w:t>
      </w:r>
      <w:r w:rsidRPr="003A57EC">
        <w:t xml:space="preserve">, </w:t>
      </w:r>
      <w:r>
        <w:t xml:space="preserve">2013a. </w:t>
      </w:r>
      <w:r w:rsidRPr="000C3101">
        <w:t>Note, this includes both those registered only as midwives as well those that hold dual nursing and midwifery registrations.</w:t>
      </w:r>
    </w:p>
  </w:footnote>
  <w:footnote w:id="392">
    <w:p w:rsidR="00250027" w:rsidRPr="003A57EC" w:rsidRDefault="00250027" w:rsidP="00107EF4">
      <w:pPr>
        <w:pStyle w:val="FootnoteText"/>
        <w:ind w:left="284" w:hanging="284"/>
      </w:pPr>
      <w:r w:rsidRPr="003A57EC">
        <w:rPr>
          <w:rStyle w:val="FootnoteReference"/>
          <w:sz w:val="14"/>
          <w:vertAlign w:val="baseline"/>
        </w:rPr>
        <w:footnoteRef/>
      </w:r>
      <w:r>
        <w:tab/>
      </w:r>
      <w:r w:rsidRPr="003A57EC">
        <w:t>Nursing and Midwifery Council UK</w:t>
      </w:r>
      <w:r>
        <w:t xml:space="preserve">, </w:t>
      </w:r>
      <w:r w:rsidRPr="003A57EC">
        <w:t>2008.</w:t>
      </w:r>
    </w:p>
  </w:footnote>
  <w:footnote w:id="393">
    <w:p w:rsidR="00250027" w:rsidRPr="003A57EC" w:rsidRDefault="00250027" w:rsidP="000B6699">
      <w:pPr>
        <w:pStyle w:val="FootnoteText"/>
        <w:ind w:left="284" w:hanging="284"/>
      </w:pPr>
      <w:r w:rsidRPr="003A57EC">
        <w:rPr>
          <w:rStyle w:val="FootnoteReference"/>
          <w:sz w:val="14"/>
          <w:vertAlign w:val="baseline"/>
        </w:rPr>
        <w:footnoteRef/>
      </w:r>
      <w:r>
        <w:tab/>
      </w:r>
      <w:r w:rsidRPr="003A57EC">
        <w:t>HIROC, Personal Communications, February 2013</w:t>
      </w:r>
      <w:r>
        <w:t>.</w:t>
      </w:r>
    </w:p>
  </w:footnote>
  <w:footnote w:id="394">
    <w:p w:rsidR="00250027" w:rsidRPr="003A57EC" w:rsidRDefault="00250027" w:rsidP="00122FC9">
      <w:pPr>
        <w:pStyle w:val="FootnoteText"/>
        <w:ind w:left="284" w:hanging="284"/>
      </w:pPr>
      <w:r w:rsidRPr="003A57EC">
        <w:rPr>
          <w:rStyle w:val="FootnoteReference"/>
          <w:sz w:val="14"/>
          <w:vertAlign w:val="baseline"/>
        </w:rPr>
        <w:footnoteRef/>
      </w:r>
      <w:r>
        <w:tab/>
      </w:r>
      <w:r w:rsidRPr="003A57EC">
        <w:t>NIVEL: Netherlands Institut</w:t>
      </w:r>
      <w:r>
        <w:t>e for health services research, 2013.</w:t>
      </w:r>
    </w:p>
  </w:footnote>
  <w:footnote w:id="395">
    <w:p w:rsidR="00250027" w:rsidRPr="00E01371" w:rsidRDefault="00250027" w:rsidP="00122FC9">
      <w:pPr>
        <w:pStyle w:val="FootnoteText"/>
        <w:ind w:left="284" w:hanging="284"/>
      </w:pPr>
      <w:r w:rsidRPr="00E01371">
        <w:rPr>
          <w:rStyle w:val="FootnoteReference"/>
        </w:rPr>
        <w:footnoteRef/>
      </w:r>
      <w:r>
        <w:tab/>
      </w:r>
      <w:r w:rsidRPr="00E01371">
        <w:t xml:space="preserve">Midwifery Council </w:t>
      </w:r>
      <w:r>
        <w:t xml:space="preserve">of </w:t>
      </w:r>
      <w:r w:rsidRPr="00E01371">
        <w:t>N</w:t>
      </w:r>
      <w:r>
        <w:t xml:space="preserve">ew </w:t>
      </w:r>
      <w:r w:rsidRPr="00E01371">
        <w:t>Z</w:t>
      </w:r>
      <w:r>
        <w:t>ealand</w:t>
      </w:r>
      <w:r w:rsidRPr="00E01371">
        <w:rPr>
          <w:i/>
        </w:rPr>
        <w:t xml:space="preserve">, </w:t>
      </w:r>
      <w:r w:rsidRPr="00E01371">
        <w:t xml:space="preserve">2012. </w:t>
      </w:r>
    </w:p>
  </w:footnote>
  <w:footnote w:id="396">
    <w:p w:rsidR="00250027" w:rsidRDefault="00250027">
      <w:pPr>
        <w:pStyle w:val="FootnoteText"/>
      </w:pPr>
      <w:r>
        <w:rPr>
          <w:rStyle w:val="FootnoteReference"/>
        </w:rPr>
        <w:footnoteRef/>
      </w:r>
      <w:r>
        <w:t xml:space="preserve"> Note that this could not be verified prior to the finalisation of this report.</w:t>
      </w:r>
    </w:p>
  </w:footnote>
  <w:footnote w:id="397">
    <w:p w:rsidR="00250027" w:rsidRPr="00A55D2B" w:rsidRDefault="00250027" w:rsidP="00122FC9">
      <w:pPr>
        <w:pStyle w:val="FootnoteText"/>
        <w:ind w:left="284" w:hanging="284"/>
      </w:pPr>
      <w:r w:rsidRPr="00A55D2B">
        <w:rPr>
          <w:rStyle w:val="FootnoteReference"/>
          <w:sz w:val="14"/>
          <w:vertAlign w:val="baseline"/>
        </w:rPr>
        <w:footnoteRef/>
      </w:r>
      <w:r>
        <w:tab/>
      </w:r>
      <w:r w:rsidRPr="00A55D2B">
        <w:t>Information on insurance claims was still being collected</w:t>
      </w:r>
      <w:r>
        <w:t xml:space="preserve"> by the insurance broker</w:t>
      </w:r>
      <w:r w:rsidRPr="00A55D2B">
        <w:t xml:space="preserve"> at the time of finalising this report.</w:t>
      </w:r>
    </w:p>
  </w:footnote>
  <w:footnote w:id="398">
    <w:p w:rsidR="00250027" w:rsidRPr="004B790C" w:rsidRDefault="00250027" w:rsidP="00122FC9">
      <w:pPr>
        <w:pStyle w:val="FootnoteText"/>
        <w:ind w:left="284" w:hanging="284"/>
        <w:rPr>
          <w:lang w:val="en-US"/>
        </w:rPr>
      </w:pPr>
      <w:r w:rsidRPr="007A1A20">
        <w:rPr>
          <w:rStyle w:val="FootnoteReference"/>
          <w:rFonts w:ascii="Georgia" w:hAnsi="Georgia"/>
          <w:sz w:val="14"/>
          <w:vertAlign w:val="baseline"/>
        </w:rPr>
        <w:footnoteRef/>
      </w:r>
      <w:r w:rsidRPr="007A1A20">
        <w:tab/>
        <w:t>Birthrights, 2013.</w:t>
      </w:r>
    </w:p>
  </w:footnote>
  <w:footnote w:id="399">
    <w:p w:rsidR="00250027" w:rsidRPr="0020623F" w:rsidRDefault="00250027" w:rsidP="00122FC9">
      <w:pPr>
        <w:pStyle w:val="FootnoteText"/>
        <w:ind w:left="284" w:hanging="284"/>
        <w:rPr>
          <w:lang w:val="en-US"/>
        </w:rPr>
      </w:pPr>
      <w:r>
        <w:rPr>
          <w:rStyle w:val="FootnoteReference"/>
        </w:rPr>
        <w:footnoteRef/>
      </w:r>
      <w:r>
        <w:tab/>
      </w:r>
      <w:r w:rsidRPr="004B790C">
        <w:t>N</w:t>
      </w:r>
      <w:r>
        <w:t xml:space="preserve">ational </w:t>
      </w:r>
      <w:r w:rsidRPr="004B790C">
        <w:t>H</w:t>
      </w:r>
      <w:r>
        <w:t xml:space="preserve">ealth </w:t>
      </w:r>
      <w:r w:rsidRPr="004B790C">
        <w:t>S</w:t>
      </w:r>
      <w:r>
        <w:t xml:space="preserve">ervice </w:t>
      </w:r>
      <w:r w:rsidRPr="004B790C">
        <w:t>L</w:t>
      </w:r>
      <w:r>
        <w:t xml:space="preserve">itigation </w:t>
      </w:r>
      <w:r w:rsidRPr="0020623F">
        <w:t>Authority, 2011.</w:t>
      </w:r>
    </w:p>
  </w:footnote>
  <w:footnote w:id="400">
    <w:p w:rsidR="00250027" w:rsidRPr="0020623F" w:rsidRDefault="00250027" w:rsidP="00122FC9">
      <w:pPr>
        <w:pStyle w:val="FootnoteText"/>
        <w:ind w:left="284" w:hanging="284"/>
      </w:pPr>
      <w:r w:rsidRPr="0020623F">
        <w:rPr>
          <w:rStyle w:val="FootnoteReference"/>
          <w:sz w:val="14"/>
          <w:vertAlign w:val="baseline"/>
        </w:rPr>
        <w:footnoteRef/>
      </w:r>
      <w:r w:rsidRPr="0020623F">
        <w:tab/>
        <w:t>Nursing and Midwifery Council UK, 2010.</w:t>
      </w:r>
    </w:p>
  </w:footnote>
  <w:footnote w:id="401">
    <w:p w:rsidR="00250027" w:rsidRPr="007B29A2" w:rsidRDefault="00250027" w:rsidP="00122FC9">
      <w:pPr>
        <w:pStyle w:val="FootnoteText"/>
        <w:ind w:left="284" w:hanging="284"/>
      </w:pPr>
      <w:r w:rsidRPr="0020623F">
        <w:rPr>
          <w:rStyle w:val="FootnoteReference"/>
          <w:sz w:val="14"/>
          <w:vertAlign w:val="baseline"/>
        </w:rPr>
        <w:footnoteRef/>
      </w:r>
      <w:r w:rsidRPr="0020623F">
        <w:tab/>
        <w:t>Nursing and Midwifery Council UK, 2013e.</w:t>
      </w:r>
    </w:p>
  </w:footnote>
  <w:footnote w:id="402">
    <w:p w:rsidR="00250027" w:rsidRPr="007A1A20" w:rsidRDefault="00250027" w:rsidP="00EA7DEB">
      <w:pPr>
        <w:pStyle w:val="FootnoteText"/>
        <w:ind w:left="284" w:hanging="284"/>
      </w:pPr>
      <w:r w:rsidRPr="007A1A20">
        <w:rPr>
          <w:rStyle w:val="FootnoteReference"/>
          <w:rFonts w:ascii="Georgia" w:hAnsi="Georgia"/>
          <w:sz w:val="14"/>
          <w:vertAlign w:val="baseline"/>
        </w:rPr>
        <w:footnoteRef/>
      </w:r>
      <w:r w:rsidRPr="007A1A20">
        <w:tab/>
        <w:t>Hutton</w:t>
      </w:r>
      <w:r>
        <w:t xml:space="preserve"> EK, Reitsma AH &amp; Kaufman K </w:t>
      </w:r>
      <w:r w:rsidRPr="007A1A20">
        <w:t>2009</w:t>
      </w:r>
      <w:r>
        <w:t>.</w:t>
      </w:r>
    </w:p>
  </w:footnote>
  <w:footnote w:id="403">
    <w:p w:rsidR="00250027" w:rsidRPr="00445275" w:rsidRDefault="00250027" w:rsidP="00EA7DEB">
      <w:pPr>
        <w:pStyle w:val="FootnoteText"/>
        <w:ind w:left="284" w:hanging="284"/>
      </w:pPr>
      <w:r w:rsidRPr="007A1A20">
        <w:rPr>
          <w:rStyle w:val="FootnoteReference"/>
          <w:rFonts w:ascii="Georgia" w:hAnsi="Georgia"/>
          <w:sz w:val="14"/>
          <w:vertAlign w:val="baseline"/>
        </w:rPr>
        <w:footnoteRef/>
      </w:r>
      <w:r w:rsidRPr="007A1A20">
        <w:tab/>
        <w:t>B</w:t>
      </w:r>
      <w:r>
        <w:t>ORN</w:t>
      </w:r>
      <w:r w:rsidRPr="007A1A20">
        <w:t xml:space="preserve"> Ontario, 2012.</w:t>
      </w:r>
    </w:p>
  </w:footnote>
  <w:footnote w:id="404">
    <w:p w:rsidR="00250027" w:rsidRDefault="00250027" w:rsidP="00EA7DEB">
      <w:pPr>
        <w:pStyle w:val="FootnoteText"/>
      </w:pPr>
      <w:r>
        <w:rPr>
          <w:rStyle w:val="FootnoteReference"/>
        </w:rPr>
        <w:footnoteRef/>
      </w:r>
      <w:r>
        <w:t xml:space="preserve"> Personal communication, November 2012.</w:t>
      </w:r>
    </w:p>
  </w:footnote>
  <w:footnote w:id="405">
    <w:p w:rsidR="00250027" w:rsidRDefault="00250027" w:rsidP="00EA7DEB">
      <w:pPr>
        <w:pStyle w:val="FootnoteText"/>
      </w:pPr>
      <w:r>
        <w:rPr>
          <w:rStyle w:val="FootnoteReference"/>
        </w:rPr>
        <w:footnoteRef/>
      </w:r>
      <w:r>
        <w:t xml:space="preserve"> Note this data is the property of HIROC and is not to be used for any other purpose than in assisting Australian midwifery research for AHPRA. Data is as close of business on 31 December 2012.</w:t>
      </w:r>
    </w:p>
  </w:footnote>
  <w:footnote w:id="406">
    <w:p w:rsidR="00250027" w:rsidRPr="007A1A20" w:rsidRDefault="00250027" w:rsidP="00EA7DEB">
      <w:pPr>
        <w:pStyle w:val="FootnoteText"/>
        <w:ind w:left="284" w:hanging="284"/>
      </w:pPr>
      <w:r w:rsidRPr="007A1A20">
        <w:rPr>
          <w:rStyle w:val="FootnoteReference"/>
          <w:rFonts w:ascii="Georgia" w:hAnsi="Georgia"/>
          <w:sz w:val="14"/>
          <w:vertAlign w:val="baseline"/>
        </w:rPr>
        <w:footnoteRef/>
      </w:r>
      <w:r w:rsidRPr="007A1A20">
        <w:tab/>
        <w:t>C</w:t>
      </w:r>
      <w:r>
        <w:t xml:space="preserve">ollege of </w:t>
      </w:r>
      <w:r w:rsidRPr="007A1A20">
        <w:t>M</w:t>
      </w:r>
      <w:r>
        <w:t>idwives of Ontario 2013b.</w:t>
      </w:r>
    </w:p>
  </w:footnote>
  <w:footnote w:id="407">
    <w:p w:rsidR="00250027" w:rsidRPr="007A1A20" w:rsidRDefault="00250027" w:rsidP="00EA7DEB">
      <w:pPr>
        <w:pStyle w:val="FootnoteText"/>
        <w:ind w:left="284" w:hanging="284"/>
      </w:pPr>
      <w:r w:rsidRPr="007A1A20">
        <w:rPr>
          <w:rStyle w:val="FootnoteReference"/>
          <w:rFonts w:ascii="Georgia" w:hAnsi="Georgia"/>
          <w:sz w:val="14"/>
          <w:vertAlign w:val="baseline"/>
        </w:rPr>
        <w:footnoteRef/>
      </w:r>
      <w:r w:rsidRPr="007A1A20">
        <w:tab/>
        <w:t>Association of Midwives Ontario, Personal Communications, 2013.</w:t>
      </w:r>
    </w:p>
  </w:footnote>
  <w:footnote w:id="408">
    <w:p w:rsidR="00250027" w:rsidRPr="007B29A2" w:rsidRDefault="00250027" w:rsidP="00122FC9">
      <w:pPr>
        <w:pStyle w:val="FootnoteText"/>
        <w:ind w:left="284" w:hanging="284"/>
      </w:pPr>
      <w:r w:rsidRPr="007B29A2">
        <w:rPr>
          <w:rStyle w:val="FootnoteReference"/>
          <w:sz w:val="14"/>
          <w:vertAlign w:val="baseline"/>
        </w:rPr>
        <w:footnoteRef/>
      </w:r>
      <w:r>
        <w:tab/>
        <w:t xml:space="preserve"> </w:t>
      </w:r>
      <w:r w:rsidRPr="007B29A2">
        <w:t>De Jonge</w:t>
      </w:r>
      <w:r>
        <w:t xml:space="preserve"> A, van der Goes BY, Ravelli AC, Amelink-Verburg MP, Mol BW, Nijhuis JG, Bennebroek Gravenhorst J &amp; Butiendijk SE </w:t>
      </w:r>
      <w:r w:rsidRPr="007B29A2">
        <w:t>2009.</w:t>
      </w:r>
    </w:p>
  </w:footnote>
  <w:footnote w:id="409">
    <w:p w:rsidR="00250027" w:rsidRPr="00C30171" w:rsidRDefault="00250027" w:rsidP="00EA7DEB">
      <w:pPr>
        <w:pStyle w:val="FootnoteText"/>
        <w:ind w:left="284" w:hanging="284"/>
      </w:pPr>
      <w:r w:rsidRPr="00C30171">
        <w:rPr>
          <w:rStyle w:val="FootnoteReference"/>
          <w:sz w:val="14"/>
          <w:vertAlign w:val="baseline"/>
        </w:rPr>
        <w:footnoteRef/>
      </w:r>
      <w:r>
        <w:tab/>
        <w:t>Home Birth Aotearoa, 2013.</w:t>
      </w:r>
    </w:p>
  </w:footnote>
  <w:footnote w:id="410">
    <w:p w:rsidR="00250027" w:rsidRPr="008A4296" w:rsidRDefault="00250027" w:rsidP="00EA7DEB">
      <w:pPr>
        <w:pStyle w:val="FootnoteText"/>
        <w:ind w:left="284" w:hanging="284"/>
      </w:pPr>
      <w:r w:rsidRPr="008A4296">
        <w:rPr>
          <w:rStyle w:val="FootnoteReference"/>
          <w:rFonts w:ascii="Georgia" w:hAnsi="Georgia"/>
          <w:sz w:val="14"/>
          <w:vertAlign w:val="baseline"/>
        </w:rPr>
        <w:footnoteRef/>
      </w:r>
      <w:r>
        <w:tab/>
        <w:t xml:space="preserve">Guilliland </w:t>
      </w:r>
      <w:r w:rsidRPr="008A4296">
        <w:t>2011.</w:t>
      </w:r>
    </w:p>
  </w:footnote>
  <w:footnote w:id="411">
    <w:p w:rsidR="00250027" w:rsidRDefault="00250027">
      <w:pPr>
        <w:pStyle w:val="FootnoteText"/>
      </w:pPr>
      <w:r>
        <w:rPr>
          <w:rStyle w:val="FootnoteReference"/>
        </w:rPr>
        <w:footnoteRef/>
      </w:r>
      <w:r>
        <w:t xml:space="preserve"> Personal communication, November 2012.</w:t>
      </w:r>
    </w:p>
  </w:footnote>
  <w:footnote w:id="412">
    <w:p w:rsidR="00250027" w:rsidRDefault="00250027">
      <w:pPr>
        <w:pStyle w:val="FootnoteText"/>
      </w:pPr>
      <w:r>
        <w:rPr>
          <w:rStyle w:val="FootnoteReference"/>
        </w:rPr>
        <w:footnoteRef/>
      </w:r>
      <w:r>
        <w:t xml:space="preserve"> Ibid.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B51CCB" w:rsidRDefault="009129A6" w:rsidP="00B51CCB">
    <w:pPr>
      <w:pStyle w:val="Header"/>
    </w:pPr>
    <w:r w:rsidRPr="009129A6">
      <w:rPr>
        <w:noProof/>
        <w:snapToGrid/>
        <w:lang w:eastAsia="en-AU"/>
      </w:rPr>
      <w:pict>
        <v:group id="EvenGrid" o:spid="_x0000_s5385" alt="Grid" style="position:absolute;left:0;text-align:left;margin-left:-165.85pt;margin-top:-34pt;width:561.35pt;height:841.9pt;z-index:251981824" coordsize="11227,16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">
          <v:shapetype id="_x0000_t32" coordsize="21600,21600" o:spt="32" o:oned="t" path="m,l21600,21600e" filled="f">
            <v:path arrowok="t" fillok="f" o:connecttype="none"/>
            <o:lock v:ext="edit" shapetype="t"/>
          </v:shapetype>
          <v:shape id="AutoShape 676" o:spid="_x0000_s5414" type="#_x0000_t32" style="position:absolute;left:680;top:16160;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vG+MMAAADcAAAADwAAAGRycy9kb3ducmV2LnhtbERPS2sCMRC+F/ofwhS81ex6kLI1LiIV&#10;Sr3YrUW9DZvZB91MliTq6q83QsHbfHzPmeWD6cSJnG8tK0jHCQji0uqWawXbn9XrGwgfkDV2lknB&#10;hTzk8+enGWbanvmbTkWoRQxhn6GCJoQ+k9KXDRn0Y9sTR66yzmCI0NVSOzzHcNPJSZJMpcGWY0OD&#10;PS0bKv+Ko1Gwpq9tetnZj8O+uxabarnCX5cqNXoZFu8gAg3hIf53f+o4P53A/Zl4gZ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W7xvjDAAAA3AAAAA8AAAAAAAAAAAAA&#10;AAAAoQIAAGRycy9kb3ducmV2LnhtbFBLBQYAAAAABAAEAPkAAACRAwAAAAA=&#10;" strokecolor="#00b0f0"/>
          <v:shape id="AutoShape 391" o:spid="_x0000_s5413" type="#_x0000_t32" style="position:absolute;width:0;height:168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0LIMMAAADcAAAADwAAAGRycy9kb3ducmV2LnhtbERPS2vCQBC+F/wPywje6saKotFVtCL2&#10;UsEHiLchOybB7GzIrknaX98tCN7m43vOfNmaQtRUudyygkE/AkGcWJ1zquB82r5PQDiPrLGwTAp+&#10;yMFy0XmbY6xtwweqjz4VIYRdjAoy78tYSpdkZND1bUkcuJutDPoAq1TqCpsQbgr5EUVjaTDn0JBh&#10;SZ8ZJffjwygYTb7b5vS7mRaXdT3d+3KnrztWqtdtVzMQnlr/Ej/dXzrMHwzh/5lwgV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4tCyDDAAAA3AAAAA8AAAAAAAAAAAAA&#10;AAAAoQIAAGRycy9kb3ducmV2LnhtbFBLBQYAAAAABAAEAPkAAACRAwAAAAA=&#10;" strokecolor="#f6f"/>
          <v:shape id="AutoShape 392" o:spid="_x0000_s5412" type="#_x0000_t32" style="position:absolute;left:680;top:14437;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77F8MAAADcAAAADwAAAGRycy9kb3ducmV2LnhtbERPS2sCMRC+C/0PYQreNLuliGyNi0iF&#10;Ui92a6nehs3sAzeTJUl17a9vCoK3+fies8gH04kzOd9aVpBOExDEpdUt1wr2n5vJHIQPyBo7y6Tg&#10;Sh7y5cNogZm2F/6gcxFqEUPYZ6igCaHPpPRlQwb91PbEkausMxgidLXUDi8x3HTyKUlm0mDLsaHB&#10;ntYNlafixyjY0vs+vX7b1+Oh+y121XqDXy5Vavw4rF5ABBrCXXxzv+k4P32G/2fiBXL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Ue+xfDAAAA3AAAAA8AAAAAAAAAAAAA&#10;AAAAoQIAAGRycy9kb3ducmV2LnhtbFBLBQYAAAAABAAEAPkAAACRAwAAAAA=&#10;" strokecolor="#00b0f0"/>
          <v:shape id="AutoShape 393" o:spid="_x0000_s5411" type="#_x0000_t32" style="position:absolute;left:11227;width:0;height:168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g2z8IAAADcAAAADwAAAGRycy9kb3ducmV2LnhtbERPTYvCMBC9C/sfwix401RB0WqUVVn0&#10;orC6IN6GZmzLNpPSZNvqrzeC4G0e73Pmy9YUoqbK5ZYVDPoRCOLE6pxTBb+n794EhPPIGgvLpOBG&#10;DpaLj84cY20b/qH66FMRQtjFqCDzvoyldElGBl3flsSBu9rKoA+wSqWusAnhppDDKBpLgzmHhgxL&#10;WmeU/B3/jYLRZN82p/tmWpxX9fTgy62+bFmp7mf7NQPhqfVv8cu902H+YATPZ8IFcvE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og2z8IAAADcAAAADwAAAAAAAAAAAAAA&#10;AAChAgAAZHJzL2Rvd25yZXYueG1sUEsFBgAAAAAEAAQA+QAAAJADAAAAAA==&#10;" strokecolor="#f6f"/>
          <v:shape id="AutoShape 394" o:spid="_x0000_s5410" type="#_x0000_t32" style="position:absolute;left:11000;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A+8MAAADcAAAADwAAAGRycy9kb3ducmV2LnhtbERPS2sCMRC+C/0PYQreNLs9SNkaF5EK&#10;pV7salFvw2b2QTeTJUl19dc3BcHbfHzPmeeD6cSZnG8tK0inCQji0uqWawX73XryCsIHZI2dZVJw&#10;JQ/54mk0x0zbC3/RuQi1iCHsM1TQhNBnUvqyIYN+anviyFXWGQwRulpqh5cYbjr5kiQzabDl2NBg&#10;T6uGyp/i1yjY0Oc+vR7s++nY3YpttVrjt0uVGj8PyzcQgYbwEN/dHzrOT2fw/0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qAwPvDAAAA3AAAAA8AAAAAAAAAAAAA&#10;AAAAoQIAAGRycy9kb3ducmV2LnhtbFBLBQYAAAAABAAEAPkAAACRAwAAAAA=&#10;" strokecolor="#00b0f0"/>
          <v:shape id="AutoShape 395" o:spid="_x0000_s5409" type="#_x0000_t32" style="position:absolute;left:680;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xlYMMAAADcAAAADwAAAGRycy9kb3ducmV2LnhtbERPS2sCMRC+C/0PYQreNLs9VNkaF5EK&#10;pV7s1lK9DZvZB24mS5Lq2l/fFARv8/E9Z5EPphNncr61rCCdJiCIS6tbrhXsPzeTOQgfkDV2lknB&#10;lTzky4fRAjNtL/xB5yLUIoawz1BBE0KfSenLhgz6qe2JI1dZZzBE6GqpHV5iuOnkU5I8S4Mtx4YG&#10;e1o3VJ6KH6NgS+/79PptX4+H7rfYVesNfrlUqfHjsHoBEWgId/HN/abj/HQG/8/EC+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MZWDDAAAA3AAAAA8AAAAAAAAAAAAA&#10;AAAAoQIAAGRycy9kb3ducmV2LnhtbFBLBQYAAAAABAAEAPkAAACRAwAAAAA=&#10;" strokecolor="#00b0f0"/>
          <v:shape id="AutoShape 396" o:spid="_x0000_s5408" type="#_x0000_t32" style="position:absolute;left:3090;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FPxEsYAAADcAAAADwAAAGRycy9kb3ducmV2LnhtbESPQWvCQBCF7wX/wzJCb3WTHkpJXUVE&#10;QerFpkrb25Adk2B2NuyuGv31nUOhtxnem/e+mc4H16kLhdh6NpBPMlDElbct1wb2n+unV1AxIVvs&#10;PJOBG0WYz0YPUyysv/IHXcpUKwnhWKCBJqW+0DpWDTmME98Ti3b0wWGSNdTaBrxKuOv0c5a9aIct&#10;S0ODPS0bqk7l2RnY0vs+v3351c93dy93x+UaDyE35nE8LN5AJRrSv/nvemMFPxdaeUYm0L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T8RLGAAAA3AAAAA8AAAAAAAAA&#10;AAAAAAAAoQIAAGRycy9kb3ducmV2LnhtbFBLBQYAAAAABAAEAPkAAACUAwAAAAA=&#10;" strokecolor="#00b0f0"/>
          <v:shape id="AutoShape 397" o:spid="_x0000_s5407" type="#_x0000_t32" style="position:absolute;left:3317;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9UicMAAADcAAAADwAAAGRycy9kb3ducmV2LnhtbERPS2sCMRC+C/0PYQreNLs9FN0aF5EK&#10;pV7s1lK9DZvZB24mS5Lq2l/fFARv8/E9Z5EPphNncr61rCCdJiCIS6tbrhXsPzeTGQgfkDV2lknB&#10;lTzky4fRAjNtL/xB5yLUIoawz1BBE0KfSenLhgz6qe2JI1dZZzBE6GqpHV5iuOnkU5I8S4Mtx4YG&#10;e1o3VJ6KH6NgS+/79PptX4+H7rfYVesNfrlUqfHjsHoBEWgId/HN/abj/HQO/8/EC+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sfVInDAAAA3AAAAA8AAAAAAAAAAAAA&#10;AAAAoQIAAGRycy9kb3ducmV2LnhtbFBLBQYAAAAABAAEAPkAAACRAwAAAAA=&#10;" strokecolor="#00b0f0"/>
          <v:shape id="AutoShape 398" o:spid="_x0000_s5406" type="#_x0000_t32" style="position:absolute;left:5727;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Ek3qcYAAADcAAAADwAAAGRycy9kb3ducmV2LnhtbESPQWvCQBCF74X+h2UKvdVNPJSSuoqI&#10;QmkvbbSotyE7JsHsbNjdauyvdw6Ctxnem/e+mcwG16kThdh6NpCPMlDElbct1wY269XLG6iYkC12&#10;nsnAhSLMpo8PEyysP/MPncpUKwnhWKCBJqW+0DpWDTmMI98Ti3bwwWGSNdTaBjxLuOv0OMtetcOW&#10;paHBnhYNVcfyzxn4os9Nftn65X7X/Zffh8UKf0NuzPPTMH8HlWhId/Pt+sMK/ljw5RmZQE+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RJN6nGAAAA3AAAAA8AAAAAAAAA&#10;AAAAAAAAoQIAAGRycy9kb3ducmV2LnhtbFBLBQYAAAAABAAEAPkAAACUAwAAAAA=&#10;" strokecolor="#00b0f0"/>
          <v:shape id="AutoShape 399" o:spid="_x0000_s5405" type="#_x0000_t32" style="position:absolute;left:5953;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WSMsMAAADcAAAADwAAAGRycy9kb3ducmV2LnhtbERPS2sCMRC+F/ofwhS81ex6kLI1LiIV&#10;Sr3YrUW9DZvZB91MliTq6q83QsHbfHzPmeWD6cSJnG8tK0jHCQji0uqWawXbn9XrGwgfkDV2lknB&#10;hTzk8+enGWbanvmbTkWoRQxhn6GCJoQ+k9KXDRn0Y9sTR66yzmCI0NVSOzzHcNPJSZJMpcGWY0OD&#10;PS0bKv+Ko1Gwpq9tetnZj8O+uxabarnCX5cqNXoZFu8gAg3hIf53f+o4f5LC/Zl4gZ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sFkjLDAAAA3AAAAA8AAAAAAAAAAAAA&#10;AAAAoQIAAGRycy9kb3ducmV2LnhtbFBLBQYAAAAABAAEAPkAAACRAwAAAAA=&#10;" strokecolor="#00b0f0"/>
          <v:shape id="AutoShape 400" o:spid="_x0000_s5404" type="#_x0000_t32" style="position:absolute;left:8363;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9cMRcMAAADcAAAADwAAAGRycy9kb3ducmV2LnhtbERPTWvCQBC9F/wPywi91U1yKCW6ioiC&#10;2ItNFfU2ZMckmJ0Nu1uN/vpuoeBtHu9zJrPetOJKzjeWFaSjBARxaXXDlYLd9+rtA4QPyBpby6Tg&#10;Th5m08HLBHNtb/xF1yJUIoawz1FBHUKXS+nLmgz6ke2II3e2zmCI0FVSO7zFcNPKLEnepcGGY0ON&#10;HS1qKi/Fj1HwSZtdej/Y5enYPortebHCvUuVeh328zGIQH14iv/dax3nZxn8PRMvkNN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XDEXDAAAA3AAAAA8AAAAAAAAAAAAA&#10;AAAAoQIAAGRycy9kb3ducmV2LnhtbFBLBQYAAAAABAAEAPkAAACRAwAAAAA=&#10;" strokecolor="#00b0f0"/>
          <v:shape id="AutoShape 401" o:spid="_x0000_s5403" type="#_x0000_t32" style="position:absolute;left:8590;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up3sMAAADcAAAADwAAAGRycy9kb3ducmV2LnhtbERPTWvCQBC9C/0PyxS86SYWRFJXKVJB&#10;6kWjpe1tyI5JaHY27K4a/fWuIHibx/uc6bwzjTiR87VlBekwAUFcWF1zqWC/Ww4mIHxA1thYJgUX&#10;8jCfvfSmmGl75i2d8lCKGMI+QwVVCG0mpS8qMuiHtiWO3ME6gyFCV0rt8BzDTSNHSTKWBmuODRW2&#10;tKio+M+PRsGavvbp5cd+/v0213xzWCzx26VK9V+7j3cQgbrwFD/cKx3nj97g/ky8QM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bqd7DAAAA3AAAAA8AAAAAAAAAAAAA&#10;AAAAoQIAAGRycy9kb3ducmV2LnhtbFBLBQYAAAAABAAEAPkAAACRAwAAAAA=&#10;" strokecolor="#00b0f0"/>
          <v:shape id="AutoShape 402" o:spid="_x0000_s5402" type="#_x0000_t32" style="position:absolute;left:680;top:680;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3IxqsMAAADcAAAADwAAAGRycy9kb3ducmV2LnhtbERPTWvCQBC9C/0PyxS86SZSRFJXKVJB&#10;6kWjpe1tyI5JaHY27K4a/fWuIHibx/uc6bwzjTiR87VlBekwAUFcWF1zqWC/Ww4mIHxA1thYJgUX&#10;8jCfvfSmmGl75i2d8lCKGMI+QwVVCG0mpS8qMuiHtiWO3ME6gyFCV0rt8BzDTSNHSTKWBmuODRW2&#10;tKio+M+PRsGavvbp5cd+/v0213xzWCzx26VK9V+7j3cQgbrwFD/cKx3nj97g/ky8QM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tyMarDAAAA3AAAAA8AAAAAAAAAAAAA&#10;AAAAoQIAAGRycy9kb3ducmV2LnhtbFBLBQYAAAAABAAEAPkAAACRAwAAAAA=&#10;" strokecolor="#00b0f0"/>
          <v:shape id="AutoShape 403" o:spid="_x0000_s5401" type="#_x0000_t32" style="position:absolute;left:680;top:1542;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6UMcMAAADcAAAADwAAAGRycy9kb3ducmV2LnhtbERPTWvCQBC9C/0PyxS86SZCRVJXKVJB&#10;6kWjpe1tyI5JaHY27K4a/fWuIHibx/uc6bwzjTiR87VlBekwAUFcWF1zqWC/Ww4mIHxA1thYJgUX&#10;8jCfvfSmmGl75i2d8lCKGMI+QwVVCG0mpS8qMuiHtiWO3ME6gyFCV0rt8BzDTSNHSTKWBmuODRW2&#10;tKio+M+PRsGavvbp5cd+/v0213xzWCzx26VK9V+7j3cQgbrwFD/cKx3nj97g/ky8QM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Q+lDHDAAAA3AAAAA8AAAAAAAAAAAAA&#10;AAAAoQIAAGRycy9kb3ducmV2LnhtbFBLBQYAAAAABAAEAPkAAACRAwAAAAA=&#10;" strokecolor="#00b0f0"/>
          <v:shape id="AutoShape 404" o:spid="_x0000_s5400" type="#_x0000_t32" style="position:absolute;left:680;top:2399;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wKRsMAAADcAAAADwAAAGRycy9kb3ducmV2LnhtbERPTWvCQBC9F/oflil4azbxIJK6ikiF&#10;oheNluptyI5JMDsbdleN/vpuQehtHu9zJrPetOJKzjeWFWRJCoK4tLrhSsF+t3wfg/ABWWNrmRTc&#10;ycNs+voywVzbG2/pWoRKxBD2OSqoQ+hyKX1Zk0Gf2I44cifrDIYIXSW1w1sMN60cpulIGmw4NtTY&#10;0aKm8lxcjII1rfbZ/cd+Hg/to9icFkv8dplSg7d+/gEiUB/+xU/3l47zhyP4eyZeIK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TsCkbDAAAA3AAAAA8AAAAAAAAAAAAA&#10;AAAAoQIAAGRycy9kb3ducmV2LnhtbFBLBQYAAAAABAAEAPkAAACRAwAAAAA=&#10;" strokecolor="#00b0f0"/>
          <v:shape id="AutoShape 405" o:spid="_x0000_s5399" type="#_x0000_t32" style="position:absolute;left:680;top:3259;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Cv3cMAAADcAAAADwAAAGRycy9kb3ducmV2LnhtbERPTWvCQBC9C/0PyxS86SYeqqSuUqSC&#10;1ItGS9vbkB2T0Oxs2F01+utdQfA2j/c503lnGnEi52vLCtJhAoK4sLrmUsF+txxMQPiArLGxTAou&#10;5GE+e+lNMdP2zFs65aEUMYR9hgqqENpMSl9UZNAPbUscuYN1BkOErpTa4TmGm0aOkuRNGqw5NlTY&#10;0qKi4j8/GgVr+tqnlx/7+ffbXPPNYbHEb5cq1X/tPt5BBOrCU/xwr3ScPxrD/Zl4gZz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gr93DAAAA3AAAAA8AAAAAAAAAAAAA&#10;AAAAoQIAAGRycy9kb3ducmV2LnhtbFBLBQYAAAAABAAEAPkAAACRAwAAAAA=&#10;" strokecolor="#00b0f0"/>
          <v:shape id="AutoShape 406" o:spid="_x0000_s5398" type="#_x0000_t32" style="position:absolute;left:680;top:4119;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87r8YAAADcAAAADwAAAGRycy9kb3ducmV2LnhtbESPQWvCQBCF74X+h2UKvdVNPJSSuoqI&#10;QmkvbbSotyE7JsHsbNjdauyvdw6Ctxnem/e+mcwG16kThdh6NpCPMlDElbct1wY269XLG6iYkC12&#10;nsnAhSLMpo8PEyysP/MPncpUKwnhWKCBJqW+0DpWDTmMI98Ti3bwwWGSNdTaBjxLuOv0OMtetcOW&#10;paHBnhYNVcfyzxn4os9Nftn65X7X/Zffh8UKf0NuzPPTMH8HlWhId/Pt+sMK/lho5RmZQE+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o/O6/GAAAA3AAAAA8AAAAAAAAA&#10;AAAAAAAAoQIAAGRycy9kb3ducmV2LnhtbFBLBQYAAAAABAAEAPkAAACUAwAAAAA=&#10;" strokecolor="#00b0f0"/>
          <v:shape id="AutoShape 407" o:spid="_x0000_s5397" type="#_x0000_t32" style="position:absolute;left:680;top:4979;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OeNMMAAADcAAAADwAAAGRycy9kb3ducmV2LnhtbERPTWvCQBC9C/0PyxS86SYeiqauUqSC&#10;1ItGS9vbkB2T0Oxs2F01+utdQfA2j/c503lnGnEi52vLCtJhAoK4sLrmUsF+txyMQfiArLGxTAou&#10;5GE+e+lNMdP2zFs65aEUMYR9hgqqENpMSl9UZNAPbUscuYN1BkOErpTa4TmGm0aOkuRNGqw5NlTY&#10;0qKi4j8/GgVr+tqnlx/7+ffbXPPNYbHEb5cq1X/tPt5BBOrCU/xwr3ScP5rA/Zl4gZz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njTDAAAA3AAAAA8AAAAAAAAAAAAA&#10;AAAAoQIAAGRycy9kb3ducmV2LnhtbFBLBQYAAAAABAAEAPkAAACRAwAAAAA=&#10;" strokecolor="#00b0f0"/>
          <v:shape id="AutoShape 408" o:spid="_x0000_s5396" type="#_x0000_t32" style="position:absolute;left:680;top:5839;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ChdMYAAADcAAAADwAAAGRycy9kb3ducmV2LnhtbESPQWvCQBCF74X+h2UEb3UThVKiq4hU&#10;kPbSppbqbciOSTA7G3a3GvvrO4dCbzO8N+99s1gNrlMXCrH1bCCfZKCIK29brg3sP7YPT6BiQrbY&#10;eSYDN4qwWt7fLbCw/srvdClTrSSEY4EGmpT6QutYNeQwTnxPLNrJB4dJ1lBrG/Aq4a7T0yx71A5b&#10;loYGe9o0VJ3Lb2fglV72+e3LPx8P3U/5dtps8TPkxoxHw3oOKtGQ/s1/1zsr+DPBl2dkAr3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GQoXTGAAAA3AAAAA8AAAAAAAAA&#10;AAAAAAAAoQIAAGRycy9kb3ducmV2LnhtbFBLBQYAAAAABAAEAPkAAACUAwAAAAA=&#10;" strokecolor="#00b0f0"/>
          <v:shape id="AutoShape 409" o:spid="_x0000_s5395" type="#_x0000_t32" style="position:absolute;left:680;top:6698;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E78MAAADcAAAADwAAAGRycy9kb3ducmV2LnhtbERPS2sCMRC+C/0PYQreNLstiGyNi0iF&#10;Ui92a6nehs3sAzeTJUl17a9vCoK3+fies8gH04kzOd9aVpBOExDEpdUt1wr2n5vJHIQPyBo7y6Tg&#10;Sh7y5cNogZm2F/6gcxFqEUPYZ6igCaHPpPRlQwb91PbEkausMxgidLXUDi8x3HTyKUlm0mDLsaHB&#10;ntYNlafixyjY0vs+vX7b1+Oh+y121XqDXy5Vavw4rF5ABBrCXXxzv+k4/zmF/2fiBXL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7cBO/DAAAA3AAAAA8AAAAAAAAAAAAA&#10;AAAAoQIAAGRycy9kb3ducmV2LnhtbFBLBQYAAAAABAAEAPkAAACRAwAAAAA=&#10;" strokecolor="#00b0f0"/>
          <v:shape id="AutoShape 410" o:spid="_x0000_s5394" type="#_x0000_t32" style="position:absolute;left:680;top:7558;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6amMMAAADcAAAADwAAAGRycy9kb3ducmV2LnhtbERPTWvCQBC9C/0PyxS86SYWRFJXKVJB&#10;6kWjpe1tyI5JaHY27K4a/fWuIHibx/uc6bwzjTiR87VlBekwAUFcWF1zqWC/Ww4mIHxA1thYJgUX&#10;8jCfvfSmmGl75i2d8lCKGMI+QwVVCG0mpS8qMuiHtiWO3ME6gyFCV0rt8BzDTSNHSTKWBmuODRW2&#10;tKio+M+PRsGavvbp5cd+/v0213xzWCzx26VK9V+7j3cQgbrwFD/cKx3nv43g/ky8QM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4OmpjDAAAA3AAAAA8AAAAAAAAAAAAA&#10;AAAAoQIAAGRycy9kb3ducmV2LnhtbFBLBQYAAAAABAAEAPkAAACRAwAAAAA=&#10;" strokecolor="#00b0f0"/>
          <v:shape id="AutoShape 411" o:spid="_x0000_s5393" type="#_x0000_t32" style="position:absolute;left:680;top:8418;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I/A8MAAADcAAAADwAAAGRycy9kb3ducmV2LnhtbERPTWvCQBC9C/0PyxS86SYKIqmrFKkg&#10;erHR0vY2ZMckNDsbdleN/nq3IHibx/uc2aIzjTiT87VlBekwAUFcWF1zqeCwXw2mIHxA1thYJgVX&#10;8rCYv/RmmGl74U8656EUMYR9hgqqENpMSl9UZNAPbUscuaN1BkOErpTa4SWGm0aOkmQiDdYcGyps&#10;aVlR8ZefjIItbQ7p9dt+/P40t3x3XK7wy6VK9V+79zcQgbrwFD/cax3nj8fw/0y8QM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FCPwPDAAAA3AAAAA8AAAAAAAAAAAAA&#10;AAAAoQIAAGRycy9kb3ducmV2LnhtbFBLBQYAAAAABAAEAPkAAACRAwAAAAA=&#10;" strokecolor="#00b0f0"/>
          <v:shape id="AutoShape 412" o:spid="_x0000_s5392" type="#_x0000_t32" style="position:absolute;left:680;top:9278;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und8QAAADcAAAADwAAAGRycy9kb3ducmV2LnhtbERPTWvCQBC9C/6HZYTe6ia2FEldRUSh&#10;tJcaI21vQ3ZMgtnZsLvV2F/fFQRv83ifM1v0phUncr6xrCAdJyCIS6sbrhQUu83jFIQPyBpby6Tg&#10;Qh4W8+Fghpm2Z97SKQ+ViCHsM1RQh9BlUvqyJoN+bDviyB2sMxgidJXUDs8x3LRykiQv0mDDsaHG&#10;jlY1lcf81yj4oPcivXzZ9c93+5d/HlYb3LtUqYdRv3wFEagPd/HN/abj/Kdn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q6d3xAAAANwAAAAPAAAAAAAAAAAA&#10;AAAAAKECAABkcnMvZG93bnJldi54bWxQSwUGAAAAAAQABAD5AAAAkgMAAAAA&#10;" strokecolor="#00b0f0"/>
          <v:shape id="AutoShape 413" o:spid="_x0000_s5391" type="#_x0000_t32" style="position:absolute;left:680;top:10138;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cC7MQAAADcAAAADwAAAGRycy9kb3ducmV2LnhtbERPTWvCQBC9C/6HZYTe6iaWFkldRUSh&#10;tJcaI21vQ3ZMgtnZsLvV2F/fFQRv83ifM1v0phUncr6xrCAdJyCIS6sbrhQUu83jFIQPyBpby6Tg&#10;Qh4W8+Fghpm2Z97SKQ+ViCHsM1RQh9BlUvqyJoN+bDviyB2sMxgidJXUDs8x3LRykiQv0mDDsaHG&#10;jlY1lcf81yj4oPcivXzZ9c93+5d/HlYb3LtUqYdRv3wFEagPd/HN/abj/Kdn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5wLsxAAAANwAAAAPAAAAAAAAAAAA&#10;AAAAAKECAABkcnMvZG93bnJldi54bWxQSwUGAAAAAAQABAD5AAAAkgMAAAAA&#10;" strokecolor="#00b0f0"/>
          <v:shape id="AutoShape 414" o:spid="_x0000_s5390" type="#_x0000_t32" style="position:absolute;left:680;top:10997;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Wcm8MAAADcAAAADwAAAGRycy9kb3ducmV2LnhtbERPTWvCQBC9F/wPywje6iYVpERXEVEo&#10;9aKpot6G7JgEs7Nhd6uxv74rFHqbx/uc6bwzjbiR87VlBekwAUFcWF1zqWD/tX59B+EDssbGMil4&#10;kIf5rPcyxUzbO+/olodSxBD2GSqoQmgzKX1RkUE/tC1x5C7WGQwRulJqh/cYbhr5liRjabDm2FBh&#10;S8uKimv+bRRs6HOfPo52dT41P/n2slzjwaVKDfrdYgIiUBf+xX/uDx3nj8bwfCZeIG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E1nJvDAAAA3AAAAA8AAAAAAAAAAAAA&#10;AAAAoQIAAGRycy9kb3ducmV2LnhtbFBLBQYAAAAABAAEAPkAAACRAwAAAAA=&#10;" strokecolor="#00b0f0"/>
          <v:shape id="AutoShape 415" o:spid="_x0000_s5389" type="#_x0000_t32" style="position:absolute;left:680;top:11857;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k5AMQAAADcAAAADwAAAGRycy9kb3ducmV2LnhtbERPTWvCQBC9C/6HZYTe6iYWWkldRUSh&#10;tJcaI21vQ3ZMgtnZsLvV2F/fFQRv83ifM1v0phUncr6xrCAdJyCIS6sbrhQUu83jFIQPyBpby6Tg&#10;Qh4W8+Fghpm2Z97SKQ+ViCHsM1RQh9BlUvqyJoN+bDviyB2sMxgidJXUDs8x3LRykiTP0mDDsaHG&#10;jlY1lcf81yj4oPcivXzZ9c93+5d/HlYb3LtUqYdRv3wFEagPd/HN/abj/KcX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eTkAxAAAANwAAAAPAAAAAAAAAAAA&#10;AAAAAKECAABkcnMvZG93bnJldi54bWxQSwUGAAAAAAQABAD5AAAAkgMAAAAA&#10;" strokecolor="#00b0f0"/>
          <v:shape id="AutoShape 416" o:spid="_x0000_s5388" type="#_x0000_t32" style="position:absolute;left:680;top:12717;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tcsYAAADcAAAADwAAAGRycy9kb3ducmV2LnhtbESPQWvCQBCF74X+h2UEb3UThVKiq4hU&#10;kPbSppbqbciOSTA7G3a3GvvrO4dCbzO8N+99s1gNrlMXCrH1bCCfZKCIK29brg3sP7YPT6BiQrbY&#10;eSYDN4qwWt7fLbCw/srvdClTrSSEY4EGmpT6QutYNeQwTnxPLNrJB4dJ1lBrG/Aq4a7T0yx71A5b&#10;loYGe9o0VJ3Lb2fglV72+e3LPx8P3U/5dtps8TPkxoxHw3oOKtGQ/s1/1zsr+DOhlWdkAr3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mrXLGAAAA3AAAAA8AAAAAAAAA&#10;AAAAAAAAoQIAAGRycy9kb3ducmV2LnhtbFBLBQYAAAAABAAEAPkAAACUAwAAAAA=&#10;" strokecolor="#00b0f0"/>
          <v:shape id="AutoShape 417" o:spid="_x0000_s5387" type="#_x0000_t32" style="position:absolute;left:680;top:13577;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oI6cQAAADcAAAADwAAAGRycy9kb3ducmV2LnhtbERPTWvCQBC9C/6HZYTe6iYWSk1dRUSh&#10;tJcaI21vQ3ZMgtnZsLvV2F/fFQRv83ifM1v0phUncr6xrCAdJyCIS6sbrhQUu83jCwgfkDW2lknB&#10;hTws5sPBDDNtz7ylUx4qEUPYZ6igDqHLpPRlTQb92HbEkTtYZzBE6CqpHZ5juGnlJEmepcGGY0ON&#10;Ha1qKo/5r1HwQe9Fevmy65/v9i//PKw2uHepUg+jfvkKIlAf7uKb+03H+U9T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qgjpxAAAANwAAAAPAAAAAAAAAAAA&#10;AAAAAKECAABkcnMvZG93bnJldi54bWxQSwUGAAAAAAQABAD5AAAAkgMAAAAA&#10;" strokecolor="#00b0f0"/>
          <v:shape id="AutoShape 418" o:spid="_x0000_s5386" type="#_x0000_t32" style="position:absolute;left:680;top:15296;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bSCcYAAADcAAAADwAAAGRycy9kb3ducmV2LnhtbESPQWvCQBCF74X+h2UEb3UTkVKiq4hU&#10;kPbSppbqbciOSTA7G3a3GvvrO4dCbzO8N+99s1gNrlMXCrH1bCCfZKCIK29brg3sP7YPT6BiQrbY&#10;eSYDN4qwWt7fLbCw/srvdClTrSSEY4EGmpT6QutYNeQwTnxPLNrJB4dJ1lBrG/Aq4a7T0yx71A5b&#10;loYGe9o0VJ3Lb2fglV72+e3LPx8P3U/5dtps8TPkxoxHw3oOKtGQ/s1/1zsr+DPBl2dkAr3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mW0gnGAAAA3AAAAA8AAAAAAAAA&#10;AAAAAAAAoQIAAGRycy9kb3ducmV2LnhtbFBLBQYAAAAABAAEAPkAAACUAwAAAAA=&#10;" strokecolor="#00b0f0"/>
        </v:group>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9129A6" w:rsidP="00B51CCB">
    <w:pPr>
      <w:pStyle w:val="Header"/>
    </w:pPr>
    <w:r w:rsidRPr="009129A6">
      <w:rPr>
        <w:noProof/>
        <w:snapToGrid/>
        <w:lang w:eastAsia="en-AU"/>
      </w:rPr>
      <w:pict>
        <v:group id="OddGrid" o:spid="_x0000_s5354" alt="Grid" style="position:absolute;left:0;text-align:left;margin-left:-177.2pt;margin-top:-34pt;width:561.35pt;height:841.9pt;z-index:252043264" coordsize="11227,16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">
          <v:shapetype id="_x0000_t32" coordsize="21600,21600" o:spt="32" o:oned="t" path="m,l21600,21600e" filled="f">
            <v:path arrowok="t" fillok="f" o:connecttype="none"/>
            <o:lock v:ext="edit" shapetype="t"/>
          </v:shapetype>
          <v:shape id="AutoShape 677" o:spid="_x0000_s5384" type="#_x0000_t32" style="position:absolute;left:907;top:16160;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2ASMQAAADbAAAADwAAAGRycy9kb3ducmV2LnhtbESPQWvCQBSE74L/YXmCN7NJDyLRVYoo&#10;lHqxqaK9PbLPJJh9G3a3Gvvru4WCx2FmvmEWq9604kbON5YVZEkKgri0uuFKweFzO5mB8AFZY2uZ&#10;FDzIw2o5HCww1/bOH3QrQiUihH2OCuoQulxKX9Zk0Ce2I47exTqDIUpXSe3wHuGmlS9pOpUGG44L&#10;NXa0rqm8Ft9GwY7eD9njZDdf5/an2F/WWzy6TKnxqH+dgwjUh2f4v/2mFcwy+PsSf4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LYBIxAAAANsAAAAPAAAAAAAAAAAA&#10;AAAAAKECAABkcnMvZG93bnJldi54bWxQSwUGAAAAAAQABAD5AAAAkgMAAAAA&#10;" strokecolor="#00b0f0"/>
          <v:group id="Group 681" o:spid="_x0000_s5355" style="position:absolute;width:11227;height:16838" coordsize="11227,168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shape id="AutoShape 273" o:spid="_x0000_s5383" type="#_x0000_t32" style="position:absolute;width:0;height:168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2IpcUAAADbAAAADwAAAGRycy9kb3ducmV2LnhtbESPT2vCQBTE7wW/w/KE3upGpRKjq/iH&#10;oheFaqH09sg+k2D2bchuk7Sf3hUEj8PM/IaZLztTioZqV1hWMBxEIIhTqwvOFHydP95iEM4jaywt&#10;k4I/crBc9F7mmGjb8ic1J5+JAGGXoILc+yqR0qU5GXQDWxEH72Jrgz7IOpO6xjbATSlHUTSRBgsO&#10;CzlWtMkpvZ5+jYL3+NC15//ttPxeN9Ojr3b6Z8dKvfa71QyEp84/w4/2XiuIx3D/En6A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Z2IpcUAAADbAAAADwAAAAAAAAAA&#10;AAAAAAChAgAAZHJzL2Rvd25yZXYueG1sUEsFBgAAAAAEAAQA+QAAAJMDAAAAAA==&#10;" strokecolor="#f6f"/>
            <v:shape id="AutoShape 274" o:spid="_x0000_s5382" type="#_x0000_t32" style="position:absolute;left:907;top:14437;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oj0MQAAADbAAAADwAAAGRycy9kb3ducmV2LnhtbESPQWvCQBSE70L/w/IK3nQTEZHUVYpU&#10;EL3YaGl7e2SfSWj2bdhdNfrru4LgcZiZb5jZojONOJPztWUF6TABQVxYXXOp4LBfDaYgfEDW2Fgm&#10;BVfysJi/9GaYaXvhTzrnoRQRwj5DBVUIbSalLyoy6Ie2JY7e0TqDIUpXSu3wEuGmkaMkmUiDNceF&#10;CltaVlT85SejYEubQ3r9th+/P80t3x2XK/xyqVL91+79DUSgLjzDj/ZaK5iO4f4l/gA5/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WiPQxAAAANsAAAAPAAAAAAAAAAAA&#10;AAAAAKECAABkcnMvZG93bnJldi54bWxQSwUGAAAAAAQABAD5AAAAkgMAAAAA&#10;" strokecolor="#00b0f0"/>
            <v:shape id="AutoShape 275" o:spid="_x0000_s5381" type="#_x0000_t32" style="position:absolute;left:680;width:0;height:168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i1SsUAAADbAAAADwAAAGRycy9kb3ducmV2LnhtbESPQWvCQBSE70L/w/IK3nRTQYkxG2kr&#10;RS8VqoJ4e2SfSTD7NmS3Seyv7xaEHoeZ+YZJ14OpRUetqywreJlGIIhzqysuFJyOH5MYhPPIGmvL&#10;pOBODtbZ0yjFRNuev6g7+EIECLsEFZTeN4mULi/JoJvahjh4V9sa9EG2hdQt9gFuajmLooU0WHFY&#10;KLGh95Ly2+HbKJjHn0N//Nks6/Nbt9z7ZqsvW1Zq/Dy8rkB4Gvx/+NHeaQXxHP6+hB8gs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Ti1SsUAAADbAAAADwAAAAAAAAAA&#10;AAAAAAChAgAAZHJzL2Rvd25yZXYueG1sUEsFBgAAAAAEAAQA+QAAAJMDAAAAAA==&#10;" strokecolor="#f6f"/>
            <v:shape id="AutoShape 276" o:spid="_x0000_s5380" type="#_x0000_t32" style="position:absolute;left:11227;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QYPMQAAADbAAAADwAAAGRycy9kb3ducmV2LnhtbESPQWvCQBSE70L/w/IKvZlNPIikrlKk&#10;QrGXGpXq7ZF9JqHZt2F3q9Ff7wqCx2FmvmGm89604kTON5YVZEkKgri0uuFKwXazHE5A+ICssbVM&#10;Ci7kYT57GUwx1/bMazoVoRIRwj5HBXUIXS6lL2sy6BPbEUfvaJ3BEKWrpHZ4jnDTylGajqXBhuNC&#10;jR0tair/in+j4JtW2+zyaz8P+/Za/BwXS9y5TKm31/7jHUSgPjzDj/aXVjAZw/1L/AFyd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xBg8xAAAANsAAAAPAAAAAAAAAAAA&#10;AAAAAKECAABkcnMvZG93bnJldi54bWxQSwUGAAAAAAQABAD5AAAAkgMAAAAA&#10;" strokecolor="#00b0f0"/>
            <v:shape id="AutoShape 277" o:spid="_x0000_s5379" type="#_x0000_t32" style="position:absolute;left:907;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i9p8QAAADbAAAADwAAAGRycy9kb3ducmV2LnhtbESPQWvCQBSE70L/w/IK3nQTDyqpqxSp&#10;IHqx0dL29sg+k9Ds27C7avTXdwXB4zAz3zCzRWcacSbna8sK0mECgriwuuZSwWG/GkxB+ICssbFM&#10;Cq7kYTF/6c0w0/bCn3TOQykihH2GCqoQ2kxKX1Rk0A9tSxy9o3UGQ5SulNrhJcJNI0dJMpYGa44L&#10;Fba0rKj4y09GwZY2h/T6bT9+f5pbvjsuV/jlUqX6r937G4hAXXiGH+21VjCdwP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iL2nxAAAANsAAAAPAAAAAAAAAAAA&#10;AAAAAKECAABkcnMvZG93bnJldi54bWxQSwUGAAAAAAQABAD5AAAAkgMAAAAA&#10;" strokecolor="#00b0f0"/>
            <v:shape id="AutoShape 278" o:spid="_x0000_s5378" type="#_x0000_t32" style="position:absolute;left:3317;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cp1cEAAADbAAAADwAAAGRycy9kb3ducmV2LnhtbERPTYvCMBC9C/sfwix407R7WKQaRURh&#10;cS9uVdTb0IxtsZmUJGrdX28OgsfH+57MOtOIGzlfW1aQDhMQxIXVNZcKdtvVYATCB2SNjWVS8CAP&#10;s+lHb4KZtnf+o1seShFD2GeooAqhzaT0RUUG/dC2xJE7W2cwROhKqR3eY7hp5FeSfEuDNceGClta&#10;VFRc8qtR8EvrXfo42OXp2Pznm/NihXuXKtX/7OZjEIG68Ba/3D9awSiOjV/iD5DT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zFynVwQAAANsAAAAPAAAAAAAAAAAAAAAA&#10;AKECAABkcnMvZG93bnJldi54bWxQSwUGAAAAAAQABAD5AAAAjwMAAAAA&#10;" strokecolor="#00b0f0"/>
            <v:shape id="AutoShape 279" o:spid="_x0000_s5377" type="#_x0000_t32" style="position:absolute;left:3544;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uMTsUAAADbAAAADwAAAGRycy9kb3ducmV2LnhtbESPT2sCMRTE70K/Q3iF3jS7HopujUuR&#10;CmIv7Wppe3ts3v6hm5clibr66U1B8DjMzG+YRT6YThzJ+daygnSSgCAurW65VrDfrcczED4ga+ws&#10;k4IzeciXD6MFZtqe+JOORahFhLDPUEETQp9J6cuGDPqJ7YmjV1lnMETpaqkdniLcdHKaJM/SYMtx&#10;ocGeVg2Vf8XBKHin7T49f9u335/uUnxUqzV+uVSpp8fh9QVEoCHcw7f2RiuYzeH/S/wBcn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FuMTsUAAADbAAAADwAAAAAAAAAA&#10;AAAAAAChAgAAZHJzL2Rvd25yZXYueG1sUEsFBgAAAAAEAAQA+QAAAJMDAAAAAA==&#10;" strokecolor="#00b0f0"/>
            <v:shape id="AutoShape 280" o:spid="_x0000_s5376" type="#_x0000_t32" style="position:absolute;left:5954;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izDsEAAADbAAAADwAAAGRycy9kb3ducmV2LnhtbERPz2vCMBS+D/wfwhO8zbQexFWjiCiI&#10;u2ydot4ezbMtNi8liVr965fDYMeP7/ds0ZlG3Mn52rKCdJiAIC6srrlUsP/ZvE9A+ICssbFMCp7k&#10;YTHvvc0w0/bB33TPQyliCPsMFVQhtJmUvqjIoB/aljhyF+sMhghdKbXDRww3jRwlyVgarDk2VNjS&#10;qqLimt+Mgk/a7dPn0a7Pp+aVf11WGzy4VKlBv1tOQQTqwr/4z73VCj7i+vgl/gA5/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uLMOwQAAANsAAAAPAAAAAAAAAAAAAAAA&#10;AKECAABkcnMvZG93bnJldi54bWxQSwUGAAAAAAQABAD5AAAAjwMAAAAA&#10;" strokecolor="#00b0f0"/>
            <v:shape id="AutoShape 281" o:spid="_x0000_s5375" type="#_x0000_t32" style="position:absolute;left:6180;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WlcUAAADbAAAADwAAAGRycy9kb3ducmV2LnhtbESPT2sCMRTE70K/Q3gFb5rdHopujYtI&#10;hVIvdmup3h6bt39w87Ikqa799E1B8DjMzG+YRT6YTpzJ+daygnSagCAurW65VrD/3ExmIHxA1thZ&#10;JgVX8pAvH0YLzLS98Aedi1CLCGGfoYImhD6T0pcNGfRT2xNHr7LOYIjS1VI7vES46eRTkjxLgy3H&#10;hQZ7WjdUnoofo2BL7/v0+m1fj4fut9hV6w1+uVSp8eOwegERaAj38K39phXMU/j/En+AX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QWlcUAAADbAAAADwAAAAAAAAAA&#10;AAAAAAChAgAAZHJzL2Rvd25yZXYueG1sUEsFBgAAAAAEAAQA+QAAAJMDAAAAAA==&#10;" strokecolor="#00b0f0"/>
            <v:shape id="AutoShape 282" o:spid="_x0000_s5374" type="#_x0000_t32" style="position:absolute;left:8590;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I4sQAAADbAAAADwAAAGRycy9kb3ducmV2LnhtbESPQWvCQBSE74L/YXmCN93Eg2jqKkUU&#10;il5sqtjeHtlnEsy+Dbtbjf313YLQ4zAz3zCLVWcacSPna8sK0nECgriwuuZSwfFjO5qB8AFZY2OZ&#10;FDzIw2rZ7y0w0/bO73TLQykihH2GCqoQ2kxKX1Rk0I9tSxy9i3UGQ5SulNrhPcJNIydJMpUGa44L&#10;Fba0rqi45t9GwZ52x/Rxtpuvz+YnP1zWWzy5VKnhoHt9ARGoC//hZ/tNK5hP4O9L/AF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JojixAAAANsAAAAPAAAAAAAAAAAA&#10;AAAAAKECAABkcnMvZG93bnJldi54bWxQSwUGAAAAAAQABAD5AAAAkgMAAAAA&#10;" strokecolor="#00b0f0"/>
            <v:shape id="AutoShape 283" o:spid="_x0000_s5373" type="#_x0000_t32" style="position:absolute;left:8817;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otecUAAADbAAAADwAAAGRycy9kb3ducmV2LnhtbESPQWvCQBSE74L/YXlCb3UTC6WmriKi&#10;UNpLjZG2t0f2mQSzb8PuVmN/fVcQPA4z8w0zW/SmFSdyvrGsIB0nIIhLqxuuFBS7zeMLCB+QNbaW&#10;ScGFPCzmw8EMM23PvKVTHioRIewzVFCH0GVS+rImg35sO+LoHawzGKJ0ldQOzxFuWjlJkmdpsOG4&#10;UGNHq5rKY/5rFHzQe5Fevuz657v9yz8Pqw3uXarUw6hfvoII1Id7+NZ+0wqmT3D9En+AnP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GotecUAAADbAAAADwAAAAAAAAAA&#10;AAAAAAChAgAAZHJzL2Rvd25yZXYueG1sUEsFBgAAAAAEAAQA+QAAAJMDAAAAAA==&#10;" strokecolor="#00b0f0"/>
            <v:shape id="AutoShape 284" o:spid="_x0000_s5372" type="#_x0000_t32" style="position:absolute;left:907;top:680;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O1DcUAAADbAAAADwAAAGRycy9kb3ducmV2LnhtbESPQWvCQBSE74L/YXlCb3UTKaWmriKi&#10;UNpLjZG2t0f2mQSzb8PuVmN/fVcQPA4z8w0zW/SmFSdyvrGsIB0nIIhLqxuuFBS7zeMLCB+QNbaW&#10;ScGFPCzmw8EMM23PvKVTHioRIewzVFCH0GVS+rImg35sO+LoHawzGKJ0ldQOzxFuWjlJkmdpsOG4&#10;UGNHq5rKY/5rFHzQe5Fevuz657v9yz8Pqw3uXarUw6hfvoII1Id7+NZ+0wqmT3D9En+AnP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4O1DcUAAADbAAAADwAAAAAAAAAA&#10;AAAAAAChAgAAZHJzL2Rvd25yZXYueG1sUEsFBgAAAAAEAAQA+QAAAJMDAAAAAA==&#10;" strokecolor="#00b0f0"/>
            <v:shape id="AutoShape 285" o:spid="_x0000_s5371" type="#_x0000_t32" style="position:absolute;left:907;top:1542;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8QlsUAAADbAAAADwAAAGRycy9kb3ducmV2LnhtbESPQWvCQBSE74L/YXlCb3UToaWmriKi&#10;UNpLjZG2t0f2mQSzb8PuVmN/fVcQPA4z8w0zW/SmFSdyvrGsIB0nIIhLqxuuFBS7zeMLCB+QNbaW&#10;ScGFPCzmw8EMM23PvKVTHioRIewzVFCH0GVS+rImg35sO+LoHawzGKJ0ldQOzxFuWjlJkmdpsOG4&#10;UGNHq5rKY/5rFHzQe5Fevuz657v9yz8Pqw3uXarUw6hfvoII1Id7+NZ+0wqmT3D9En+AnP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M8QlsUAAADbAAAADwAAAAAAAAAA&#10;AAAAAAChAgAAZHJzL2Rvd25yZXYueG1sUEsFBgAAAAAEAAQA+QAAAJMDAAAAAA==&#10;" strokecolor="#00b0f0"/>
            <v:shape id="AutoShape 286" o:spid="_x0000_s5370" type="#_x0000_t32" style="position:absolute;left:907;top:2399;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2O4cUAAADbAAAADwAAAGRycy9kb3ducmV2LnhtbESPT2sCMRTE7wW/Q3hCbzW7PUi7GhcR&#10;hdJe6lZRb4/N2z+4eVmSVNd++kYo9DjMzG+YeT6YTlzI+daygnSSgCAurW65VrD72jy9gPABWWNn&#10;mRTcyEO+GD3MMdP2ylu6FKEWEcI+QwVNCH0mpS8bMugntieOXmWdwRClq6V2eI1w08nnJJlKgy3H&#10;hQZ7WjVUnotvo+CD3nfp7WDXp2P3U3xWqw3uXarU43hYzkAEGsJ/+K/9phW8TuH+Jf4A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B2O4cUAAADbAAAADwAAAAAAAAAA&#10;AAAAAAChAgAAZHJzL2Rvd25yZXYueG1sUEsFBgAAAAAEAAQA+QAAAJMDAAAAAA==&#10;" strokecolor="#00b0f0"/>
            <v:shape id="AutoShape 287" o:spid="_x0000_s5369" type="#_x0000_t32" style="position:absolute;left:907;top:3259;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1EresUAAADbAAAADwAAAGRycy9kb3ducmV2LnhtbESPQWvCQBSE74L/YXlCb3UTD21NXUVE&#10;obSXGiNtb4/sMwlm34bdrcb++q4geBxm5htmtuhNK07kfGNZQTpOQBCXVjdcKSh2m8cXED4ga2wt&#10;k4ILeVjMh4MZZtqeeUunPFQiQthnqKAOocuk9GVNBv3YdsTRO1hnMETpKqkdniPctHKSJE/SYMNx&#10;ocaOVjWVx/zXKPig9yK9fNn1z3f7l38eVhvcu1Sph1G/fAURqA/38K39phVMn+H6Jf4AOf8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1EresUAAADbAAAADwAAAAAAAAAA&#10;AAAAAAChAgAAZHJzL2Rvd25yZXYueG1sUEsFBgAAAAAEAAQA+QAAAJMDAAAAAA==&#10;" strokecolor="#00b0f0"/>
            <v:shape id="AutoShape 288" o:spid="_x0000_s5368" type="#_x0000_t32" style="position:absolute;left:907;top:4119;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6/CMEAAADbAAAADwAAAGRycy9kb3ducmV2LnhtbERPz2vCMBS+D/wfwhO8zbQexFWjiCiI&#10;u2ydot4ezbMtNi8liVr965fDYMeP7/ds0ZlG3Mn52rKCdJiAIC6srrlUsP/ZvE9A+ICssbFMCp7k&#10;YTHvvc0w0/bB33TPQyliCPsMFVQhtJmUvqjIoB/aljhyF+sMhghdKbXDRww3jRwlyVgarDk2VNjS&#10;qqLimt+Mgk/a7dPn0a7Pp+aVf11WGzy4VKlBv1tOQQTqwr/4z73VCj7i2Pgl/gA5/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2zr8IwQAAANsAAAAPAAAAAAAAAAAAAAAA&#10;AKECAABkcnMvZG93bnJldi54bWxQSwUGAAAAAAQABAD5AAAAjwMAAAAA&#10;" strokecolor="#00b0f0"/>
            <v:shape id="AutoShape 289" o:spid="_x0000_s5367" type="#_x0000_t32" style="position:absolute;left:907;top:4979;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Iak8QAAADbAAAADwAAAGRycy9kb3ducmV2LnhtbESPQWvCQBSE70L/w/IK3nQTD6KpqxSp&#10;IHqx0dL29sg+k9Ds27C7avTXdwXB4zAz3zCzRWcacSbna8sK0mECgriwuuZSwWG/GkxA+ICssbFM&#10;Cq7kYTF/6c0w0/bCn3TOQykihH2GCqoQ2kxKX1Rk0A9tSxy9o3UGQ5SulNrhJcJNI0dJMpYGa44L&#10;Fba0rKj4y09GwZY2h/T6bT9+f5pbvjsuV/jlUqX6r937G4hAXXiGH+21VjCd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ghqTxAAAANsAAAAPAAAAAAAAAAAA&#10;AAAAAKECAABkcnMvZG93bnJldi54bWxQSwUGAAAAAAQABAD5AAAAkgMAAAAA&#10;" strokecolor="#00b0f0"/>
            <v:shape id="AutoShape 290" o:spid="_x0000_s5366" type="#_x0000_t32" style="position:absolute;left:907;top:5839;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rycYAAADcAAAADwAAAGRycy9kb3ducmV2LnhtbESPQWvCQBCF7wX/wzJCb3WTHkpJXUVE&#10;QerFpkrb25Adk2B2NuyuGv31nUOhtxnem/e+mc4H16kLhdh6NpBPMlDElbct1wb2n+unV1AxIVvs&#10;PJOBG0WYz0YPUyysv/IHXcpUKwnhWKCBJqW+0DpWDTmME98Ti3b0wWGSNdTaBrxKuOv0c5a9aIct&#10;S0ODPS0bqk7l2RnY0vs+v3351c93dy93x+UaDyE35nE8LN5AJRrSv/nvemMFPxN8eUYm0L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8a8nGAAAA3AAAAA8AAAAAAAAA&#10;AAAAAAAAoQIAAGRycy9kb3ducmV2LnhtbFBLBQYAAAAABAAEAPkAAACUAwAAAAA=&#10;" strokecolor="#00b0f0"/>
            <v:shape id="AutoShape 291" o:spid="_x0000_s5365" type="#_x0000_t32" style="position:absolute;left:907;top:6698;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LDOUsMAAADcAAAADwAAAGRycy9kb3ducmV2LnhtbERPS2sCMRC+F/wPYQreanZ7kLIaF5EK&#10;0l7s1qLehs3sAzeTJUl19dcbodDbfHzPmeeD6cSZnG8tK0gnCQji0uqWawW77/XLGwgfkDV2lknB&#10;lTzki9HTHDNtL/xF5yLUIoawz1BBE0KfSenLhgz6ie2JI1dZZzBE6GqpHV5iuOnka5JMpcGWY0OD&#10;Pa0aKk/Fr1HwSR+79Lq378dDdyu21WqNPy5Vavw8LGcgAg3hX/zn3ug4P0nh8Uy8QC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CwzlLDAAAA3AAAAA8AAAAAAAAAAAAA&#10;AAAAoQIAAGRycy9kb3ducmV2LnhtbFBLBQYAAAAABAAEAPkAAACRAwAAAAA=&#10;" strokecolor="#00b0f0"/>
            <v:shape id="AutoShape 292" o:spid="_x0000_s5364" type="#_x0000_t32" style="position:absolute;left:907;top:7558;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JQJcMAAADcAAAADwAAAGRycy9kb3ducmV2LnhtbERPS2sCMRC+C/0PYQreNLsepGyNi0iF&#10;0l7salFvw2b2QTeTJUl19dc3BcHbfHzPWeSD6cSZnG8tK0inCQji0uqWawX73WbyAsIHZI2dZVJw&#10;JQ/58mm0wEzbC3/RuQi1iCHsM1TQhNBnUvqyIYN+anviyFXWGQwRulpqh5cYbjo5S5K5NNhybGiw&#10;p3VD5U/xaxR80sc+vR7s2+nY3Ypttd7gt0uVGj8Pq1cQgYbwEN/d7zrOT2bw/0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iUCXDAAAA3AAAAA8AAAAAAAAAAAAA&#10;AAAAoQIAAGRycy9kb3ducmV2LnhtbFBLBQYAAAAABAAEAPkAAACRAwAAAAA=&#10;" strokecolor="#00b0f0"/>
            <v:shape id="AutoShape 293" o:spid="_x0000_s5363" type="#_x0000_t32" style="position:absolute;left:907;top:8418;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71vsMAAADcAAAADwAAAGRycy9kb3ducmV2LnhtbERPS2sCMRC+C/0PYQreNLstiGyNi0iF&#10;Ui92a6nehs3sAzeTJUl17a9vCoK3+fies8gH04kzOd9aVpBOExDEpdUt1wr2n5vJHIQPyBo7y6Tg&#10;Sh7y5cNogZm2F/6gcxFqEUPYZ6igCaHPpPRlQwb91PbEkausMxgidLXUDi8x3HTyKUlm0mDLsaHB&#10;ntYNlafixyjY0vs+vX7b1+Oh+y121XqDXy5Vavw4rF5ABBrCXXxzv+k4P3mG/2fiBXL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8u9b7DAAAA3AAAAA8AAAAAAAAAAAAA&#10;AAAAoQIAAGRycy9kb3ducmV2LnhtbFBLBQYAAAAABAAEAPkAAACRAwAAAAA=&#10;" strokecolor="#00b0f0"/>
            <v:shape id="AutoShape 294" o:spid="_x0000_s5362" type="#_x0000_t32" style="position:absolute;left:907;top:9278;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MdtysMAAADcAAAADwAAAGRycy9kb3ducmV2LnhtbERPS2sCMRC+C/0PYQreNLuliGyNi0iF&#10;Ui92a6nehs3sAzeTJUl17a9vCoK3+fies8gH04kzOd9aVpBOExDEpdUt1wr2n5vJHIQPyBo7y6Tg&#10;Sh7y5cNogZm2F/6gcxFqEUPYZ6igCaHPpPRlQwb91PbEkausMxgidLXUDi8x3HTyKUlm0mDLsaHB&#10;ntYNlafixyjY0vs+vX7b1+Oh+y121XqDXy5Vavw4rF5ABBrCXXxzv+k4P3mG/2fiBXL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HbcrDAAAA3AAAAA8AAAAAAAAAAAAA&#10;AAAAoQIAAGRycy9kb3ducmV2LnhtbFBLBQYAAAAABAAEAPkAAACRAwAAAAA=&#10;" strokecolor="#00b0f0"/>
            <v:shape id="AutoShape 295" o:spid="_x0000_s5361" type="#_x0000_t32" style="position:absolute;left:907;top:10138;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4vIUcMAAADcAAAADwAAAGRycy9kb3ducmV2LnhtbERPS2sCMRC+C/0PYQreNLuFimyNi0iF&#10;Ui92a6nehs3sAzeTJUl17a9vCoK3+fies8gH04kzOd9aVpBOExDEpdUt1wr2n5vJHIQPyBo7y6Tg&#10;Sh7y5cNogZm2F/6gcxFqEUPYZ6igCaHPpPRlQwb91PbEkausMxgidLXUDi8x3HTyKUlm0mDLsaHB&#10;ntYNlafixyjY0vs+vX7b1+Oh+y121XqDXy5Vavw4rF5ABBrCXXxzv+k4P3mG/2fiBXL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LyFHDAAAA3AAAAA8AAAAAAAAAAAAA&#10;AAAAoQIAAGRycy9kb3ducmV2LnhtbFBLBQYAAAAABAAEAPkAAACRAwAAAAA=&#10;" strokecolor="#00b0f0"/>
            <v:shape id="AutoShape 296" o:spid="_x0000_s5360" type="#_x0000_t32" style="position:absolute;left:907;top:10997;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1lWJsIAAADcAAAADwAAAGRycy9kb3ducmV2LnhtbERPTYvCMBC9C/6HMII3TetBlmqURRRk&#10;vbhV2d3b0IxtsZmUJKvVX79ZELzN433OfNmZRlzJ+dqygnScgCAurK65VHA8bEZvIHxA1thYJgV3&#10;8rBc9HtzzLS98Sdd81CKGMI+QwVVCG0mpS8qMujHtiWO3Nk6gyFCV0rt8BbDTSMnSTKVBmuODRW2&#10;tKqouOS/RsGOPo7p/cuuf76bR74/rzZ4cqlSw0H3PgMRqAsv8dO91XF+MoX/Z+IF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1lWJsIAAADcAAAADwAAAAAAAAAAAAAA&#10;AAChAgAAZHJzL2Rvd25yZXYueG1sUEsFBgAAAAAEAAQA+QAAAJADAAAAAA==&#10;" strokecolor="#00b0f0"/>
            <v:shape id="AutoShape 297" o:spid="_x0000_s5359" type="#_x0000_t32" style="position:absolute;left:907;top:11857;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XzvcMAAADcAAAADwAAAGRycy9kb3ducmV2LnhtbERPS2sCMRC+C/0PYQreNLs9VNkaF5EK&#10;pV7s1lK9DZvZB24mS5Lq2l/fFARv8/E9Z5EPphNncr61rCCdJiCIS6tbrhXsPzeTOQgfkDV2lknB&#10;lTzky4fRAjNtL/xB5yLUIoawz1BBE0KfSenLhgz6qe2JI1dZZzBE6GqpHV5iuOnkU5I8S4Mtx4YG&#10;e1o3VJ6KH6NgS+/79PptX4+H7rfYVesNfrlUqfHjsHoBEWgId/HN/abj/GQG/8/EC+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AV873DAAAA3AAAAA8AAAAAAAAAAAAA&#10;AAAAoQIAAGRycy9kb3ducmV2LnhtbFBLBQYAAAAABAAEAPkAAACRAwAAAAA=&#10;" strokecolor="#00b0f0"/>
            <v:shape id="AutoShape 298" o:spid="_x0000_s5358" type="#_x0000_t32" style="position:absolute;left:907;top:12717;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pnz8YAAADcAAAADwAAAGRycy9kb3ducmV2LnhtbESPQWvCQBCF7wX/wzJCb3WTHkpJXUVE&#10;QerFpkrb25Adk2B2NuyuGv31nUOhtxnem/e+mc4H16kLhdh6NpBPMlDElbct1wb2n+unV1AxIVvs&#10;PJOBG0WYz0YPUyysv/IHXcpUKwnhWKCBJqW+0DpWDTmME98Ti3b0wWGSNdTaBrxKuOv0c5a9aIct&#10;S0ODPS0bqk7l2RnY0vs+v3351c93dy93x+UaDyE35nE8LN5AJRrSv/nvemMFPxNaeUYm0L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KZ8/GAAAA3AAAAA8AAAAAAAAA&#10;AAAAAAAAoQIAAGRycy9kb3ducmV2LnhtbFBLBQYAAAAABAAEAPkAAACUAwAAAAA=&#10;" strokecolor="#00b0f0"/>
            <v:shape id="AutoShape 299" o:spid="_x0000_s5357" type="#_x0000_t32" style="position:absolute;left:907;top:13577;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bCVMMAAADcAAAADwAAAGRycy9kb3ducmV2LnhtbERPS2sCMRC+C/0PYQreNLs9FN0aF5EK&#10;pV7s1lK9DZvZB24mS5Lq2l/fFARv8/E9Z5EPphNncr61rCCdJiCIS6tbrhXsPzeTGQgfkDV2lknB&#10;lTzky4fRAjNtL/xB5yLUIoawz1BBE0KfSenLhgz6qe2JI1dZZzBE6GqpHV5iuOnkU5I8S4Mtx4YG&#10;e1o3VJ6KH6NgS+/79PptX4+H7rfYVesNfrlUqfHjsHoBEWgId/HN/abj/GQO/8/EC+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7GwlTDAAAA3AAAAA8AAAAAAAAAAAAA&#10;AAAAoQIAAGRycy9kb3ducmV2LnhtbFBLBQYAAAAABAAEAPkAAACRAwAAAAA=&#10;" strokecolor="#00b0f0"/>
            <v:shape id="AutoShape 300" o:spid="_x0000_s5356" type="#_x0000_t32" style="position:absolute;left:907;top:15296;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X9FMYAAADcAAAADwAAAGRycy9kb3ducmV2LnhtbESPQWvCQBCF7wX/wzJCb3WTHkpJXUVE&#10;QerFpkrb25Adk2B2NuyuGv31nUOhtxnem/e+mc4H16kLhdh6NpBPMlDElbct1wb2n+unV1AxIVvs&#10;PJOBG0WYz0YPUyysv/IHXcpUKwnhWKCBJqW+0DpWDTmME98Ti3b0wWGSNdTaBrxKuOv0c5a9aIct&#10;S0ODPS0bqk7l2RnY0vs+v3351c93dy93x+UaDyE35nE8LN5AJRrSv/nvemMFPxd8eUYm0L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l/RTGAAAA3AAAAA8AAAAAAAAA&#10;AAAAAAAAoQIAAGRycy9kb3ducmV2LnhtbFBLBQYAAAAABAAEAPkAAACUAwAAAAA=&#10;" strokecolor="#00b0f0"/>
          </v:group>
        </v:group>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0F76FF" w:rsidRDefault="00250027" w:rsidP="007D1C4E">
    <w:pPr>
      <w:pStyle w:val="LogoActivated"/>
      <w:framePr w:wrap="around" w:x="1535" w:y="14420"/>
    </w:pPr>
    <w:r w:rsidRPr="007A1B38">
      <w:rPr>
        <w:lang w:val="en-US" w:eastAsia="en-US"/>
      </w:rPr>
      <w:drawing>
        <wp:anchor distT="0" distB="0" distL="114300" distR="114300" simplePos="0" relativeHeight="252073984" behindDoc="0" locked="0" layoutInCell="1" allowOverlap="1">
          <wp:simplePos x="0" y="0"/>
          <wp:positionH relativeFrom="column">
            <wp:posOffset>10648</wp:posOffset>
          </wp:positionH>
          <wp:positionV relativeFrom="paragraph">
            <wp:posOffset>10625</wp:posOffset>
          </wp:positionV>
          <wp:extent cx="1905946" cy="873558"/>
          <wp:effectExtent l="0" t="0" r="0" b="0"/>
          <wp:wrapNone/>
          <wp:docPr id="5" name="Picture 1" descr="Z:\w_Presentation\Brand\Brand info from knowledgecurve\004_PwC_LogoArtworksTemplates_10Sep2010_v1\Logos\Fixed\Screen\PNG\PwC_fl_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w_Presentation\Brand\Brand info from knowledgecurve\004_PwC_LogoArtworksTemplates_10Sep2010_v1\Logos\Fixed\Screen\PNG\PwC_fl_c.png"/>
                  <pic:cNvPicPr>
                    <a:picLocks noChangeAspect="1" noChangeArrowheads="1"/>
                  </pic:cNvPicPr>
                </pic:nvPicPr>
                <pic:blipFill>
                  <a:blip r:embed="rId1"/>
                  <a:srcRect t="45793"/>
                  <a:stretch>
                    <a:fillRect/>
                  </a:stretch>
                </pic:blipFill>
                <pic:spPr bwMode="auto">
                  <a:xfrm>
                    <a:off x="0" y="0"/>
                    <a:ext cx="1905946" cy="873558"/>
                  </a:xfrm>
                  <a:prstGeom prst="rect">
                    <a:avLst/>
                  </a:prstGeom>
                  <a:noFill/>
                  <a:ln w="9525">
                    <a:noFill/>
                    <a:miter lim="800000"/>
                    <a:headEnd/>
                    <a:tailEnd/>
                  </a:ln>
                </pic:spPr>
              </pic:pic>
            </a:graphicData>
          </a:graphic>
        </wp:anchor>
      </w:drawing>
    </w:r>
  </w:p>
  <w:p w:rsidR="00250027" w:rsidRPr="000F76FF" w:rsidRDefault="00250027" w:rsidP="007D1C4E">
    <w:pPr>
      <w:pStyle w:val="GrowURL"/>
      <w:rPr>
        <w:rFonts w:eastAsia="+mn-ea"/>
      </w:rPr>
    </w:pPr>
    <w:r>
      <w:rPr>
        <w:rFonts w:eastAsia="+mn-ea"/>
      </w:rPr>
      <w:t>www.pwc</w:t>
    </w:r>
    <w:r w:rsidRPr="000F76FF">
      <w:t xml:space="preserve">.com.au </w:t>
    </w:r>
  </w:p>
  <w:p w:rsidR="00250027" w:rsidRDefault="009129A6">
    <w:r w:rsidRPr="009129A6">
      <w:rPr>
        <w:noProof/>
        <w:snapToGrid/>
        <w:lang w:eastAsia="en-AU"/>
      </w:rPr>
      <w:pict>
        <v:group id="Group 1515" o:spid="_x0000_s5331" style="position:absolute;margin-left:-11.65pt;margin-top:31.75pt;width:406.35pt;height:644.8pt;z-index:252104704" coordorigin="3311,1542" coordsize="8127,12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">
          <v:rect id="Rectangle 668" o:spid="_x0000_s5346" style="position:absolute;left:8902;top:2399;width:665;height: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eWv8EA&#10;AADbAAAADwAAAGRycy9kb3ducmV2LnhtbERPTYvCMBC9C/6HMMLeNNVFka5RRFBX9KDuetjb0IxN&#10;tZmUJqv135uD4PHxviezxpbiRrUvHCvo9xIQxJnTBecKfn+W3TEIH5A1lo5JwYM8zKbt1gRT7e58&#10;oNsx5CKGsE9RgQmhSqX0mSGLvucq4sidXW0xRFjnUtd4j+G2lIMkGUmLBccGgxUtDGXX479VsDcm&#10;VKftZbca7j/X1+S02eD8T6mPTjP/AhGoCW/xy/2tFQzj2Pgl/gA5f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SXlr/BAAAA2wAAAA8AAAAAAAAAAAAAAAAAmAIAAGRycy9kb3du&#10;cmV2LnhtbFBLBQYAAAAABAAEAPUAAACGAwAAAAA=&#10;" fillcolor="#fab482" stroked="f"/>
          <v:rect id="Rectangle 675" o:spid="_x0000_s5345" style="position:absolute;left:9567;top:7003;width:401;height:2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ixdcQA&#10;AADbAAAADwAAAGRycy9kb3ducmV2LnhtbESPQWsCMRSE74X+h/CE3mpWQWlXo1ip0IMrqAWvz81z&#10;dzF5WZJU1/76Rih4HGbmG2Y676wRF/Khcaxg0M9AEJdON1wp+N6vXt9AhIis0TgmBTcKMJ89P00x&#10;1+7KW7rsYiUShEOOCuoY21zKUNZkMfRdS5y8k/MWY5K+ktrjNcGtkcMsG0uLDaeFGlta1lSedz9W&#10;gfn4LfaH7aZYFOeuPJpq7T/DWqmXXreYgIjUxUf4v/2lFYze4f4l/QA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IsXXEAAAA2wAAAA8AAAAAAAAAAAAAAAAAmAIAAGRycy9k&#10;b3ducmV2LnhtbFBLBQYAAAAABAAEAPUAAACJAwAAAAA=&#10;" fillcolor="#c36119" stroked="f"/>
          <v:rect id="Rectangle 667" o:spid="_x0000_s5344" style="position:absolute;left:10541;top:9822;width:897;height:4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CSsEA&#10;AADbAAAADwAAAGRycy9kb3ducmV2LnhtbERPTWvCQBC9F/wPywje6sYKUqOriFSUQg+NIngbsmMS&#10;zM7G7EbTf985FHp8vO/lune1elAbKs8GJuMEFHHubcWFgdNx9/oOKkRki7VnMvBDAdarwcsSU+uf&#10;/E2PLBZKQjikaKCMsUm1DnlJDsPYN8TCXX3rMApsC21bfEq4q/Vbksy0w4qlocSGtiXlt6xz0pvb&#10;z699d71PL93cTycfZ51VZ2NGw36zABWpj//iP/fBGpjJevkiP0Cv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vxQkrBAAAA2wAAAA8AAAAAAAAAAAAAAAAAmAIAAGRycy9kb3du&#10;cmV2LnhtbFBLBQYAAAAABAAEAPUAAACGAwAAAAA=&#10;" fillcolor="#fdb825" stroked="f"/>
          <v:rect id="Rectangle 669" o:spid="_x0000_s5343" style="position:absolute;left:9968;top:7003;width:741;height:2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nYXsUA&#10;AADbAAAADwAAAGRycy9kb3ducmV2LnhtbESPQWvCQBSE70L/w/IK3sxGD0FSVymWohJobWpLj4/s&#10;azaYfRuyq8Z/3y0IHoeZ+YZZrAbbijP1vnGsYJqkIIgrpxuuFRw+XydzED4ga2wdk4IreVgtH0YL&#10;zLW78Aedy1CLCGGfowITQpdL6StDFn3iOuLo/breYoiyr6Xu8RLhtpWzNM2kxYbjgsGO1oaqY3my&#10;Cr638/fDPttc91+mKvjtZ/eyKTqlxo/D8xOIQEO4h2/trVaQTeH/S/wB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OdhexQAAANsAAAAPAAAAAAAAAAAAAAAAAJgCAABkcnMv&#10;ZG93bnJldi54bWxQSwUGAAAAAAQABAD1AAAAigMAAAAA&#10;" fillcolor="#f7932f" stroked="f"/>
          <v:rect id="Rectangle 670" o:spid="_x0000_s5342" style="position:absolute;left:8902;top:9822;width:665;height:4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as8MIA&#10;AADbAAAADwAAAGRycy9kb3ducmV2LnhtbESP3YrCMBSE7wXfIRzBO03VXdFqFFFEYcH/Bzg2x7bY&#10;nJQmavftzcKCl8PMfMNM57UpxJMql1tW0OtGIIgTq3NOFVzO684IhPPIGgvLpOCXHMxnzcYUY21f&#10;fKTnyaciQNjFqCDzvoyldElGBl3XlsTBu9nKoA+ySqWu8BXgppD9KBpKgzmHhQxLWmaU3E8Po+Bn&#10;PNDn3ePgNtc78Zff8/dytVGq3aoXExCeav8J/7e3WsGwD39fwg+Qs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RqzwwgAAANsAAAAPAAAAAAAAAAAAAAAAAJgCAABkcnMvZG93&#10;bnJldi54bWxQSwUGAAAAAAQABAD1AAAAhwMAAAAA&#10;" fillcolor="#be3102" stroked="f"/>
          <v:rect id="Rectangle 666" o:spid="_x0000_s5341" style="position:absolute;left:3311;top:1542;width:5591;height: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MFq8IA&#10;AADbAAAADwAAAGRycy9kb3ducmV2LnhtbESPwWrDMBBE74X+g9hCb43cGNzgRgkmkOBr3VxyW6yN&#10;ZWKtjKQ4Tr6+KhR6HGbmDbPeznYQE/nQO1bwvshAELdO99wpOH7v31YgQkTWODgmBXcKsN08P62x&#10;1O7GXzQ1sRMJwqFEBSbGsZQytIYshoUbiZN3dt5iTNJ3Unu8Jbgd5DLLCmmx57RgcKSdofbSXK2C&#10;i6XqlGufHQ9DwbV51MXHoVbq9WWuPkFEmuN/+K9dawVFDr9f0g+Q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EwWrwgAAANsAAAAPAAAAAAAAAAAAAAAAAJgCAABkcnMvZG93&#10;bnJldi54bWxQSwUGAAAAAAQABAD1AAAAhwMAAAAA&#10;" fillcolor="#f0649d" stroked="f"/>
          <v:rect id="Rectangle 671" o:spid="_x0000_s5340" style="position:absolute;left:3311;top:2399;width:5591;height: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MH4sIA&#10;AADbAAAADwAAAGRycy9kb3ducmV2LnhtbESPT4vCMBTE74LfITzBy6KpsohWo8jCyh7X/3h7NM+2&#10;2ryUJKv12xthweMwM79hZovGVOJGzpeWFQz6CQjizOqScwW77XdvDMIHZI2VZVLwIA+Lebs1w1Tb&#10;O6/ptgm5iBD2KSooQqhTKX1WkEHftzVx9M7WGQxRulxqh/cIN5UcJslIGiw5LhRY01dB2XXzZxT4&#10;wep3fXX78QSHh/3x5OjykB9KdTvNcgoiUBPe4f/2j1Yw+oTXl/gD5P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kwfiwgAAANsAAAAPAAAAAAAAAAAAAAAAAJgCAABkcnMvZG93&#10;bnJldi54bWxQSwUGAAAAAAQABAD1AAAAhwMAAAAA&#10;" fillcolor="#eb4650" stroked="f"/>
          <v:rect id="Rectangle 674" o:spid="_x0000_s5339" style="position:absolute;left:3311;top:2843;width:5591;height:4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RqvMQA&#10;AADbAAAADwAAAGRycy9kb3ducmV2LnhtbESPQWvCQBSE7wX/w/KE3uqmQkOMbkJbWrHetEXx9si+&#10;JqHZtyG7mthf7wqCx2FmvmEW+WAacaLO1ZYVPE8iEMSF1TWXCn6+P58SEM4ja2wsk4IzOciz0cMC&#10;U2173tBp60sRIOxSVFB536ZSuqIig25iW+Lg/drOoA+yK6XusA9w08hpFMXSYM1hocKW3isq/rZH&#10;o+CgP/7XNinlPqak/Zq97Za9mSr1OB5e5yA8Df4evrVXWkH8Atcv4QfI7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0arzEAAAA2wAAAA8AAAAAAAAAAAAAAAAAmAIAAGRycy9k&#10;b3ducmV2LnhtbFBLBQYAAAAABAAEAPUAAACJAwAAAAA=&#10;" fillcolor="#b92e2e" stroked="f"/>
          <v:rect id="Rectangle 673" o:spid="_x0000_s5338" style="position:absolute;left:3311;top:9822;width:5591;height:4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iIJ8YA&#10;AADbAAAADwAAAGRycy9kb3ducmV2LnhtbESPT2vCQBTE74V+h+UVvOmmPaQ2ugYVLAWLpakg3p7Z&#10;lz80+zZk15h+e1cQehxm5jfMPB1MI3rqXG1ZwfMkAkGcW11zqWD/sxlPQTiPrLGxTAr+yEG6eHyY&#10;Y6Lthb+pz3wpAoRdggoq79tESpdXZNBNbEscvMJ2Bn2QXSl1h5cAN418iaJYGqw5LFTY0rqi/Dc7&#10;GwWH8rjcvvVbPGWv7xvfr4rD7vNLqdHTsJyB8DT4//C9/aEVxDHcvoQfIB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eiIJ8YAAADbAAAADwAAAAAAAAAAAAAAAACYAgAAZHJz&#10;L2Rvd25yZXYueG1sUEsFBgAAAAAEAAQA9QAAAIsDAAAAAA==&#10;" fillcolor="#9a1702" stroked="f"/>
          <v:rect id="Rectangle 1509" o:spid="_x0000_s5337" style="position:absolute;left:3311;top:7003;width:5591;height:2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LwKcIA&#10;AADbAAAADwAAAGRycy9kb3ducmV2LnhtbESPQYvCMBSE74L/ITzBi2i6Cq5Uo8iCICKCrgePz+bZ&#10;ljYvpYm2/nsjCB6HmfmGWaxaU4oH1S63rOBnFIEgTqzOOVVw/t8MZyCcR9ZYWiYFT3KwWnY7C4y1&#10;bfhIj5NPRYCwi1FB5n0VS+mSjAy6ka2Ig3eztUEfZJ1KXWMT4KaU4yiaSoM5h4UMK/rLKClOd6Og&#10;2T/doRgcLud9QZNdfp2l2iZK9Xvteg7CU+u/4U97qxVMf+H9JfwAuX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cvApwgAAANsAAAAPAAAAAAAAAAAAAAAAAJgCAABkcnMvZG93&#10;bnJldi54bWxQSwUGAAAAAAQABAD1AAAAhwMAAAAA&#10;" fillcolor="#b31b08" stroked="f"/>
          <v:rect id="Rectangle 1510" o:spid="_x0000_s5336" style="position:absolute;left:9968;top:9822;width:741;height:4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SlvcEA&#10;AADbAAAADwAAAGRycy9kb3ducmV2LnhtbERPz2vCMBS+D/wfwhN2GZo6UEZnlKLIKp6mu3h7a96a&#10;sualJtF2/705CDt+fL+X68G24kY+NI4VzKYZCOLK6YZrBV+n3eQNRIjIGlvHpOCPAqxXo6cl5tr1&#10;/Em3Y6xFCuGQowITY5dLGSpDFsPUdcSJ+3HeYkzQ11J77FO4beVrli2kxYZTg8GONoaq3+PVKths&#10;5+U2vJz7j8vhVNK88GZffCv1PB6KdxCRhvgvfrhLrWCRxqYv6QfI1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PEpb3BAAAA2wAAAA8AAAAAAAAAAAAAAAAAmAIAAGRycy9kb3du&#10;cmV2LnhtbFBLBQYAAAAABAAEAPUAAACGAwAAAAA=&#10;" fillcolor="#f56b07" stroked="f"/>
          <v:rect id="Rectangle 1511" o:spid="_x0000_s5335" style="position:absolute;left:9567;top:9822;width:401;height:4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HAm8EA&#10;AADbAAAADwAAAGRycy9kb3ducmV2LnhtbESPzarCMBSE9xd8h3AEd9dUQdFqFBFEV4I/CO4OzbEt&#10;Nie1iVr79EYQXA4z8w0zndemEA+qXG5ZQa8bgSBOrM45VXA8rP5HIJxH1lhYJgUvcjCftf6mGGv7&#10;5B099j4VAcIuRgWZ92UspUsyMui6tiQO3sVWBn2QVSp1hc8AN4XsR9FQGsw5LGRY0jKj5Lq/GwUD&#10;3fC9P2Iz2K7tujidm3p7a5TqtOvFBISn2v/C3/ZGKxiO4fMl/AA5e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BwJvBAAAA2wAAAA8AAAAAAAAAAAAAAAAAmAIAAGRycy9kb3du&#10;cmV2LnhtbFBLBQYAAAAABAAEAPUAAACGAwAAAAA=&#10;" fillcolor="#d13a0d" stroked="f"/>
          <v:rect id="Rectangle 1512" o:spid="_x0000_s5334" style="position:absolute;left:8902;top:2843;width:665;height:4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Z93sIA&#10;AADbAAAADwAAAGRycy9kb3ducmV2LnhtbERPy2rCQBTdF/oPwy24KTqpBR+po7RKQdEuGnV/m7km&#10;oZk7cWaM8e+dRaHLw3nPFp2pRUvOV5YVvAwSEMS51RUXCg77z/4EhA/IGmvLpOBGHhbzx4cZptpe&#10;+ZvaLBQihrBPUUEZQpNK6fOSDPqBbYgjd7LOYIjQFVI7vMZwU8thkoykwYpjQ4kNLUvKf7OLUVC0&#10;H5vd8ZSxmY5+/Ov2WZ9X7kup3lP3/gYiUBf+xX/utVYwjuvjl/g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Rn3ewgAAANsAAAAPAAAAAAAAAAAAAAAAAJgCAABkcnMvZG93&#10;bnJldi54bWxQSwUGAAAAAAQABAD1AAAAhwMAAAAA&#10;" fillcolor="#c67548" stroked="f"/>
          <v:rect id="Rectangle 1513" o:spid="_x0000_s5333" style="position:absolute;left:9567;top:2843;width:401;height:4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Trn8QA&#10;AADbAAAADwAAAGRycy9kb3ducmV2LnhtbESPQWvCQBSE7wX/w/KE3uomhbYSXYMohbaHgjGC3h7Z&#10;ZzaYfRuyWxP/fbdQ8DjMzDfMMh9tK67U+8axgnSWgCCunG64VlDu35/mIHxA1tg6JgU38pCvJg9L&#10;zLQbeEfXItQiQthnqMCE0GVS+sqQRT9zHXH0zq63GKLsa6l7HCLctvI5SV6lxYbjgsGONoaqS/Fj&#10;FeDnfvtdmK8XXaI8ld3uEI63VKnH6bhegAg0hnv4v/2hFbyl8Pcl/g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E65/EAAAA2wAAAA8AAAAAAAAAAAAAAAAAmAIAAGRycy9k&#10;b3ducmV2LnhtbFBLBQYAAAAABAAEAPUAAACJAwAAAAA=&#10;" fillcolor="#c8a78c" stroked="f"/>
          <v:rect id="Rectangle 1514" o:spid="_x0000_s5332" style="position:absolute;left:8902;top:7003;width:665;height:2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y0JcMA&#10;AADbAAAADwAAAGRycy9kb3ducmV2LnhtbESPQWsCMRSE70L/Q3gFb5ooWGVrlCJotzddhba3x+a5&#10;u3TzsiSpbv99Iwgeh5n5hlmue9uKC/nQONYwGSsQxKUzDVcaTsftaAEiRGSDrWPS8EcB1qunwRIz&#10;4658oEsRK5EgHDLUUMfYZVKGsiaLYew64uSdnbcYk/SVNB6vCW5bOVXqRVpsOC3U2NGmpvKn+LUa&#10;/Pl7p/LTxz43n2oyO7wXX+Q3Wg+f+7dXEJH6+Ajf27nRMJ/C7Uv6AX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uy0JcMAAADbAAAADwAAAAAAAAAAAAAAAACYAgAAZHJzL2Rv&#10;d25yZXYueG1sUEsFBgAAAAAEAAQA9QAAAIgDAAAAAA==&#10;" fillcolor="#c0440d" stroked="f"/>
        </v:group>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rsidP="00336BAA">
    <w:pPr>
      <w:pStyle w:val="Header"/>
    </w:pPr>
    <w:r>
      <w:rPr>
        <w:noProof/>
        <w:lang w:val="en-US"/>
      </w:rPr>
      <w:drawing>
        <wp:anchor distT="0" distB="0" distL="114300" distR="114300" simplePos="0" relativeHeight="252076032" behindDoc="0" locked="1" layoutInCell="1" allowOverlap="1">
          <wp:simplePos x="0" y="0"/>
          <wp:positionH relativeFrom="page">
            <wp:posOffset>428625</wp:posOffset>
          </wp:positionH>
          <wp:positionV relativeFrom="page">
            <wp:posOffset>532765</wp:posOffset>
          </wp:positionV>
          <wp:extent cx="1410335" cy="1193165"/>
          <wp:effectExtent l="0" t="0" r="0" b="0"/>
          <wp:wrapNone/>
          <wp:docPr id="2" name="first_page_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410335" cy="1193165"/>
                  </a:xfrm>
                  <a:prstGeom prst="rect">
                    <a:avLst/>
                  </a:prstGeom>
                </pic:spPr>
              </pic:pic>
            </a:graphicData>
          </a:graphic>
        </wp:anchor>
      </w:drawing>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E96E47" w:rsidRDefault="00250027" w:rsidP="00E96E47">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73770A" w:rsidRDefault="00250027" w:rsidP="0073770A">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rsidP="0091050E">
    <w:pPr>
      <w:pStyle w:val="Header-FirstPage"/>
    </w:pPr>
  </w:p>
  <w:p w:rsidR="00250027" w:rsidRPr="00D61BF2" w:rsidRDefault="00250027" w:rsidP="00D61BF2">
    <w:pPr>
      <w:pStyle w:val="FirstPagePanelFrame"/>
      <w:framePr w:wrap="notBeside"/>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D61BF2" w:rsidRDefault="00250027" w:rsidP="00755347">
    <w:pPr>
      <w:pStyle w:val="FirstPagePanelFrame"/>
      <w:framePr w:wrap="notBeside"/>
    </w:pPr>
  </w:p>
  <w:p w:rsidR="00250027" w:rsidRDefault="00250027">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A65890" w:rsidRDefault="009129A6" w:rsidP="00336BAA">
    <w:pPr>
      <w:pStyle w:val="Header"/>
    </w:pPr>
    <w:r w:rsidRPr="009129A6">
      <w:rPr>
        <w:noProof/>
        <w:snapToGrid/>
        <w:lang w:eastAsia="en-AU"/>
      </w:rPr>
      <w:pict>
        <v:rect id="_x0000_s5329" style="position:absolute;left:0;text-align:left;margin-left:323.8pt;margin-top:14.2pt;width:255.6pt;height:813.55pt;z-index:-251210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" fillcolor="#dc6900 [3215]" stroked="f">
          <w10:wrap anchorx="page" anchory="page"/>
        </v:rect>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1D2ACF" w:rsidRDefault="009129A6" w:rsidP="00336BAA">
    <w:pPr>
      <w:pStyle w:val="Header"/>
    </w:pPr>
    <w:r>
      <w:rPr>
        <w:noProof/>
        <w:snapToGrid/>
        <w:color w:val="FFFFFF" w:themeColor="background1"/>
        <w:lang w:eastAsia="en-AU"/>
      </w:rPr>
      <w:fldChar w:fldCharType="begin"/>
    </w:r>
    <w:r w:rsidR="00250027">
      <w:rPr>
        <w:noProof/>
        <w:snapToGrid/>
        <w:color w:val="FFFFFF" w:themeColor="background1"/>
        <w:lang w:eastAsia="en-AU"/>
      </w:rPr>
      <w:instrText xml:space="preserve"> STYLEREF "TOC Title" </w:instrText>
    </w:r>
    <w:r>
      <w:rPr>
        <w:noProof/>
        <w:snapToGrid/>
        <w:color w:val="FFFFFF" w:themeColor="background1"/>
        <w:lang w:eastAsia="en-AU"/>
      </w:rPr>
      <w:fldChar w:fldCharType="separate"/>
    </w:r>
    <w:r w:rsidR="00250027">
      <w:rPr>
        <w:noProof/>
        <w:snapToGrid/>
        <w:color w:val="FFFFFF" w:themeColor="background1"/>
        <w:lang w:eastAsia="en-AU"/>
      </w:rPr>
      <w:t>Contents</w:t>
    </w:r>
    <w:r>
      <w:rPr>
        <w:noProof/>
        <w:snapToGrid/>
        <w:color w:val="FFFFFF" w:themeColor="background1"/>
        <w:lang w:eastAsia="en-AU"/>
      </w:rPr>
      <w:fldChar w:fldCharType="end"/>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BC1BE6" w:rsidRDefault="009129A6" w:rsidP="001C6E2E">
    <w:pPr>
      <w:pStyle w:val="Header"/>
      <w:ind w:left="0"/>
    </w:pPr>
    <w:r w:rsidRPr="009129A6">
      <w:rPr>
        <w:noProof/>
        <w:snapToGrid/>
        <w:lang w:eastAsia="en-AU"/>
      </w:rPr>
      <w:pict>
        <v:rect id="Rectangle 1508" o:spid="_x0000_s5328" style="position:absolute;margin-left:14.2pt;margin-top:0;width:280.8pt;height:813.55pt;z-index:-251233280;visibility:visible;mso-wrap-style:square;mso-width-percent:0;mso-height-percent:0;mso-wrap-distance-left:9pt;mso-wrap-distance-top:0;mso-wrap-distance-right:9pt;mso-wrap-distance-bottom:0;mso-position-horizontal:absolute;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" fillcolor="#dc6900 [3215]" stroked="f">
          <w10:wrap anchorx="page" anchory="page"/>
        </v:rect>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9B05E3" w:rsidRDefault="009129A6" w:rsidP="00574287">
    <w:pPr>
      <w:pStyle w:val="Header-Even"/>
    </w:pPr>
    <w:r w:rsidRPr="009129A6">
      <w:rPr>
        <w:noProof/>
        <w:snapToGrid/>
        <w:lang w:eastAsia="en-AU"/>
      </w:rPr>
      <w:pict>
        <v:group id="Group 1261" o:spid="_x0000_s5298" style="position:absolute;left:0;text-align:left;margin-left:0;margin-top:0;width:561.35pt;height:841.9pt;z-index:252046336;mso-position-horizontal-relative:page;mso-position-vertical-relative:page" coordsize="11227,16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">
          <v:shapetype id="_x0000_t32" coordsize="21600,21600" o:spt="32" o:oned="t" path="m,l21600,21600e" filled="f">
            <v:path arrowok="t" fillok="f" o:connecttype="none"/>
            <o:lock v:ext="edit" shapetype="t"/>
          </v:shapetype>
          <v:shape id="AutoShape 1262" o:spid="_x0000_s5327" type="#_x0000_t32" style="position:absolute;left:680;top:16160;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hcW8MAAADaAAAADwAAAGRycy9kb3ducmV2LnhtbESPQWvCQBSE74L/YXmCN93EQ9HoKkUU&#10;Sr3YqNjeHtlnEpp9G3a3GvvruwXB4zAz3zCLVWcacSXna8sK0nECgriwuuZSwfGwHU1B+ICssbFM&#10;Cu7kYbXs9xaYaXvjD7rmoRQRwj5DBVUIbSalLyoy6Me2JY7exTqDIUpXSu3wFuGmkZMkeZEGa44L&#10;Fba0rqj4zn+Mgh29H9P72W6+PpvffH9Zb/HkUqWGg+51DiJQF57hR/tNK5jB/5V4A+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4IXFvDAAAA2gAAAA8AAAAAAAAAAAAA&#10;AAAAoQIAAGRycy9kb3ducmV2LnhtbFBLBQYAAAAABAAEAPkAAACRAwAAAAA=&#10;" strokecolor="#00b0f0"/>
          <v:shape id="AutoShape 1263" o:spid="_x0000_s5326" type="#_x0000_t32" style="position:absolute;width:0;height:168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kmzsEAAADbAAAADwAAAGRycy9kb3ducmV2LnhtbERPTYvCMBC9C/6HMII3TRVWtBpFXRa9&#10;KKgLi7ehmW3LNpPSZNvqrzeC4G0e73MWq9YUoqbK5ZYVjIYRCOLE6pxTBd+Xr8EUhPPIGgvLpOBG&#10;DlbLbmeBsbYNn6g++1SEEHYxKsi8L2MpXZKRQTe0JXHgfm1l0AdYpVJX2IRwU8hxFE2kwZxDQ4Yl&#10;bTNK/s7/RsHH9NA2l/vnrPjZ1LOjL3f6umOl+r12PQfhqfVv8cu912H+CJ6/hAPk8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CSbOwQAAANsAAAAPAAAAAAAAAAAAAAAA&#10;AKECAABkcnMvZG93bnJldi54bWxQSwUGAAAAAAQABAD5AAAAjwMAAAAA&#10;" strokecolor="#f6f"/>
          <v:shape id="AutoShape 1264" o:spid="_x0000_s5325" type="#_x0000_t32" style="position:absolute;left:680;top:14437;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kuI8MAAADbAAAADwAAAGRycy9kb3ducmV2LnhtbERPS2sCMRC+C/0PYQreNLstiGyNi0iF&#10;Ui92a6nehs3sAzeTJUl17a9vCoK3+fies8gH04kzOd9aVpBOExDEpdUt1wr2n5vJHIQPyBo7y6Tg&#10;Sh7y5cNogZm2F/6gcxFqEUPYZ6igCaHPpPRlQwb91PbEkausMxgidLXUDi8x3HTyKUlm0mDLsaHB&#10;ntYNlafixyjY0vs+vX7b1+Oh+y121XqDXy5Vavw4rF5ABBrCXXxzv+k4/xn+f4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W5LiPDAAAA2wAAAA8AAAAAAAAAAAAA&#10;AAAAoQIAAGRycy9kb3ducmV2LnhtbFBLBQYAAAAABAAEAPkAAACRAwAAAAA=&#10;" strokecolor="#00b0f0"/>
          <v:shape id="AutoShape 1265" o:spid="_x0000_s5324" type="#_x0000_t32" style="position:absolute;left:11227;width:0;height:168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IgzcEAAADbAAAADwAAAGRycy9kb3ducmV2LnhtbERPTYvCMBC9C/6HMMLeNHVB0WoUdRG9&#10;uLAqiLehGdtiMylNbLv+eiMs7G0e73Pmy9YUoqbK5ZYVDAcRCOLE6pxTBefTtj8B4TyyxsIyKfgl&#10;B8tFtzPHWNuGf6g++lSEEHYxKsi8L2MpXZKRQTewJXHgbrYy6AOsUqkrbEK4KeRnFI2lwZxDQ4Yl&#10;bTJK7seHUTCaHNrm9PyaFpd1Pf325U5fd6zUR69dzUB4av2/+M+912H+CN6/hAPk4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MiDNwQAAANsAAAAPAAAAAAAAAAAAAAAA&#10;AKECAABkcnMvZG93bnJldi54bWxQSwUGAAAAAAQABAD5AAAAjwMAAAAA&#10;" strokecolor="#f6f"/>
          <v:shape id="AutoShape 1266" o:spid="_x0000_s5323" type="#_x0000_t32" style="position:absolute;left:11000;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6Nu8IAAADbAAAADwAAAGRycy9kb3ducmV2LnhtbERPTYvCMBC9C/6HMII3TetBlmqURRRk&#10;vbhV2d3b0IxtsZmUJKvVX79ZELzN433OfNmZRlzJ+dqygnScgCAurK65VHA8bEZvIHxA1thYJgV3&#10;8rBc9HtzzLS98Sdd81CKGMI+QwVVCG0mpS8qMujHtiWO3Nk6gyFCV0rt8BbDTSMnSTKVBmuODRW2&#10;tKqouOS/RsGOPo7p/cuuf76bR74/rzZ4cqlSw0H3PgMRqAsv8dO91XH+FP5/iQfIx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c6Nu8IAAADbAAAADwAAAAAAAAAAAAAA&#10;AAChAgAAZHJzL2Rvd25yZXYueG1sUEsFBgAAAAAEAAQA+QAAAJADAAAAAA==&#10;" strokecolor="#00b0f0"/>
          <v:shape id="AutoShape 1267" o:spid="_x0000_s5322" type="#_x0000_t32" style="position:absolute;left:680;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IoIMMAAADbAAAADwAAAGRycy9kb3ducmV2LnhtbERPS2sCMRC+C/0PYQreNLs9VNkaF5EK&#10;pV7s1lK9DZvZB24mS5Lq2l/fFARv8/E9Z5EPphNncr61rCCdJiCIS6tbrhXsPzeTOQgfkDV2lknB&#10;lTzky4fRAjNtL/xB5yLUIoawz1BBE0KfSenLhgz6qe2JI1dZZzBE6GqpHV5iuOnkU5I8S4Mtx4YG&#10;e1o3VJ6KH6NgS+/79PptX4+H7rfYVesNfrlUqfHjsHoBEWgId/HN/abj/Bn8/xIPkM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CKCDDAAAA2wAAAA8AAAAAAAAAAAAA&#10;AAAAoQIAAGRycy9kb3ducmV2LnhtbFBLBQYAAAAABAAEAPkAAACRAwAAAAA=&#10;" strokecolor="#00b0f0"/>
          <v:shape id="AutoShape 1268" o:spid="_x0000_s5321" type="#_x0000_t32" style="position:absolute;left:3090;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28UsUAAADbAAAADwAAAGRycy9kb3ducmV2LnhtbESPQWvCQBCF7wX/wzJCb3WTHkpJXUVE&#10;QerFpkrb25Adk2B2NuyuGv31nUOhtxnem/e+mc4H16kLhdh6NpBPMlDElbct1wb2n+unV1AxIVvs&#10;PJOBG0WYz0YPUyysv/IHXcpUKwnhWKCBJqW+0DpWDTmME98Ti3b0wWGSNdTaBrxKuOv0c5a9aIct&#10;S0ODPS0bqk7l2RnY0vs+v3351c93dy93x+UaDyE35nE8LN5AJRrSv/nvemMFX2DlFxlAz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x28UsUAAADbAAAADwAAAAAAAAAA&#10;AAAAAAChAgAAZHJzL2Rvd25yZXYueG1sUEsFBgAAAAAEAAQA+QAAAJMDAAAAAA==&#10;" strokecolor="#00b0f0"/>
          <v:shape id="AutoShape 1269" o:spid="_x0000_s5320" type="#_x0000_t32" style="position:absolute;left:3317;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EZycMAAADbAAAADwAAAGRycy9kb3ducmV2LnhtbERPS2sCMRC+C/0PYQreNLs9FN0aF5EK&#10;pV7s1lK9DZvZB24mS5Lq2l/fFARv8/E9Z5EPphNncr61rCCdJiCIS6tbrhXsPzeTGQgfkDV2lknB&#10;lTzky4fRAjNtL/xB5yLUIoawz1BBE0KfSenLhgz6qe2JI1dZZzBE6GqpHV5iuOnkU5I8S4Mtx4YG&#10;e1o3VJ6KH6NgS+/79PptX4+H7rfYVesNfrlUqfHjsHoBEWgId/HN/abj/Dn8/xIPkM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RGcnDAAAA2wAAAA8AAAAAAAAAAAAA&#10;AAAAoQIAAGRycy9kb3ducmV2LnhtbFBLBQYAAAAABAAEAPkAAACRAwAAAAA=&#10;" strokecolor="#00b0f0"/>
          <v:shape id="AutoShape 1270" o:spid="_x0000_s5319" type="#_x0000_t32" style="position:absolute;left:5727;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lBBcQAAADbAAAADwAAAGRycy9kb3ducmV2LnhtbESPQWvCQBSE7wX/w/KE3uomOZQSXUVE&#10;QezFpop6e2SfSTD7NuxuNfrru4WCx2FmvmEms9604krON5YVpKMEBHFpdcOVgt336u0DhA/IGlvL&#10;pOBOHmbTwcsEc21v/EXXIlQiQtjnqKAOocul9GVNBv3IdsTRO1tnMETpKqkd3iLctDJLkndpsOG4&#10;UGNHi5rKS/FjFHzSZpfeD3Z5OraPYnterHDvUqVeh/18DCJQH57h//ZaK8gy+PsSf4C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0mUEFxAAAANsAAAAPAAAAAAAAAAAA&#10;AAAAAKECAABkcnMvZG93bnJldi54bWxQSwUGAAAAAAQABAD5AAAAkgMAAAAA&#10;" strokecolor="#00b0f0"/>
          <v:shape id="AutoShape 1271" o:spid="_x0000_s5318" type="#_x0000_t32" style="position:absolute;left:5953;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x86sQAAADbAAAADwAAAGRycy9kb3ducmV2LnhtbESPQWvCQBSE74L/YXmCN91ERCR1lSIK&#10;RS82VWxvj+wzCWbfht2txv76bkHocZiZb5jFqjONuJHztWUF6TgBQVxYXXOp4PixHc1B+ICssbFM&#10;Ch7kYbXs9xaYaXvnd7rloRQRwj5DBVUIbSalLyoy6Me2JY7exTqDIUpXSu3wHuGmkZMkmUmDNceF&#10;CltaV1Rc82+jYE+7Y/o4283XZ/OTHy7rLZ5cqtRw0L2+gAjUhf/ws/2mFUym8Pcl/gC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PHzqxAAAANsAAAAPAAAAAAAAAAAA&#10;AAAAAKECAABkcnMvZG93bnJldi54bWxQSwUGAAAAAAQABAD5AAAAkgMAAAAA&#10;" strokecolor="#00b0f0"/>
          <v:shape id="AutoShape 1272" o:spid="_x0000_s5317" type="#_x0000_t32" style="position:absolute;left:8363;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ZccQAAADbAAAADwAAAGRycy9kb3ducmV2LnhtbESPQWvCQBSE74L/YXmCN91EUCR1lSIK&#10;RS82VWxvj+wzCWbfht2txv76bkHocZiZb5jFqjONuJHztWUF6TgBQVxYXXOp4PixHc1B+ICssbFM&#10;Ch7kYbXs9xaYaXvnd7rloRQRwj5DBVUIbSalLyoy6Me2JY7exTqDIUpXSu3wHuGmkZMkmUmDNceF&#10;CltaV1Rc82+jYE+7Y/o4283XZ/OTHy7rLZ5cqtRw0L2+gAjUhf/ws/2mFUym8Pcl/gC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cNlxxAAAANsAAAAPAAAAAAAAAAAA&#10;AAAAAKECAABkcnMvZG93bnJldi54bWxQSwUGAAAAAAQABAD5AAAAkgMAAAAA&#10;" strokecolor="#00b0f0"/>
          <v:shape id="AutoShape 1273" o:spid="_x0000_s5316" type="#_x0000_t32" style="position:absolute;left:8590;top:680;width:0;height:15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F278IAAADbAAAADwAAAGRycy9kb3ducmV2LnhtbERPz2vCMBS+D/wfwhO8zbQeZHRGkbKC&#10;uIvrHJu3R/Nsy5qXkmS29a9fDoMdP77fm91oOnEj51vLCtJlAoK4srrlWsH5vXh8AuEDssbOMimY&#10;yMNuO3vYYKbtwG90K0MtYgj7DBU0IfSZlL5qyKBf2p44clfrDIYIXS21wyGGm06ukmQtDbYcGxrs&#10;KW+o+i5/jIJXOp7T6dO+XL66e3m65gV+uFSpxXzcP4MINIZ/8Z/7oBWs4tj4Jf4Auf0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XF278IAAADbAAAADwAAAAAAAAAAAAAA&#10;AAChAgAAZHJzL2Rvd25yZXYueG1sUEsFBgAAAAAEAAQA+QAAAJADAAAAAA==&#10;" strokecolor="#00b0f0"/>
          <v:shape id="AutoShape 1274" o:spid="_x0000_s5315" type="#_x0000_t32" style="position:absolute;left:680;top:680;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3TdMQAAADbAAAADwAAAGRycy9kb3ducmV2LnhtbESPQWvCQBSE74L/YXmCN93Eg2jqKkUU&#10;il5sqtjeHtlnEsy+Dbtbjf313YLQ4zAz3zCLVWcacSPna8sK0nECgriwuuZSwfFjO5qB8AFZY2OZ&#10;FDzIw2rZ7y0w0/bO73TLQykihH2GCqoQ2kxKX1Rk0I9tSxy9i3UGQ5SulNrhPcJNIydJMpUGa44L&#10;Fba0rqi45t9GwZ52x/Rxtpuvz+YnP1zWWzy5VKnhoHt9ARGoC//hZ/tNK5jM4e9L/AF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PdN0xAAAANsAAAAPAAAAAAAAAAAA&#10;AAAAAKECAABkcnMvZG93bnJldi54bWxQSwUGAAAAAAQABAD5AAAAkgMAAAAA&#10;" strokecolor="#00b0f0"/>
          <v:shape id="AutoShape 1275" o:spid="_x0000_s5314" type="#_x0000_t32" style="position:absolute;left:680;top:1542;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7sNMEAAADbAAAADwAAAGRycy9kb3ducmV2LnhtbERPz2vCMBS+D/wfwhO8zbQKMqpRRBTE&#10;XbZOUW+P5tkWm5eSRK3+9cthsOPH93u26Ewj7uR8bVlBOkxAEBdW11wq2P9s3j9A+ICssbFMCp7k&#10;YTHvvc0w0/bB33TPQyliCPsMFVQhtJmUvqjIoB/aljhyF+sMhghdKbXDRww3jRwlyUQarDk2VNjS&#10;qqLimt+Mgk/a7dPn0a7Pp+aVf11WGzy4VKlBv1tOQQTqwr/4z73VCsZxffwSf4Cc/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u3uw0wQAAANsAAAAPAAAAAAAAAAAAAAAA&#10;AKECAABkcnMvZG93bnJldi54bWxQSwUGAAAAAAQABAD5AAAAjwMAAAAA&#10;" strokecolor="#00b0f0"/>
          <v:shape id="AutoShape 1276" o:spid="_x0000_s5313" type="#_x0000_t32" style="position:absolute;left:680;top:2399;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UDX2MQAAADbAAAADwAAAGRycy9kb3ducmV2LnhtbESPQWvCQBSE74L/YXmCN91EQSR1lSIK&#10;RS82VWxvj+wzCWbfht2txv76bkHocZiZb5jFqjONuJHztWUF6TgBQVxYXXOp4PixHc1B+ICssbFM&#10;Ch7kYbXs9xaYaXvnd7rloRQRwj5DBVUIbSalLyoy6Me2JY7exTqDIUpXSu3wHuGmkZMkmUmDNceF&#10;CltaV1Rc82+jYE+7Y/o4283XZ/OTHy7rLZ5cqtRw0L2+gAjUhf/ws/2mFUwn8Pcl/gC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QNfYxAAAANsAAAAPAAAAAAAAAAAA&#10;AAAAAKECAABkcnMvZG93bnJldi54bWxQSwUGAAAAAAQABAD5AAAAkgMAAAAA&#10;" strokecolor="#00b0f0"/>
          <v:shape id="AutoShape 1277" o:spid="_x0000_s5312" type="#_x0000_t32" style="position:absolute;left:680;top:3259;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ifScEAAADbAAAADwAAAGRycy9kb3ducmV2LnhtbERPz2vCMBS+D/wfwhO8zbQiMqpRRBTE&#10;XbZOUW+P5tkWm5eSRK3+9cthsOPH93u26Ewj7uR8bVlBOkxAEBdW11wq2P9s3j9A+ICssbFMCp7k&#10;YTHvvc0w0/bB33TPQyliCPsMFVQhtJmUvqjIoB/aljhyF+sMhghdKbXDRww3jRwlyUQarDk2VNjS&#10;qqLimt+Mgk/a7dPn0a7Pp+aVf11WGzy4VKlBv1tOQQTqwr/4z73VCsZxffwSf4Cc/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22J9JwQAAANsAAAAPAAAAAAAAAAAAAAAA&#10;AKECAABkcnMvZG93bnJldi54bWxQSwUGAAAAAAQABAD5AAAAjwMAAAAA&#10;" strokecolor="#00b0f0"/>
          <v:shape id="AutoShape 1278" o:spid="_x0000_s5311" type="#_x0000_t32" style="position:absolute;left:680;top:4119;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Q60sUAAADbAAAADwAAAGRycy9kb3ducmV2LnhtbESPT2sCMRTE70K/Q3gFb5rdUkS2xkWk&#10;QqkXu7VUb4/N2z+4eVmSVNd++qYgeBxm5jfMIh9MJ87kfGtZQTpNQBCXVrdcK9h/biZzED4ga+ws&#10;k4IreciXD6MFZtpe+IPORahFhLDPUEETQp9J6cuGDPqp7YmjV1lnMETpaqkdXiLcdPIpSWbSYMtx&#10;ocGe1g2Vp+LHKNjS+z69ftvX46H7LXbVeoNfLlVq/DisXkAEGsI9fGu/aQXPKfx/iT9A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ZQ60sUAAADbAAAADwAAAAAAAAAA&#10;AAAAAAChAgAAZHJzL2Rvd25yZXYueG1sUEsFBgAAAAAEAAQA+QAAAJMDAAAAAA==&#10;" strokecolor="#00b0f0"/>
          <v:shape id="AutoShape 1279" o:spid="_x0000_s5310" type="#_x0000_t32" style="position:absolute;left:680;top:4979;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6JHBsUAAADbAAAADwAAAGRycy9kb3ducmV2LnhtbESPT2sCMRTE74LfITyhN82uBymrcSmi&#10;IO2l3Sq2t8fm7R+6eVmSVNd+eiMUPA4z8xtmlQ+mE2dyvrWsIJ0lIIhLq1uuFRw+d9NnED4ga+ws&#10;k4IrecjX49EKM20v/EHnItQiQthnqKAJoc+k9GVDBv3M9sTRq6wzGKJ0tdQOLxFuOjlPkoU02HJc&#10;aLCnTUPlT/FrFLzR6yG9nuz2+6v7K96rzQ6PLlXqaTK8LEEEGsIj/N/eawXzBdy/xB8g1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6JHBsUAAADbAAAADwAAAAAAAAAA&#10;AAAAAAChAgAAZHJzL2Rvd25yZXYueG1sUEsFBgAAAAAEAAQA+QAAAJMDAAAAAA==&#10;" strokecolor="#00b0f0"/>
          <v:shape id="AutoShape 1280" o:spid="_x0000_s5309" type="#_x0000_t32" style="position:absolute;left:680;top:5839;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oBPsUAAADbAAAADwAAAGRycy9kb3ducmV2LnhtbESPQWvCQBSE74L/YXlCb3UTW4qkriKi&#10;UNpLjZG2t0f2mQSzb8PuVmN/fVcQPA4z8w0zW/SmFSdyvrGsIB0nIIhLqxuuFBS7zeMUhA/IGlvL&#10;pOBCHhbz4WCGmbZn3tIpD5WIEPYZKqhD6DIpfVmTQT+2HXH0DtYZDFG6SmqH5wg3rZwkyYs02HBc&#10;qLGjVU3lMf81Cj7ovUgvX3b9893+5Z+H1Qb3LlXqYdQvX0EE6sM9fGu/aQXPT3D9En+AnP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oBPsUAAADbAAAADwAAAAAAAAAA&#10;AAAAAAChAgAAZHJzL2Rvd25yZXYueG1sUEsFBgAAAAAEAAQA+QAAAJMDAAAAAA==&#10;" strokecolor="#00b0f0"/>
          <v:shape id="AutoShape 1281" o:spid="_x0000_s5308" type="#_x0000_t32" style="position:absolute;left:680;top:6698;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OZSsUAAADbAAAADwAAAGRycy9kb3ducmV2LnhtbESPT2sCMRTE7wW/Q3hCbzW7RUpZjYuI&#10;Qmkvdauot8fm7R/cvCxJqms/fSMUehxm5jfMPB9MJy7kfGtZQTpJQBCXVrdcK9h9bZ5eQfiArLGz&#10;TApu5CFfjB7mmGl75S1dilCLCGGfoYImhD6T0pcNGfQT2xNHr7LOYIjS1VI7vEa46eRzkrxIgy3H&#10;hQZ7WjVUnotvo+CD3nfp7WDXp2P3U3xWqw3uXarU43hYzkAEGsJ/+K/9phVMp3D/En+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eOZSsUAAADbAAAADwAAAAAAAAAA&#10;AAAAAAChAgAAZHJzL2Rvd25yZXYueG1sUEsFBgAAAAAEAAQA+QAAAJMDAAAAAA==&#10;" strokecolor="#00b0f0"/>
          <v:shape id="AutoShape 1282" o:spid="_x0000_s5307" type="#_x0000_t32" style="position:absolute;left:680;top:7558;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7incQAAADbAAAADwAAAGRycy9kb3ducmV2LnhtbESPQWvCQBSE74L/YXmCN93Eg0rqKkUU&#10;il5sqtjeHtlnEsy+Dbtbjf313YLQ4zAz3zCLVWcacSPna8sK0nECgriwuuZSwfFjO5qD8AFZY2OZ&#10;FDzIw2rZ7y0w0/bO73TLQykihH2GCqoQ2kxKX1Rk0I9tSxy9i3UGQ5SulNrhPcJNIydJMpUGa44L&#10;Fba0rqi45t9GwZ52x/Rxtpuvz+YnP1zWWzy5VKnhoHt9ARGoC//hZ/tNK5jM4O9L/AF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7uKdxAAAANsAAAAPAAAAAAAAAAAA&#10;AAAAAKECAABkcnMvZG93bnJldi54bWxQSwUGAAAAAAQABAD5AAAAkgMAAAAA&#10;" strokecolor="#00b0f0"/>
          <v:shape id="AutoShape 1283" o:spid="_x0000_s5306" type="#_x0000_t32" style="position:absolute;left:680;top:8418;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JJr8UAAADbAAAADwAAAGRycy9kb3ducmV2LnhtbESPT2sCMRTE70K/Q3gFb5rdFkS2xkWk&#10;QqkXu7VUb4/N2z+4eVmSVNd++qYgeBxm5jfMIh9MJ87kfGtZQTpNQBCXVrdcK9h/biZzED4ga+ws&#10;k4IreciXD6MFZtpe+IPORahFhLDPUEETQp9J6cuGDPqp7YmjV1lnMETpaqkdXiLcdPIpSWbSYMtx&#10;ocGe1g2Vp+LHKNjS+z69ftvX46H7LXbVeoNfLlVq/DisXkAEGsI9fGu/aQXPKfx/iT9A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ZJJr8UAAADbAAAADwAAAAAAAAAA&#10;AAAAAAChAgAAZHJzL2Rvd25yZXYueG1sUEsFBgAAAAAEAAQA+QAAAJMDAAAAAA==&#10;" strokecolor="#00b0f0"/>
          <v:shape id="AutoShape 1284" o:spid="_x0000_s5305" type="#_x0000_t32" style="position:absolute;left:680;top:9278;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EHPcUAAADbAAAADwAAAGRycy9kb3ducmV2LnhtbESPQWvCQBSE74L/YXlCb3UTKa2kriKi&#10;UNpLjZG2t0f2mQSzb8PuVmN/fVcQPA4z8w0zW/SmFSdyvrGsIB0nIIhLqxuuFBS7zeMUhA/IGlvL&#10;pOBCHhbz4WCGmbZn3tIpD5WIEPYZKqhD6DIpfVmTQT+2HXH0DtYZDFG6SmqH5wg3rZwkybM02HBc&#10;qLGjVU3lMf81Cj7ovUgvX3b9893+5Z+H1Qb3LlXqYdQvX0EE6sM9fGu/aQVPL3D9En+AnP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TEHPcUAAADbAAAADwAAAAAAAAAA&#10;AAAAAAChAgAAZHJzL2Rvd25yZXYueG1sUEsFBgAAAAAEAAQA+QAAAJMDAAAAAA==&#10;" strokecolor="#00b0f0"/>
          <v:shape id="AutoShape 1285" o:spid="_x0000_s5304" type="#_x0000_t32" style="position:absolute;left:680;top:10138;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6TT8EAAADbAAAADwAAAGRycy9kb3ducmV2LnhtbERPz2vCMBS+D/wfwhO8zbQiMqpRRBTE&#10;XbZOUW+P5tkWm5eSRK3+9cthsOPH93u26Ewj7uR8bVlBOkxAEBdW11wq2P9s3j9A+ICssbFMCp7k&#10;YTHvvc0w0/bB33TPQyliCPsMFVQhtJmUvqjIoB/aljhyF+sMhghdKbXDRww3jRwlyUQarDk2VNjS&#10;qqLimt+Mgk/a7dPn0a7Pp+aVf11WGzy4VKlBv1tOQQTqwr/4z73VCsZxbPwSf4Cc/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IrpNPwQAAANsAAAAPAAAAAAAAAAAAAAAA&#10;AKECAABkcnMvZG93bnJldi54bWxQSwUGAAAAAAQABAD5AAAAjwMAAAAA&#10;" strokecolor="#00b0f0"/>
          <v:shape id="AutoShape 1286" o:spid="_x0000_s5303" type="#_x0000_t32" style="position:absolute;left:680;top:10997;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21MUAAADbAAAADwAAAGRycy9kb3ducmV2LnhtbESPQWvCQBSE74L/YXlCb3UTKaWmriKi&#10;UNpLjZG2t0f2mQSzb8PuVmN/fVcQPA4z8w0zW/SmFSdyvrGsIB0nIIhLqxuuFBS7zeMLCB+QNbaW&#10;ScGFPCzmw8EMM23PvKVTHioRIewzVFCH0GVS+rImg35sO+LoHawzGKJ0ldQOzxFuWjlJkmdpsOG4&#10;UGNHq5rKY/5rFHzQe5Fevuz657v9yz8Pqw3uXarUw6hfvoII1Id7+NZ+0wqepnD9En+AnP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I21MUAAADbAAAADwAAAAAAAAAA&#10;AAAAAAChAgAAZHJzL2Rvd25yZXYueG1sUEsFBgAAAAAEAAQA+QAAAJMDAAAAAA==&#10;" strokecolor="#00b0f0"/>
          <v:shape id="AutoShape 1287" o:spid="_x0000_s5302" type="#_x0000_t32" style="position:absolute;left:680;top:11857;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EJlMEAAADbAAAADwAAAGRycy9kb3ducmV2LnhtbERPz2vCMBS+D/wfwhO8zbSCMqpRRBTE&#10;XbZOUW+P5tkWm5eSRK3+9cthsOPH93u26Ewj7uR8bVlBOkxAEBdW11wq2P9s3j9A+ICssbFMCp7k&#10;YTHvvc0w0/bB33TPQyliCPsMFVQhtJmUvqjIoB/aljhyF+sMhghdKbXDRww3jRwlyUQarDk2VNjS&#10;qqLimt+Mgk/a7dPn0a7Pp+aVf11WGzy4VKlBv1tOQQTqwr/4z73VCsZxffwSf4Cc/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AQmUwQAAANsAAAAPAAAAAAAAAAAAAAAA&#10;AKECAABkcnMvZG93bnJldi54bWxQSwUGAAAAAAQABAD5AAAAjwMAAAAA&#10;" strokecolor="#00b0f0"/>
          <v:shape id="AutoShape 1288" o:spid="_x0000_s5301" type="#_x0000_t32" style="position:absolute;left:680;top:12717;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2sD8UAAADbAAAADwAAAGRycy9kb3ducmV2LnhtbESPT2sCMRTE70K/Q3gFb5rdQkW2xkWk&#10;QqkXu7VUb4/N2z+4eVmSVNd++qYgeBxm5jfMIh9MJ87kfGtZQTpNQBCXVrdcK9h/biZzED4ga+ws&#10;k4IreciXD6MFZtpe+IPORahFhLDPUEETQp9J6cuGDPqp7YmjV1lnMETpaqkdXiLcdPIpSWbSYMtx&#10;ocGe1g2Vp+LHKNjS+z69ftvX46H7LXbVeoNfLlVq/DisXkAEGsI9fGu/aQXPKfx/iT9A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E2sD8UAAADbAAAADwAAAAAAAAAA&#10;AAAAAAChAgAAZHJzL2Rvd25yZXYueG1sUEsFBgAAAAAEAAQA+QAAAJMDAAAAAA==&#10;" strokecolor="#00b0f0"/>
          <v:shape id="AutoShape 1289" o:spid="_x0000_s5300" type="#_x0000_t32" style="position:absolute;left:680;top:13577;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8yeMQAAADbAAAADwAAAGRycy9kb3ducmV2LnhtbESPQWvCQBSE74L/YXmCN91EUCR1lSIK&#10;RS82VWxvj+wzCWbfht2txv76bkHocZiZb5jFqjONuJHztWUF6TgBQVxYXXOp4PixHc1B+ICssbFM&#10;Ch7kYbXs9xaYaXvnd7rloRQRwj5DBVUIbSalLyoy6Me2JY7exTqDIUpXSu3wHuGmkZMkmUmDNceF&#10;CltaV1Rc82+jYE+7Y/o4283XZ/OTHy7rLZ5cqtRw0L2+gAjUhf/ws/2mFUwn8Pcl/gC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nzJ4xAAAANsAAAAPAAAAAAAAAAAA&#10;AAAAAKECAABkcnMvZG93bnJldi54bWxQSwUGAAAAAAQABAD5AAAAkgMAAAAA&#10;" strokecolor="#00b0f0"/>
          <v:shape id="AutoShape 1290" o:spid="_x0000_s5299" type="#_x0000_t32" style="position:absolute;left:680;top:15296;width:10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OX48UAAADbAAAADwAAAGRycy9kb3ducmV2LnhtbESPQWvCQBSE74L/YXlCb3UTS4ukriKi&#10;UNpLjZG2t0f2mQSzb8PuVmN/fVcQPA4z8w0zW/SmFSdyvrGsIB0nIIhLqxuuFBS7zeMUhA/IGlvL&#10;pOBCHhbz4WCGmbZn3tIpD5WIEPYZKqhD6DIpfVmTQT+2HXH0DtYZDFG6SmqH5wg3rZwkyYs02HBc&#10;qLGjVU3lMf81Cj7ovUgvX3b9893+5Z+H1Qb3LlXqYdQvX0EE6sM9fGu/aQXPT3D9En+AnP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9OX48UAAADbAAAADwAAAAAAAAAA&#10;AAAAAAChAgAAZHJzL2Rvd25yZXYueG1sUEsFBgAAAAAEAAQA+QAAAJMDAAAAAA==&#10;" strokecolor="#00b0f0"/>
          <w10:wrap anchorx="page" anchory="page"/>
        </v:group>
      </w:pict>
    </w:r>
    <w:r>
      <w:fldChar w:fldCharType="begin"/>
    </w:r>
    <w:r w:rsidR="000C182B">
      <w:instrText xml:space="preserve"> STYLEREF "Heading 4" </w:instrText>
    </w:r>
    <w:r>
      <w:fldChar w:fldCharType="separate"/>
    </w:r>
    <w:r w:rsidR="00250027">
      <w:rPr>
        <w:noProof/>
      </w:rPr>
      <w:t>Glossary</w:t>
    </w:r>
    <w:r>
      <w:rPr>
        <w:noProof/>
      </w:rPr>
      <w:fldChar w:fldCharType="end"/>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0A0D05" w:rsidRDefault="00250027" w:rsidP="000A0D0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EE4B52" w:rsidRDefault="009129A6" w:rsidP="00816E76">
    <w:pPr>
      <w:pStyle w:val="Header-FirstPage"/>
    </w:pPr>
    <w:r w:rsidRPr="009129A6">
      <w:rPr>
        <w:noProof/>
        <w:snapToGrid/>
        <w:lang w:eastAsia="en-AU"/>
      </w:rPr>
      <w:pict>
        <v:rect id="Rectangle 1507" o:spid="_x0000_s5297" alt="Bright Block" style="position:absolute;left:0;text-align:left;margin-left:14.2pt;margin-top:0;width:283.45pt;height:813.55pt;z-index:-251488257;visibility:visible;mso-wrap-style:square;mso-width-percent:0;mso-height-percent:0;mso-wrap-distance-left:9pt;mso-wrap-distance-top:0;mso-wrap-distance-right:9pt;mso-wrap-distance-bottom:0;mso-position-horizontal:absolute;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" fillcolor="#968c6d" stroked="f" strokecolor="white [3214]">
          <w10:wrap anchorx="page" anchory="page"/>
        </v:rect>
      </w:pict>
    </w:r>
  </w:p>
  <w:p w:rsidR="00250027" w:rsidRPr="00816E76" w:rsidRDefault="00250027" w:rsidP="00816E76">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034812" w:rsidRDefault="00250027" w:rsidP="00034812">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A104EF" w:rsidRDefault="00250027" w:rsidP="00E13745">
    <w:pPr>
      <w:pStyle w:val="Header"/>
      <w:ind w:left="0"/>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0A0D05" w:rsidRDefault="00250027" w:rsidP="000A0D0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EE4B52" w:rsidRDefault="00250027" w:rsidP="00816E76">
    <w:pPr>
      <w:pStyle w:val="Header-FirstPage"/>
    </w:pPr>
  </w:p>
  <w:p w:rsidR="00250027" w:rsidRPr="00816E76" w:rsidRDefault="00250027" w:rsidP="00E13745">
    <w:pPr>
      <w:pStyle w:val="AppendixPanelFrameappendix"/>
      <w:framePr w:wrap="notBeside"/>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D6084C" w:rsidRDefault="00250027" w:rsidP="00D6084C">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0A0D05" w:rsidRDefault="00250027" w:rsidP="000A0D0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3E4E09" w:rsidRDefault="00250027" w:rsidP="003E4E09">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3E4E09" w:rsidRDefault="00250027" w:rsidP="003E4E09">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357D47" w:rsidRDefault="00250027" w:rsidP="00357D47">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357D47" w:rsidRDefault="00250027" w:rsidP="00357D47">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3E4E09" w:rsidRDefault="00250027" w:rsidP="003E4E09">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684EB4" w:rsidRDefault="00250027" w:rsidP="00684EB4">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3E4E09" w:rsidRDefault="00250027" w:rsidP="003E4E09">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7A1A20" w:rsidRDefault="00250027" w:rsidP="007A1A20">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Default="00250027">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034812" w:rsidRDefault="00250027" w:rsidP="00034812">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0A0D05" w:rsidRDefault="00250027" w:rsidP="000A0D05">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27" w:rsidRPr="0097760A" w:rsidRDefault="00250027" w:rsidP="00D61BF2">
    <w:pPr>
      <w:pStyle w:val="FirstPagePanelFrame"/>
      <w:framePr w:wrap="notBesid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97751"/>
    <w:multiLevelType w:val="multilevel"/>
    <w:tmpl w:val="0C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731221B"/>
    <w:multiLevelType w:val="multilevel"/>
    <w:tmpl w:val="54B62ED8"/>
    <w:styleLink w:val="BulletList"/>
    <w:lvl w:ilvl="0">
      <w:start w:val="1"/>
      <w:numFmt w:val="bullet"/>
      <w:lvlRestart w:val="0"/>
      <w:lvlText w:val=""/>
      <w:lvlJc w:val="left"/>
      <w:pPr>
        <w:tabs>
          <w:tab w:val="num" w:pos="567"/>
        </w:tabs>
        <w:ind w:left="567" w:hanging="567"/>
      </w:pPr>
      <w:rPr>
        <w:rFonts w:ascii="Symbol" w:hAnsi="Symbol" w:hint="default"/>
        <w:b w:val="0"/>
        <w:i w:val="0"/>
        <w:color w:val="auto"/>
      </w:rPr>
    </w:lvl>
    <w:lvl w:ilvl="1">
      <w:start w:val="1"/>
      <w:numFmt w:val="bullet"/>
      <w:lvlText w:val="–"/>
      <w:lvlJc w:val="left"/>
      <w:pPr>
        <w:tabs>
          <w:tab w:val="num" w:pos="1134"/>
        </w:tabs>
        <w:ind w:left="1134" w:hanging="567"/>
      </w:pPr>
      <w:rPr>
        <w:rFonts w:ascii="Arial" w:hAnsi="Arial" w:hint="default"/>
        <w:b w:val="0"/>
        <w:i w:val="0"/>
        <w:color w:val="auto"/>
      </w:rPr>
    </w:lvl>
    <w:lvl w:ilvl="2">
      <w:start w:val="1"/>
      <w:numFmt w:val="bullet"/>
      <w:lvlText w:val="o"/>
      <w:lvlJc w:val="left"/>
      <w:pPr>
        <w:tabs>
          <w:tab w:val="num" w:pos="1701"/>
        </w:tabs>
        <w:ind w:left="1701" w:hanging="567"/>
      </w:pPr>
      <w:rPr>
        <w:rFonts w:ascii="Arial" w:hAnsi="Arial" w:hint="default"/>
        <w:b w:val="0"/>
        <w:i w:val="0"/>
        <w:color w:val="auto"/>
        <w:sz w:val="10"/>
        <w:szCs w:val="10"/>
      </w:rPr>
    </w:lvl>
    <w:lvl w:ilvl="3">
      <w:start w:val="1"/>
      <w:numFmt w:val="bullet"/>
      <w:lvlText w:val=""/>
      <w:lvlJc w:val="left"/>
      <w:pPr>
        <w:tabs>
          <w:tab w:val="num" w:pos="2268"/>
        </w:tabs>
        <w:ind w:left="2268" w:hanging="567"/>
      </w:pPr>
      <w:rPr>
        <w:rFonts w:ascii="Wingdings" w:hAnsi="Wingdings" w:hint="default"/>
        <w:b w:val="0"/>
        <w:i w:val="0"/>
        <w:color w:val="auto"/>
        <w:sz w:val="10"/>
        <w:szCs w:val="10"/>
      </w:rPr>
    </w:lvl>
    <w:lvl w:ilvl="4">
      <w:start w:val="1"/>
      <w:numFmt w:val="none"/>
      <w:lvlText w:val="%5"/>
      <w:lvlJc w:val="left"/>
      <w:pPr>
        <w:tabs>
          <w:tab w:val="num" w:pos="0"/>
        </w:tabs>
        <w:ind w:left="0" w:firstLine="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
    <w:nsid w:val="08112352"/>
    <w:multiLevelType w:val="multilevel"/>
    <w:tmpl w:val="F1841220"/>
    <w:name w:val="Bullets"/>
    <w:styleLink w:val="Bullets"/>
    <w:lvl w:ilvl="0">
      <w:start w:val="1"/>
      <w:numFmt w:val="bullet"/>
      <w:pStyle w:val="Bullet1"/>
      <w:lvlText w:val=""/>
      <w:lvlJc w:val="left"/>
      <w:pPr>
        <w:tabs>
          <w:tab w:val="num" w:pos="567"/>
        </w:tabs>
        <w:ind w:left="567" w:hanging="567"/>
      </w:pPr>
      <w:rPr>
        <w:rFonts w:ascii="Symbol" w:hAnsi="Symbol" w:hint="default"/>
        <w:color w:val="auto"/>
      </w:rPr>
    </w:lvl>
    <w:lvl w:ilvl="1">
      <w:start w:val="1"/>
      <w:numFmt w:val="bullet"/>
      <w:pStyle w:val="Bullet2"/>
      <w:lvlText w:val="–"/>
      <w:lvlJc w:val="left"/>
      <w:pPr>
        <w:tabs>
          <w:tab w:val="num" w:pos="1134"/>
        </w:tabs>
        <w:ind w:left="1134" w:hanging="567"/>
      </w:pPr>
      <w:rPr>
        <w:rFonts w:ascii="Arial" w:hAnsi="Arial" w:hint="default"/>
        <w:color w:val="auto"/>
      </w:rPr>
    </w:lvl>
    <w:lvl w:ilvl="2">
      <w:start w:val="1"/>
      <w:numFmt w:val="bullet"/>
      <w:pStyle w:val="Bullet3"/>
      <w:lvlText w:val="◦"/>
      <w:lvlJc w:val="left"/>
      <w:pPr>
        <w:tabs>
          <w:tab w:val="num" w:pos="1701"/>
        </w:tabs>
        <w:ind w:left="1701" w:hanging="567"/>
      </w:pPr>
      <w:rPr>
        <w:rFonts w:ascii="Georgia" w:hAnsi="Georgia" w:hint="default"/>
        <w:color w:val="auto"/>
      </w:rPr>
    </w:lvl>
    <w:lvl w:ilvl="3">
      <w:start w:val="1"/>
      <w:numFmt w:val="bullet"/>
      <w:pStyle w:val="Bullet4"/>
      <w:lvlText w:val=""/>
      <w:lvlJc w:val="left"/>
      <w:pPr>
        <w:tabs>
          <w:tab w:val="num" w:pos="2268"/>
        </w:tabs>
        <w:ind w:left="2268" w:hanging="567"/>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9257FF5"/>
    <w:multiLevelType w:val="multilevel"/>
    <w:tmpl w:val="585065D6"/>
    <w:lvl w:ilvl="0">
      <w:start w:val="1"/>
      <w:numFmt w:val="bullet"/>
      <w:pStyle w:val="CVBullet1"/>
      <w:lvlText w:val=""/>
      <w:lvlJc w:val="left"/>
      <w:pPr>
        <w:ind w:left="227" w:hanging="227"/>
      </w:pPr>
      <w:rPr>
        <w:rFonts w:ascii="Symbol" w:hAnsi="Symbol" w:hint="default"/>
        <w:color w:val="auto"/>
      </w:rPr>
    </w:lvl>
    <w:lvl w:ilvl="1">
      <w:start w:val="1"/>
      <w:numFmt w:val="bullet"/>
      <w:pStyle w:val="CVBullet2"/>
      <w:lvlText w:val="–"/>
      <w:lvlJc w:val="left"/>
      <w:pPr>
        <w:ind w:left="454" w:hanging="227"/>
      </w:pPr>
      <w:rPr>
        <w:rFonts w:ascii="Arial" w:hAnsi="Aria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0984408E"/>
    <w:multiLevelType w:val="multilevel"/>
    <w:tmpl w:val="EE3860A0"/>
    <w:name w:val="PwCListNumbers1"/>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5">
    <w:nsid w:val="0B086541"/>
    <w:multiLevelType w:val="multilevel"/>
    <w:tmpl w:val="572824AC"/>
    <w:lvl w:ilvl="0">
      <w:start w:val="1"/>
      <w:numFmt w:val="decimal"/>
      <w:pStyle w:val="ListNumber"/>
      <w:lvlText w:val="%1"/>
      <w:lvlJc w:val="left"/>
      <w:pPr>
        <w:tabs>
          <w:tab w:val="num" w:pos="567"/>
        </w:tabs>
        <w:ind w:left="567" w:hanging="567"/>
      </w:pPr>
      <w:rPr>
        <w:rFonts w:hint="default"/>
      </w:rPr>
    </w:lvl>
    <w:lvl w:ilvl="1">
      <w:start w:val="1"/>
      <w:numFmt w:val="lowerLetter"/>
      <w:pStyle w:val="ListNumber2"/>
      <w:lvlText w:val="%2"/>
      <w:lvlJc w:val="left"/>
      <w:pPr>
        <w:tabs>
          <w:tab w:val="num" w:pos="1134"/>
        </w:tabs>
        <w:ind w:left="1134" w:hanging="567"/>
      </w:pPr>
      <w:rPr>
        <w:rFonts w:hint="default"/>
      </w:rPr>
    </w:lvl>
    <w:lvl w:ilvl="2">
      <w:start w:val="1"/>
      <w:numFmt w:val="lowerRoman"/>
      <w:pStyle w:val="ListNumber3"/>
      <w:lvlText w:val="%3"/>
      <w:lvlJc w:val="left"/>
      <w:pPr>
        <w:tabs>
          <w:tab w:val="num" w:pos="1701"/>
        </w:tabs>
        <w:ind w:left="1701" w:hanging="567"/>
      </w:pPr>
      <w:rPr>
        <w:rFonts w:hint="default"/>
      </w:rPr>
    </w:lvl>
    <w:lvl w:ilvl="3">
      <w:start w:val="1"/>
      <w:numFmt w:val="decimal"/>
      <w:pStyle w:val="ListNumber4"/>
      <w:lvlText w:val="%4"/>
      <w:lvlJc w:val="left"/>
      <w:pPr>
        <w:tabs>
          <w:tab w:val="num" w:pos="2268"/>
        </w:tabs>
        <w:ind w:left="2268" w:hanging="567"/>
      </w:pPr>
      <w:rPr>
        <w:rFonts w:hint="default"/>
      </w:rPr>
    </w:lvl>
    <w:lvl w:ilvl="4">
      <w:start w:val="1"/>
      <w:numFmt w:val="lowerLetter"/>
      <w:pStyle w:val="ListNumber5"/>
      <w:lvlText w:val="%5"/>
      <w:lvlJc w:val="left"/>
      <w:pPr>
        <w:tabs>
          <w:tab w:val="num" w:pos="2835"/>
        </w:tabs>
        <w:ind w:left="2835"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E1A1C8C"/>
    <w:multiLevelType w:val="hybridMultilevel"/>
    <w:tmpl w:val="2F6227EE"/>
    <w:lvl w:ilvl="0" w:tplc="38F467A0">
      <w:start w:val="1"/>
      <w:numFmt w:val="bullet"/>
      <w:pStyle w:val="TheirBullet1"/>
      <w:lvlText w:val=""/>
      <w:lvlJc w:val="left"/>
      <w:pPr>
        <w:ind w:left="720" w:hanging="360"/>
      </w:pPr>
      <w:rPr>
        <w:rFonts w:ascii="Symbol" w:hAnsi="Symbol" w:hint="default"/>
        <w:color w:val="DC6900" w:themeColor="accen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13C4B44"/>
    <w:multiLevelType w:val="multilevel"/>
    <w:tmpl w:val="4E5C847A"/>
    <w:styleLink w:val="Indents"/>
    <w:lvl w:ilvl="0">
      <w:start w:val="1"/>
      <w:numFmt w:val="none"/>
      <w:pStyle w:val="PwCNormal"/>
      <w:suff w:val="nothing"/>
      <w:lvlText w:val=""/>
      <w:lvlJc w:val="left"/>
      <w:pPr>
        <w:ind w:left="0" w:firstLine="0"/>
      </w:pPr>
      <w:rPr>
        <w:rFonts w:hint="default"/>
        <w:color w:val="auto"/>
      </w:rPr>
    </w:lvl>
    <w:lvl w:ilvl="1">
      <w:start w:val="1"/>
      <w:numFmt w:val="none"/>
      <w:pStyle w:val="Indent1"/>
      <w:suff w:val="nothing"/>
      <w:lvlText w:val=""/>
      <w:lvlJc w:val="left"/>
      <w:pPr>
        <w:ind w:left="567" w:firstLine="0"/>
      </w:pPr>
      <w:rPr>
        <w:rFonts w:hint="default"/>
      </w:rPr>
    </w:lvl>
    <w:lvl w:ilvl="2">
      <w:start w:val="1"/>
      <w:numFmt w:val="none"/>
      <w:pStyle w:val="Indent2"/>
      <w:suff w:val="nothing"/>
      <w:lvlText w:val=""/>
      <w:lvlJc w:val="left"/>
      <w:pPr>
        <w:ind w:left="1134" w:firstLine="0"/>
      </w:pPr>
      <w:rPr>
        <w:rFonts w:hint="default"/>
      </w:rPr>
    </w:lvl>
    <w:lvl w:ilvl="3">
      <w:start w:val="1"/>
      <w:numFmt w:val="none"/>
      <w:pStyle w:val="Indent3"/>
      <w:suff w:val="nothing"/>
      <w:lvlText w:val=""/>
      <w:lvlJc w:val="left"/>
      <w:pPr>
        <w:ind w:left="1701" w:firstLine="0"/>
      </w:pPr>
      <w:rPr>
        <w:rFonts w:hint="default"/>
      </w:rPr>
    </w:lvl>
    <w:lvl w:ilvl="4">
      <w:start w:val="1"/>
      <w:numFmt w:val="none"/>
      <w:pStyle w:val="Indent4"/>
      <w:suff w:val="nothing"/>
      <w:lvlText w:val=""/>
      <w:lvlJc w:val="left"/>
      <w:pPr>
        <w:ind w:left="2268" w:firstLine="0"/>
      </w:pPr>
      <w:rPr>
        <w:rFonts w:hint="default"/>
      </w:rPr>
    </w:lvl>
    <w:lvl w:ilvl="5">
      <w:start w:val="1"/>
      <w:numFmt w:val="none"/>
      <w:pStyle w:val="Indent5"/>
      <w:suff w:val="nothing"/>
      <w:lvlText w:val=""/>
      <w:lvlJc w:val="left"/>
      <w:pPr>
        <w:ind w:left="2835" w:firstLine="0"/>
      </w:pPr>
      <w:rPr>
        <w:rFonts w:hint="default"/>
      </w:rPr>
    </w:lvl>
    <w:lvl w:ilvl="6">
      <w:start w:val="1"/>
      <w:numFmt w:val="none"/>
      <w:pStyle w:val="Indent6"/>
      <w:suff w:val="nothing"/>
      <w:lvlText w:val=""/>
      <w:lvlJc w:val="left"/>
      <w:pPr>
        <w:ind w:left="3402" w:firstLine="0"/>
      </w:pPr>
      <w:rPr>
        <w:rFonts w:hint="default"/>
      </w:rPr>
    </w:lvl>
    <w:lvl w:ilvl="7">
      <w:start w:val="1"/>
      <w:numFmt w:val="none"/>
      <w:pStyle w:val="Indent7"/>
      <w:suff w:val="nothing"/>
      <w:lvlText w:val=""/>
      <w:lvlJc w:val="left"/>
      <w:pPr>
        <w:ind w:left="3969" w:firstLine="0"/>
      </w:pPr>
      <w:rPr>
        <w:rFonts w:hint="default"/>
      </w:rPr>
    </w:lvl>
    <w:lvl w:ilvl="8">
      <w:start w:val="1"/>
      <w:numFmt w:val="none"/>
      <w:pStyle w:val="Indent8"/>
      <w:suff w:val="nothing"/>
      <w:lvlText w:val=""/>
      <w:lvlJc w:val="left"/>
      <w:pPr>
        <w:ind w:left="4536" w:firstLine="0"/>
      </w:pPr>
      <w:rPr>
        <w:rFonts w:hint="default"/>
      </w:rPr>
    </w:lvl>
  </w:abstractNum>
  <w:abstractNum w:abstractNumId="8">
    <w:nsid w:val="184F5379"/>
    <w:multiLevelType w:val="multilevel"/>
    <w:tmpl w:val="1546630C"/>
    <w:styleLink w:val="ListNumberList"/>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righ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187E60D1"/>
    <w:multiLevelType w:val="multilevel"/>
    <w:tmpl w:val="0C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D230827"/>
    <w:multiLevelType w:val="multilevel"/>
    <w:tmpl w:val="AF18B140"/>
    <w:styleLink w:val="TableNumberdListNormal"/>
    <w:lvl w:ilvl="0">
      <w:start w:val="1"/>
      <w:numFmt w:val="decimal"/>
      <w:lvlRestart w:val="0"/>
      <w:lvlText w:val="%1"/>
      <w:lvlJc w:val="left"/>
      <w:pPr>
        <w:tabs>
          <w:tab w:val="num" w:pos="283"/>
        </w:tabs>
        <w:ind w:left="284" w:hanging="284"/>
      </w:pPr>
      <w:rPr>
        <w:rFonts w:ascii="Times New Roman" w:hAnsi="Times New Roman" w:hint="default"/>
        <w:b w:val="0"/>
        <w:i w:val="0"/>
        <w:color w:val="auto"/>
      </w:rPr>
    </w:lvl>
    <w:lvl w:ilvl="1">
      <w:start w:val="1"/>
      <w:numFmt w:val="lowerLetter"/>
      <w:lvlRestart w:val="0"/>
      <w:lvlText w:val="%2"/>
      <w:lvlJc w:val="left"/>
      <w:pPr>
        <w:tabs>
          <w:tab w:val="num" w:pos="567"/>
        </w:tabs>
        <w:ind w:left="567" w:hanging="283"/>
      </w:pPr>
      <w:rPr>
        <w:rFonts w:hint="default"/>
        <w:b w:val="0"/>
        <w:i w:val="0"/>
        <w:color w:val="auto"/>
        <w:szCs w:val="10"/>
      </w:rPr>
    </w:lvl>
    <w:lvl w:ilvl="2">
      <w:start w:val="1"/>
      <w:numFmt w:val="lowerRoman"/>
      <w:lvlRestart w:val="0"/>
      <w:lvlText w:val="%3"/>
      <w:lvlJc w:val="left"/>
      <w:pPr>
        <w:tabs>
          <w:tab w:val="num" w:pos="851"/>
        </w:tabs>
        <w:ind w:left="851" w:hanging="284"/>
      </w:pPr>
      <w:rPr>
        <w:rFonts w:hint="default"/>
        <w:b w:val="0"/>
        <w:i w:val="0"/>
        <w:color w:val="auto"/>
        <w:sz w:val="10"/>
        <w:szCs w:val="10"/>
      </w:rPr>
    </w:lvl>
    <w:lvl w:ilvl="3">
      <w:start w:val="1"/>
      <w:numFmt w:val="none"/>
      <w:lvlRestart w:val="0"/>
      <w:lvlText w:val=""/>
      <w:lvlJc w:val="left"/>
      <w:pPr>
        <w:tabs>
          <w:tab w:val="num" w:pos="0"/>
        </w:tabs>
        <w:ind w:left="0" w:firstLine="0"/>
      </w:pPr>
      <w:rPr>
        <w:rFonts w:hint="default"/>
        <w:color w:val="auto"/>
        <w:sz w:val="10"/>
        <w:szCs w:val="10"/>
      </w:rPr>
    </w:lvl>
    <w:lvl w:ilvl="4">
      <w:start w:val="1"/>
      <w:numFmt w:val="none"/>
      <w:lvlText w:val="%5"/>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1">
    <w:nsid w:val="22C93D77"/>
    <w:multiLevelType w:val="hybridMultilevel"/>
    <w:tmpl w:val="6CFC7DAC"/>
    <w:lvl w:ilvl="0" w:tplc="D9BA6926">
      <w:start w:val="1"/>
      <w:numFmt w:val="bullet"/>
      <w:pStyle w:val="Bullet1-grey"/>
      <w:lvlText w:val=""/>
      <w:lvlJc w:val="left"/>
      <w:pPr>
        <w:ind w:left="360" w:hanging="360"/>
      </w:pPr>
      <w:rPr>
        <w:rFonts w:ascii="Symbol" w:hAnsi="Symbol" w:hint="default"/>
        <w:color w:val="DC6900" w:themeColor="accen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83947C2"/>
    <w:multiLevelType w:val="multilevel"/>
    <w:tmpl w:val="50B20D3A"/>
    <w:lvl w:ilvl="0">
      <w:start w:val="1"/>
      <w:numFmt w:val="decimal"/>
      <w:lvlRestart w:val="0"/>
      <w:pStyle w:val="TableNumberedListSmall1"/>
      <w:lvlText w:val="%1"/>
      <w:lvlJc w:val="left"/>
      <w:pPr>
        <w:tabs>
          <w:tab w:val="num" w:pos="283"/>
        </w:tabs>
        <w:ind w:left="284" w:hanging="284"/>
      </w:pPr>
      <w:rPr>
        <w:rFonts w:asciiTheme="minorHAnsi" w:hAnsiTheme="minorHAnsi" w:hint="default"/>
        <w:b w:val="0"/>
        <w:i w:val="0"/>
        <w:color w:val="auto"/>
        <w:sz w:val="20"/>
      </w:rPr>
    </w:lvl>
    <w:lvl w:ilvl="1">
      <w:start w:val="1"/>
      <w:numFmt w:val="lowerLetter"/>
      <w:lvlRestart w:val="0"/>
      <w:pStyle w:val="TableNumberedListSmall2"/>
      <w:lvlText w:val="%2"/>
      <w:lvlJc w:val="left"/>
      <w:pPr>
        <w:tabs>
          <w:tab w:val="num" w:pos="567"/>
        </w:tabs>
        <w:ind w:left="567" w:hanging="283"/>
      </w:pPr>
      <w:rPr>
        <w:rFonts w:hint="default"/>
        <w:b w:val="0"/>
        <w:i w:val="0"/>
        <w:color w:val="auto"/>
        <w:szCs w:val="10"/>
      </w:rPr>
    </w:lvl>
    <w:lvl w:ilvl="2">
      <w:start w:val="1"/>
      <w:numFmt w:val="lowerRoman"/>
      <w:lvlRestart w:val="0"/>
      <w:pStyle w:val="TableNumberedListSmall3"/>
      <w:lvlText w:val="%3"/>
      <w:lvlJc w:val="left"/>
      <w:pPr>
        <w:tabs>
          <w:tab w:val="num" w:pos="851"/>
        </w:tabs>
        <w:ind w:left="851" w:hanging="284"/>
      </w:pPr>
      <w:rPr>
        <w:rFonts w:asciiTheme="minorHAnsi" w:hAnsiTheme="minorHAnsi" w:hint="default"/>
        <w:b w:val="0"/>
        <w:i w:val="0"/>
        <w:color w:val="auto"/>
        <w:sz w:val="20"/>
        <w:szCs w:val="10"/>
      </w:rPr>
    </w:lvl>
    <w:lvl w:ilvl="3">
      <w:start w:val="1"/>
      <w:numFmt w:val="none"/>
      <w:lvlRestart w:val="0"/>
      <w:lvlText w:val=""/>
      <w:lvlJc w:val="left"/>
      <w:pPr>
        <w:tabs>
          <w:tab w:val="num" w:pos="0"/>
        </w:tabs>
        <w:ind w:left="0" w:firstLine="0"/>
      </w:pPr>
      <w:rPr>
        <w:rFonts w:hint="default"/>
        <w:color w:val="auto"/>
        <w:sz w:val="10"/>
        <w:szCs w:val="10"/>
      </w:rPr>
    </w:lvl>
    <w:lvl w:ilvl="4">
      <w:start w:val="1"/>
      <w:numFmt w:val="none"/>
      <w:lvlText w:val="%5"/>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3">
    <w:nsid w:val="29F60073"/>
    <w:multiLevelType w:val="multilevel"/>
    <w:tmpl w:val="4FFCF060"/>
    <w:lvl w:ilvl="0">
      <w:start w:val="1"/>
      <w:numFmt w:val="decimal"/>
      <w:lvlRestart w:val="0"/>
      <w:pStyle w:val="TableNumberedList1"/>
      <w:lvlText w:val="%1"/>
      <w:lvlJc w:val="left"/>
      <w:pPr>
        <w:tabs>
          <w:tab w:val="num" w:pos="283"/>
        </w:tabs>
        <w:ind w:left="284" w:hanging="284"/>
      </w:pPr>
      <w:rPr>
        <w:rFonts w:asciiTheme="majorHAnsi" w:hAnsiTheme="majorHAnsi" w:cs="Arial" w:hint="default"/>
        <w:b w:val="0"/>
        <w:i w:val="0"/>
        <w:color w:val="auto"/>
        <w:sz w:val="20"/>
      </w:rPr>
    </w:lvl>
    <w:lvl w:ilvl="1">
      <w:start w:val="1"/>
      <w:numFmt w:val="lowerLetter"/>
      <w:lvlRestart w:val="0"/>
      <w:pStyle w:val="TableNumberedList2"/>
      <w:lvlText w:val="%2"/>
      <w:lvlJc w:val="left"/>
      <w:pPr>
        <w:tabs>
          <w:tab w:val="num" w:pos="567"/>
        </w:tabs>
        <w:ind w:left="567" w:hanging="283"/>
      </w:pPr>
      <w:rPr>
        <w:rFonts w:hint="default"/>
        <w:b w:val="0"/>
        <w:i w:val="0"/>
        <w:color w:val="auto"/>
        <w:szCs w:val="10"/>
      </w:rPr>
    </w:lvl>
    <w:lvl w:ilvl="2">
      <w:start w:val="1"/>
      <w:numFmt w:val="lowerRoman"/>
      <w:lvlRestart w:val="0"/>
      <w:pStyle w:val="TableNumberedList3"/>
      <w:lvlText w:val="%3"/>
      <w:lvlJc w:val="left"/>
      <w:pPr>
        <w:tabs>
          <w:tab w:val="num" w:pos="851"/>
        </w:tabs>
        <w:ind w:left="851" w:hanging="284"/>
      </w:pPr>
      <w:rPr>
        <w:rFonts w:asciiTheme="minorHAnsi" w:hAnsiTheme="minorHAnsi" w:hint="default"/>
        <w:b w:val="0"/>
        <w:i w:val="0"/>
        <w:color w:val="auto"/>
        <w:sz w:val="20"/>
        <w:szCs w:val="10"/>
      </w:rPr>
    </w:lvl>
    <w:lvl w:ilvl="3">
      <w:start w:val="1"/>
      <w:numFmt w:val="none"/>
      <w:lvlRestart w:val="0"/>
      <w:lvlText w:val=""/>
      <w:lvlJc w:val="left"/>
      <w:pPr>
        <w:tabs>
          <w:tab w:val="num" w:pos="0"/>
        </w:tabs>
        <w:ind w:left="0" w:firstLine="0"/>
      </w:pPr>
      <w:rPr>
        <w:rFonts w:hint="default"/>
        <w:color w:val="auto"/>
        <w:sz w:val="10"/>
        <w:szCs w:val="10"/>
      </w:rPr>
    </w:lvl>
    <w:lvl w:ilvl="4">
      <w:start w:val="1"/>
      <w:numFmt w:val="none"/>
      <w:lvlText w:val="%5"/>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4">
    <w:nsid w:val="2BF876DE"/>
    <w:multiLevelType w:val="multilevel"/>
    <w:tmpl w:val="B7F496D4"/>
    <w:lvl w:ilvl="0">
      <w:start w:val="1"/>
      <w:numFmt w:val="bullet"/>
      <w:lvlRestart w:val="0"/>
      <w:pStyle w:val="TableBullet1Small"/>
      <w:lvlText w:val=""/>
      <w:lvlJc w:val="left"/>
      <w:pPr>
        <w:tabs>
          <w:tab w:val="num" w:pos="284"/>
        </w:tabs>
        <w:ind w:left="170" w:hanging="170"/>
      </w:pPr>
      <w:rPr>
        <w:rFonts w:ascii="Symbol" w:hAnsi="Symbol" w:hint="default"/>
        <w:b w:val="0"/>
        <w:i w:val="0"/>
        <w:color w:val="auto"/>
      </w:rPr>
    </w:lvl>
    <w:lvl w:ilvl="1">
      <w:start w:val="1"/>
      <w:numFmt w:val="bullet"/>
      <w:lvlRestart w:val="0"/>
      <w:pStyle w:val="TableBullet2Small"/>
      <w:lvlText w:val="–"/>
      <w:lvlJc w:val="left"/>
      <w:pPr>
        <w:tabs>
          <w:tab w:val="num" w:pos="567"/>
        </w:tabs>
        <w:ind w:left="340" w:hanging="170"/>
      </w:pPr>
      <w:rPr>
        <w:rFonts w:ascii="Arial" w:hAnsi="Arial" w:hint="default"/>
        <w:b w:val="0"/>
        <w:i w:val="0"/>
        <w:color w:val="auto"/>
      </w:rPr>
    </w:lvl>
    <w:lvl w:ilvl="2">
      <w:start w:val="1"/>
      <w:numFmt w:val="bullet"/>
      <w:lvlRestart w:val="0"/>
      <w:pStyle w:val="TableBullet3Small"/>
      <w:lvlText w:val="o"/>
      <w:lvlJc w:val="left"/>
      <w:pPr>
        <w:tabs>
          <w:tab w:val="num" w:pos="851"/>
        </w:tabs>
        <w:ind w:left="510" w:hanging="170"/>
      </w:pPr>
      <w:rPr>
        <w:rFonts w:ascii="Arial" w:hAnsi="Arial" w:hint="default"/>
        <w:b w:val="0"/>
        <w:i w:val="0"/>
        <w:color w:val="auto"/>
        <w:sz w:val="10"/>
        <w:szCs w:val="10"/>
      </w:rPr>
    </w:lvl>
    <w:lvl w:ilvl="3">
      <w:start w:val="1"/>
      <w:numFmt w:val="none"/>
      <w:lvlRestart w:val="0"/>
      <w:lvlText w:val=""/>
      <w:lvlJc w:val="left"/>
      <w:pPr>
        <w:tabs>
          <w:tab w:val="num" w:pos="2880"/>
        </w:tabs>
        <w:ind w:left="2880" w:hanging="720"/>
      </w:pPr>
      <w:rPr>
        <w:rFonts w:hint="default"/>
        <w:b w:val="0"/>
        <w:i w:val="0"/>
        <w:color w:val="auto"/>
        <w:sz w:val="10"/>
        <w:szCs w:val="10"/>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5">
    <w:nsid w:val="307E06FA"/>
    <w:multiLevelType w:val="multilevel"/>
    <w:tmpl w:val="0C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nsid w:val="32342AF4"/>
    <w:multiLevelType w:val="hybridMultilevel"/>
    <w:tmpl w:val="2298911A"/>
    <w:lvl w:ilvl="0" w:tplc="C372A070">
      <w:start w:val="1"/>
      <w:numFmt w:val="lowerLetter"/>
      <w:pStyle w:val="ChapterNumberedlista-grey"/>
      <w:lvlText w:val="%1"/>
      <w:lvlJc w:val="left"/>
      <w:pPr>
        <w:ind w:left="720" w:hanging="360"/>
      </w:pPr>
      <w:rPr>
        <w:rFonts w:ascii="Georgia" w:hAnsi="Georgia" w:hint="default"/>
        <w:color w:val="DC6900" w:themeColor="accen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2D7125E"/>
    <w:multiLevelType w:val="multilevel"/>
    <w:tmpl w:val="8E0CCD38"/>
    <w:styleLink w:val="CVBullets"/>
    <w:lvl w:ilvl="0">
      <w:start w:val="1"/>
      <w:numFmt w:val="bullet"/>
      <w:lvlText w:val=""/>
      <w:lvlJc w:val="left"/>
      <w:pPr>
        <w:ind w:left="284" w:hanging="284"/>
      </w:pPr>
      <w:rPr>
        <w:rFonts w:ascii="Symbol" w:hAnsi="Symbol" w:hint="default"/>
        <w:color w:val="auto"/>
      </w:rPr>
    </w:lvl>
    <w:lvl w:ilvl="1">
      <w:start w:val="1"/>
      <w:numFmt w:val="bullet"/>
      <w:lvlText w:val="–"/>
      <w:lvlJc w:val="left"/>
      <w:pPr>
        <w:ind w:left="567" w:hanging="283"/>
      </w:pPr>
      <w:rPr>
        <w:rFonts w:ascii="Arial" w:hAnsi="Aria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378D5E27"/>
    <w:multiLevelType w:val="hybridMultilevel"/>
    <w:tmpl w:val="6C1609A0"/>
    <w:name w:val="NumberedLists"/>
    <w:lvl w:ilvl="0" w:tplc="978EC44E">
      <w:start w:val="1"/>
      <w:numFmt w:val="bullet"/>
      <w:lvlText w:val="-"/>
      <w:lvlJc w:val="left"/>
      <w:pPr>
        <w:tabs>
          <w:tab w:val="num" w:pos="720"/>
        </w:tabs>
        <w:ind w:left="720" w:hanging="360"/>
      </w:pPr>
      <w:rPr>
        <w:rFonts w:ascii="Times New Roman" w:hAnsi="Times New Roman" w:hint="default"/>
      </w:rPr>
    </w:lvl>
    <w:lvl w:ilvl="1" w:tplc="642E94AA" w:tentative="1">
      <w:start w:val="1"/>
      <w:numFmt w:val="bullet"/>
      <w:lvlText w:val="-"/>
      <w:lvlJc w:val="left"/>
      <w:pPr>
        <w:tabs>
          <w:tab w:val="num" w:pos="1440"/>
        </w:tabs>
        <w:ind w:left="1440" w:hanging="360"/>
      </w:pPr>
      <w:rPr>
        <w:rFonts w:ascii="Times New Roman" w:hAnsi="Times New Roman" w:hint="default"/>
      </w:rPr>
    </w:lvl>
    <w:lvl w:ilvl="2" w:tplc="DAC44BAE" w:tentative="1">
      <w:start w:val="1"/>
      <w:numFmt w:val="bullet"/>
      <w:lvlText w:val="-"/>
      <w:lvlJc w:val="left"/>
      <w:pPr>
        <w:tabs>
          <w:tab w:val="num" w:pos="2160"/>
        </w:tabs>
        <w:ind w:left="2160" w:hanging="360"/>
      </w:pPr>
      <w:rPr>
        <w:rFonts w:ascii="Times New Roman" w:hAnsi="Times New Roman" w:hint="default"/>
      </w:rPr>
    </w:lvl>
    <w:lvl w:ilvl="3" w:tplc="C792D91A" w:tentative="1">
      <w:start w:val="1"/>
      <w:numFmt w:val="bullet"/>
      <w:lvlText w:val="-"/>
      <w:lvlJc w:val="left"/>
      <w:pPr>
        <w:tabs>
          <w:tab w:val="num" w:pos="2880"/>
        </w:tabs>
        <w:ind w:left="2880" w:hanging="360"/>
      </w:pPr>
      <w:rPr>
        <w:rFonts w:ascii="Times New Roman" w:hAnsi="Times New Roman" w:hint="default"/>
      </w:rPr>
    </w:lvl>
    <w:lvl w:ilvl="4" w:tplc="414C920C" w:tentative="1">
      <w:start w:val="1"/>
      <w:numFmt w:val="bullet"/>
      <w:lvlText w:val="-"/>
      <w:lvlJc w:val="left"/>
      <w:pPr>
        <w:tabs>
          <w:tab w:val="num" w:pos="3600"/>
        </w:tabs>
        <w:ind w:left="3600" w:hanging="360"/>
      </w:pPr>
      <w:rPr>
        <w:rFonts w:ascii="Times New Roman" w:hAnsi="Times New Roman" w:hint="default"/>
      </w:rPr>
    </w:lvl>
    <w:lvl w:ilvl="5" w:tplc="531A9BB8" w:tentative="1">
      <w:start w:val="1"/>
      <w:numFmt w:val="bullet"/>
      <w:lvlText w:val="-"/>
      <w:lvlJc w:val="left"/>
      <w:pPr>
        <w:tabs>
          <w:tab w:val="num" w:pos="4320"/>
        </w:tabs>
        <w:ind w:left="4320" w:hanging="360"/>
      </w:pPr>
      <w:rPr>
        <w:rFonts w:ascii="Times New Roman" w:hAnsi="Times New Roman" w:hint="default"/>
      </w:rPr>
    </w:lvl>
    <w:lvl w:ilvl="6" w:tplc="8D7C4DA8" w:tentative="1">
      <w:start w:val="1"/>
      <w:numFmt w:val="bullet"/>
      <w:lvlText w:val="-"/>
      <w:lvlJc w:val="left"/>
      <w:pPr>
        <w:tabs>
          <w:tab w:val="num" w:pos="5040"/>
        </w:tabs>
        <w:ind w:left="5040" w:hanging="360"/>
      </w:pPr>
      <w:rPr>
        <w:rFonts w:ascii="Times New Roman" w:hAnsi="Times New Roman" w:hint="default"/>
      </w:rPr>
    </w:lvl>
    <w:lvl w:ilvl="7" w:tplc="8150675A" w:tentative="1">
      <w:start w:val="1"/>
      <w:numFmt w:val="bullet"/>
      <w:lvlText w:val="-"/>
      <w:lvlJc w:val="left"/>
      <w:pPr>
        <w:tabs>
          <w:tab w:val="num" w:pos="5760"/>
        </w:tabs>
        <w:ind w:left="5760" w:hanging="360"/>
      </w:pPr>
      <w:rPr>
        <w:rFonts w:ascii="Times New Roman" w:hAnsi="Times New Roman" w:hint="default"/>
      </w:rPr>
    </w:lvl>
    <w:lvl w:ilvl="8" w:tplc="454A8D4A" w:tentative="1">
      <w:start w:val="1"/>
      <w:numFmt w:val="bullet"/>
      <w:lvlText w:val="-"/>
      <w:lvlJc w:val="left"/>
      <w:pPr>
        <w:tabs>
          <w:tab w:val="num" w:pos="6480"/>
        </w:tabs>
        <w:ind w:left="6480" w:hanging="360"/>
      </w:pPr>
      <w:rPr>
        <w:rFonts w:ascii="Times New Roman" w:hAnsi="Times New Roman" w:hint="default"/>
      </w:rPr>
    </w:lvl>
  </w:abstractNum>
  <w:abstractNum w:abstractNumId="19">
    <w:nsid w:val="3C043180"/>
    <w:multiLevelType w:val="multilevel"/>
    <w:tmpl w:val="0F30F890"/>
    <w:lvl w:ilvl="0">
      <w:start w:val="1"/>
      <w:numFmt w:val="decimal"/>
      <w:pStyle w:val="ExhibitHeading1"/>
      <w:suff w:val="space"/>
      <w:lvlText w:val="Exhibit %1. -"/>
      <w:lvlJc w:val="left"/>
      <w:pPr>
        <w:ind w:left="0" w:firstLine="0"/>
      </w:pPr>
      <w:rPr>
        <w:rFonts w:asciiTheme="majorHAnsi" w:hAnsiTheme="majorHAnsi" w:hint="default"/>
      </w:rPr>
    </w:lvl>
    <w:lvl w:ilvl="1">
      <w:start w:val="1"/>
      <w:numFmt w:val="decimal"/>
      <w:pStyle w:val="ExhibitHeading2"/>
      <w:suff w:val="space"/>
      <w:lvlText w:val="%1.%2."/>
      <w:lvlJc w:val="left"/>
      <w:pPr>
        <w:ind w:left="612" w:hanging="612"/>
      </w:pPr>
      <w:rPr>
        <w:rFonts w:asciiTheme="majorHAnsi" w:hAnsiTheme="majorHAnsi" w:hint="default"/>
      </w:rPr>
    </w:lvl>
    <w:lvl w:ilvl="2">
      <w:start w:val="1"/>
      <w:numFmt w:val="decimal"/>
      <w:pStyle w:val="ExhibitHeading3"/>
      <w:suff w:val="space"/>
      <w:lvlText w:val="%1.%2.%3."/>
      <w:lvlJc w:val="left"/>
      <w:pPr>
        <w:ind w:left="777" w:hanging="777"/>
      </w:pPr>
      <w:rPr>
        <w:rFonts w:asciiTheme="majorHAnsi" w:hAnsiTheme="majorHAnsi" w:hint="default"/>
      </w:rPr>
    </w:lvl>
    <w:lvl w:ilvl="3">
      <w:start w:val="1"/>
      <w:numFmt w:val="decimal"/>
      <w:pStyle w:val="ExhibitHeading4"/>
      <w:suff w:val="space"/>
      <w:lvlText w:val="%1.%2.%3.%4."/>
      <w:lvlJc w:val="left"/>
      <w:pPr>
        <w:ind w:left="862" w:hanging="862"/>
      </w:pPr>
      <w:rPr>
        <w:rFonts w:asciiTheme="majorHAnsi" w:hAnsiTheme="majorHAnsi" w:hint="default"/>
      </w:rPr>
    </w:lvl>
    <w:lvl w:ilvl="4">
      <w:start w:val="1"/>
      <w:numFmt w:val="decimal"/>
      <w:pStyle w:val="ExhibitHeading5"/>
      <w:suff w:val="space"/>
      <w:lvlText w:val="%1.%2.%3.%4.%5."/>
      <w:lvlJc w:val="left"/>
      <w:pPr>
        <w:ind w:left="919" w:hanging="919"/>
      </w:pPr>
      <w:rPr>
        <w:rFonts w:asciiTheme="majorHAnsi" w:hAnsiTheme="majorHAnsi" w:hint="default"/>
      </w:rPr>
    </w:lvl>
    <w:lvl w:ilvl="5">
      <w:start w:val="1"/>
      <w:numFmt w:val="decimal"/>
      <w:suff w:val="space"/>
      <w:lvlText w:val="%1.%2.%3.%4.%5.%6."/>
      <w:lvlJc w:val="left"/>
      <w:pPr>
        <w:ind w:left="2736" w:hanging="2736"/>
      </w:pPr>
      <w:rPr>
        <w:rFonts w:asciiTheme="majorHAnsi" w:hAnsiTheme="majorHAnsi" w:hint="default"/>
      </w:rPr>
    </w:lvl>
    <w:lvl w:ilvl="6">
      <w:start w:val="1"/>
      <w:numFmt w:val="decimal"/>
      <w:suff w:val="space"/>
      <w:lvlText w:val="%1.%2.%3.%4.%5.%6.%7."/>
      <w:lvlJc w:val="left"/>
      <w:pPr>
        <w:ind w:left="3240" w:hanging="3240"/>
      </w:pPr>
      <w:rPr>
        <w:rFonts w:asciiTheme="majorHAnsi" w:hAnsiTheme="majorHAnsi" w:hint="default"/>
      </w:rPr>
    </w:lvl>
    <w:lvl w:ilvl="7">
      <w:start w:val="1"/>
      <w:numFmt w:val="decimal"/>
      <w:suff w:val="space"/>
      <w:lvlText w:val="%1.%2.%3.%4.%5.%6.%7.%8."/>
      <w:lvlJc w:val="left"/>
      <w:pPr>
        <w:ind w:left="3744" w:hanging="3744"/>
      </w:pPr>
      <w:rPr>
        <w:rFonts w:asciiTheme="majorHAnsi" w:hAnsiTheme="majorHAnsi" w:hint="default"/>
      </w:rPr>
    </w:lvl>
    <w:lvl w:ilvl="8">
      <w:start w:val="1"/>
      <w:numFmt w:val="decimal"/>
      <w:suff w:val="space"/>
      <w:lvlText w:val="%1.%2.%3.%4.%5.%6.%7.%8.%9."/>
      <w:lvlJc w:val="left"/>
      <w:pPr>
        <w:ind w:left="4320" w:hanging="4320"/>
      </w:pPr>
      <w:rPr>
        <w:rFonts w:asciiTheme="majorHAnsi" w:hAnsiTheme="majorHAnsi" w:hint="default"/>
      </w:rPr>
    </w:lvl>
  </w:abstractNum>
  <w:abstractNum w:abstractNumId="20">
    <w:nsid w:val="3E4F29E4"/>
    <w:multiLevelType w:val="multilevel"/>
    <w:tmpl w:val="F372F42A"/>
    <w:styleLink w:val="ChapterNumberingList"/>
    <w:lvl w:ilvl="0">
      <w:start w:val="1"/>
      <w:numFmt w:val="decimal"/>
      <w:lvlRestart w:val="0"/>
      <w:suff w:val="nothing"/>
      <w:lvlText w:val="%1"/>
      <w:lvlJc w:val="left"/>
      <w:pPr>
        <w:ind w:left="0" w:firstLine="0"/>
      </w:pPr>
      <w:rPr>
        <w:rFonts w:hint="default"/>
      </w:rPr>
    </w:lvl>
    <w:lvl w:ilvl="1">
      <w:start w:val="1"/>
      <w:numFmt w:val="decimal"/>
      <w:lvlRestart w:val="0"/>
      <w:lvlText w:val="%2"/>
      <w:lvlJc w:val="left"/>
      <w:pPr>
        <w:tabs>
          <w:tab w:val="num" w:pos="850"/>
        </w:tabs>
        <w:ind w:left="850" w:hanging="850"/>
      </w:pPr>
      <w:rPr>
        <w:rFonts w:hint="default"/>
      </w:rPr>
    </w:lvl>
    <w:lvl w:ilvl="2">
      <w:start w:val="1"/>
      <w:numFmt w:val="decimal"/>
      <w:lvlText w:val="%2.%3"/>
      <w:lvlJc w:val="left"/>
      <w:pPr>
        <w:tabs>
          <w:tab w:val="num" w:pos="850"/>
        </w:tabs>
        <w:ind w:left="850" w:hanging="850"/>
      </w:pPr>
      <w:rPr>
        <w:rFonts w:hint="default"/>
      </w:rPr>
    </w:lvl>
    <w:lvl w:ilvl="3">
      <w:start w:val="1"/>
      <w:numFmt w:val="decimal"/>
      <w:lvlText w:val="%2.%3.%4"/>
      <w:lvlJc w:val="left"/>
      <w:pPr>
        <w:tabs>
          <w:tab w:val="num" w:pos="850"/>
        </w:tabs>
        <w:ind w:left="850" w:hanging="850"/>
      </w:pPr>
      <w:rPr>
        <w:rFonts w:hint="default"/>
      </w:rPr>
    </w:lvl>
    <w:lvl w:ilvl="4">
      <w:start w:val="1"/>
      <w:numFmt w:val="upperLetter"/>
      <w:lvlRestart w:val="0"/>
      <w:lvlText w:val="Appendix %5"/>
      <w:lvlJc w:val="left"/>
      <w:pPr>
        <w:tabs>
          <w:tab w:val="num" w:pos="3685"/>
        </w:tabs>
        <w:ind w:left="0" w:firstLine="0"/>
      </w:pPr>
      <w:rPr>
        <w:rFonts w:hint="default"/>
      </w:rPr>
    </w:lvl>
    <w:lvl w:ilvl="5">
      <w:start w:val="1"/>
      <w:numFmt w:val="upperLetter"/>
      <w:lvlRestart w:val="0"/>
      <w:suff w:val="nothing"/>
      <w:lvlText w:val="Appendix %6"/>
      <w:lvlJc w:val="left"/>
      <w:pPr>
        <w:ind w:left="0" w:firstLine="0"/>
      </w:pPr>
      <w:rPr>
        <w:rFonts w:hint="default"/>
      </w:rPr>
    </w:lvl>
    <w:lvl w:ilvl="6">
      <w:start w:val="1"/>
      <w:numFmt w:val="decimal"/>
      <w:lvlText w:val="%7"/>
      <w:lvlJc w:val="left"/>
      <w:pPr>
        <w:tabs>
          <w:tab w:val="num" w:pos="567"/>
        </w:tabs>
        <w:ind w:left="567" w:hanging="567"/>
      </w:pPr>
      <w:rPr>
        <w:rFonts w:hint="default"/>
        <w:b/>
        <w:i/>
      </w:rPr>
    </w:lvl>
    <w:lvl w:ilvl="7">
      <w:start w:val="1"/>
      <w:numFmt w:val="decimal"/>
      <w:lvlText w:val="%8"/>
      <w:lvlJc w:val="left"/>
      <w:pPr>
        <w:tabs>
          <w:tab w:val="num" w:pos="567"/>
        </w:tabs>
        <w:ind w:left="567" w:hanging="567"/>
      </w:pPr>
      <w:rPr>
        <w:rFonts w:hint="default"/>
        <w:b w:val="0"/>
        <w:i w:val="0"/>
        <w:color w:val="auto"/>
      </w:rPr>
    </w:lvl>
    <w:lvl w:ilvl="8">
      <w:start w:val="1"/>
      <w:numFmt w:val="lowerLetter"/>
      <w:lvlText w:val="%9"/>
      <w:lvlJc w:val="left"/>
      <w:pPr>
        <w:tabs>
          <w:tab w:val="num" w:pos="1134"/>
        </w:tabs>
        <w:ind w:left="1134" w:hanging="567"/>
      </w:pPr>
      <w:rPr>
        <w:rFonts w:hint="default"/>
        <w:b w:val="0"/>
        <w:i w:val="0"/>
        <w:color w:val="auto"/>
      </w:rPr>
    </w:lvl>
  </w:abstractNum>
  <w:abstractNum w:abstractNumId="21">
    <w:nsid w:val="3EE52A50"/>
    <w:multiLevelType w:val="multilevel"/>
    <w:tmpl w:val="EE12AE72"/>
    <w:name w:val="PwCListNumbers13"/>
    <w:styleLink w:val="PwCAppendixList1"/>
    <w:lvl w:ilvl="0">
      <w:start w:val="1"/>
      <w:numFmt w:val="upperLetter"/>
      <w:pStyle w:val="Appendix"/>
      <w:lvlText w:val="Appendix %1 "/>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455C2525"/>
    <w:multiLevelType w:val="multilevel"/>
    <w:tmpl w:val="BDA85914"/>
    <w:lvl w:ilvl="0">
      <w:start w:val="1"/>
      <w:numFmt w:val="decimal"/>
      <w:lvlRestart w:val="0"/>
      <w:pStyle w:val="ChapterNumberLong"/>
      <w:suff w:val="nothing"/>
      <w:lvlText w:val="%1"/>
      <w:lvlJc w:val="left"/>
      <w:pPr>
        <w:ind w:left="0" w:firstLine="0"/>
      </w:pPr>
      <w:rPr>
        <w:rFonts w:hint="default"/>
      </w:rPr>
    </w:lvl>
    <w:lvl w:ilvl="1">
      <w:start w:val="1"/>
      <w:numFmt w:val="decimal"/>
      <w:lvlRestart w:val="0"/>
      <w:pStyle w:val="Heading2"/>
      <w:lvlText w:val="%2"/>
      <w:lvlJc w:val="left"/>
      <w:pPr>
        <w:tabs>
          <w:tab w:val="num" w:pos="850"/>
        </w:tabs>
        <w:ind w:left="850" w:hanging="850"/>
      </w:pPr>
      <w:rPr>
        <w:rFonts w:hint="default"/>
      </w:rPr>
    </w:lvl>
    <w:lvl w:ilvl="2">
      <w:start w:val="1"/>
      <w:numFmt w:val="decimal"/>
      <w:pStyle w:val="Heading6"/>
      <w:lvlText w:val="%2.%3"/>
      <w:lvlJc w:val="left"/>
      <w:pPr>
        <w:tabs>
          <w:tab w:val="num" w:pos="850"/>
        </w:tabs>
        <w:ind w:left="850" w:hanging="850"/>
      </w:pPr>
      <w:rPr>
        <w:rFonts w:hint="default"/>
      </w:rPr>
    </w:lvl>
    <w:lvl w:ilvl="3">
      <w:start w:val="1"/>
      <w:numFmt w:val="decimal"/>
      <w:pStyle w:val="Heading7"/>
      <w:lvlText w:val="%2.%3.%4"/>
      <w:lvlJc w:val="left"/>
      <w:pPr>
        <w:tabs>
          <w:tab w:val="num" w:pos="850"/>
        </w:tabs>
        <w:ind w:left="850" w:hanging="850"/>
      </w:pPr>
      <w:rPr>
        <w:rFonts w:hint="default"/>
      </w:rPr>
    </w:lvl>
    <w:lvl w:ilvl="4">
      <w:start w:val="1"/>
      <w:numFmt w:val="upperLetter"/>
      <w:lvlRestart w:val="0"/>
      <w:pStyle w:val="Heading4"/>
      <w:lvlText w:val="Appendix %5"/>
      <w:lvlJc w:val="left"/>
      <w:pPr>
        <w:tabs>
          <w:tab w:val="num" w:pos="3685"/>
        </w:tabs>
        <w:ind w:left="0" w:firstLine="0"/>
      </w:pPr>
      <w:rPr>
        <w:rFonts w:hint="default"/>
      </w:rPr>
    </w:lvl>
    <w:lvl w:ilvl="5">
      <w:start w:val="1"/>
      <w:numFmt w:val="upperLetter"/>
      <w:lvlRestart w:val="0"/>
      <w:pStyle w:val="AppendixNumberLong"/>
      <w:suff w:val="nothing"/>
      <w:lvlText w:val="Appendix %6"/>
      <w:lvlJc w:val="left"/>
      <w:pPr>
        <w:ind w:left="0" w:firstLine="0"/>
      </w:pPr>
      <w:rPr>
        <w:rFonts w:hint="default"/>
      </w:rPr>
    </w:lvl>
    <w:lvl w:ilvl="6">
      <w:start w:val="1"/>
      <w:numFmt w:val="decimal"/>
      <w:pStyle w:val="Heading8"/>
      <w:lvlText w:val="%7"/>
      <w:lvlJc w:val="left"/>
      <w:pPr>
        <w:tabs>
          <w:tab w:val="num" w:pos="567"/>
        </w:tabs>
        <w:ind w:left="567" w:hanging="567"/>
      </w:pPr>
      <w:rPr>
        <w:rFonts w:hint="default"/>
        <w:b/>
        <w:i/>
      </w:rPr>
    </w:lvl>
    <w:lvl w:ilvl="7">
      <w:start w:val="1"/>
      <w:numFmt w:val="decimal"/>
      <w:pStyle w:val="ChapterNumberedList1"/>
      <w:lvlText w:val="%8."/>
      <w:lvlJc w:val="left"/>
      <w:pPr>
        <w:tabs>
          <w:tab w:val="num" w:pos="567"/>
        </w:tabs>
        <w:ind w:left="567" w:hanging="567"/>
      </w:pPr>
      <w:rPr>
        <w:rFonts w:ascii="Georgia" w:eastAsia="Times New Roman" w:hAnsi="Georgia" w:cs="Arial"/>
        <w:b w:val="0"/>
        <w:i w:val="0"/>
        <w:color w:val="auto"/>
      </w:rPr>
    </w:lvl>
    <w:lvl w:ilvl="8">
      <w:start w:val="1"/>
      <w:numFmt w:val="lowerLetter"/>
      <w:pStyle w:val="ChapterNumberedList2"/>
      <w:lvlText w:val="%9"/>
      <w:lvlJc w:val="left"/>
      <w:pPr>
        <w:tabs>
          <w:tab w:val="num" w:pos="1134"/>
        </w:tabs>
        <w:ind w:left="1134" w:hanging="567"/>
      </w:pPr>
      <w:rPr>
        <w:rFonts w:hint="default"/>
        <w:b w:val="0"/>
        <w:i w:val="0"/>
        <w:color w:val="auto"/>
      </w:rPr>
    </w:lvl>
  </w:abstractNum>
  <w:abstractNum w:abstractNumId="23">
    <w:nsid w:val="460B564E"/>
    <w:multiLevelType w:val="multilevel"/>
    <w:tmpl w:val="D5EA105E"/>
    <w:styleLink w:val="TableBulletSmallList"/>
    <w:lvl w:ilvl="0">
      <w:start w:val="1"/>
      <w:numFmt w:val="bullet"/>
      <w:lvlRestart w:val="0"/>
      <w:lvlText w:val=""/>
      <w:lvlJc w:val="left"/>
      <w:pPr>
        <w:tabs>
          <w:tab w:val="num" w:pos="284"/>
        </w:tabs>
        <w:ind w:left="284" w:hanging="284"/>
      </w:pPr>
      <w:rPr>
        <w:rFonts w:ascii="Symbol" w:hAnsi="Symbol" w:hint="default"/>
        <w:b w:val="0"/>
        <w:i w:val="0"/>
        <w:color w:val="auto"/>
      </w:rPr>
    </w:lvl>
    <w:lvl w:ilvl="1">
      <w:start w:val="1"/>
      <w:numFmt w:val="bullet"/>
      <w:lvlRestart w:val="0"/>
      <w:lvlText w:val="–"/>
      <w:lvlJc w:val="left"/>
      <w:pPr>
        <w:tabs>
          <w:tab w:val="num" w:pos="567"/>
        </w:tabs>
        <w:ind w:left="567" w:hanging="283"/>
      </w:pPr>
      <w:rPr>
        <w:rFonts w:ascii="Arial" w:hAnsi="Arial" w:hint="default"/>
        <w:b w:val="0"/>
        <w:i w:val="0"/>
        <w:color w:val="auto"/>
      </w:rPr>
    </w:lvl>
    <w:lvl w:ilvl="2">
      <w:start w:val="1"/>
      <w:numFmt w:val="bullet"/>
      <w:lvlRestart w:val="0"/>
      <w:lvlText w:val="o"/>
      <w:lvlJc w:val="left"/>
      <w:pPr>
        <w:tabs>
          <w:tab w:val="num" w:pos="851"/>
        </w:tabs>
        <w:ind w:left="851" w:hanging="284"/>
      </w:pPr>
      <w:rPr>
        <w:rFonts w:ascii="Arial" w:hAnsi="Arial" w:hint="default"/>
        <w:b w:val="0"/>
        <w:i w:val="0"/>
        <w:color w:val="auto"/>
        <w:sz w:val="10"/>
        <w:szCs w:val="10"/>
      </w:rPr>
    </w:lvl>
    <w:lvl w:ilvl="3">
      <w:start w:val="1"/>
      <w:numFmt w:val="none"/>
      <w:lvlRestart w:val="0"/>
      <w:lvlText w:val=""/>
      <w:lvlJc w:val="left"/>
      <w:pPr>
        <w:tabs>
          <w:tab w:val="num" w:pos="2880"/>
        </w:tabs>
        <w:ind w:left="2880" w:hanging="720"/>
      </w:pPr>
      <w:rPr>
        <w:rFonts w:hint="default"/>
        <w:b w:val="0"/>
        <w:i w:val="0"/>
        <w:color w:val="auto"/>
        <w:sz w:val="10"/>
        <w:szCs w:val="10"/>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4">
    <w:nsid w:val="4AAB5470"/>
    <w:multiLevelType w:val="multilevel"/>
    <w:tmpl w:val="94DC5112"/>
    <w:lvl w:ilvl="0">
      <w:start w:val="1"/>
      <w:numFmt w:val="bullet"/>
      <w:lvlRestart w:val="0"/>
      <w:pStyle w:val="ListBullet"/>
      <w:lvlText w:val=""/>
      <w:lvlJc w:val="left"/>
      <w:pPr>
        <w:tabs>
          <w:tab w:val="num" w:pos="567"/>
        </w:tabs>
        <w:ind w:left="567" w:hanging="567"/>
      </w:pPr>
      <w:rPr>
        <w:rFonts w:ascii="Symbol" w:hAnsi="Symbol" w:hint="default"/>
        <w:b w:val="0"/>
        <w:i w:val="0"/>
        <w:color w:val="auto"/>
      </w:rPr>
    </w:lvl>
    <w:lvl w:ilvl="1">
      <w:start w:val="1"/>
      <w:numFmt w:val="bullet"/>
      <w:pStyle w:val="ListBullet2"/>
      <w:lvlText w:val="–"/>
      <w:lvlJc w:val="left"/>
      <w:pPr>
        <w:tabs>
          <w:tab w:val="num" w:pos="1134"/>
        </w:tabs>
        <w:ind w:left="1134" w:hanging="567"/>
      </w:pPr>
      <w:rPr>
        <w:rFonts w:ascii="Arial" w:hAnsi="Arial" w:hint="default"/>
        <w:b w:val="0"/>
        <w:i w:val="0"/>
        <w:color w:val="auto"/>
      </w:rPr>
    </w:lvl>
    <w:lvl w:ilvl="2">
      <w:start w:val="1"/>
      <w:numFmt w:val="bullet"/>
      <w:pStyle w:val="ListBullet3"/>
      <w:lvlText w:val="◦"/>
      <w:lvlJc w:val="left"/>
      <w:pPr>
        <w:tabs>
          <w:tab w:val="num" w:pos="1701"/>
        </w:tabs>
        <w:ind w:left="1701" w:hanging="567"/>
      </w:pPr>
      <w:rPr>
        <w:rFonts w:ascii="Georgia" w:hAnsi="Georgia" w:hint="default"/>
        <w:b w:val="0"/>
        <w:i w:val="0"/>
        <w:color w:val="auto"/>
        <w:sz w:val="18"/>
        <w:szCs w:val="10"/>
      </w:rPr>
    </w:lvl>
    <w:lvl w:ilvl="3">
      <w:start w:val="1"/>
      <w:numFmt w:val="bullet"/>
      <w:pStyle w:val="ListBullet4"/>
      <w:lvlText w:val=""/>
      <w:lvlJc w:val="left"/>
      <w:pPr>
        <w:tabs>
          <w:tab w:val="num" w:pos="2268"/>
        </w:tabs>
        <w:ind w:left="2268" w:hanging="567"/>
      </w:pPr>
      <w:rPr>
        <w:rFonts w:ascii="Symbol" w:hAnsi="Symbol" w:hint="default"/>
        <w:b w:val="0"/>
        <w:i w:val="0"/>
        <w:color w:val="auto"/>
        <w:sz w:val="20"/>
        <w:szCs w:val="10"/>
      </w:rPr>
    </w:lvl>
    <w:lvl w:ilvl="4">
      <w:start w:val="1"/>
      <w:numFmt w:val="bullet"/>
      <w:pStyle w:val="ListBullet5"/>
      <w:lvlText w:val="~"/>
      <w:lvlJc w:val="left"/>
      <w:pPr>
        <w:tabs>
          <w:tab w:val="num" w:pos="2835"/>
        </w:tabs>
        <w:ind w:left="2835" w:hanging="567"/>
      </w:pPr>
      <w:rPr>
        <w:rFonts w:ascii="Georgia" w:hAnsi="Georgia" w:hint="default"/>
        <w:color w:val="auto"/>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5">
    <w:nsid w:val="4D8C2F25"/>
    <w:multiLevelType w:val="multilevel"/>
    <w:tmpl w:val="6E008996"/>
    <w:lvl w:ilvl="0">
      <w:start w:val="1"/>
      <w:numFmt w:val="bullet"/>
      <w:lvlRestart w:val="0"/>
      <w:pStyle w:val="TableBullet1Normal"/>
      <w:lvlText w:val=""/>
      <w:lvlJc w:val="left"/>
      <w:pPr>
        <w:tabs>
          <w:tab w:val="num" w:pos="283"/>
        </w:tabs>
        <w:ind w:left="284" w:hanging="284"/>
      </w:pPr>
      <w:rPr>
        <w:rFonts w:ascii="Symbol" w:hAnsi="Symbol" w:hint="default"/>
        <w:b w:val="0"/>
        <w:i w:val="0"/>
        <w:color w:val="auto"/>
      </w:rPr>
    </w:lvl>
    <w:lvl w:ilvl="1">
      <w:start w:val="1"/>
      <w:numFmt w:val="bullet"/>
      <w:lvlRestart w:val="0"/>
      <w:pStyle w:val="TableBullet2Normal"/>
      <w:lvlText w:val="–"/>
      <w:lvlJc w:val="left"/>
      <w:pPr>
        <w:tabs>
          <w:tab w:val="num" w:pos="567"/>
        </w:tabs>
        <w:ind w:left="567" w:hanging="283"/>
      </w:pPr>
      <w:rPr>
        <w:rFonts w:ascii="Arial" w:hAnsi="Arial" w:hint="default"/>
        <w:b w:val="0"/>
        <w:i w:val="0"/>
        <w:color w:val="auto"/>
        <w:szCs w:val="10"/>
      </w:rPr>
    </w:lvl>
    <w:lvl w:ilvl="2">
      <w:start w:val="1"/>
      <w:numFmt w:val="bullet"/>
      <w:lvlRestart w:val="0"/>
      <w:pStyle w:val="TableBullet3Normal"/>
      <w:lvlText w:val="o"/>
      <w:lvlJc w:val="left"/>
      <w:pPr>
        <w:tabs>
          <w:tab w:val="num" w:pos="851"/>
        </w:tabs>
        <w:ind w:left="851" w:hanging="284"/>
      </w:pPr>
      <w:rPr>
        <w:rFonts w:ascii="Arial" w:hAnsi="Arial" w:hint="default"/>
        <w:b w:val="0"/>
        <w:i w:val="0"/>
        <w:color w:val="auto"/>
        <w:sz w:val="10"/>
        <w:szCs w:val="10"/>
      </w:rPr>
    </w:lvl>
    <w:lvl w:ilvl="3">
      <w:start w:val="1"/>
      <w:numFmt w:val="none"/>
      <w:lvlRestart w:val="0"/>
      <w:lvlText w:val=""/>
      <w:lvlJc w:val="left"/>
      <w:pPr>
        <w:tabs>
          <w:tab w:val="num" w:pos="0"/>
        </w:tabs>
        <w:ind w:left="0" w:firstLine="0"/>
      </w:pPr>
      <w:rPr>
        <w:rFonts w:hint="default"/>
        <w:color w:val="auto"/>
        <w:sz w:val="10"/>
        <w:szCs w:val="10"/>
      </w:rPr>
    </w:lvl>
    <w:lvl w:ilvl="4">
      <w:start w:val="1"/>
      <w:numFmt w:val="none"/>
      <w:lvlText w:val="%5"/>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6">
    <w:nsid w:val="4E1D68CD"/>
    <w:multiLevelType w:val="hybridMultilevel"/>
    <w:tmpl w:val="7AF47B10"/>
    <w:lvl w:ilvl="0" w:tplc="B8F63F66">
      <w:start w:val="1"/>
      <w:numFmt w:val="bullet"/>
      <w:pStyle w:val="BlockBulletGrey"/>
      <w:lvlText w:val=""/>
      <w:lvlJc w:val="left"/>
      <w:pPr>
        <w:ind w:left="720" w:hanging="360"/>
      </w:pPr>
      <w:rPr>
        <w:rFonts w:ascii="Symbol" w:hAnsi="Symbol" w:hint="default"/>
        <w:color w:val="DC6900" w:themeColor="accen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E543756"/>
    <w:multiLevelType w:val="hybridMultilevel"/>
    <w:tmpl w:val="483C77DA"/>
    <w:lvl w:ilvl="0" w:tplc="F6D622F0">
      <w:start w:val="1"/>
      <w:numFmt w:val="bullet"/>
      <w:pStyle w:val="Bullet2-grey"/>
      <w:lvlText w:val="-"/>
      <w:lvlJc w:val="left"/>
      <w:pPr>
        <w:ind w:left="947" w:hanging="360"/>
      </w:pPr>
      <w:rPr>
        <w:rFonts w:ascii="Arial" w:hAnsi="Arial" w:hint="default"/>
        <w:color w:val="DC6900" w:themeColor="accent1"/>
      </w:rPr>
    </w:lvl>
    <w:lvl w:ilvl="1" w:tplc="0C090003" w:tentative="1">
      <w:start w:val="1"/>
      <w:numFmt w:val="bullet"/>
      <w:lvlText w:val="o"/>
      <w:lvlJc w:val="left"/>
      <w:pPr>
        <w:ind w:left="1667" w:hanging="360"/>
      </w:pPr>
      <w:rPr>
        <w:rFonts w:ascii="Courier New" w:hAnsi="Courier New" w:cs="Courier New" w:hint="default"/>
      </w:rPr>
    </w:lvl>
    <w:lvl w:ilvl="2" w:tplc="0C090005" w:tentative="1">
      <w:start w:val="1"/>
      <w:numFmt w:val="bullet"/>
      <w:lvlText w:val=""/>
      <w:lvlJc w:val="left"/>
      <w:pPr>
        <w:ind w:left="2387" w:hanging="360"/>
      </w:pPr>
      <w:rPr>
        <w:rFonts w:ascii="Wingdings" w:hAnsi="Wingdings" w:hint="default"/>
      </w:rPr>
    </w:lvl>
    <w:lvl w:ilvl="3" w:tplc="0C090001" w:tentative="1">
      <w:start w:val="1"/>
      <w:numFmt w:val="bullet"/>
      <w:lvlText w:val=""/>
      <w:lvlJc w:val="left"/>
      <w:pPr>
        <w:ind w:left="3107" w:hanging="360"/>
      </w:pPr>
      <w:rPr>
        <w:rFonts w:ascii="Symbol" w:hAnsi="Symbol" w:hint="default"/>
      </w:rPr>
    </w:lvl>
    <w:lvl w:ilvl="4" w:tplc="0C090003" w:tentative="1">
      <w:start w:val="1"/>
      <w:numFmt w:val="bullet"/>
      <w:lvlText w:val="o"/>
      <w:lvlJc w:val="left"/>
      <w:pPr>
        <w:ind w:left="3827" w:hanging="360"/>
      </w:pPr>
      <w:rPr>
        <w:rFonts w:ascii="Courier New" w:hAnsi="Courier New" w:cs="Courier New" w:hint="default"/>
      </w:rPr>
    </w:lvl>
    <w:lvl w:ilvl="5" w:tplc="0C090005" w:tentative="1">
      <w:start w:val="1"/>
      <w:numFmt w:val="bullet"/>
      <w:lvlText w:val=""/>
      <w:lvlJc w:val="left"/>
      <w:pPr>
        <w:ind w:left="4547" w:hanging="360"/>
      </w:pPr>
      <w:rPr>
        <w:rFonts w:ascii="Wingdings" w:hAnsi="Wingdings" w:hint="default"/>
      </w:rPr>
    </w:lvl>
    <w:lvl w:ilvl="6" w:tplc="0C090001" w:tentative="1">
      <w:start w:val="1"/>
      <w:numFmt w:val="bullet"/>
      <w:lvlText w:val=""/>
      <w:lvlJc w:val="left"/>
      <w:pPr>
        <w:ind w:left="5267" w:hanging="360"/>
      </w:pPr>
      <w:rPr>
        <w:rFonts w:ascii="Symbol" w:hAnsi="Symbol" w:hint="default"/>
      </w:rPr>
    </w:lvl>
    <w:lvl w:ilvl="7" w:tplc="0C090003" w:tentative="1">
      <w:start w:val="1"/>
      <w:numFmt w:val="bullet"/>
      <w:lvlText w:val="o"/>
      <w:lvlJc w:val="left"/>
      <w:pPr>
        <w:ind w:left="5987" w:hanging="360"/>
      </w:pPr>
      <w:rPr>
        <w:rFonts w:ascii="Courier New" w:hAnsi="Courier New" w:cs="Courier New" w:hint="default"/>
      </w:rPr>
    </w:lvl>
    <w:lvl w:ilvl="8" w:tplc="0C090005" w:tentative="1">
      <w:start w:val="1"/>
      <w:numFmt w:val="bullet"/>
      <w:lvlText w:val=""/>
      <w:lvlJc w:val="left"/>
      <w:pPr>
        <w:ind w:left="6707" w:hanging="360"/>
      </w:pPr>
      <w:rPr>
        <w:rFonts w:ascii="Wingdings" w:hAnsi="Wingdings" w:hint="default"/>
      </w:rPr>
    </w:lvl>
  </w:abstractNum>
  <w:abstractNum w:abstractNumId="28">
    <w:nsid w:val="516B496B"/>
    <w:multiLevelType w:val="multilevel"/>
    <w:tmpl w:val="4BF0CDD4"/>
    <w:styleLink w:val="LongTOC"/>
    <w:lvl w:ilvl="0">
      <w:start w:val="1"/>
      <w:numFmt w:val="decimal"/>
      <w:lvlRestart w:val="0"/>
      <w:lvlText w:val="%1"/>
      <w:lvlJc w:val="left"/>
      <w:pPr>
        <w:tabs>
          <w:tab w:val="num" w:pos="567"/>
        </w:tabs>
        <w:ind w:left="567" w:hanging="567"/>
      </w:pPr>
      <w:rPr>
        <w:rFonts w:hint="default"/>
        <w:color w:val="FFFFFF"/>
      </w:rPr>
    </w:lvl>
    <w:lvl w:ilvl="1">
      <w:start w:val="1"/>
      <w:numFmt w:val="none"/>
      <w:lvlRestart w:val="0"/>
      <w:suff w:val="nothing"/>
      <w:lvlText w:val=""/>
      <w:lvlJc w:val="left"/>
      <w:pPr>
        <w:ind w:left="0" w:firstLine="0"/>
      </w:pPr>
      <w:rPr>
        <w:rFonts w:ascii="Arial" w:hAnsi="Arial" w:cs="Arial" w:hint="default"/>
        <w:b w:val="0"/>
        <w:i w:val="0"/>
        <w:color w:val="000000"/>
        <w:sz w:val="36"/>
      </w:rPr>
    </w:lvl>
    <w:lvl w:ilvl="2">
      <w:start w:val="1"/>
      <w:numFmt w:val="upperLetter"/>
      <w:lvlRestart w:val="0"/>
      <w:lvlText w:val="Appendix %3"/>
      <w:lvlJc w:val="left"/>
      <w:pPr>
        <w:tabs>
          <w:tab w:val="num" w:pos="1984"/>
        </w:tabs>
        <w:ind w:left="1984" w:hanging="1984"/>
      </w:pPr>
      <w:rPr>
        <w:rFonts w:hint="default"/>
        <w:b w:val="0"/>
        <w:i w:val="0"/>
        <w:color w:val="FFFFFF"/>
        <w:sz w:val="21"/>
      </w:rPr>
    </w:lvl>
    <w:lvl w:ilvl="3">
      <w:start w:val="1"/>
      <w:numFmt w:val="none"/>
      <w:lvlText w:val=""/>
      <w:lvlJc w:val="left"/>
      <w:pPr>
        <w:tabs>
          <w:tab w:val="num" w:pos="0"/>
        </w:tabs>
        <w:ind w:left="0" w:firstLine="0"/>
      </w:pPr>
      <w:rPr>
        <w:rFonts w:ascii="Arial" w:hAnsi="Arial" w:cs="Arial" w:hint="default"/>
        <w:b w:val="0"/>
        <w:i/>
        <w:color w:val="DC6900" w:themeColor="text2"/>
        <w:sz w:val="28"/>
      </w:rPr>
    </w:lvl>
    <w:lvl w:ilvl="4">
      <w:start w:val="1"/>
      <w:numFmt w:val="none"/>
      <w:lvlRestart w:val="0"/>
      <w:lvlText w:val=""/>
      <w:lvlJc w:val="left"/>
      <w:pPr>
        <w:tabs>
          <w:tab w:val="num" w:pos="0"/>
        </w:tabs>
        <w:ind w:left="0" w:firstLine="0"/>
      </w:pPr>
      <w:rPr>
        <w:rFonts w:ascii="Arial" w:hAnsi="Arial" w:cs="Arial" w:hint="default"/>
        <w:b w:val="0"/>
        <w:i w:val="0"/>
        <w:color w:val="FFFFFF" w:themeColor="background2"/>
        <w:sz w:val="36"/>
      </w:rPr>
    </w:lvl>
    <w:lvl w:ilvl="5">
      <w:start w:val="1"/>
      <w:numFmt w:val="none"/>
      <w:lvlRestart w:val="0"/>
      <w:suff w:val="nothing"/>
      <w:lvlText w:val=""/>
      <w:lvlJc w:val="left"/>
      <w:pPr>
        <w:ind w:left="0" w:firstLine="0"/>
      </w:pPr>
      <w:rPr>
        <w:rFonts w:ascii="Arial" w:hAnsi="Arial" w:cs="Arial" w:hint="default"/>
        <w:b w:val="0"/>
        <w:i w:val="0"/>
        <w:color w:val="DC6900" w:themeColor="text2"/>
        <w:sz w:val="72"/>
      </w:rPr>
    </w:lvl>
    <w:lvl w:ilvl="6">
      <w:start w:val="1"/>
      <w:numFmt w:val="none"/>
      <w:lvlText w:val=""/>
      <w:lvlJc w:val="left"/>
      <w:pPr>
        <w:tabs>
          <w:tab w:val="num" w:pos="567"/>
        </w:tabs>
        <w:ind w:left="567" w:hanging="567"/>
      </w:pPr>
      <w:rPr>
        <w:rFonts w:ascii="Arial" w:hAnsi="Arial" w:cs="Arial" w:hint="default"/>
        <w:b w:val="0"/>
        <w:i w:val="0"/>
        <w:color w:val="DC6900" w:themeColor="text2"/>
      </w:rPr>
    </w:lvl>
    <w:lvl w:ilvl="7">
      <w:start w:val="1"/>
      <w:numFmt w:val="none"/>
      <w:lvlRestart w:val="4"/>
      <w:lvlText w:val=""/>
      <w:lvlJc w:val="left"/>
      <w:pPr>
        <w:tabs>
          <w:tab w:val="num" w:pos="567"/>
        </w:tabs>
        <w:ind w:left="0" w:firstLine="0"/>
      </w:pPr>
      <w:rPr>
        <w:rFonts w:ascii="Arial" w:hAnsi="Arial" w:cs="Arial" w:hint="default"/>
        <w:b w:val="0"/>
        <w:i w:val="0"/>
        <w:color w:val="auto"/>
      </w:rPr>
    </w:lvl>
    <w:lvl w:ilvl="8">
      <w:start w:val="1"/>
      <w:numFmt w:val="none"/>
      <w:lvlText w:val=""/>
      <w:lvlJc w:val="left"/>
      <w:pPr>
        <w:tabs>
          <w:tab w:val="num" w:pos="1134"/>
        </w:tabs>
        <w:ind w:left="0" w:firstLine="0"/>
      </w:pPr>
      <w:rPr>
        <w:rFonts w:ascii="Arial" w:hAnsi="Arial" w:cs="Arial" w:hint="default"/>
        <w:b w:val="0"/>
        <w:i w:val="0"/>
        <w:color w:val="auto"/>
      </w:rPr>
    </w:lvl>
  </w:abstractNum>
  <w:abstractNum w:abstractNumId="29">
    <w:nsid w:val="518C39C9"/>
    <w:multiLevelType w:val="multilevel"/>
    <w:tmpl w:val="A920E162"/>
    <w:lvl w:ilvl="0">
      <w:start w:val="1"/>
      <w:numFmt w:val="decimal"/>
      <w:lvlText w:val="%1"/>
      <w:lvlJc w:val="left"/>
      <w:pPr>
        <w:tabs>
          <w:tab w:val="num" w:pos="567"/>
        </w:tabs>
        <w:ind w:left="567" w:hanging="567"/>
      </w:pPr>
      <w:rPr>
        <w:rFonts w:hint="default"/>
      </w:rPr>
    </w:lvl>
    <w:lvl w:ilvl="1">
      <w:start w:val="1"/>
      <w:numFmt w:val="none"/>
      <w:pStyle w:val="Appendicestitle"/>
      <w:suff w:val="nothing"/>
      <w:lvlText w:val=""/>
      <w:lvlJc w:val="left"/>
      <w:pPr>
        <w:ind w:left="0" w:firstLine="0"/>
      </w:pPr>
      <w:rPr>
        <w:rFonts w:hint="default"/>
      </w:rPr>
    </w:lvl>
    <w:lvl w:ilvl="2">
      <w:start w:val="1"/>
      <w:numFmt w:val="upperLetter"/>
      <w:pStyle w:val="TOC3"/>
      <w:lvlText w:val="Appendix %3"/>
      <w:lvlJc w:val="left"/>
      <w:pPr>
        <w:tabs>
          <w:tab w:val="num" w:pos="1985"/>
        </w:tabs>
        <w:ind w:left="1985" w:hanging="1985"/>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5BF91BE8"/>
    <w:multiLevelType w:val="multilevel"/>
    <w:tmpl w:val="4BF0CDD4"/>
    <w:name w:val="LongTOC"/>
    <w:numStyleLink w:val="LongTOC"/>
  </w:abstractNum>
  <w:abstractNum w:abstractNumId="31">
    <w:nsid w:val="5DC76B7F"/>
    <w:multiLevelType w:val="multilevel"/>
    <w:tmpl w:val="0EF405BA"/>
    <w:name w:val="Chapter numbering list"/>
    <w:lvl w:ilvl="0">
      <w:start w:val="1"/>
      <w:numFmt w:val="decimal"/>
      <w:lvlRestart w:val="0"/>
      <w:suff w:val="nothing"/>
      <w:lvlText w:val="%1"/>
      <w:lvlJc w:val="left"/>
      <w:pPr>
        <w:tabs>
          <w:tab w:val="num" w:pos="0"/>
        </w:tabs>
        <w:ind w:left="0" w:hanging="2523"/>
      </w:pPr>
      <w:rPr>
        <w:rFonts w:hint="default"/>
      </w:rPr>
    </w:lvl>
    <w:lvl w:ilvl="1">
      <w:start w:val="1"/>
      <w:numFmt w:val="decimal"/>
      <w:lvlRestart w:val="0"/>
      <w:lvlText w:val="%2"/>
      <w:lvlJc w:val="left"/>
      <w:pPr>
        <w:tabs>
          <w:tab w:val="num" w:pos="850"/>
        </w:tabs>
        <w:ind w:left="850" w:hanging="850"/>
      </w:pPr>
      <w:rPr>
        <w:rFonts w:hint="default"/>
      </w:rPr>
    </w:lvl>
    <w:lvl w:ilvl="2">
      <w:start w:val="1"/>
      <w:numFmt w:val="decimal"/>
      <w:lvlText w:val="%2.%3"/>
      <w:lvlJc w:val="left"/>
      <w:pPr>
        <w:tabs>
          <w:tab w:val="num" w:pos="850"/>
        </w:tabs>
        <w:ind w:left="850" w:hanging="850"/>
      </w:pPr>
      <w:rPr>
        <w:rFonts w:hint="default"/>
      </w:rPr>
    </w:lvl>
    <w:lvl w:ilvl="3">
      <w:start w:val="1"/>
      <w:numFmt w:val="decimal"/>
      <w:lvlText w:val="%2.%3.%4"/>
      <w:lvlJc w:val="left"/>
      <w:pPr>
        <w:tabs>
          <w:tab w:val="num" w:pos="850"/>
        </w:tabs>
        <w:ind w:left="850" w:hanging="850"/>
      </w:pPr>
      <w:rPr>
        <w:rFonts w:hint="default"/>
      </w:rPr>
    </w:lvl>
    <w:lvl w:ilvl="4">
      <w:start w:val="1"/>
      <w:numFmt w:val="upperLetter"/>
      <w:lvlRestart w:val="0"/>
      <w:lvlText w:val="Appendix %5"/>
      <w:lvlJc w:val="left"/>
      <w:pPr>
        <w:tabs>
          <w:tab w:val="num" w:pos="3685"/>
        </w:tabs>
        <w:ind w:left="0" w:firstLine="0"/>
      </w:pPr>
      <w:rPr>
        <w:rFonts w:hint="default"/>
      </w:rPr>
    </w:lvl>
    <w:lvl w:ilvl="5">
      <w:start w:val="1"/>
      <w:numFmt w:val="upperLetter"/>
      <w:lvlRestart w:val="0"/>
      <w:suff w:val="nothing"/>
      <w:lvlText w:val="Appendix %6"/>
      <w:lvlJc w:val="left"/>
      <w:pPr>
        <w:tabs>
          <w:tab w:val="num" w:pos="0"/>
        </w:tabs>
        <w:ind w:left="0" w:firstLine="0"/>
      </w:pPr>
      <w:rPr>
        <w:rFonts w:hint="default"/>
      </w:rPr>
    </w:lvl>
    <w:lvl w:ilvl="6">
      <w:start w:val="1"/>
      <w:numFmt w:val="decimal"/>
      <w:lvlText w:val="%7"/>
      <w:lvlJc w:val="left"/>
      <w:pPr>
        <w:tabs>
          <w:tab w:val="num" w:pos="567"/>
        </w:tabs>
        <w:ind w:left="567" w:hanging="567"/>
      </w:pPr>
      <w:rPr>
        <w:rFonts w:hint="default"/>
        <w:b/>
        <w:i/>
      </w:rPr>
    </w:lvl>
    <w:lvl w:ilvl="7">
      <w:start w:val="1"/>
      <w:numFmt w:val="decimal"/>
      <w:lvlText w:val="%8"/>
      <w:lvlJc w:val="left"/>
      <w:pPr>
        <w:tabs>
          <w:tab w:val="num" w:pos="567"/>
        </w:tabs>
        <w:ind w:left="567" w:hanging="567"/>
      </w:pPr>
      <w:rPr>
        <w:rFonts w:hint="default"/>
        <w:b w:val="0"/>
        <w:i w:val="0"/>
        <w:color w:val="auto"/>
      </w:rPr>
    </w:lvl>
    <w:lvl w:ilvl="8">
      <w:start w:val="1"/>
      <w:numFmt w:val="lowerLetter"/>
      <w:lvlText w:val="%9"/>
      <w:lvlJc w:val="left"/>
      <w:pPr>
        <w:tabs>
          <w:tab w:val="num" w:pos="1134"/>
        </w:tabs>
        <w:ind w:left="1134" w:hanging="567"/>
      </w:pPr>
      <w:rPr>
        <w:rFonts w:hint="default"/>
        <w:b w:val="0"/>
        <w:i w:val="0"/>
        <w:color w:val="auto"/>
      </w:rPr>
    </w:lvl>
  </w:abstractNum>
  <w:abstractNum w:abstractNumId="32">
    <w:nsid w:val="5E401664"/>
    <w:multiLevelType w:val="multilevel"/>
    <w:tmpl w:val="EE12AE72"/>
    <w:numStyleLink w:val="PwCAppendixList1"/>
  </w:abstractNum>
  <w:abstractNum w:abstractNumId="33">
    <w:nsid w:val="629E243C"/>
    <w:multiLevelType w:val="hybridMultilevel"/>
    <w:tmpl w:val="90C8B92C"/>
    <w:lvl w:ilvl="0" w:tplc="F1DAC194">
      <w:start w:val="1"/>
      <w:numFmt w:val="bullet"/>
      <w:pStyle w:val="BlockBulletOrange"/>
      <w:lvlText w:val=""/>
      <w:lvlJc w:val="left"/>
      <w:pPr>
        <w:ind w:left="720" w:hanging="360"/>
      </w:pPr>
      <w:rPr>
        <w:rFonts w:ascii="Symbol" w:hAnsi="Symbol" w:hint="default"/>
        <w:color w:val="DC6900" w:themeColor="text2"/>
        <w:sz w:val="16"/>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63504D5E"/>
    <w:multiLevelType w:val="multilevel"/>
    <w:tmpl w:val="0C09001D"/>
    <w:name w:val="NumberedLists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63917BB9"/>
    <w:multiLevelType w:val="multilevel"/>
    <w:tmpl w:val="4E5C847A"/>
    <w:numStyleLink w:val="Indents"/>
  </w:abstractNum>
  <w:abstractNum w:abstractNumId="36">
    <w:nsid w:val="6C8A32D2"/>
    <w:multiLevelType w:val="multilevel"/>
    <w:tmpl w:val="25800BE4"/>
    <w:styleLink w:val="TableBulletNormalList"/>
    <w:lvl w:ilvl="0">
      <w:start w:val="1"/>
      <w:numFmt w:val="bullet"/>
      <w:lvlRestart w:val="0"/>
      <w:lvlText w:val=""/>
      <w:lvlJc w:val="left"/>
      <w:pPr>
        <w:tabs>
          <w:tab w:val="num" w:pos="283"/>
        </w:tabs>
        <w:ind w:left="283" w:hanging="283"/>
      </w:pPr>
      <w:rPr>
        <w:rFonts w:ascii="Symbol" w:hAnsi="Symbol" w:hint="default"/>
        <w:b w:val="0"/>
        <w:i w:val="0"/>
        <w:color w:val="auto"/>
      </w:rPr>
    </w:lvl>
    <w:lvl w:ilvl="1">
      <w:start w:val="1"/>
      <w:numFmt w:val="bullet"/>
      <w:lvlRestart w:val="0"/>
      <w:lvlText w:val="–"/>
      <w:lvlJc w:val="left"/>
      <w:pPr>
        <w:tabs>
          <w:tab w:val="num" w:pos="567"/>
        </w:tabs>
        <w:ind w:left="567" w:hanging="283"/>
      </w:pPr>
      <w:rPr>
        <w:rFonts w:ascii="Arial" w:hAnsi="Arial" w:hint="default"/>
        <w:b w:val="0"/>
        <w:i w:val="0"/>
        <w:color w:val="auto"/>
        <w:szCs w:val="10"/>
      </w:rPr>
    </w:lvl>
    <w:lvl w:ilvl="2">
      <w:start w:val="1"/>
      <w:numFmt w:val="bullet"/>
      <w:lvlRestart w:val="0"/>
      <w:lvlText w:val="o"/>
      <w:lvlJc w:val="left"/>
      <w:pPr>
        <w:tabs>
          <w:tab w:val="num" w:pos="851"/>
        </w:tabs>
        <w:ind w:left="851" w:hanging="284"/>
      </w:pPr>
      <w:rPr>
        <w:rFonts w:ascii="Arial" w:hAnsi="Arial" w:hint="default"/>
        <w:b w:val="0"/>
        <w:i w:val="0"/>
        <w:color w:val="auto"/>
        <w:sz w:val="10"/>
        <w:szCs w:val="10"/>
      </w:rPr>
    </w:lvl>
    <w:lvl w:ilvl="3">
      <w:start w:val="1"/>
      <w:numFmt w:val="none"/>
      <w:lvlRestart w:val="0"/>
      <w:lvlText w:val=""/>
      <w:lvlJc w:val="left"/>
      <w:pPr>
        <w:tabs>
          <w:tab w:val="num" w:pos="0"/>
        </w:tabs>
        <w:ind w:left="0" w:firstLine="0"/>
      </w:pPr>
      <w:rPr>
        <w:rFonts w:hint="default"/>
        <w:color w:val="auto"/>
        <w:sz w:val="10"/>
        <w:szCs w:val="10"/>
      </w:rPr>
    </w:lvl>
    <w:lvl w:ilvl="4">
      <w:start w:val="1"/>
      <w:numFmt w:val="none"/>
      <w:lvlText w:val="%5"/>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37">
    <w:nsid w:val="710A6E4C"/>
    <w:multiLevelType w:val="multilevel"/>
    <w:tmpl w:val="7DE076C4"/>
    <w:lvl w:ilvl="0">
      <w:start w:val="1"/>
      <w:numFmt w:val="bullet"/>
      <w:lvlText w:val=""/>
      <w:lvlJc w:val="left"/>
      <w:pPr>
        <w:ind w:left="720" w:hanging="360"/>
      </w:pPr>
      <w:rPr>
        <w:rFonts w:ascii="Symbol" w:hAnsi="Symbol" w:hint="default"/>
        <w:color w:val="DC6900" w:themeColor="accent1"/>
      </w:rPr>
    </w:lvl>
    <w:lvl w:ilvl="1">
      <w:start w:val="1"/>
      <w:numFmt w:val="bullet"/>
      <w:pStyle w:val="TheirBullet2"/>
      <w:lvlText w:val="-"/>
      <w:lvlJc w:val="left"/>
      <w:pPr>
        <w:ind w:left="1440" w:hanging="360"/>
      </w:pPr>
      <w:rPr>
        <w:rFonts w:ascii="Georgia" w:hAnsi="Georgia" w:hint="default"/>
        <w:color w:val="DC6900" w:themeColor="accent1"/>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71E23A2B"/>
    <w:multiLevelType w:val="multilevel"/>
    <w:tmpl w:val="EE68CFCC"/>
    <w:lvl w:ilvl="0">
      <w:start w:val="1"/>
      <w:numFmt w:val="decimal"/>
      <w:lvlRestart w:val="0"/>
      <w:suff w:val="nothing"/>
      <w:lvlText w:val="%1"/>
      <w:lvlJc w:val="left"/>
      <w:pPr>
        <w:ind w:left="0" w:firstLine="0"/>
      </w:pPr>
      <w:rPr>
        <w:rFonts w:ascii="Arial" w:hAnsi="Arial" w:cs="Arial" w:hint="default"/>
        <w:b w:val="0"/>
        <w:i w:val="0"/>
        <w:sz w:val="72"/>
      </w:rPr>
    </w:lvl>
    <w:lvl w:ilvl="1">
      <w:start w:val="1"/>
      <w:numFmt w:val="decimal"/>
      <w:lvlRestart w:val="0"/>
      <w:lvlText w:val="%2"/>
      <w:lvlJc w:val="left"/>
      <w:pPr>
        <w:tabs>
          <w:tab w:val="num" w:pos="850"/>
        </w:tabs>
        <w:ind w:left="850" w:hanging="850"/>
      </w:pPr>
      <w:rPr>
        <w:rFonts w:asciiTheme="majorHAnsi" w:hAnsiTheme="majorHAnsi" w:cs="Arial" w:hint="default"/>
        <w:b/>
        <w:i/>
        <w:sz w:val="56"/>
      </w:rPr>
    </w:lvl>
    <w:lvl w:ilvl="2">
      <w:start w:val="1"/>
      <w:numFmt w:val="decimal"/>
      <w:lvlText w:val="%2.%3"/>
      <w:lvlJc w:val="left"/>
      <w:pPr>
        <w:tabs>
          <w:tab w:val="num" w:pos="850"/>
        </w:tabs>
        <w:ind w:left="850" w:hanging="850"/>
      </w:pPr>
      <w:rPr>
        <w:rFonts w:asciiTheme="majorHAnsi" w:hAnsiTheme="majorHAnsi" w:cs="Arial" w:hint="default"/>
        <w:b/>
        <w:i/>
        <w:sz w:val="32"/>
      </w:rPr>
    </w:lvl>
    <w:lvl w:ilvl="3">
      <w:start w:val="1"/>
      <w:numFmt w:val="decimal"/>
      <w:lvlText w:val="%2.%3.%4"/>
      <w:lvlJc w:val="left"/>
      <w:pPr>
        <w:tabs>
          <w:tab w:val="num" w:pos="850"/>
        </w:tabs>
        <w:ind w:left="850" w:hanging="850"/>
      </w:pPr>
      <w:rPr>
        <w:rFonts w:asciiTheme="majorHAnsi" w:hAnsiTheme="majorHAnsi" w:cs="Arial" w:hint="default"/>
        <w:b w:val="0"/>
        <w:i/>
        <w:sz w:val="28"/>
      </w:rPr>
    </w:lvl>
    <w:lvl w:ilvl="4">
      <w:start w:val="1"/>
      <w:numFmt w:val="upperLetter"/>
      <w:lvlRestart w:val="0"/>
      <w:lvlText w:val="Appendix %5"/>
      <w:lvlJc w:val="left"/>
      <w:pPr>
        <w:tabs>
          <w:tab w:val="num" w:pos="3686"/>
        </w:tabs>
        <w:ind w:left="0" w:firstLine="0"/>
      </w:pPr>
      <w:rPr>
        <w:rFonts w:asciiTheme="majorHAnsi" w:hAnsiTheme="majorHAnsi" w:cs="Arial" w:hint="default"/>
        <w:b/>
        <w:i/>
        <w:sz w:val="56"/>
      </w:rPr>
    </w:lvl>
    <w:lvl w:ilvl="5">
      <w:start w:val="1"/>
      <w:numFmt w:val="upperLetter"/>
      <w:lvlRestart w:val="0"/>
      <w:suff w:val="nothing"/>
      <w:lvlText w:val="Appendix %6"/>
      <w:lvlJc w:val="left"/>
      <w:pPr>
        <w:ind w:left="0" w:firstLine="0"/>
      </w:pPr>
      <w:rPr>
        <w:rFonts w:asciiTheme="majorHAnsi" w:hAnsiTheme="majorHAnsi" w:cs="Arial" w:hint="default"/>
        <w:b/>
        <w:i/>
        <w:sz w:val="56"/>
      </w:rPr>
    </w:lvl>
    <w:lvl w:ilvl="6">
      <w:start w:val="1"/>
      <w:numFmt w:val="decimal"/>
      <w:lvlText w:val="%7"/>
      <w:lvlJc w:val="left"/>
      <w:pPr>
        <w:tabs>
          <w:tab w:val="num" w:pos="567"/>
        </w:tabs>
        <w:ind w:left="567" w:hanging="567"/>
      </w:pPr>
      <w:rPr>
        <w:rFonts w:ascii="Georgia" w:hAnsi="Georgia" w:cs="Arial" w:hint="default"/>
        <w:b/>
        <w:i/>
      </w:rPr>
    </w:lvl>
    <w:lvl w:ilvl="7">
      <w:start w:val="1"/>
      <w:numFmt w:val="decimal"/>
      <w:pStyle w:val="TheirNumbersedList"/>
      <w:lvlText w:val="%8"/>
      <w:lvlJc w:val="left"/>
      <w:pPr>
        <w:tabs>
          <w:tab w:val="num" w:pos="567"/>
        </w:tabs>
        <w:ind w:left="567" w:hanging="567"/>
      </w:pPr>
      <w:rPr>
        <w:rFonts w:ascii="Georgia" w:hAnsi="Georgia" w:cs="Arial" w:hint="default"/>
        <w:b w:val="0"/>
        <w:i w:val="0"/>
        <w:color w:val="auto"/>
      </w:rPr>
    </w:lvl>
    <w:lvl w:ilvl="8">
      <w:start w:val="1"/>
      <w:numFmt w:val="lowerLetter"/>
      <w:lvlText w:val="%9"/>
      <w:lvlJc w:val="left"/>
      <w:pPr>
        <w:tabs>
          <w:tab w:val="num" w:pos="1134"/>
        </w:tabs>
        <w:ind w:left="1134" w:hanging="567"/>
      </w:pPr>
      <w:rPr>
        <w:rFonts w:ascii="Georgia" w:hAnsi="Georgia" w:cs="Arial" w:hint="default"/>
        <w:b w:val="0"/>
        <w:i w:val="0"/>
        <w:color w:val="auto"/>
      </w:rPr>
    </w:lvl>
  </w:abstractNum>
  <w:abstractNum w:abstractNumId="39">
    <w:nsid w:val="742871BD"/>
    <w:multiLevelType w:val="multilevel"/>
    <w:tmpl w:val="5AD4CF96"/>
    <w:lvl w:ilvl="0">
      <w:start w:val="1"/>
      <w:numFmt w:val="upperLetter"/>
      <w:pStyle w:val="AppendixHeading1"/>
      <w:suff w:val="space"/>
      <w:lvlText w:val="Appendix %1. -"/>
      <w:lvlJc w:val="left"/>
      <w:pPr>
        <w:ind w:left="533" w:hanging="533"/>
      </w:pPr>
      <w:rPr>
        <w:rFonts w:asciiTheme="minorHAnsi" w:hAnsiTheme="minorHAnsi" w:cs="Times New Roman" w:hint="default"/>
        <w:b/>
        <w:bCs w:val="0"/>
        <w:i/>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1"/>
      <w:numFmt w:val="decimal"/>
      <w:pStyle w:val="AppendixHeading2"/>
      <w:suff w:val="space"/>
      <w:lvlText w:val="%1.%2."/>
      <w:lvlJc w:val="left"/>
      <w:pPr>
        <w:ind w:left="612" w:hanging="612"/>
      </w:pPr>
      <w:rPr>
        <w:rFonts w:hint="default"/>
      </w:rPr>
    </w:lvl>
    <w:lvl w:ilvl="2">
      <w:start w:val="1"/>
      <w:numFmt w:val="decimal"/>
      <w:pStyle w:val="AppendixHeading3"/>
      <w:suff w:val="space"/>
      <w:lvlText w:val="%1.%2.%3."/>
      <w:lvlJc w:val="left"/>
      <w:pPr>
        <w:ind w:left="777" w:hanging="777"/>
      </w:pPr>
      <w:rPr>
        <w:rFonts w:hint="default"/>
      </w:rPr>
    </w:lvl>
    <w:lvl w:ilvl="3">
      <w:start w:val="1"/>
      <w:numFmt w:val="decimal"/>
      <w:pStyle w:val="AppendixHeading4"/>
      <w:suff w:val="space"/>
      <w:lvlText w:val="%1.%2.%3.%4."/>
      <w:lvlJc w:val="left"/>
      <w:pPr>
        <w:ind w:left="862" w:hanging="862"/>
      </w:pPr>
      <w:rPr>
        <w:rFonts w:hint="default"/>
      </w:rPr>
    </w:lvl>
    <w:lvl w:ilvl="4">
      <w:start w:val="1"/>
      <w:numFmt w:val="decimal"/>
      <w:pStyle w:val="AppendixHeading5"/>
      <w:suff w:val="space"/>
      <w:lvlText w:val="%1.%2.%3.%4.%5."/>
      <w:lvlJc w:val="left"/>
      <w:pPr>
        <w:ind w:left="919" w:hanging="919"/>
      </w:pPr>
      <w:rPr>
        <w:rFonts w:hint="default"/>
      </w:rPr>
    </w:lvl>
    <w:lvl w:ilvl="5">
      <w:start w:val="1"/>
      <w:numFmt w:val="decimal"/>
      <w:suff w:val="space"/>
      <w:lvlText w:val="%1.%2.%3.%4.%5.%6."/>
      <w:lvlJc w:val="left"/>
      <w:pPr>
        <w:ind w:left="2736" w:hanging="2736"/>
      </w:pPr>
      <w:rPr>
        <w:rFonts w:hint="default"/>
      </w:rPr>
    </w:lvl>
    <w:lvl w:ilvl="6">
      <w:start w:val="1"/>
      <w:numFmt w:val="decimal"/>
      <w:suff w:val="space"/>
      <w:lvlText w:val="%1.%2.%3.%4.%5.%6.%7."/>
      <w:lvlJc w:val="left"/>
      <w:pPr>
        <w:ind w:left="3240" w:hanging="3240"/>
      </w:pPr>
      <w:rPr>
        <w:rFonts w:hint="default"/>
      </w:rPr>
    </w:lvl>
    <w:lvl w:ilvl="7">
      <w:start w:val="1"/>
      <w:numFmt w:val="decimal"/>
      <w:suff w:val="space"/>
      <w:lvlText w:val="%1.%2.%3.%4.%5.%6.%7.%8."/>
      <w:lvlJc w:val="left"/>
      <w:pPr>
        <w:ind w:left="3744" w:hanging="3744"/>
      </w:pPr>
      <w:rPr>
        <w:rFonts w:hint="default"/>
      </w:rPr>
    </w:lvl>
    <w:lvl w:ilvl="8">
      <w:start w:val="1"/>
      <w:numFmt w:val="decimal"/>
      <w:suff w:val="space"/>
      <w:lvlText w:val="%1.%2.%3.%4.%5.%6.%7.%8.%9."/>
      <w:lvlJc w:val="left"/>
      <w:pPr>
        <w:ind w:left="4320" w:hanging="4320"/>
      </w:pPr>
      <w:rPr>
        <w:rFonts w:hint="default"/>
      </w:rPr>
    </w:lvl>
  </w:abstractNum>
  <w:abstractNum w:abstractNumId="40">
    <w:nsid w:val="7A736138"/>
    <w:multiLevelType w:val="hybridMultilevel"/>
    <w:tmpl w:val="ACF85232"/>
    <w:lvl w:ilvl="0" w:tplc="9CFAC86E">
      <w:start w:val="1"/>
      <w:numFmt w:val="bullet"/>
      <w:pStyle w:val="BlockBulletBurgandy"/>
      <w:lvlText w:val=""/>
      <w:lvlJc w:val="left"/>
      <w:pPr>
        <w:ind w:left="360" w:hanging="360"/>
      </w:pPr>
      <w:rPr>
        <w:rFonts w:ascii="Symbol" w:hAnsi="Symbol" w:hint="default"/>
        <w:color w:val="FFB600" w:themeColor="accent2"/>
        <w:sz w:val="1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7E444095"/>
    <w:multiLevelType w:val="hybridMultilevel"/>
    <w:tmpl w:val="7AC09426"/>
    <w:lvl w:ilvl="0" w:tplc="4D76374A">
      <w:start w:val="1"/>
      <w:numFmt w:val="bullet"/>
      <w:pStyle w:val="BlockQuoteBullet"/>
      <w:lvlText w:val=""/>
      <w:lvlJc w:val="left"/>
      <w:pPr>
        <w:ind w:left="360" w:hanging="360"/>
      </w:pPr>
      <w:rPr>
        <w:rFonts w:ascii="Symbol" w:hAnsi="Symbol" w:hint="default"/>
        <w:color w:val="FFFFFF" w:themeColor="background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3"/>
  </w:num>
  <w:num w:numId="4">
    <w:abstractNumId w:val="28"/>
  </w:num>
  <w:num w:numId="5">
    <w:abstractNumId w:val="36"/>
  </w:num>
  <w:num w:numId="6">
    <w:abstractNumId w:val="24"/>
  </w:num>
  <w:num w:numId="7">
    <w:abstractNumId w:val="17"/>
  </w:num>
  <w:num w:numId="8">
    <w:abstractNumId w:val="35"/>
  </w:num>
  <w:num w:numId="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38"/>
    <w:lvlOverride w:ilvl="0">
      <w:lvl w:ilvl="0">
        <w:start w:val="1"/>
        <w:numFmt w:val="decimal"/>
        <w:lvlRestart w:val="0"/>
        <w:suff w:val="nothing"/>
        <w:lvlText w:val="%1"/>
        <w:lvlJc w:val="left"/>
        <w:pPr>
          <w:ind w:left="0" w:firstLine="0"/>
        </w:pPr>
        <w:rPr>
          <w:rFonts w:ascii="Arial" w:hAnsi="Arial" w:cs="Arial" w:hint="default"/>
          <w:b w:val="0"/>
          <w:i w:val="0"/>
          <w:sz w:val="72"/>
        </w:rPr>
      </w:lvl>
    </w:lvlOverride>
    <w:lvlOverride w:ilvl="1">
      <w:lvl w:ilvl="1">
        <w:start w:val="1"/>
        <w:numFmt w:val="decimal"/>
        <w:lvlRestart w:val="0"/>
        <w:lvlText w:val="%2"/>
        <w:lvlJc w:val="left"/>
        <w:pPr>
          <w:tabs>
            <w:tab w:val="num" w:pos="850"/>
          </w:tabs>
          <w:ind w:left="850" w:hanging="850"/>
        </w:pPr>
        <w:rPr>
          <w:rFonts w:ascii="Georgia" w:hAnsi="Georgia" w:cs="Arial" w:hint="default"/>
          <w:b/>
          <w:i/>
          <w:sz w:val="36"/>
        </w:rPr>
      </w:lvl>
    </w:lvlOverride>
    <w:lvlOverride w:ilvl="2">
      <w:lvl w:ilvl="2">
        <w:start w:val="1"/>
        <w:numFmt w:val="decimal"/>
        <w:lvlText w:val="%2.%3"/>
        <w:lvlJc w:val="left"/>
        <w:pPr>
          <w:tabs>
            <w:tab w:val="num" w:pos="850"/>
          </w:tabs>
          <w:ind w:left="850" w:hanging="850"/>
        </w:pPr>
        <w:rPr>
          <w:rFonts w:ascii="Georgia" w:hAnsi="Georgia" w:cs="Arial" w:hint="default"/>
          <w:b/>
          <w:i/>
          <w:sz w:val="32"/>
        </w:rPr>
      </w:lvl>
    </w:lvlOverride>
    <w:lvlOverride w:ilvl="3">
      <w:lvl w:ilvl="3">
        <w:start w:val="1"/>
        <w:numFmt w:val="decimal"/>
        <w:lvlText w:val="%2.%3.%4"/>
        <w:lvlJc w:val="left"/>
        <w:pPr>
          <w:tabs>
            <w:tab w:val="num" w:pos="850"/>
          </w:tabs>
          <w:ind w:left="850" w:hanging="850"/>
        </w:pPr>
        <w:rPr>
          <w:rFonts w:ascii="Georgia" w:hAnsi="Georgia" w:cs="Arial" w:hint="default"/>
          <w:b w:val="0"/>
          <w:i w:val="0"/>
          <w:sz w:val="28"/>
        </w:rPr>
      </w:lvl>
    </w:lvlOverride>
    <w:lvlOverride w:ilvl="4">
      <w:lvl w:ilvl="4">
        <w:start w:val="1"/>
        <w:numFmt w:val="upperLetter"/>
        <w:lvlRestart w:val="0"/>
        <w:lvlText w:val="Appendix %5"/>
        <w:lvlJc w:val="left"/>
        <w:pPr>
          <w:tabs>
            <w:tab w:val="num" w:pos="2268"/>
          </w:tabs>
          <w:ind w:left="2268" w:hanging="2268"/>
        </w:pPr>
        <w:rPr>
          <w:rFonts w:ascii="Georgia" w:hAnsi="Georgia" w:cs="Arial" w:hint="default"/>
          <w:b/>
          <w:i/>
          <w:sz w:val="36"/>
        </w:rPr>
      </w:lvl>
    </w:lvlOverride>
    <w:lvlOverride w:ilvl="5">
      <w:lvl w:ilvl="5">
        <w:start w:val="1"/>
        <w:numFmt w:val="upperLetter"/>
        <w:lvlRestart w:val="0"/>
        <w:suff w:val="nothing"/>
        <w:lvlText w:val="Appendix %6"/>
        <w:lvlJc w:val="left"/>
        <w:pPr>
          <w:ind w:left="0" w:firstLine="0"/>
        </w:pPr>
        <w:rPr>
          <w:rFonts w:ascii="Arial" w:hAnsi="Arial" w:cs="Arial" w:hint="default"/>
          <w:b w:val="0"/>
          <w:i w:val="0"/>
          <w:sz w:val="72"/>
        </w:rPr>
      </w:lvl>
    </w:lvlOverride>
    <w:lvlOverride w:ilvl="6">
      <w:lvl w:ilvl="6">
        <w:start w:val="1"/>
        <w:numFmt w:val="decimal"/>
        <w:lvlText w:val="%7"/>
        <w:lvlJc w:val="left"/>
        <w:pPr>
          <w:tabs>
            <w:tab w:val="num" w:pos="567"/>
          </w:tabs>
          <w:ind w:left="567" w:hanging="567"/>
        </w:pPr>
        <w:rPr>
          <w:rFonts w:ascii="Arial" w:hAnsi="Arial" w:cs="Arial" w:hint="default"/>
          <w:b w:val="0"/>
          <w:i w:val="0"/>
        </w:rPr>
      </w:lvl>
    </w:lvlOverride>
    <w:lvlOverride w:ilvl="7">
      <w:lvl w:ilvl="7">
        <w:start w:val="1"/>
        <w:numFmt w:val="decimal"/>
        <w:pStyle w:val="TheirNumbersedList"/>
        <w:lvlText w:val="%8"/>
        <w:lvlJc w:val="left"/>
        <w:pPr>
          <w:tabs>
            <w:tab w:val="num" w:pos="567"/>
          </w:tabs>
          <w:ind w:left="567" w:hanging="567"/>
        </w:pPr>
        <w:rPr>
          <w:rFonts w:ascii="Georgia" w:hAnsi="Georgia" w:cs="Arial" w:hint="default"/>
          <w:b w:val="0"/>
          <w:i w:val="0"/>
          <w:color w:val="DC6900" w:themeColor="accent1"/>
        </w:rPr>
      </w:lvl>
    </w:lvlOverride>
    <w:lvlOverride w:ilvl="8">
      <w:lvl w:ilvl="8">
        <w:start w:val="1"/>
        <w:numFmt w:val="lowerLetter"/>
        <w:lvlText w:val="%9"/>
        <w:lvlJc w:val="left"/>
        <w:pPr>
          <w:tabs>
            <w:tab w:val="num" w:pos="1134"/>
          </w:tabs>
          <w:ind w:left="1134" w:hanging="567"/>
        </w:pPr>
        <w:rPr>
          <w:rFonts w:ascii="Arial" w:hAnsi="Arial" w:cs="Arial" w:hint="default"/>
          <w:b w:val="0"/>
          <w:i w:val="0"/>
          <w:color w:val="auto"/>
        </w:rPr>
      </w:lvl>
    </w:lvlOverride>
  </w:num>
  <w:num w:numId="12">
    <w:abstractNumId w:val="6"/>
  </w:num>
  <w:num w:numId="13">
    <w:abstractNumId w:val="21"/>
  </w:num>
  <w:num w:numId="14">
    <w:abstractNumId w:val="32"/>
  </w:num>
  <w:num w:numId="15">
    <w:abstractNumId w:val="4"/>
  </w:num>
  <w:num w:numId="16">
    <w:abstractNumId w:val="10"/>
  </w:num>
  <w:num w:numId="17">
    <w:abstractNumId w:val="13"/>
  </w:num>
  <w:num w:numId="18">
    <w:abstractNumId w:val="12"/>
  </w:num>
  <w:num w:numId="19">
    <w:abstractNumId w:val="8"/>
  </w:num>
  <w:num w:numId="20">
    <w:abstractNumId w:val="9"/>
  </w:num>
  <w:num w:numId="21">
    <w:abstractNumId w:val="0"/>
  </w:num>
  <w:num w:numId="22">
    <w:abstractNumId w:val="15"/>
  </w:num>
  <w:num w:numId="23">
    <w:abstractNumId w:val="40"/>
  </w:num>
  <w:num w:numId="24">
    <w:abstractNumId w:val="26"/>
  </w:num>
  <w:num w:numId="25">
    <w:abstractNumId w:val="33"/>
  </w:num>
  <w:num w:numId="26">
    <w:abstractNumId w:val="41"/>
  </w:num>
  <w:num w:numId="27">
    <w:abstractNumId w:val="11"/>
  </w:num>
  <w:num w:numId="28">
    <w:abstractNumId w:val="27"/>
  </w:num>
  <w:num w:numId="29">
    <w:abstractNumId w:val="16"/>
  </w:num>
  <w:num w:numId="30">
    <w:abstractNumId w:val="37"/>
  </w:num>
  <w:num w:numId="31">
    <w:abstractNumId w:val="25"/>
  </w:num>
  <w:num w:numId="32">
    <w:abstractNumId w:val="14"/>
  </w:num>
  <w:num w:numId="33">
    <w:abstractNumId w:val="5"/>
  </w:num>
  <w:num w:numId="34">
    <w:abstractNumId w:val="2"/>
  </w:num>
  <w:num w:numId="35">
    <w:abstractNumId w:val="29"/>
  </w:num>
  <w:num w:numId="36">
    <w:abstractNumId w:val="20"/>
  </w:num>
  <w:num w:numId="37">
    <w:abstractNumId w:val="22"/>
  </w:num>
  <w:num w:numId="38">
    <w:abstractNumId w:val="19"/>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2"/>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removePersonalInformation/>
  <w:removeDateAndTime/>
  <w:proofState w:spelling="clean" w:grammar="clean"/>
  <w:stylePaneFormatFilter w:val="BF24"/>
  <w:stylePaneSortMethod w:val="0000"/>
  <w:documentProtection w:edit="readOnly" w:enforcement="1" w:cryptProviderType="rsaFull" w:cryptAlgorithmClass="hash" w:cryptAlgorithmType="typeAny" w:cryptAlgorithmSid="4" w:cryptSpinCount="100000" w:hash="2stA65Iuw1Fm997oDzQ61v7tJZU=" w:salt="yk2knV37DFJUsarTnil81w=="/>
  <w:defaultTabStop w:val="720"/>
  <w:evenAndOddHeaders/>
  <w:drawingGridHorizontalSpacing w:val="100"/>
  <w:displayHorizontalDrawingGridEvery w:val="2"/>
  <w:characterSpacingControl w:val="doNotCompress"/>
  <w:hdrShapeDefaults>
    <o:shapedefaults v:ext="edit" spidmax="5415" style="mso-position-horizontal-relative:page;mso-position-vertical:center;mso-position-vertical-relative:page" fillcolor="none [3215]" stroke="f">
      <v:fill color="none [3215]"/>
      <v:stroke on="f"/>
      <o:colormru v:ext="edit" colors="#f56b07,#b92e2e,#b31b08,#c0440d,#be3102,#eb4650,#c67548,#c36119"/>
      <o:colormenu v:ext="edit" strokecolor="none [3213]"/>
    </o:shapedefaults>
    <o:shapelayout v:ext="edit">
      <o:idmap v:ext="edit" data="5"/>
      <o:rules v:ext="edit">
        <o:r id="V:Rule95" type="connector" idref="#AutoShape 283"/>
        <o:r id="V:Rule96" type="connector" idref="#AutoShape 1276"/>
        <o:r id="V:Rule97" type="connector" idref="#AutoShape 1284"/>
        <o:r id="V:Rule98" type="connector" idref="#AutoShape 416"/>
        <o:r id="V:Rule99" type="connector" idref="#AutoShape 1285"/>
        <o:r id="V:Rule100" type="connector" idref="#AutoShape 297"/>
        <o:r id="V:Rule101" type="connector" idref="#AutoShape 399"/>
        <o:r id="V:Rule102" type="connector" idref="#AutoShape 284"/>
        <o:r id="V:Rule103" type="connector" idref="#AutoShape 1290"/>
        <o:r id="V:Rule104" type="connector" idref="#AutoShape 402"/>
        <o:r id="V:Rule105" type="connector" idref="#AutoShape 294"/>
        <o:r id="V:Rule106" type="connector" idref="#AutoShape 293"/>
        <o:r id="V:Rule107" type="connector" idref="#AutoShape 1269"/>
        <o:r id="V:Rule108" type="connector" idref="#AutoShape 403"/>
        <o:r id="V:Rule109" type="connector" idref="#AutoShape 1288"/>
        <o:r id="V:Rule110" type="connector" idref="#AutoShape 1266"/>
        <o:r id="V:Rule111" type="connector" idref="#AutoShape 1272"/>
        <o:r id="V:Rule112" type="connector" idref="#AutoShape 1265"/>
        <o:r id="V:Rule113" type="connector" idref="#AutoShape 267"/>
        <o:r id="V:Rule114" type="connector" idref="#AutoShape 280"/>
        <o:r id="V:Rule115" type="connector" idref="#AutoShape 413"/>
        <o:r id="V:Rule116" type="connector" idref="#AutoShape 269"/>
        <o:r id="V:Rule117" type="connector" idref="#AutoShape 392"/>
        <o:r id="V:Rule118" type="connector" idref="#AutoShape 278"/>
        <o:r id="V:Rule119" type="connector" idref="#AutoShape 285"/>
        <o:r id="V:Rule120" type="connector" idref="#AutoShape 1267"/>
        <o:r id="V:Rule121" type="connector" idref="#AutoShape 415"/>
        <o:r id="V:Rule122" type="connector" idref="#AutoShape 409"/>
        <o:r id="V:Rule123" type="connector" idref="#AutoShape 291"/>
        <o:r id="V:Rule124" type="connector" idref="#AutoShape 1275"/>
        <o:r id="V:Rule125" type="connector" idref="#AutoShape 287"/>
        <o:r id="V:Rule126" type="connector" idref="#AutoShape 275"/>
        <o:r id="V:Rule127" type="connector" idref="#AutoShape 1278"/>
        <o:r id="V:Rule128" type="connector" idref="#AutoShape 270"/>
        <o:r id="V:Rule129" type="connector" idref="#AutoShape 1281"/>
        <o:r id="V:Rule130" type="connector" idref="#AutoShape 289"/>
        <o:r id="V:Rule131" type="connector" idref="#AutoShape 299"/>
        <o:r id="V:Rule132" type="connector" idref="#AutoShape 1282"/>
        <o:r id="V:Rule133" type="connector" idref="#AutoShape 676"/>
        <o:r id="V:Rule134" type="connector" idref="#AutoShape 274"/>
        <o:r id="V:Rule135" type="connector" idref="#AutoShape 1280"/>
        <o:r id="V:Rule136" type="connector" idref="#AutoShape 412"/>
        <o:r id="V:Rule137" type="connector" idref="#AutoShape 1262"/>
        <o:r id="V:Rule138" type="connector" idref="#AutoShape 1264"/>
        <o:r id="V:Rule139" type="connector" idref="#AutoShape 677"/>
        <o:r id="V:Rule140" type="connector" idref="#AutoShape 411"/>
        <o:r id="V:Rule141" type="connector" idref="#AutoShape 391"/>
        <o:r id="V:Rule142" type="connector" idref="#AutoShape 268"/>
        <o:r id="V:Rule143" type="connector" idref="#AutoShape 397"/>
        <o:r id="V:Rule144" type="connector" idref="#AutoShape 408"/>
        <o:r id="V:Rule145" type="connector" idref="#AutoShape 406"/>
        <o:r id="V:Rule146" type="connector" idref="#AutoShape 410"/>
        <o:r id="V:Rule147" type="connector" idref="#AutoShape 277"/>
        <o:r id="V:Rule148" type="connector" idref="#AutoShape 398"/>
        <o:r id="V:Rule149" type="connector" idref="#AutoShape 405"/>
        <o:r id="V:Rule150" type="connector" idref="#AutoShape 288"/>
        <o:r id="V:Rule151" type="connector" idref="#AutoShape 1263"/>
        <o:r id="V:Rule152" type="connector" idref="#AutoShape 404"/>
        <o:r id="V:Rule153" type="connector" idref="#AutoShape 1268"/>
        <o:r id="V:Rule154" type="connector" idref="#AutoShape 1273"/>
        <o:r id="V:Rule155" type="connector" idref="#AutoShape 266"/>
        <o:r id="V:Rule156" type="connector" idref="#AutoShape 1279"/>
        <o:r id="V:Rule157" type="connector" idref="#AutoShape 395"/>
        <o:r id="V:Rule158" type="connector" idref="#AutoShape 281"/>
        <o:r id="V:Rule159" type="connector" idref="#AutoShape 276"/>
        <o:r id="V:Rule160" type="connector" idref="#AutoShape 273"/>
        <o:r id="V:Rule161" type="connector" idref="#AutoShape 245"/>
        <o:r id="V:Rule162" type="connector" idref="#AutoShape 292"/>
        <o:r id="V:Rule163" type="connector" idref="#AutoShape 290"/>
        <o:r id="V:Rule164" type="connector" idref="#AutoShape 1274"/>
        <o:r id="V:Rule165" type="connector" idref="#AutoShape 1287"/>
        <o:r id="V:Rule166" type="connector" idref="#AutoShape 295"/>
        <o:r id="V:Rule167" type="connector" idref="#AutoShape 1283"/>
        <o:r id="V:Rule168" type="connector" idref="#AutoShape 1270"/>
        <o:r id="V:Rule169" type="connector" idref="#AutoShape 296"/>
        <o:r id="V:Rule170" type="connector" idref="#AutoShape 286"/>
        <o:r id="V:Rule171" type="connector" idref="#AutoShape 282"/>
        <o:r id="V:Rule172" type="connector" idref="#AutoShape 418"/>
        <o:r id="V:Rule173" type="connector" idref="#AutoShape 1286"/>
        <o:r id="V:Rule174" type="connector" idref="#AutoShape 407"/>
        <o:r id="V:Rule175" type="connector" idref="#AutoShape 396"/>
        <o:r id="V:Rule176" type="connector" idref="#AutoShape 1277"/>
        <o:r id="V:Rule177" type="connector" idref="#AutoShape 417"/>
        <o:r id="V:Rule178" type="connector" idref="#AutoShape 300"/>
        <o:r id="V:Rule179" type="connector" idref="#AutoShape 401"/>
        <o:r id="V:Rule180" type="connector" idref="#AutoShape 394"/>
        <o:r id="V:Rule181" type="connector" idref="#AutoShape 414"/>
        <o:r id="V:Rule182" type="connector" idref="#AutoShape 400"/>
        <o:r id="V:Rule183" type="connector" idref="#AutoShape 279"/>
        <o:r id="V:Rule184" type="connector" idref="#AutoShape 271"/>
        <o:r id="V:Rule185" type="connector" idref="#AutoShape 1289"/>
        <o:r id="V:Rule186" type="connector" idref="#AutoShape 393"/>
        <o:r id="V:Rule187" type="connector" idref="#AutoShape 1271"/>
        <o:r id="V:Rule188" type="connector" idref="#AutoShape 298"/>
      </o:rules>
    </o:shapelayout>
  </w:hdrShapeDefaults>
  <w:footnotePr>
    <w:footnote w:id="-1"/>
    <w:footnote w:id="0"/>
    <w:footnote w:id="1"/>
  </w:footnotePr>
  <w:endnotePr>
    <w:endnote w:id="-1"/>
    <w:endnote w:id="0"/>
    <w:endnote w:id="1"/>
  </w:endnotePr>
  <w:compat/>
  <w:rsids>
    <w:rsidRoot w:val="00D86B2C"/>
    <w:rsid w:val="00000E07"/>
    <w:rsid w:val="000010DC"/>
    <w:rsid w:val="00001404"/>
    <w:rsid w:val="00002044"/>
    <w:rsid w:val="00002B5A"/>
    <w:rsid w:val="00002F7F"/>
    <w:rsid w:val="00002F85"/>
    <w:rsid w:val="00003EAA"/>
    <w:rsid w:val="000046CA"/>
    <w:rsid w:val="00005CEB"/>
    <w:rsid w:val="00006FCD"/>
    <w:rsid w:val="00007406"/>
    <w:rsid w:val="000100D4"/>
    <w:rsid w:val="0001118E"/>
    <w:rsid w:val="00011B56"/>
    <w:rsid w:val="000132F6"/>
    <w:rsid w:val="000148A7"/>
    <w:rsid w:val="00015271"/>
    <w:rsid w:val="00015598"/>
    <w:rsid w:val="00015F3F"/>
    <w:rsid w:val="00017D1E"/>
    <w:rsid w:val="00020F8D"/>
    <w:rsid w:val="000219D0"/>
    <w:rsid w:val="00021DF5"/>
    <w:rsid w:val="00022DB0"/>
    <w:rsid w:val="00023940"/>
    <w:rsid w:val="0002400B"/>
    <w:rsid w:val="00025387"/>
    <w:rsid w:val="0003004A"/>
    <w:rsid w:val="0003008D"/>
    <w:rsid w:val="00031309"/>
    <w:rsid w:val="000317A6"/>
    <w:rsid w:val="00032B92"/>
    <w:rsid w:val="00033E5E"/>
    <w:rsid w:val="00034812"/>
    <w:rsid w:val="00035288"/>
    <w:rsid w:val="000363FD"/>
    <w:rsid w:val="00037F44"/>
    <w:rsid w:val="00040BC7"/>
    <w:rsid w:val="00041787"/>
    <w:rsid w:val="00042109"/>
    <w:rsid w:val="00043650"/>
    <w:rsid w:val="000436E0"/>
    <w:rsid w:val="000444FF"/>
    <w:rsid w:val="0004452B"/>
    <w:rsid w:val="000500D7"/>
    <w:rsid w:val="0005022B"/>
    <w:rsid w:val="000506A5"/>
    <w:rsid w:val="00050ACB"/>
    <w:rsid w:val="00050CC5"/>
    <w:rsid w:val="00050FB9"/>
    <w:rsid w:val="0005107B"/>
    <w:rsid w:val="00051862"/>
    <w:rsid w:val="0005222A"/>
    <w:rsid w:val="00055A6A"/>
    <w:rsid w:val="0005674C"/>
    <w:rsid w:val="00056AD9"/>
    <w:rsid w:val="000603FD"/>
    <w:rsid w:val="000606D1"/>
    <w:rsid w:val="00061068"/>
    <w:rsid w:val="000619A2"/>
    <w:rsid w:val="00062961"/>
    <w:rsid w:val="00063503"/>
    <w:rsid w:val="00063EE3"/>
    <w:rsid w:val="00064B40"/>
    <w:rsid w:val="00064CCC"/>
    <w:rsid w:val="00064EB8"/>
    <w:rsid w:val="00065456"/>
    <w:rsid w:val="00070486"/>
    <w:rsid w:val="000713BA"/>
    <w:rsid w:val="000718F9"/>
    <w:rsid w:val="000753D2"/>
    <w:rsid w:val="0007558E"/>
    <w:rsid w:val="00076C97"/>
    <w:rsid w:val="000778D4"/>
    <w:rsid w:val="00077EBF"/>
    <w:rsid w:val="00080AF8"/>
    <w:rsid w:val="00081A58"/>
    <w:rsid w:val="00082CD9"/>
    <w:rsid w:val="0008470D"/>
    <w:rsid w:val="0008551A"/>
    <w:rsid w:val="00087C5B"/>
    <w:rsid w:val="00090AAB"/>
    <w:rsid w:val="000936CD"/>
    <w:rsid w:val="00094408"/>
    <w:rsid w:val="0009567A"/>
    <w:rsid w:val="00096CE6"/>
    <w:rsid w:val="00096F31"/>
    <w:rsid w:val="00097ADE"/>
    <w:rsid w:val="00097BAC"/>
    <w:rsid w:val="000A0836"/>
    <w:rsid w:val="000A0D05"/>
    <w:rsid w:val="000A1F3F"/>
    <w:rsid w:val="000A2F98"/>
    <w:rsid w:val="000A4352"/>
    <w:rsid w:val="000A51EE"/>
    <w:rsid w:val="000A6014"/>
    <w:rsid w:val="000A6A97"/>
    <w:rsid w:val="000A6F12"/>
    <w:rsid w:val="000A7B59"/>
    <w:rsid w:val="000B0862"/>
    <w:rsid w:val="000B08C8"/>
    <w:rsid w:val="000B11C1"/>
    <w:rsid w:val="000B1C40"/>
    <w:rsid w:val="000B1E47"/>
    <w:rsid w:val="000B319E"/>
    <w:rsid w:val="000B5AFD"/>
    <w:rsid w:val="000B61EE"/>
    <w:rsid w:val="000B65CE"/>
    <w:rsid w:val="000B6699"/>
    <w:rsid w:val="000B7161"/>
    <w:rsid w:val="000B7AC9"/>
    <w:rsid w:val="000C009C"/>
    <w:rsid w:val="000C0DC8"/>
    <w:rsid w:val="000C182B"/>
    <w:rsid w:val="000C29FB"/>
    <w:rsid w:val="000C3101"/>
    <w:rsid w:val="000C312A"/>
    <w:rsid w:val="000C3423"/>
    <w:rsid w:val="000C3472"/>
    <w:rsid w:val="000C4821"/>
    <w:rsid w:val="000C4A8C"/>
    <w:rsid w:val="000C56BD"/>
    <w:rsid w:val="000C654A"/>
    <w:rsid w:val="000D21C3"/>
    <w:rsid w:val="000D3C42"/>
    <w:rsid w:val="000D3C62"/>
    <w:rsid w:val="000D42D5"/>
    <w:rsid w:val="000D446D"/>
    <w:rsid w:val="000D5833"/>
    <w:rsid w:val="000E0367"/>
    <w:rsid w:val="000E0E16"/>
    <w:rsid w:val="000E14AD"/>
    <w:rsid w:val="000E21CC"/>
    <w:rsid w:val="000E2F96"/>
    <w:rsid w:val="000E3802"/>
    <w:rsid w:val="000E6525"/>
    <w:rsid w:val="000E65B2"/>
    <w:rsid w:val="000E751E"/>
    <w:rsid w:val="000E7917"/>
    <w:rsid w:val="000F118B"/>
    <w:rsid w:val="000F5269"/>
    <w:rsid w:val="000F76FF"/>
    <w:rsid w:val="000F77C6"/>
    <w:rsid w:val="001002E4"/>
    <w:rsid w:val="001013F4"/>
    <w:rsid w:val="001015D1"/>
    <w:rsid w:val="00101E7E"/>
    <w:rsid w:val="001026F1"/>
    <w:rsid w:val="0010324E"/>
    <w:rsid w:val="001033B5"/>
    <w:rsid w:val="00103A9E"/>
    <w:rsid w:val="00107EF4"/>
    <w:rsid w:val="00111324"/>
    <w:rsid w:val="00111544"/>
    <w:rsid w:val="00112A1C"/>
    <w:rsid w:val="00113D7F"/>
    <w:rsid w:val="0011421B"/>
    <w:rsid w:val="001179B7"/>
    <w:rsid w:val="00117D9C"/>
    <w:rsid w:val="00120CBC"/>
    <w:rsid w:val="001226BE"/>
    <w:rsid w:val="00122E7C"/>
    <w:rsid w:val="00122FC9"/>
    <w:rsid w:val="00123EF1"/>
    <w:rsid w:val="00125AFC"/>
    <w:rsid w:val="00126CEE"/>
    <w:rsid w:val="00126DC3"/>
    <w:rsid w:val="00127187"/>
    <w:rsid w:val="0012784B"/>
    <w:rsid w:val="00130007"/>
    <w:rsid w:val="00130727"/>
    <w:rsid w:val="00134EA3"/>
    <w:rsid w:val="00135AE9"/>
    <w:rsid w:val="00137B03"/>
    <w:rsid w:val="00137FC3"/>
    <w:rsid w:val="00140698"/>
    <w:rsid w:val="00141457"/>
    <w:rsid w:val="001415DD"/>
    <w:rsid w:val="00141C0D"/>
    <w:rsid w:val="001420B0"/>
    <w:rsid w:val="00142F9D"/>
    <w:rsid w:val="001436B6"/>
    <w:rsid w:val="00146DB3"/>
    <w:rsid w:val="00146E85"/>
    <w:rsid w:val="0014703A"/>
    <w:rsid w:val="0015014C"/>
    <w:rsid w:val="00151B58"/>
    <w:rsid w:val="0015303F"/>
    <w:rsid w:val="001535F1"/>
    <w:rsid w:val="00155FE3"/>
    <w:rsid w:val="00157444"/>
    <w:rsid w:val="001604B6"/>
    <w:rsid w:val="00164A8D"/>
    <w:rsid w:val="00165AC0"/>
    <w:rsid w:val="00166874"/>
    <w:rsid w:val="00166AE4"/>
    <w:rsid w:val="00166F4F"/>
    <w:rsid w:val="00167C8B"/>
    <w:rsid w:val="00167EE0"/>
    <w:rsid w:val="00167F7E"/>
    <w:rsid w:val="00170238"/>
    <w:rsid w:val="001708CB"/>
    <w:rsid w:val="00170DF6"/>
    <w:rsid w:val="001714EF"/>
    <w:rsid w:val="0017185E"/>
    <w:rsid w:val="00171AEB"/>
    <w:rsid w:val="0017330C"/>
    <w:rsid w:val="00174043"/>
    <w:rsid w:val="00175841"/>
    <w:rsid w:val="00175918"/>
    <w:rsid w:val="001766C3"/>
    <w:rsid w:val="00176D38"/>
    <w:rsid w:val="00177CC7"/>
    <w:rsid w:val="00181400"/>
    <w:rsid w:val="001824CB"/>
    <w:rsid w:val="001827F1"/>
    <w:rsid w:val="00184855"/>
    <w:rsid w:val="00184D1C"/>
    <w:rsid w:val="001856FB"/>
    <w:rsid w:val="00185DC9"/>
    <w:rsid w:val="00185E93"/>
    <w:rsid w:val="00186018"/>
    <w:rsid w:val="001861C1"/>
    <w:rsid w:val="001864A9"/>
    <w:rsid w:val="00187218"/>
    <w:rsid w:val="00190483"/>
    <w:rsid w:val="00192241"/>
    <w:rsid w:val="00192A42"/>
    <w:rsid w:val="00192F0B"/>
    <w:rsid w:val="00193397"/>
    <w:rsid w:val="00195C46"/>
    <w:rsid w:val="00196DF5"/>
    <w:rsid w:val="00197937"/>
    <w:rsid w:val="00197C7A"/>
    <w:rsid w:val="001A129B"/>
    <w:rsid w:val="001A1C17"/>
    <w:rsid w:val="001A24EE"/>
    <w:rsid w:val="001A529E"/>
    <w:rsid w:val="001A57CA"/>
    <w:rsid w:val="001A7D9F"/>
    <w:rsid w:val="001B154C"/>
    <w:rsid w:val="001B1B76"/>
    <w:rsid w:val="001B1E72"/>
    <w:rsid w:val="001B2382"/>
    <w:rsid w:val="001B3327"/>
    <w:rsid w:val="001B34FF"/>
    <w:rsid w:val="001B3C7F"/>
    <w:rsid w:val="001B4053"/>
    <w:rsid w:val="001B58F2"/>
    <w:rsid w:val="001B678D"/>
    <w:rsid w:val="001B7232"/>
    <w:rsid w:val="001C23EB"/>
    <w:rsid w:val="001C28BE"/>
    <w:rsid w:val="001C32F9"/>
    <w:rsid w:val="001C447B"/>
    <w:rsid w:val="001C47A5"/>
    <w:rsid w:val="001C4FE3"/>
    <w:rsid w:val="001C5F00"/>
    <w:rsid w:val="001C6506"/>
    <w:rsid w:val="001C6D16"/>
    <w:rsid w:val="001C6E2E"/>
    <w:rsid w:val="001D1155"/>
    <w:rsid w:val="001D11DC"/>
    <w:rsid w:val="001D1AF5"/>
    <w:rsid w:val="001D38DA"/>
    <w:rsid w:val="001D39C3"/>
    <w:rsid w:val="001D5576"/>
    <w:rsid w:val="001D65CA"/>
    <w:rsid w:val="001D6BC8"/>
    <w:rsid w:val="001D6E04"/>
    <w:rsid w:val="001D7544"/>
    <w:rsid w:val="001D7889"/>
    <w:rsid w:val="001E2724"/>
    <w:rsid w:val="001E2819"/>
    <w:rsid w:val="001E31A4"/>
    <w:rsid w:val="001E3EA7"/>
    <w:rsid w:val="001E5304"/>
    <w:rsid w:val="001E620F"/>
    <w:rsid w:val="001E6A5E"/>
    <w:rsid w:val="001E6CE0"/>
    <w:rsid w:val="001E6D25"/>
    <w:rsid w:val="001E725C"/>
    <w:rsid w:val="001E7832"/>
    <w:rsid w:val="001F0210"/>
    <w:rsid w:val="001F0D7C"/>
    <w:rsid w:val="001F0DAD"/>
    <w:rsid w:val="001F2631"/>
    <w:rsid w:val="001F2BB2"/>
    <w:rsid w:val="001F2C4E"/>
    <w:rsid w:val="001F2DCE"/>
    <w:rsid w:val="001F3220"/>
    <w:rsid w:val="001F499D"/>
    <w:rsid w:val="001F55EB"/>
    <w:rsid w:val="001F7539"/>
    <w:rsid w:val="001F798F"/>
    <w:rsid w:val="002014CF"/>
    <w:rsid w:val="0020177E"/>
    <w:rsid w:val="0020235D"/>
    <w:rsid w:val="00202810"/>
    <w:rsid w:val="002030A3"/>
    <w:rsid w:val="00203710"/>
    <w:rsid w:val="00203871"/>
    <w:rsid w:val="00204F10"/>
    <w:rsid w:val="00205D40"/>
    <w:rsid w:val="0020623F"/>
    <w:rsid w:val="00206E47"/>
    <w:rsid w:val="00207254"/>
    <w:rsid w:val="00207E36"/>
    <w:rsid w:val="002108D1"/>
    <w:rsid w:val="0021094E"/>
    <w:rsid w:val="00211991"/>
    <w:rsid w:val="00213C42"/>
    <w:rsid w:val="0021543C"/>
    <w:rsid w:val="00215D7C"/>
    <w:rsid w:val="00215E7D"/>
    <w:rsid w:val="00217154"/>
    <w:rsid w:val="00217A84"/>
    <w:rsid w:val="00217C21"/>
    <w:rsid w:val="002228B6"/>
    <w:rsid w:val="00224BA5"/>
    <w:rsid w:val="00230266"/>
    <w:rsid w:val="00230931"/>
    <w:rsid w:val="00231135"/>
    <w:rsid w:val="002315C6"/>
    <w:rsid w:val="0023401D"/>
    <w:rsid w:val="00234835"/>
    <w:rsid w:val="00234F3A"/>
    <w:rsid w:val="002353A9"/>
    <w:rsid w:val="00235653"/>
    <w:rsid w:val="00236E04"/>
    <w:rsid w:val="00237BCC"/>
    <w:rsid w:val="002407B2"/>
    <w:rsid w:val="00241006"/>
    <w:rsid w:val="00241695"/>
    <w:rsid w:val="00241FD4"/>
    <w:rsid w:val="0024416C"/>
    <w:rsid w:val="002445FF"/>
    <w:rsid w:val="0024482C"/>
    <w:rsid w:val="00245400"/>
    <w:rsid w:val="00247067"/>
    <w:rsid w:val="00247954"/>
    <w:rsid w:val="00250027"/>
    <w:rsid w:val="002504DF"/>
    <w:rsid w:val="002534B3"/>
    <w:rsid w:val="002542AB"/>
    <w:rsid w:val="0025481F"/>
    <w:rsid w:val="00254CE4"/>
    <w:rsid w:val="00256B17"/>
    <w:rsid w:val="002570A9"/>
    <w:rsid w:val="00257794"/>
    <w:rsid w:val="00260B1B"/>
    <w:rsid w:val="002627FC"/>
    <w:rsid w:val="002639CC"/>
    <w:rsid w:val="00263AE9"/>
    <w:rsid w:val="0026486F"/>
    <w:rsid w:val="002654E6"/>
    <w:rsid w:val="0026608B"/>
    <w:rsid w:val="0026648B"/>
    <w:rsid w:val="002668BE"/>
    <w:rsid w:val="00270109"/>
    <w:rsid w:val="002704E9"/>
    <w:rsid w:val="00270634"/>
    <w:rsid w:val="002709D2"/>
    <w:rsid w:val="002724A8"/>
    <w:rsid w:val="00273234"/>
    <w:rsid w:val="002736C6"/>
    <w:rsid w:val="00274079"/>
    <w:rsid w:val="002745E9"/>
    <w:rsid w:val="0027472A"/>
    <w:rsid w:val="00275248"/>
    <w:rsid w:val="00276748"/>
    <w:rsid w:val="00276DF5"/>
    <w:rsid w:val="00280476"/>
    <w:rsid w:val="002825BF"/>
    <w:rsid w:val="00282F45"/>
    <w:rsid w:val="002833F5"/>
    <w:rsid w:val="0028384D"/>
    <w:rsid w:val="002842B2"/>
    <w:rsid w:val="002850FC"/>
    <w:rsid w:val="00285547"/>
    <w:rsid w:val="0028561C"/>
    <w:rsid w:val="00285AAD"/>
    <w:rsid w:val="0028639C"/>
    <w:rsid w:val="00286BF2"/>
    <w:rsid w:val="002908C9"/>
    <w:rsid w:val="002920FC"/>
    <w:rsid w:val="002925CE"/>
    <w:rsid w:val="00292BF1"/>
    <w:rsid w:val="00293067"/>
    <w:rsid w:val="00294A43"/>
    <w:rsid w:val="002960CE"/>
    <w:rsid w:val="00297CF4"/>
    <w:rsid w:val="002A624D"/>
    <w:rsid w:val="002A726C"/>
    <w:rsid w:val="002B10D1"/>
    <w:rsid w:val="002B1454"/>
    <w:rsid w:val="002B1624"/>
    <w:rsid w:val="002B1CD2"/>
    <w:rsid w:val="002B27CC"/>
    <w:rsid w:val="002B298D"/>
    <w:rsid w:val="002B2B80"/>
    <w:rsid w:val="002B38F5"/>
    <w:rsid w:val="002B4C2E"/>
    <w:rsid w:val="002B4C86"/>
    <w:rsid w:val="002B4F69"/>
    <w:rsid w:val="002B580E"/>
    <w:rsid w:val="002B6E59"/>
    <w:rsid w:val="002B7C8E"/>
    <w:rsid w:val="002C016F"/>
    <w:rsid w:val="002C0347"/>
    <w:rsid w:val="002C0887"/>
    <w:rsid w:val="002C169D"/>
    <w:rsid w:val="002C2360"/>
    <w:rsid w:val="002C29F8"/>
    <w:rsid w:val="002C3E90"/>
    <w:rsid w:val="002C4763"/>
    <w:rsid w:val="002C5ECC"/>
    <w:rsid w:val="002C667F"/>
    <w:rsid w:val="002D024F"/>
    <w:rsid w:val="002D0A6D"/>
    <w:rsid w:val="002D1B11"/>
    <w:rsid w:val="002D1FBE"/>
    <w:rsid w:val="002D2514"/>
    <w:rsid w:val="002D38DD"/>
    <w:rsid w:val="002D50DC"/>
    <w:rsid w:val="002D5CE4"/>
    <w:rsid w:val="002D6616"/>
    <w:rsid w:val="002D6FED"/>
    <w:rsid w:val="002E11FC"/>
    <w:rsid w:val="002E2001"/>
    <w:rsid w:val="002E30ED"/>
    <w:rsid w:val="002E5B95"/>
    <w:rsid w:val="002E6590"/>
    <w:rsid w:val="002F02A4"/>
    <w:rsid w:val="002F280A"/>
    <w:rsid w:val="002F30E1"/>
    <w:rsid w:val="002F3516"/>
    <w:rsid w:val="002F3B91"/>
    <w:rsid w:val="002F3F74"/>
    <w:rsid w:val="002F40CA"/>
    <w:rsid w:val="002F4681"/>
    <w:rsid w:val="002F4CDC"/>
    <w:rsid w:val="002F5A19"/>
    <w:rsid w:val="002F7DC7"/>
    <w:rsid w:val="0030011D"/>
    <w:rsid w:val="00301999"/>
    <w:rsid w:val="003026CA"/>
    <w:rsid w:val="00304820"/>
    <w:rsid w:val="00306F4B"/>
    <w:rsid w:val="00310381"/>
    <w:rsid w:val="003103E1"/>
    <w:rsid w:val="00310441"/>
    <w:rsid w:val="00310CB2"/>
    <w:rsid w:val="00313A61"/>
    <w:rsid w:val="003146EB"/>
    <w:rsid w:val="003163B8"/>
    <w:rsid w:val="00317710"/>
    <w:rsid w:val="003242D5"/>
    <w:rsid w:val="00324F7E"/>
    <w:rsid w:val="00324FCE"/>
    <w:rsid w:val="003250F7"/>
    <w:rsid w:val="003253B9"/>
    <w:rsid w:val="00325697"/>
    <w:rsid w:val="00325C37"/>
    <w:rsid w:val="00325FD3"/>
    <w:rsid w:val="003271D1"/>
    <w:rsid w:val="00327C6B"/>
    <w:rsid w:val="00330190"/>
    <w:rsid w:val="00330EAA"/>
    <w:rsid w:val="003318BA"/>
    <w:rsid w:val="00332803"/>
    <w:rsid w:val="003343D7"/>
    <w:rsid w:val="003348C8"/>
    <w:rsid w:val="003364E5"/>
    <w:rsid w:val="00336BAA"/>
    <w:rsid w:val="00340549"/>
    <w:rsid w:val="0034243E"/>
    <w:rsid w:val="003440D2"/>
    <w:rsid w:val="003445FC"/>
    <w:rsid w:val="003452D0"/>
    <w:rsid w:val="00346E30"/>
    <w:rsid w:val="00350B99"/>
    <w:rsid w:val="00351241"/>
    <w:rsid w:val="00351DE1"/>
    <w:rsid w:val="00352966"/>
    <w:rsid w:val="00352A51"/>
    <w:rsid w:val="0035350F"/>
    <w:rsid w:val="003544DD"/>
    <w:rsid w:val="00354ADA"/>
    <w:rsid w:val="00357088"/>
    <w:rsid w:val="00357D47"/>
    <w:rsid w:val="00360109"/>
    <w:rsid w:val="00360615"/>
    <w:rsid w:val="00362188"/>
    <w:rsid w:val="00366205"/>
    <w:rsid w:val="00367142"/>
    <w:rsid w:val="00367462"/>
    <w:rsid w:val="00367555"/>
    <w:rsid w:val="00367708"/>
    <w:rsid w:val="00367B96"/>
    <w:rsid w:val="003704EF"/>
    <w:rsid w:val="003705B6"/>
    <w:rsid w:val="003709F8"/>
    <w:rsid w:val="003718B5"/>
    <w:rsid w:val="00373B4F"/>
    <w:rsid w:val="003747C2"/>
    <w:rsid w:val="00375AA4"/>
    <w:rsid w:val="0037694D"/>
    <w:rsid w:val="0037696F"/>
    <w:rsid w:val="003769C7"/>
    <w:rsid w:val="003779A5"/>
    <w:rsid w:val="00380F77"/>
    <w:rsid w:val="00381350"/>
    <w:rsid w:val="0038213B"/>
    <w:rsid w:val="00382A9D"/>
    <w:rsid w:val="0038324F"/>
    <w:rsid w:val="00383761"/>
    <w:rsid w:val="00384AB2"/>
    <w:rsid w:val="00385B5F"/>
    <w:rsid w:val="00386E96"/>
    <w:rsid w:val="0038709E"/>
    <w:rsid w:val="003870B0"/>
    <w:rsid w:val="00392372"/>
    <w:rsid w:val="00392564"/>
    <w:rsid w:val="003929DD"/>
    <w:rsid w:val="00394327"/>
    <w:rsid w:val="00395EA2"/>
    <w:rsid w:val="00396422"/>
    <w:rsid w:val="00397E40"/>
    <w:rsid w:val="003A046D"/>
    <w:rsid w:val="003A10D3"/>
    <w:rsid w:val="003A1A33"/>
    <w:rsid w:val="003A1DD5"/>
    <w:rsid w:val="003A2DF6"/>
    <w:rsid w:val="003A3C92"/>
    <w:rsid w:val="003A4A6F"/>
    <w:rsid w:val="003A5939"/>
    <w:rsid w:val="003A797E"/>
    <w:rsid w:val="003A7B3C"/>
    <w:rsid w:val="003A7C34"/>
    <w:rsid w:val="003B1871"/>
    <w:rsid w:val="003B1B8B"/>
    <w:rsid w:val="003B21A7"/>
    <w:rsid w:val="003B326B"/>
    <w:rsid w:val="003B429A"/>
    <w:rsid w:val="003B4C6B"/>
    <w:rsid w:val="003B5733"/>
    <w:rsid w:val="003B5AAE"/>
    <w:rsid w:val="003B7938"/>
    <w:rsid w:val="003C08A5"/>
    <w:rsid w:val="003C1B0D"/>
    <w:rsid w:val="003C3D9B"/>
    <w:rsid w:val="003C46A2"/>
    <w:rsid w:val="003C71A5"/>
    <w:rsid w:val="003C72C5"/>
    <w:rsid w:val="003C7E3E"/>
    <w:rsid w:val="003D06E6"/>
    <w:rsid w:val="003D20AF"/>
    <w:rsid w:val="003D3282"/>
    <w:rsid w:val="003D41CD"/>
    <w:rsid w:val="003D429E"/>
    <w:rsid w:val="003D4649"/>
    <w:rsid w:val="003D54AD"/>
    <w:rsid w:val="003D708E"/>
    <w:rsid w:val="003E0158"/>
    <w:rsid w:val="003E0A22"/>
    <w:rsid w:val="003E2DFE"/>
    <w:rsid w:val="003E4E09"/>
    <w:rsid w:val="003E4E4D"/>
    <w:rsid w:val="003E6ABC"/>
    <w:rsid w:val="003E7530"/>
    <w:rsid w:val="003F0189"/>
    <w:rsid w:val="003F0D54"/>
    <w:rsid w:val="003F1BDC"/>
    <w:rsid w:val="003F1CBE"/>
    <w:rsid w:val="003F2926"/>
    <w:rsid w:val="003F4C35"/>
    <w:rsid w:val="003F57AE"/>
    <w:rsid w:val="003F6271"/>
    <w:rsid w:val="004007E3"/>
    <w:rsid w:val="00400D4D"/>
    <w:rsid w:val="00401CB6"/>
    <w:rsid w:val="00402056"/>
    <w:rsid w:val="00403836"/>
    <w:rsid w:val="00403848"/>
    <w:rsid w:val="004038BD"/>
    <w:rsid w:val="00404399"/>
    <w:rsid w:val="00404DFC"/>
    <w:rsid w:val="00405360"/>
    <w:rsid w:val="004059BA"/>
    <w:rsid w:val="00406928"/>
    <w:rsid w:val="00406BD8"/>
    <w:rsid w:val="00410435"/>
    <w:rsid w:val="00410DFC"/>
    <w:rsid w:val="00410FEA"/>
    <w:rsid w:val="00411104"/>
    <w:rsid w:val="00412140"/>
    <w:rsid w:val="0041517E"/>
    <w:rsid w:val="00416280"/>
    <w:rsid w:val="0041762D"/>
    <w:rsid w:val="00417CA1"/>
    <w:rsid w:val="00422095"/>
    <w:rsid w:val="004243F2"/>
    <w:rsid w:val="00424752"/>
    <w:rsid w:val="004247CF"/>
    <w:rsid w:val="004250D7"/>
    <w:rsid w:val="004256E9"/>
    <w:rsid w:val="00425FC5"/>
    <w:rsid w:val="0043106A"/>
    <w:rsid w:val="00431B97"/>
    <w:rsid w:val="00432309"/>
    <w:rsid w:val="00433033"/>
    <w:rsid w:val="004343B3"/>
    <w:rsid w:val="004348F0"/>
    <w:rsid w:val="00434E43"/>
    <w:rsid w:val="00435094"/>
    <w:rsid w:val="00435286"/>
    <w:rsid w:val="0044108D"/>
    <w:rsid w:val="00441864"/>
    <w:rsid w:val="004425FD"/>
    <w:rsid w:val="00442DFE"/>
    <w:rsid w:val="00442F25"/>
    <w:rsid w:val="004438FA"/>
    <w:rsid w:val="004465CA"/>
    <w:rsid w:val="00446AAF"/>
    <w:rsid w:val="00450840"/>
    <w:rsid w:val="00450E38"/>
    <w:rsid w:val="00452188"/>
    <w:rsid w:val="00452B94"/>
    <w:rsid w:val="0045450B"/>
    <w:rsid w:val="0045537F"/>
    <w:rsid w:val="00455C8F"/>
    <w:rsid w:val="00455EDD"/>
    <w:rsid w:val="00456E8B"/>
    <w:rsid w:val="004572BF"/>
    <w:rsid w:val="004574EC"/>
    <w:rsid w:val="0046097B"/>
    <w:rsid w:val="00461AF8"/>
    <w:rsid w:val="00462400"/>
    <w:rsid w:val="00463277"/>
    <w:rsid w:val="00463352"/>
    <w:rsid w:val="0046540E"/>
    <w:rsid w:val="00465A6D"/>
    <w:rsid w:val="00466C53"/>
    <w:rsid w:val="00466EB8"/>
    <w:rsid w:val="0047015C"/>
    <w:rsid w:val="00470160"/>
    <w:rsid w:val="00470A99"/>
    <w:rsid w:val="00470BF2"/>
    <w:rsid w:val="00472342"/>
    <w:rsid w:val="004726F1"/>
    <w:rsid w:val="00472B36"/>
    <w:rsid w:val="0047382B"/>
    <w:rsid w:val="00474A08"/>
    <w:rsid w:val="0047587A"/>
    <w:rsid w:val="00475CE4"/>
    <w:rsid w:val="00477D62"/>
    <w:rsid w:val="004806E1"/>
    <w:rsid w:val="00480BDE"/>
    <w:rsid w:val="00480C7A"/>
    <w:rsid w:val="0048227B"/>
    <w:rsid w:val="00482B86"/>
    <w:rsid w:val="00482E4D"/>
    <w:rsid w:val="00483BFF"/>
    <w:rsid w:val="0048436D"/>
    <w:rsid w:val="00484F50"/>
    <w:rsid w:val="004860A4"/>
    <w:rsid w:val="0048701E"/>
    <w:rsid w:val="00487907"/>
    <w:rsid w:val="00490157"/>
    <w:rsid w:val="0049074E"/>
    <w:rsid w:val="00491F60"/>
    <w:rsid w:val="004938B4"/>
    <w:rsid w:val="00494C5D"/>
    <w:rsid w:val="004954CF"/>
    <w:rsid w:val="00496610"/>
    <w:rsid w:val="00496AD4"/>
    <w:rsid w:val="004977E5"/>
    <w:rsid w:val="004A08B9"/>
    <w:rsid w:val="004A157D"/>
    <w:rsid w:val="004A1CC0"/>
    <w:rsid w:val="004A25D1"/>
    <w:rsid w:val="004A4ADC"/>
    <w:rsid w:val="004A53A1"/>
    <w:rsid w:val="004A5476"/>
    <w:rsid w:val="004A5FE8"/>
    <w:rsid w:val="004A789B"/>
    <w:rsid w:val="004A7D50"/>
    <w:rsid w:val="004B02C4"/>
    <w:rsid w:val="004B0752"/>
    <w:rsid w:val="004B0984"/>
    <w:rsid w:val="004B1012"/>
    <w:rsid w:val="004B24C5"/>
    <w:rsid w:val="004B40D9"/>
    <w:rsid w:val="004B4328"/>
    <w:rsid w:val="004B7602"/>
    <w:rsid w:val="004B7C65"/>
    <w:rsid w:val="004B7D70"/>
    <w:rsid w:val="004C0466"/>
    <w:rsid w:val="004C09AF"/>
    <w:rsid w:val="004C15EA"/>
    <w:rsid w:val="004C2559"/>
    <w:rsid w:val="004C315F"/>
    <w:rsid w:val="004C3B2E"/>
    <w:rsid w:val="004C4FF1"/>
    <w:rsid w:val="004C5873"/>
    <w:rsid w:val="004C5B61"/>
    <w:rsid w:val="004D03AF"/>
    <w:rsid w:val="004D0E6C"/>
    <w:rsid w:val="004D10AA"/>
    <w:rsid w:val="004D1175"/>
    <w:rsid w:val="004D2632"/>
    <w:rsid w:val="004D2C05"/>
    <w:rsid w:val="004D3CB2"/>
    <w:rsid w:val="004D4F44"/>
    <w:rsid w:val="004D59B5"/>
    <w:rsid w:val="004D6280"/>
    <w:rsid w:val="004D6C43"/>
    <w:rsid w:val="004D73D2"/>
    <w:rsid w:val="004E0593"/>
    <w:rsid w:val="004E0740"/>
    <w:rsid w:val="004E0B72"/>
    <w:rsid w:val="004E31E9"/>
    <w:rsid w:val="004E41EF"/>
    <w:rsid w:val="004E42F0"/>
    <w:rsid w:val="004E4460"/>
    <w:rsid w:val="004E4BE9"/>
    <w:rsid w:val="004E623E"/>
    <w:rsid w:val="004F050B"/>
    <w:rsid w:val="004F0878"/>
    <w:rsid w:val="004F0A86"/>
    <w:rsid w:val="004F0B10"/>
    <w:rsid w:val="004F261E"/>
    <w:rsid w:val="004F28E6"/>
    <w:rsid w:val="004F36C8"/>
    <w:rsid w:val="004F3702"/>
    <w:rsid w:val="004F461D"/>
    <w:rsid w:val="004F78E9"/>
    <w:rsid w:val="005035D5"/>
    <w:rsid w:val="00503844"/>
    <w:rsid w:val="00503A1D"/>
    <w:rsid w:val="00504912"/>
    <w:rsid w:val="0050523E"/>
    <w:rsid w:val="00505891"/>
    <w:rsid w:val="00506338"/>
    <w:rsid w:val="0050706C"/>
    <w:rsid w:val="005075FD"/>
    <w:rsid w:val="00510814"/>
    <w:rsid w:val="00510B83"/>
    <w:rsid w:val="0051141E"/>
    <w:rsid w:val="00511B4C"/>
    <w:rsid w:val="005136AD"/>
    <w:rsid w:val="005137DE"/>
    <w:rsid w:val="00514109"/>
    <w:rsid w:val="00520519"/>
    <w:rsid w:val="0052254D"/>
    <w:rsid w:val="00524586"/>
    <w:rsid w:val="00524862"/>
    <w:rsid w:val="005250EF"/>
    <w:rsid w:val="00526FF4"/>
    <w:rsid w:val="00527070"/>
    <w:rsid w:val="00530A80"/>
    <w:rsid w:val="005311C7"/>
    <w:rsid w:val="0053299F"/>
    <w:rsid w:val="00535AE8"/>
    <w:rsid w:val="00535CEA"/>
    <w:rsid w:val="005360DD"/>
    <w:rsid w:val="00536994"/>
    <w:rsid w:val="00544EFD"/>
    <w:rsid w:val="00545F54"/>
    <w:rsid w:val="005461F2"/>
    <w:rsid w:val="005478F4"/>
    <w:rsid w:val="00547AE6"/>
    <w:rsid w:val="00551164"/>
    <w:rsid w:val="00551B85"/>
    <w:rsid w:val="00551DAA"/>
    <w:rsid w:val="0055267F"/>
    <w:rsid w:val="00553010"/>
    <w:rsid w:val="0055347D"/>
    <w:rsid w:val="0055372B"/>
    <w:rsid w:val="00554C90"/>
    <w:rsid w:val="005555E0"/>
    <w:rsid w:val="00555705"/>
    <w:rsid w:val="0055668A"/>
    <w:rsid w:val="005570A4"/>
    <w:rsid w:val="00557A76"/>
    <w:rsid w:val="0056000D"/>
    <w:rsid w:val="005628A2"/>
    <w:rsid w:val="005632D1"/>
    <w:rsid w:val="00563609"/>
    <w:rsid w:val="005644B1"/>
    <w:rsid w:val="00564CA8"/>
    <w:rsid w:val="00565102"/>
    <w:rsid w:val="005661C8"/>
    <w:rsid w:val="00567009"/>
    <w:rsid w:val="00567935"/>
    <w:rsid w:val="005700DB"/>
    <w:rsid w:val="00570AA9"/>
    <w:rsid w:val="00570C99"/>
    <w:rsid w:val="00570DBC"/>
    <w:rsid w:val="00571AAD"/>
    <w:rsid w:val="00571EAB"/>
    <w:rsid w:val="00572B99"/>
    <w:rsid w:val="00572B9E"/>
    <w:rsid w:val="00572CA7"/>
    <w:rsid w:val="00573668"/>
    <w:rsid w:val="00574287"/>
    <w:rsid w:val="005744C0"/>
    <w:rsid w:val="00576739"/>
    <w:rsid w:val="00577C57"/>
    <w:rsid w:val="0058171E"/>
    <w:rsid w:val="00582B60"/>
    <w:rsid w:val="00583586"/>
    <w:rsid w:val="0058390B"/>
    <w:rsid w:val="00584277"/>
    <w:rsid w:val="005861D4"/>
    <w:rsid w:val="005869A1"/>
    <w:rsid w:val="00591FCE"/>
    <w:rsid w:val="00595141"/>
    <w:rsid w:val="00596311"/>
    <w:rsid w:val="005970F9"/>
    <w:rsid w:val="005971B8"/>
    <w:rsid w:val="005974CD"/>
    <w:rsid w:val="005A0E0F"/>
    <w:rsid w:val="005A16C9"/>
    <w:rsid w:val="005A3A30"/>
    <w:rsid w:val="005A4DDE"/>
    <w:rsid w:val="005A6ACA"/>
    <w:rsid w:val="005A6E4D"/>
    <w:rsid w:val="005A7516"/>
    <w:rsid w:val="005A78FA"/>
    <w:rsid w:val="005B25AF"/>
    <w:rsid w:val="005B3583"/>
    <w:rsid w:val="005B6E0E"/>
    <w:rsid w:val="005B7998"/>
    <w:rsid w:val="005B7FDD"/>
    <w:rsid w:val="005C16A0"/>
    <w:rsid w:val="005C1925"/>
    <w:rsid w:val="005C2238"/>
    <w:rsid w:val="005C2EC6"/>
    <w:rsid w:val="005C6197"/>
    <w:rsid w:val="005C6ECC"/>
    <w:rsid w:val="005C74B7"/>
    <w:rsid w:val="005C7AB1"/>
    <w:rsid w:val="005D0331"/>
    <w:rsid w:val="005D160B"/>
    <w:rsid w:val="005D2E8C"/>
    <w:rsid w:val="005D3DF0"/>
    <w:rsid w:val="005D5AF6"/>
    <w:rsid w:val="005D5D5D"/>
    <w:rsid w:val="005D627A"/>
    <w:rsid w:val="005D672F"/>
    <w:rsid w:val="005D6C70"/>
    <w:rsid w:val="005E08F2"/>
    <w:rsid w:val="005E146A"/>
    <w:rsid w:val="005E15B6"/>
    <w:rsid w:val="005E20C1"/>
    <w:rsid w:val="005E2358"/>
    <w:rsid w:val="005E3034"/>
    <w:rsid w:val="005E3796"/>
    <w:rsid w:val="005E3E42"/>
    <w:rsid w:val="005E41E6"/>
    <w:rsid w:val="005E446F"/>
    <w:rsid w:val="005E48F6"/>
    <w:rsid w:val="005E58A5"/>
    <w:rsid w:val="005E70C2"/>
    <w:rsid w:val="005F018B"/>
    <w:rsid w:val="005F07CE"/>
    <w:rsid w:val="005F0AD3"/>
    <w:rsid w:val="005F1410"/>
    <w:rsid w:val="005F1607"/>
    <w:rsid w:val="005F16AA"/>
    <w:rsid w:val="00603F80"/>
    <w:rsid w:val="006050E2"/>
    <w:rsid w:val="00606089"/>
    <w:rsid w:val="00606D96"/>
    <w:rsid w:val="00606ED7"/>
    <w:rsid w:val="00606FC1"/>
    <w:rsid w:val="00607B15"/>
    <w:rsid w:val="00610A70"/>
    <w:rsid w:val="006121A8"/>
    <w:rsid w:val="00613D97"/>
    <w:rsid w:val="0061475D"/>
    <w:rsid w:val="00614EF9"/>
    <w:rsid w:val="00620DC8"/>
    <w:rsid w:val="00621F91"/>
    <w:rsid w:val="006245CA"/>
    <w:rsid w:val="00624A33"/>
    <w:rsid w:val="00625C2F"/>
    <w:rsid w:val="00626389"/>
    <w:rsid w:val="00626A34"/>
    <w:rsid w:val="00627214"/>
    <w:rsid w:val="0062739D"/>
    <w:rsid w:val="00627B5A"/>
    <w:rsid w:val="00630129"/>
    <w:rsid w:val="006314E0"/>
    <w:rsid w:val="00632311"/>
    <w:rsid w:val="00632677"/>
    <w:rsid w:val="00632EB8"/>
    <w:rsid w:val="00633A49"/>
    <w:rsid w:val="00633B33"/>
    <w:rsid w:val="006344C3"/>
    <w:rsid w:val="006357F1"/>
    <w:rsid w:val="00635F94"/>
    <w:rsid w:val="006363CA"/>
    <w:rsid w:val="00640F80"/>
    <w:rsid w:val="006415CB"/>
    <w:rsid w:val="00641D31"/>
    <w:rsid w:val="00642F68"/>
    <w:rsid w:val="006444F0"/>
    <w:rsid w:val="006447B3"/>
    <w:rsid w:val="0064516F"/>
    <w:rsid w:val="00645A16"/>
    <w:rsid w:val="00645B3C"/>
    <w:rsid w:val="00646809"/>
    <w:rsid w:val="00647681"/>
    <w:rsid w:val="006476D4"/>
    <w:rsid w:val="00650BD4"/>
    <w:rsid w:val="00651265"/>
    <w:rsid w:val="00652397"/>
    <w:rsid w:val="006525BB"/>
    <w:rsid w:val="00652A42"/>
    <w:rsid w:val="00653553"/>
    <w:rsid w:val="00654033"/>
    <w:rsid w:val="00660DAC"/>
    <w:rsid w:val="00661100"/>
    <w:rsid w:val="00661921"/>
    <w:rsid w:val="00662F50"/>
    <w:rsid w:val="00663FE2"/>
    <w:rsid w:val="00664768"/>
    <w:rsid w:val="006676A4"/>
    <w:rsid w:val="0067238C"/>
    <w:rsid w:val="00674BFB"/>
    <w:rsid w:val="00674C02"/>
    <w:rsid w:val="0067597F"/>
    <w:rsid w:val="00676882"/>
    <w:rsid w:val="00676D42"/>
    <w:rsid w:val="00680F21"/>
    <w:rsid w:val="0068249B"/>
    <w:rsid w:val="00683F37"/>
    <w:rsid w:val="006841F4"/>
    <w:rsid w:val="00684846"/>
    <w:rsid w:val="006848AB"/>
    <w:rsid w:val="006849AF"/>
    <w:rsid w:val="00684EB4"/>
    <w:rsid w:val="00684FAE"/>
    <w:rsid w:val="00685194"/>
    <w:rsid w:val="00686693"/>
    <w:rsid w:val="006866F5"/>
    <w:rsid w:val="00687829"/>
    <w:rsid w:val="00687B54"/>
    <w:rsid w:val="00690E62"/>
    <w:rsid w:val="00691D03"/>
    <w:rsid w:val="00692BD3"/>
    <w:rsid w:val="00693A3D"/>
    <w:rsid w:val="00694ED0"/>
    <w:rsid w:val="00694F2D"/>
    <w:rsid w:val="00695761"/>
    <w:rsid w:val="006959C5"/>
    <w:rsid w:val="00695B02"/>
    <w:rsid w:val="00696937"/>
    <w:rsid w:val="006A011A"/>
    <w:rsid w:val="006A0244"/>
    <w:rsid w:val="006A112C"/>
    <w:rsid w:val="006A21BB"/>
    <w:rsid w:val="006A2923"/>
    <w:rsid w:val="006A36F2"/>
    <w:rsid w:val="006A3CC0"/>
    <w:rsid w:val="006A58A3"/>
    <w:rsid w:val="006A6254"/>
    <w:rsid w:val="006A699F"/>
    <w:rsid w:val="006A6E64"/>
    <w:rsid w:val="006A70C0"/>
    <w:rsid w:val="006A773D"/>
    <w:rsid w:val="006B00F4"/>
    <w:rsid w:val="006B02C1"/>
    <w:rsid w:val="006B0F21"/>
    <w:rsid w:val="006B1826"/>
    <w:rsid w:val="006B1B51"/>
    <w:rsid w:val="006B38CA"/>
    <w:rsid w:val="006B4937"/>
    <w:rsid w:val="006B51D0"/>
    <w:rsid w:val="006B5456"/>
    <w:rsid w:val="006C0A91"/>
    <w:rsid w:val="006C1783"/>
    <w:rsid w:val="006C1E4B"/>
    <w:rsid w:val="006C1EE6"/>
    <w:rsid w:val="006C1FAE"/>
    <w:rsid w:val="006C21B8"/>
    <w:rsid w:val="006C2A0E"/>
    <w:rsid w:val="006C2FAD"/>
    <w:rsid w:val="006C5E97"/>
    <w:rsid w:val="006C69AC"/>
    <w:rsid w:val="006C72C4"/>
    <w:rsid w:val="006D0491"/>
    <w:rsid w:val="006D22E1"/>
    <w:rsid w:val="006D328B"/>
    <w:rsid w:val="006D70E7"/>
    <w:rsid w:val="006D7FC4"/>
    <w:rsid w:val="006E176A"/>
    <w:rsid w:val="006E2235"/>
    <w:rsid w:val="006E35E8"/>
    <w:rsid w:val="006E3F82"/>
    <w:rsid w:val="006E3FB3"/>
    <w:rsid w:val="006E5264"/>
    <w:rsid w:val="006E7D84"/>
    <w:rsid w:val="006E7E8D"/>
    <w:rsid w:val="006F057B"/>
    <w:rsid w:val="006F0B66"/>
    <w:rsid w:val="006F4E8E"/>
    <w:rsid w:val="006F5C81"/>
    <w:rsid w:val="006F6198"/>
    <w:rsid w:val="006F62BF"/>
    <w:rsid w:val="006F6F1A"/>
    <w:rsid w:val="007006DB"/>
    <w:rsid w:val="00701D69"/>
    <w:rsid w:val="00701EA9"/>
    <w:rsid w:val="007020BB"/>
    <w:rsid w:val="007047F0"/>
    <w:rsid w:val="00705CE0"/>
    <w:rsid w:val="00705EE8"/>
    <w:rsid w:val="00706579"/>
    <w:rsid w:val="00706D9E"/>
    <w:rsid w:val="0070717F"/>
    <w:rsid w:val="00710118"/>
    <w:rsid w:val="00710980"/>
    <w:rsid w:val="00711947"/>
    <w:rsid w:val="00711B07"/>
    <w:rsid w:val="00711C43"/>
    <w:rsid w:val="00711C90"/>
    <w:rsid w:val="00711E1A"/>
    <w:rsid w:val="00712A46"/>
    <w:rsid w:val="00713A51"/>
    <w:rsid w:val="007141F6"/>
    <w:rsid w:val="00715364"/>
    <w:rsid w:val="00721551"/>
    <w:rsid w:val="007215FA"/>
    <w:rsid w:val="00721C39"/>
    <w:rsid w:val="00722C67"/>
    <w:rsid w:val="007232A8"/>
    <w:rsid w:val="00723595"/>
    <w:rsid w:val="00723DA6"/>
    <w:rsid w:val="0072404D"/>
    <w:rsid w:val="00724332"/>
    <w:rsid w:val="007261FA"/>
    <w:rsid w:val="00726D14"/>
    <w:rsid w:val="007272F4"/>
    <w:rsid w:val="00727CE0"/>
    <w:rsid w:val="00727D37"/>
    <w:rsid w:val="00730A5F"/>
    <w:rsid w:val="00731184"/>
    <w:rsid w:val="00733F9A"/>
    <w:rsid w:val="00734EFF"/>
    <w:rsid w:val="0073770A"/>
    <w:rsid w:val="0074002B"/>
    <w:rsid w:val="007421E3"/>
    <w:rsid w:val="00742423"/>
    <w:rsid w:val="00743DD2"/>
    <w:rsid w:val="0074492F"/>
    <w:rsid w:val="00744AAF"/>
    <w:rsid w:val="00744D36"/>
    <w:rsid w:val="0074577D"/>
    <w:rsid w:val="007461ED"/>
    <w:rsid w:val="00746FC9"/>
    <w:rsid w:val="00747120"/>
    <w:rsid w:val="0074769A"/>
    <w:rsid w:val="00747F87"/>
    <w:rsid w:val="00750082"/>
    <w:rsid w:val="0075024A"/>
    <w:rsid w:val="00751ACA"/>
    <w:rsid w:val="00751EF4"/>
    <w:rsid w:val="0075490D"/>
    <w:rsid w:val="00755347"/>
    <w:rsid w:val="00755627"/>
    <w:rsid w:val="007560B3"/>
    <w:rsid w:val="00757056"/>
    <w:rsid w:val="00760EDA"/>
    <w:rsid w:val="00761517"/>
    <w:rsid w:val="007641CF"/>
    <w:rsid w:val="007655DE"/>
    <w:rsid w:val="00767B1A"/>
    <w:rsid w:val="00770178"/>
    <w:rsid w:val="00770598"/>
    <w:rsid w:val="00771DD4"/>
    <w:rsid w:val="00771FB0"/>
    <w:rsid w:val="0077232F"/>
    <w:rsid w:val="007733ED"/>
    <w:rsid w:val="0077432E"/>
    <w:rsid w:val="007743AE"/>
    <w:rsid w:val="0077480A"/>
    <w:rsid w:val="00775B7B"/>
    <w:rsid w:val="00777852"/>
    <w:rsid w:val="00777C3A"/>
    <w:rsid w:val="00781CEB"/>
    <w:rsid w:val="007823D9"/>
    <w:rsid w:val="007840E0"/>
    <w:rsid w:val="00784725"/>
    <w:rsid w:val="007849E4"/>
    <w:rsid w:val="007854F5"/>
    <w:rsid w:val="00786363"/>
    <w:rsid w:val="00787608"/>
    <w:rsid w:val="0079053E"/>
    <w:rsid w:val="007927DB"/>
    <w:rsid w:val="00792BBE"/>
    <w:rsid w:val="007930CE"/>
    <w:rsid w:val="00793E5A"/>
    <w:rsid w:val="00795B27"/>
    <w:rsid w:val="00795C7A"/>
    <w:rsid w:val="00795E1A"/>
    <w:rsid w:val="007961D1"/>
    <w:rsid w:val="00796594"/>
    <w:rsid w:val="00797AF1"/>
    <w:rsid w:val="00797CF4"/>
    <w:rsid w:val="007A0E9E"/>
    <w:rsid w:val="007A11FB"/>
    <w:rsid w:val="007A1428"/>
    <w:rsid w:val="007A1A20"/>
    <w:rsid w:val="007A1B38"/>
    <w:rsid w:val="007A5745"/>
    <w:rsid w:val="007A6CEF"/>
    <w:rsid w:val="007A6D86"/>
    <w:rsid w:val="007A6EC6"/>
    <w:rsid w:val="007B0FF0"/>
    <w:rsid w:val="007B3269"/>
    <w:rsid w:val="007B421B"/>
    <w:rsid w:val="007B4628"/>
    <w:rsid w:val="007B567A"/>
    <w:rsid w:val="007B5B09"/>
    <w:rsid w:val="007B6743"/>
    <w:rsid w:val="007B692F"/>
    <w:rsid w:val="007B793C"/>
    <w:rsid w:val="007B7E8B"/>
    <w:rsid w:val="007C0BC8"/>
    <w:rsid w:val="007C1C41"/>
    <w:rsid w:val="007C28D8"/>
    <w:rsid w:val="007C30DF"/>
    <w:rsid w:val="007C32FB"/>
    <w:rsid w:val="007C3AA1"/>
    <w:rsid w:val="007C45B0"/>
    <w:rsid w:val="007C649B"/>
    <w:rsid w:val="007C655E"/>
    <w:rsid w:val="007C78B8"/>
    <w:rsid w:val="007D04AC"/>
    <w:rsid w:val="007D1C0E"/>
    <w:rsid w:val="007D1C4E"/>
    <w:rsid w:val="007D314F"/>
    <w:rsid w:val="007D35EF"/>
    <w:rsid w:val="007E0B9A"/>
    <w:rsid w:val="007E3350"/>
    <w:rsid w:val="007E3953"/>
    <w:rsid w:val="007E422F"/>
    <w:rsid w:val="007E5EA3"/>
    <w:rsid w:val="007E714D"/>
    <w:rsid w:val="007E78CA"/>
    <w:rsid w:val="007F1F64"/>
    <w:rsid w:val="007F32C3"/>
    <w:rsid w:val="007F3813"/>
    <w:rsid w:val="007F3FBD"/>
    <w:rsid w:val="007F6A65"/>
    <w:rsid w:val="007F783D"/>
    <w:rsid w:val="007F7C45"/>
    <w:rsid w:val="00802358"/>
    <w:rsid w:val="008032CF"/>
    <w:rsid w:val="00804FBB"/>
    <w:rsid w:val="00805857"/>
    <w:rsid w:val="00805A20"/>
    <w:rsid w:val="00806C5F"/>
    <w:rsid w:val="008073A9"/>
    <w:rsid w:val="00807B4A"/>
    <w:rsid w:val="00807BE9"/>
    <w:rsid w:val="00807D20"/>
    <w:rsid w:val="008109E4"/>
    <w:rsid w:val="0081232E"/>
    <w:rsid w:val="008124E8"/>
    <w:rsid w:val="00816143"/>
    <w:rsid w:val="00816C60"/>
    <w:rsid w:val="00816E76"/>
    <w:rsid w:val="00821800"/>
    <w:rsid w:val="00822702"/>
    <w:rsid w:val="00824D72"/>
    <w:rsid w:val="0082503B"/>
    <w:rsid w:val="00825263"/>
    <w:rsid w:val="0082744D"/>
    <w:rsid w:val="00827BD0"/>
    <w:rsid w:val="00827EB8"/>
    <w:rsid w:val="00830810"/>
    <w:rsid w:val="00830E46"/>
    <w:rsid w:val="00831915"/>
    <w:rsid w:val="0083192E"/>
    <w:rsid w:val="00831B0C"/>
    <w:rsid w:val="00831C6A"/>
    <w:rsid w:val="0083203A"/>
    <w:rsid w:val="008325FA"/>
    <w:rsid w:val="00832B42"/>
    <w:rsid w:val="008341BC"/>
    <w:rsid w:val="0083432B"/>
    <w:rsid w:val="00834B39"/>
    <w:rsid w:val="0083524E"/>
    <w:rsid w:val="0083596F"/>
    <w:rsid w:val="00835DA2"/>
    <w:rsid w:val="008371DC"/>
    <w:rsid w:val="0084022E"/>
    <w:rsid w:val="0084080C"/>
    <w:rsid w:val="00841521"/>
    <w:rsid w:val="00842371"/>
    <w:rsid w:val="00842F74"/>
    <w:rsid w:val="00844394"/>
    <w:rsid w:val="00844A80"/>
    <w:rsid w:val="00844D69"/>
    <w:rsid w:val="00845250"/>
    <w:rsid w:val="00846702"/>
    <w:rsid w:val="00847199"/>
    <w:rsid w:val="008471B8"/>
    <w:rsid w:val="0084748B"/>
    <w:rsid w:val="00850FEE"/>
    <w:rsid w:val="0085286B"/>
    <w:rsid w:val="008532E1"/>
    <w:rsid w:val="00853955"/>
    <w:rsid w:val="00853C79"/>
    <w:rsid w:val="008543B3"/>
    <w:rsid w:val="0085477F"/>
    <w:rsid w:val="00854DEF"/>
    <w:rsid w:val="00854E22"/>
    <w:rsid w:val="008556C0"/>
    <w:rsid w:val="00856F39"/>
    <w:rsid w:val="00857D9D"/>
    <w:rsid w:val="00861774"/>
    <w:rsid w:val="0086250F"/>
    <w:rsid w:val="0086272C"/>
    <w:rsid w:val="00865063"/>
    <w:rsid w:val="00865724"/>
    <w:rsid w:val="0086664C"/>
    <w:rsid w:val="00870239"/>
    <w:rsid w:val="0087094B"/>
    <w:rsid w:val="00870C81"/>
    <w:rsid w:val="00871054"/>
    <w:rsid w:val="00872729"/>
    <w:rsid w:val="008729A7"/>
    <w:rsid w:val="00873298"/>
    <w:rsid w:val="008737B1"/>
    <w:rsid w:val="00873DF2"/>
    <w:rsid w:val="008742FF"/>
    <w:rsid w:val="00874545"/>
    <w:rsid w:val="00875B69"/>
    <w:rsid w:val="00875C24"/>
    <w:rsid w:val="00876814"/>
    <w:rsid w:val="00876B12"/>
    <w:rsid w:val="008816B4"/>
    <w:rsid w:val="00881706"/>
    <w:rsid w:val="0088304B"/>
    <w:rsid w:val="00883080"/>
    <w:rsid w:val="0088409F"/>
    <w:rsid w:val="0088486A"/>
    <w:rsid w:val="00884C80"/>
    <w:rsid w:val="00884E4A"/>
    <w:rsid w:val="00886058"/>
    <w:rsid w:val="008870E6"/>
    <w:rsid w:val="00887535"/>
    <w:rsid w:val="008901BA"/>
    <w:rsid w:val="00891766"/>
    <w:rsid w:val="008920E1"/>
    <w:rsid w:val="008922C6"/>
    <w:rsid w:val="0089258A"/>
    <w:rsid w:val="0089267F"/>
    <w:rsid w:val="00893F62"/>
    <w:rsid w:val="00894387"/>
    <w:rsid w:val="008951E1"/>
    <w:rsid w:val="00895447"/>
    <w:rsid w:val="0089579C"/>
    <w:rsid w:val="00895CCF"/>
    <w:rsid w:val="008A0A27"/>
    <w:rsid w:val="008A0B4C"/>
    <w:rsid w:val="008A16CC"/>
    <w:rsid w:val="008A1ADE"/>
    <w:rsid w:val="008A2638"/>
    <w:rsid w:val="008A3D59"/>
    <w:rsid w:val="008A4296"/>
    <w:rsid w:val="008A46E9"/>
    <w:rsid w:val="008A4F4E"/>
    <w:rsid w:val="008A5295"/>
    <w:rsid w:val="008A6281"/>
    <w:rsid w:val="008A630A"/>
    <w:rsid w:val="008A64DF"/>
    <w:rsid w:val="008A6A78"/>
    <w:rsid w:val="008A6B10"/>
    <w:rsid w:val="008A6C5C"/>
    <w:rsid w:val="008A70D3"/>
    <w:rsid w:val="008A737F"/>
    <w:rsid w:val="008B0EF8"/>
    <w:rsid w:val="008B1250"/>
    <w:rsid w:val="008B25B5"/>
    <w:rsid w:val="008B3F6B"/>
    <w:rsid w:val="008B4032"/>
    <w:rsid w:val="008B4392"/>
    <w:rsid w:val="008B4DE7"/>
    <w:rsid w:val="008B53FB"/>
    <w:rsid w:val="008B5EE0"/>
    <w:rsid w:val="008B60E2"/>
    <w:rsid w:val="008B6F9F"/>
    <w:rsid w:val="008B7110"/>
    <w:rsid w:val="008C0871"/>
    <w:rsid w:val="008C0F2E"/>
    <w:rsid w:val="008C1721"/>
    <w:rsid w:val="008C1B15"/>
    <w:rsid w:val="008C1DBA"/>
    <w:rsid w:val="008C1DCF"/>
    <w:rsid w:val="008C2A98"/>
    <w:rsid w:val="008C2B82"/>
    <w:rsid w:val="008C2D4F"/>
    <w:rsid w:val="008C4271"/>
    <w:rsid w:val="008C52D3"/>
    <w:rsid w:val="008C575A"/>
    <w:rsid w:val="008C5A39"/>
    <w:rsid w:val="008C5F44"/>
    <w:rsid w:val="008C6722"/>
    <w:rsid w:val="008C7B0F"/>
    <w:rsid w:val="008D0B4E"/>
    <w:rsid w:val="008D3914"/>
    <w:rsid w:val="008D4477"/>
    <w:rsid w:val="008D4B93"/>
    <w:rsid w:val="008D4EBC"/>
    <w:rsid w:val="008D4EC1"/>
    <w:rsid w:val="008D4EEE"/>
    <w:rsid w:val="008D562C"/>
    <w:rsid w:val="008D66F4"/>
    <w:rsid w:val="008E2612"/>
    <w:rsid w:val="008E3858"/>
    <w:rsid w:val="008E64F8"/>
    <w:rsid w:val="008E710D"/>
    <w:rsid w:val="008E731C"/>
    <w:rsid w:val="008E7B9C"/>
    <w:rsid w:val="008E7FB6"/>
    <w:rsid w:val="008F2394"/>
    <w:rsid w:val="008F2C41"/>
    <w:rsid w:val="008F46CE"/>
    <w:rsid w:val="008F4F1A"/>
    <w:rsid w:val="008F535F"/>
    <w:rsid w:val="008F5BF8"/>
    <w:rsid w:val="008F6E81"/>
    <w:rsid w:val="00900ACE"/>
    <w:rsid w:val="00901DED"/>
    <w:rsid w:val="009024BC"/>
    <w:rsid w:val="00902C2F"/>
    <w:rsid w:val="00902C98"/>
    <w:rsid w:val="009041EC"/>
    <w:rsid w:val="00904784"/>
    <w:rsid w:val="00904C82"/>
    <w:rsid w:val="00904E74"/>
    <w:rsid w:val="00904FF6"/>
    <w:rsid w:val="009059BB"/>
    <w:rsid w:val="0090634D"/>
    <w:rsid w:val="0090724C"/>
    <w:rsid w:val="0091050E"/>
    <w:rsid w:val="009111B1"/>
    <w:rsid w:val="00911D6C"/>
    <w:rsid w:val="009129A6"/>
    <w:rsid w:val="00913136"/>
    <w:rsid w:val="00914F3F"/>
    <w:rsid w:val="00915F2F"/>
    <w:rsid w:val="009167E1"/>
    <w:rsid w:val="009170F7"/>
    <w:rsid w:val="0091771C"/>
    <w:rsid w:val="009201BE"/>
    <w:rsid w:val="009235C1"/>
    <w:rsid w:val="00923A80"/>
    <w:rsid w:val="00924B3A"/>
    <w:rsid w:val="00924BB2"/>
    <w:rsid w:val="00924CA6"/>
    <w:rsid w:val="009254FD"/>
    <w:rsid w:val="00925CED"/>
    <w:rsid w:val="009273B8"/>
    <w:rsid w:val="00930D3B"/>
    <w:rsid w:val="00931257"/>
    <w:rsid w:val="009312BB"/>
    <w:rsid w:val="009315A4"/>
    <w:rsid w:val="00931F8A"/>
    <w:rsid w:val="009328F3"/>
    <w:rsid w:val="00933433"/>
    <w:rsid w:val="0093392E"/>
    <w:rsid w:val="009339DA"/>
    <w:rsid w:val="00934425"/>
    <w:rsid w:val="00935358"/>
    <w:rsid w:val="009365BE"/>
    <w:rsid w:val="00936DC8"/>
    <w:rsid w:val="00936FB8"/>
    <w:rsid w:val="00937568"/>
    <w:rsid w:val="00940850"/>
    <w:rsid w:val="009419A4"/>
    <w:rsid w:val="00942DAF"/>
    <w:rsid w:val="00944B40"/>
    <w:rsid w:val="009471D4"/>
    <w:rsid w:val="00947BDB"/>
    <w:rsid w:val="009526F9"/>
    <w:rsid w:val="00954AF7"/>
    <w:rsid w:val="00955216"/>
    <w:rsid w:val="00956CF1"/>
    <w:rsid w:val="00956CFA"/>
    <w:rsid w:val="0096023D"/>
    <w:rsid w:val="00960746"/>
    <w:rsid w:val="00960EA9"/>
    <w:rsid w:val="00961CB3"/>
    <w:rsid w:val="009623F2"/>
    <w:rsid w:val="00962770"/>
    <w:rsid w:val="00962D16"/>
    <w:rsid w:val="0096318C"/>
    <w:rsid w:val="0096342B"/>
    <w:rsid w:val="009646F7"/>
    <w:rsid w:val="00965224"/>
    <w:rsid w:val="00967C0A"/>
    <w:rsid w:val="00970D36"/>
    <w:rsid w:val="00971CD3"/>
    <w:rsid w:val="00972D54"/>
    <w:rsid w:val="009747DF"/>
    <w:rsid w:val="0097500C"/>
    <w:rsid w:val="00975419"/>
    <w:rsid w:val="009760EC"/>
    <w:rsid w:val="00976D38"/>
    <w:rsid w:val="0097760A"/>
    <w:rsid w:val="00977D67"/>
    <w:rsid w:val="009814D6"/>
    <w:rsid w:val="0098152D"/>
    <w:rsid w:val="00981F00"/>
    <w:rsid w:val="00982793"/>
    <w:rsid w:val="00982C1A"/>
    <w:rsid w:val="00983443"/>
    <w:rsid w:val="0098403B"/>
    <w:rsid w:val="00985C82"/>
    <w:rsid w:val="00985DA3"/>
    <w:rsid w:val="0098659A"/>
    <w:rsid w:val="00986DF4"/>
    <w:rsid w:val="00992B0A"/>
    <w:rsid w:val="009938FE"/>
    <w:rsid w:val="00994402"/>
    <w:rsid w:val="00994A0F"/>
    <w:rsid w:val="00996B6E"/>
    <w:rsid w:val="00997CFA"/>
    <w:rsid w:val="009A0649"/>
    <w:rsid w:val="009A0B64"/>
    <w:rsid w:val="009A0CB3"/>
    <w:rsid w:val="009A1F4C"/>
    <w:rsid w:val="009A28C3"/>
    <w:rsid w:val="009A2E69"/>
    <w:rsid w:val="009A378F"/>
    <w:rsid w:val="009A3B2E"/>
    <w:rsid w:val="009A5C1D"/>
    <w:rsid w:val="009A646C"/>
    <w:rsid w:val="009A7A6E"/>
    <w:rsid w:val="009B0527"/>
    <w:rsid w:val="009B05E3"/>
    <w:rsid w:val="009B09DB"/>
    <w:rsid w:val="009B3D70"/>
    <w:rsid w:val="009B3E02"/>
    <w:rsid w:val="009B4ED6"/>
    <w:rsid w:val="009B5164"/>
    <w:rsid w:val="009B5673"/>
    <w:rsid w:val="009B706C"/>
    <w:rsid w:val="009C0172"/>
    <w:rsid w:val="009C0534"/>
    <w:rsid w:val="009C097B"/>
    <w:rsid w:val="009C3BE3"/>
    <w:rsid w:val="009C475F"/>
    <w:rsid w:val="009C5876"/>
    <w:rsid w:val="009C65E6"/>
    <w:rsid w:val="009C7186"/>
    <w:rsid w:val="009C79FC"/>
    <w:rsid w:val="009D1354"/>
    <w:rsid w:val="009D18AB"/>
    <w:rsid w:val="009D213A"/>
    <w:rsid w:val="009D37C7"/>
    <w:rsid w:val="009D3C33"/>
    <w:rsid w:val="009D42CA"/>
    <w:rsid w:val="009D55F1"/>
    <w:rsid w:val="009D5A9F"/>
    <w:rsid w:val="009D6DF4"/>
    <w:rsid w:val="009D7202"/>
    <w:rsid w:val="009E01C9"/>
    <w:rsid w:val="009E0C12"/>
    <w:rsid w:val="009E135F"/>
    <w:rsid w:val="009E19C8"/>
    <w:rsid w:val="009E1A11"/>
    <w:rsid w:val="009E1AC2"/>
    <w:rsid w:val="009E3B43"/>
    <w:rsid w:val="009E4832"/>
    <w:rsid w:val="009E4F2B"/>
    <w:rsid w:val="009E6B73"/>
    <w:rsid w:val="009F08C8"/>
    <w:rsid w:val="009F16D4"/>
    <w:rsid w:val="009F2D50"/>
    <w:rsid w:val="009F36D7"/>
    <w:rsid w:val="009F3E4A"/>
    <w:rsid w:val="009F574D"/>
    <w:rsid w:val="009F5B9F"/>
    <w:rsid w:val="009F7A49"/>
    <w:rsid w:val="00A0089B"/>
    <w:rsid w:val="00A01E30"/>
    <w:rsid w:val="00A02B3B"/>
    <w:rsid w:val="00A0363B"/>
    <w:rsid w:val="00A05298"/>
    <w:rsid w:val="00A05B67"/>
    <w:rsid w:val="00A06154"/>
    <w:rsid w:val="00A07C5F"/>
    <w:rsid w:val="00A101BB"/>
    <w:rsid w:val="00A104EF"/>
    <w:rsid w:val="00A114C6"/>
    <w:rsid w:val="00A124E8"/>
    <w:rsid w:val="00A137E4"/>
    <w:rsid w:val="00A13A24"/>
    <w:rsid w:val="00A13B58"/>
    <w:rsid w:val="00A145DF"/>
    <w:rsid w:val="00A14944"/>
    <w:rsid w:val="00A154F3"/>
    <w:rsid w:val="00A2121D"/>
    <w:rsid w:val="00A22386"/>
    <w:rsid w:val="00A22822"/>
    <w:rsid w:val="00A2289D"/>
    <w:rsid w:val="00A23BBC"/>
    <w:rsid w:val="00A2469A"/>
    <w:rsid w:val="00A26023"/>
    <w:rsid w:val="00A2666A"/>
    <w:rsid w:val="00A31955"/>
    <w:rsid w:val="00A3213F"/>
    <w:rsid w:val="00A3219E"/>
    <w:rsid w:val="00A322DD"/>
    <w:rsid w:val="00A327F2"/>
    <w:rsid w:val="00A33A53"/>
    <w:rsid w:val="00A33BD9"/>
    <w:rsid w:val="00A34A9D"/>
    <w:rsid w:val="00A3584A"/>
    <w:rsid w:val="00A360AB"/>
    <w:rsid w:val="00A36255"/>
    <w:rsid w:val="00A36C2F"/>
    <w:rsid w:val="00A41280"/>
    <w:rsid w:val="00A41E44"/>
    <w:rsid w:val="00A433C5"/>
    <w:rsid w:val="00A44D17"/>
    <w:rsid w:val="00A44E81"/>
    <w:rsid w:val="00A45668"/>
    <w:rsid w:val="00A464B3"/>
    <w:rsid w:val="00A4654A"/>
    <w:rsid w:val="00A523D9"/>
    <w:rsid w:val="00A530C1"/>
    <w:rsid w:val="00A53E19"/>
    <w:rsid w:val="00A54549"/>
    <w:rsid w:val="00A54F36"/>
    <w:rsid w:val="00A572D9"/>
    <w:rsid w:val="00A578F3"/>
    <w:rsid w:val="00A60E2A"/>
    <w:rsid w:val="00A61A20"/>
    <w:rsid w:val="00A623ED"/>
    <w:rsid w:val="00A62696"/>
    <w:rsid w:val="00A63354"/>
    <w:rsid w:val="00A63E2F"/>
    <w:rsid w:val="00A6668E"/>
    <w:rsid w:val="00A674BE"/>
    <w:rsid w:val="00A70291"/>
    <w:rsid w:val="00A703B9"/>
    <w:rsid w:val="00A70C5D"/>
    <w:rsid w:val="00A71E02"/>
    <w:rsid w:val="00A7277F"/>
    <w:rsid w:val="00A73ED4"/>
    <w:rsid w:val="00A749B8"/>
    <w:rsid w:val="00A74D02"/>
    <w:rsid w:val="00A75861"/>
    <w:rsid w:val="00A75DBD"/>
    <w:rsid w:val="00A76BB5"/>
    <w:rsid w:val="00A76D74"/>
    <w:rsid w:val="00A80886"/>
    <w:rsid w:val="00A81767"/>
    <w:rsid w:val="00A81C28"/>
    <w:rsid w:val="00A824C3"/>
    <w:rsid w:val="00A84ADF"/>
    <w:rsid w:val="00A861AF"/>
    <w:rsid w:val="00A8670D"/>
    <w:rsid w:val="00A87097"/>
    <w:rsid w:val="00A879EE"/>
    <w:rsid w:val="00A9099C"/>
    <w:rsid w:val="00A90B70"/>
    <w:rsid w:val="00A911F9"/>
    <w:rsid w:val="00A92563"/>
    <w:rsid w:val="00A925C6"/>
    <w:rsid w:val="00A931EF"/>
    <w:rsid w:val="00A9383A"/>
    <w:rsid w:val="00A96D1E"/>
    <w:rsid w:val="00A974C7"/>
    <w:rsid w:val="00A97DCD"/>
    <w:rsid w:val="00AA07F6"/>
    <w:rsid w:val="00AA3ADB"/>
    <w:rsid w:val="00AA3C29"/>
    <w:rsid w:val="00AA44D6"/>
    <w:rsid w:val="00AA58CF"/>
    <w:rsid w:val="00AA59E7"/>
    <w:rsid w:val="00AA755C"/>
    <w:rsid w:val="00AA787D"/>
    <w:rsid w:val="00AB0550"/>
    <w:rsid w:val="00AB2036"/>
    <w:rsid w:val="00AB394F"/>
    <w:rsid w:val="00AB5D7F"/>
    <w:rsid w:val="00AC17DE"/>
    <w:rsid w:val="00AC1E05"/>
    <w:rsid w:val="00AC26E4"/>
    <w:rsid w:val="00AC4AC4"/>
    <w:rsid w:val="00AC55A3"/>
    <w:rsid w:val="00AC6681"/>
    <w:rsid w:val="00AC69AA"/>
    <w:rsid w:val="00AC7A97"/>
    <w:rsid w:val="00AD01A3"/>
    <w:rsid w:val="00AD0340"/>
    <w:rsid w:val="00AD0EE6"/>
    <w:rsid w:val="00AD1B4A"/>
    <w:rsid w:val="00AD1CCC"/>
    <w:rsid w:val="00AD2A32"/>
    <w:rsid w:val="00AD3762"/>
    <w:rsid w:val="00AD470A"/>
    <w:rsid w:val="00AD49F4"/>
    <w:rsid w:val="00AD5112"/>
    <w:rsid w:val="00AD5890"/>
    <w:rsid w:val="00AD63D8"/>
    <w:rsid w:val="00AD74BA"/>
    <w:rsid w:val="00AD767C"/>
    <w:rsid w:val="00AE0ACE"/>
    <w:rsid w:val="00AE213F"/>
    <w:rsid w:val="00AE30C1"/>
    <w:rsid w:val="00AE35FE"/>
    <w:rsid w:val="00AE54E0"/>
    <w:rsid w:val="00AE62CC"/>
    <w:rsid w:val="00AE6422"/>
    <w:rsid w:val="00AE71B1"/>
    <w:rsid w:val="00AE740F"/>
    <w:rsid w:val="00AE7740"/>
    <w:rsid w:val="00AE7C57"/>
    <w:rsid w:val="00AE7CC5"/>
    <w:rsid w:val="00AF1326"/>
    <w:rsid w:val="00AF175C"/>
    <w:rsid w:val="00AF1A70"/>
    <w:rsid w:val="00AF3F73"/>
    <w:rsid w:val="00AF50B2"/>
    <w:rsid w:val="00AF5327"/>
    <w:rsid w:val="00AF6069"/>
    <w:rsid w:val="00AF690C"/>
    <w:rsid w:val="00AF7100"/>
    <w:rsid w:val="00B005E2"/>
    <w:rsid w:val="00B00B8D"/>
    <w:rsid w:val="00B01F26"/>
    <w:rsid w:val="00B0235B"/>
    <w:rsid w:val="00B02E1C"/>
    <w:rsid w:val="00B035DB"/>
    <w:rsid w:val="00B03AF8"/>
    <w:rsid w:val="00B04A30"/>
    <w:rsid w:val="00B0587D"/>
    <w:rsid w:val="00B06E1E"/>
    <w:rsid w:val="00B07965"/>
    <w:rsid w:val="00B07F76"/>
    <w:rsid w:val="00B11C5E"/>
    <w:rsid w:val="00B14943"/>
    <w:rsid w:val="00B158EB"/>
    <w:rsid w:val="00B15BDA"/>
    <w:rsid w:val="00B20341"/>
    <w:rsid w:val="00B2247C"/>
    <w:rsid w:val="00B229CC"/>
    <w:rsid w:val="00B22A98"/>
    <w:rsid w:val="00B23C38"/>
    <w:rsid w:val="00B23E6D"/>
    <w:rsid w:val="00B24A6C"/>
    <w:rsid w:val="00B2669E"/>
    <w:rsid w:val="00B27285"/>
    <w:rsid w:val="00B274CA"/>
    <w:rsid w:val="00B27C47"/>
    <w:rsid w:val="00B32CE2"/>
    <w:rsid w:val="00B3665D"/>
    <w:rsid w:val="00B37C35"/>
    <w:rsid w:val="00B407BE"/>
    <w:rsid w:val="00B40BC2"/>
    <w:rsid w:val="00B42303"/>
    <w:rsid w:val="00B428DB"/>
    <w:rsid w:val="00B42A7C"/>
    <w:rsid w:val="00B42F10"/>
    <w:rsid w:val="00B45EB8"/>
    <w:rsid w:val="00B471DA"/>
    <w:rsid w:val="00B509BC"/>
    <w:rsid w:val="00B51B9E"/>
    <w:rsid w:val="00B51CCB"/>
    <w:rsid w:val="00B5348A"/>
    <w:rsid w:val="00B53964"/>
    <w:rsid w:val="00B54F43"/>
    <w:rsid w:val="00B5502A"/>
    <w:rsid w:val="00B56F49"/>
    <w:rsid w:val="00B57332"/>
    <w:rsid w:val="00B57854"/>
    <w:rsid w:val="00B603A6"/>
    <w:rsid w:val="00B616D8"/>
    <w:rsid w:val="00B62F89"/>
    <w:rsid w:val="00B6335A"/>
    <w:rsid w:val="00B6427D"/>
    <w:rsid w:val="00B66542"/>
    <w:rsid w:val="00B669F4"/>
    <w:rsid w:val="00B66FBC"/>
    <w:rsid w:val="00B70AEF"/>
    <w:rsid w:val="00B71251"/>
    <w:rsid w:val="00B73DF4"/>
    <w:rsid w:val="00B7413E"/>
    <w:rsid w:val="00B754B2"/>
    <w:rsid w:val="00B75AF5"/>
    <w:rsid w:val="00B764CF"/>
    <w:rsid w:val="00B76A14"/>
    <w:rsid w:val="00B76F6B"/>
    <w:rsid w:val="00B77B4E"/>
    <w:rsid w:val="00B77F80"/>
    <w:rsid w:val="00B77FBE"/>
    <w:rsid w:val="00B81331"/>
    <w:rsid w:val="00B8266C"/>
    <w:rsid w:val="00B829EC"/>
    <w:rsid w:val="00B83B15"/>
    <w:rsid w:val="00B8628B"/>
    <w:rsid w:val="00B87E35"/>
    <w:rsid w:val="00B902D7"/>
    <w:rsid w:val="00B905DD"/>
    <w:rsid w:val="00B95C3B"/>
    <w:rsid w:val="00B97163"/>
    <w:rsid w:val="00B97DA3"/>
    <w:rsid w:val="00BA2614"/>
    <w:rsid w:val="00BA3C6B"/>
    <w:rsid w:val="00BA43D6"/>
    <w:rsid w:val="00BA459F"/>
    <w:rsid w:val="00BA58B0"/>
    <w:rsid w:val="00BA66E6"/>
    <w:rsid w:val="00BA7B87"/>
    <w:rsid w:val="00BB0138"/>
    <w:rsid w:val="00BB02E7"/>
    <w:rsid w:val="00BB1B02"/>
    <w:rsid w:val="00BB1DD4"/>
    <w:rsid w:val="00BB2A0E"/>
    <w:rsid w:val="00BB33DD"/>
    <w:rsid w:val="00BB4286"/>
    <w:rsid w:val="00BB4673"/>
    <w:rsid w:val="00BB48E2"/>
    <w:rsid w:val="00BB6489"/>
    <w:rsid w:val="00BB6866"/>
    <w:rsid w:val="00BB74EB"/>
    <w:rsid w:val="00BB7806"/>
    <w:rsid w:val="00BC006D"/>
    <w:rsid w:val="00BC0260"/>
    <w:rsid w:val="00BC086C"/>
    <w:rsid w:val="00BC1BE6"/>
    <w:rsid w:val="00BC1DBF"/>
    <w:rsid w:val="00BC447F"/>
    <w:rsid w:val="00BC4BA9"/>
    <w:rsid w:val="00BC51A5"/>
    <w:rsid w:val="00BC7251"/>
    <w:rsid w:val="00BD03B8"/>
    <w:rsid w:val="00BD0601"/>
    <w:rsid w:val="00BD1CF6"/>
    <w:rsid w:val="00BD262D"/>
    <w:rsid w:val="00BD2BDD"/>
    <w:rsid w:val="00BD2F83"/>
    <w:rsid w:val="00BD5ECE"/>
    <w:rsid w:val="00BD7021"/>
    <w:rsid w:val="00BE0261"/>
    <w:rsid w:val="00BE0EB6"/>
    <w:rsid w:val="00BE1162"/>
    <w:rsid w:val="00BE13A6"/>
    <w:rsid w:val="00BE14C5"/>
    <w:rsid w:val="00BE1E66"/>
    <w:rsid w:val="00BE2C2A"/>
    <w:rsid w:val="00BE3841"/>
    <w:rsid w:val="00BE4533"/>
    <w:rsid w:val="00BE503C"/>
    <w:rsid w:val="00BE601B"/>
    <w:rsid w:val="00BF0860"/>
    <w:rsid w:val="00BF15FF"/>
    <w:rsid w:val="00BF1834"/>
    <w:rsid w:val="00BF6367"/>
    <w:rsid w:val="00BF721C"/>
    <w:rsid w:val="00C00578"/>
    <w:rsid w:val="00C039AD"/>
    <w:rsid w:val="00C04E7A"/>
    <w:rsid w:val="00C053C1"/>
    <w:rsid w:val="00C05938"/>
    <w:rsid w:val="00C0598A"/>
    <w:rsid w:val="00C05B91"/>
    <w:rsid w:val="00C05E0D"/>
    <w:rsid w:val="00C1076E"/>
    <w:rsid w:val="00C10913"/>
    <w:rsid w:val="00C11A48"/>
    <w:rsid w:val="00C133AF"/>
    <w:rsid w:val="00C14097"/>
    <w:rsid w:val="00C14FC5"/>
    <w:rsid w:val="00C17782"/>
    <w:rsid w:val="00C20F30"/>
    <w:rsid w:val="00C20F96"/>
    <w:rsid w:val="00C220C3"/>
    <w:rsid w:val="00C2257E"/>
    <w:rsid w:val="00C23202"/>
    <w:rsid w:val="00C24185"/>
    <w:rsid w:val="00C25FEF"/>
    <w:rsid w:val="00C267F9"/>
    <w:rsid w:val="00C26982"/>
    <w:rsid w:val="00C3184A"/>
    <w:rsid w:val="00C31E74"/>
    <w:rsid w:val="00C35054"/>
    <w:rsid w:val="00C3527B"/>
    <w:rsid w:val="00C36814"/>
    <w:rsid w:val="00C36D61"/>
    <w:rsid w:val="00C405B3"/>
    <w:rsid w:val="00C40AAE"/>
    <w:rsid w:val="00C4108A"/>
    <w:rsid w:val="00C4253C"/>
    <w:rsid w:val="00C42722"/>
    <w:rsid w:val="00C42C32"/>
    <w:rsid w:val="00C42E7D"/>
    <w:rsid w:val="00C43889"/>
    <w:rsid w:val="00C43AE6"/>
    <w:rsid w:val="00C44032"/>
    <w:rsid w:val="00C443B8"/>
    <w:rsid w:val="00C44537"/>
    <w:rsid w:val="00C4456B"/>
    <w:rsid w:val="00C46A78"/>
    <w:rsid w:val="00C47F52"/>
    <w:rsid w:val="00C5190B"/>
    <w:rsid w:val="00C519E5"/>
    <w:rsid w:val="00C520E1"/>
    <w:rsid w:val="00C52D4A"/>
    <w:rsid w:val="00C530ED"/>
    <w:rsid w:val="00C53D87"/>
    <w:rsid w:val="00C5540D"/>
    <w:rsid w:val="00C55CEC"/>
    <w:rsid w:val="00C55DAF"/>
    <w:rsid w:val="00C563C1"/>
    <w:rsid w:val="00C5685A"/>
    <w:rsid w:val="00C62691"/>
    <w:rsid w:val="00C6320F"/>
    <w:rsid w:val="00C642A4"/>
    <w:rsid w:val="00C7091D"/>
    <w:rsid w:val="00C71627"/>
    <w:rsid w:val="00C72147"/>
    <w:rsid w:val="00C72388"/>
    <w:rsid w:val="00C73FB9"/>
    <w:rsid w:val="00C74DD5"/>
    <w:rsid w:val="00C74EBE"/>
    <w:rsid w:val="00C75673"/>
    <w:rsid w:val="00C75E30"/>
    <w:rsid w:val="00C765D1"/>
    <w:rsid w:val="00C7673F"/>
    <w:rsid w:val="00C77BCF"/>
    <w:rsid w:val="00C801AA"/>
    <w:rsid w:val="00C80C01"/>
    <w:rsid w:val="00C838A9"/>
    <w:rsid w:val="00C86F84"/>
    <w:rsid w:val="00C8749E"/>
    <w:rsid w:val="00C903B5"/>
    <w:rsid w:val="00C90C26"/>
    <w:rsid w:val="00C90DE6"/>
    <w:rsid w:val="00C912AD"/>
    <w:rsid w:val="00C9223B"/>
    <w:rsid w:val="00C92BDC"/>
    <w:rsid w:val="00C9513A"/>
    <w:rsid w:val="00C955A4"/>
    <w:rsid w:val="00C959A0"/>
    <w:rsid w:val="00C96512"/>
    <w:rsid w:val="00C96642"/>
    <w:rsid w:val="00C96719"/>
    <w:rsid w:val="00C97690"/>
    <w:rsid w:val="00C97F60"/>
    <w:rsid w:val="00CA05B1"/>
    <w:rsid w:val="00CA1A2B"/>
    <w:rsid w:val="00CA2775"/>
    <w:rsid w:val="00CA288D"/>
    <w:rsid w:val="00CA3667"/>
    <w:rsid w:val="00CA4490"/>
    <w:rsid w:val="00CA4A00"/>
    <w:rsid w:val="00CA65EC"/>
    <w:rsid w:val="00CA7B4B"/>
    <w:rsid w:val="00CB000B"/>
    <w:rsid w:val="00CB06E4"/>
    <w:rsid w:val="00CB151C"/>
    <w:rsid w:val="00CB1817"/>
    <w:rsid w:val="00CB1BAB"/>
    <w:rsid w:val="00CB2055"/>
    <w:rsid w:val="00CB329C"/>
    <w:rsid w:val="00CB32B1"/>
    <w:rsid w:val="00CB3489"/>
    <w:rsid w:val="00CB3939"/>
    <w:rsid w:val="00CB3ABF"/>
    <w:rsid w:val="00CB3F65"/>
    <w:rsid w:val="00CB4088"/>
    <w:rsid w:val="00CB62A4"/>
    <w:rsid w:val="00CB73C3"/>
    <w:rsid w:val="00CB7603"/>
    <w:rsid w:val="00CC0BF6"/>
    <w:rsid w:val="00CC15CB"/>
    <w:rsid w:val="00CC1D52"/>
    <w:rsid w:val="00CC2653"/>
    <w:rsid w:val="00CC28E8"/>
    <w:rsid w:val="00CC3934"/>
    <w:rsid w:val="00CC7C19"/>
    <w:rsid w:val="00CD0CA9"/>
    <w:rsid w:val="00CD14FB"/>
    <w:rsid w:val="00CD1548"/>
    <w:rsid w:val="00CD17C4"/>
    <w:rsid w:val="00CD3243"/>
    <w:rsid w:val="00CD564E"/>
    <w:rsid w:val="00CD56CF"/>
    <w:rsid w:val="00CD6271"/>
    <w:rsid w:val="00CD76BA"/>
    <w:rsid w:val="00CD7B07"/>
    <w:rsid w:val="00CE02DA"/>
    <w:rsid w:val="00CE05D6"/>
    <w:rsid w:val="00CE3E53"/>
    <w:rsid w:val="00CE45AE"/>
    <w:rsid w:val="00CE4910"/>
    <w:rsid w:val="00CE5275"/>
    <w:rsid w:val="00CE7C32"/>
    <w:rsid w:val="00CF1A35"/>
    <w:rsid w:val="00CF229B"/>
    <w:rsid w:val="00CF28FE"/>
    <w:rsid w:val="00CF2C63"/>
    <w:rsid w:val="00CF306E"/>
    <w:rsid w:val="00CF3273"/>
    <w:rsid w:val="00CF3AED"/>
    <w:rsid w:val="00CF47FA"/>
    <w:rsid w:val="00CF5565"/>
    <w:rsid w:val="00D004ED"/>
    <w:rsid w:val="00D00E5D"/>
    <w:rsid w:val="00D00FAE"/>
    <w:rsid w:val="00D02678"/>
    <w:rsid w:val="00D02A17"/>
    <w:rsid w:val="00D030AD"/>
    <w:rsid w:val="00D03F29"/>
    <w:rsid w:val="00D065E0"/>
    <w:rsid w:val="00D06EF9"/>
    <w:rsid w:val="00D11EFB"/>
    <w:rsid w:val="00D12175"/>
    <w:rsid w:val="00D12AA0"/>
    <w:rsid w:val="00D12B45"/>
    <w:rsid w:val="00D1444E"/>
    <w:rsid w:val="00D15816"/>
    <w:rsid w:val="00D16456"/>
    <w:rsid w:val="00D17D7E"/>
    <w:rsid w:val="00D20678"/>
    <w:rsid w:val="00D22D75"/>
    <w:rsid w:val="00D235CC"/>
    <w:rsid w:val="00D2468A"/>
    <w:rsid w:val="00D24950"/>
    <w:rsid w:val="00D2756F"/>
    <w:rsid w:val="00D27B44"/>
    <w:rsid w:val="00D30958"/>
    <w:rsid w:val="00D32D19"/>
    <w:rsid w:val="00D334A9"/>
    <w:rsid w:val="00D345E9"/>
    <w:rsid w:val="00D34690"/>
    <w:rsid w:val="00D35847"/>
    <w:rsid w:val="00D35863"/>
    <w:rsid w:val="00D36800"/>
    <w:rsid w:val="00D36CBB"/>
    <w:rsid w:val="00D3737C"/>
    <w:rsid w:val="00D40A6B"/>
    <w:rsid w:val="00D42603"/>
    <w:rsid w:val="00D42991"/>
    <w:rsid w:val="00D42B1C"/>
    <w:rsid w:val="00D43991"/>
    <w:rsid w:val="00D44BC2"/>
    <w:rsid w:val="00D46609"/>
    <w:rsid w:val="00D470AD"/>
    <w:rsid w:val="00D47936"/>
    <w:rsid w:val="00D479C7"/>
    <w:rsid w:val="00D509A2"/>
    <w:rsid w:val="00D522D7"/>
    <w:rsid w:val="00D53B19"/>
    <w:rsid w:val="00D55052"/>
    <w:rsid w:val="00D55932"/>
    <w:rsid w:val="00D57683"/>
    <w:rsid w:val="00D57B42"/>
    <w:rsid w:val="00D6084C"/>
    <w:rsid w:val="00D61054"/>
    <w:rsid w:val="00D61B32"/>
    <w:rsid w:val="00D61BF2"/>
    <w:rsid w:val="00D63366"/>
    <w:rsid w:val="00D64DE8"/>
    <w:rsid w:val="00D6534D"/>
    <w:rsid w:val="00D67083"/>
    <w:rsid w:val="00D703B8"/>
    <w:rsid w:val="00D70C2E"/>
    <w:rsid w:val="00D71044"/>
    <w:rsid w:val="00D719A5"/>
    <w:rsid w:val="00D74936"/>
    <w:rsid w:val="00D75056"/>
    <w:rsid w:val="00D75BA2"/>
    <w:rsid w:val="00D76345"/>
    <w:rsid w:val="00D77EE9"/>
    <w:rsid w:val="00D8042E"/>
    <w:rsid w:val="00D80BCF"/>
    <w:rsid w:val="00D85F9C"/>
    <w:rsid w:val="00D86B2C"/>
    <w:rsid w:val="00D87CA8"/>
    <w:rsid w:val="00D90FCE"/>
    <w:rsid w:val="00D92F94"/>
    <w:rsid w:val="00D938A7"/>
    <w:rsid w:val="00D94002"/>
    <w:rsid w:val="00D977F0"/>
    <w:rsid w:val="00D97F5B"/>
    <w:rsid w:val="00DA207E"/>
    <w:rsid w:val="00DA2F0A"/>
    <w:rsid w:val="00DA4090"/>
    <w:rsid w:val="00DA4368"/>
    <w:rsid w:val="00DA5507"/>
    <w:rsid w:val="00DB1C59"/>
    <w:rsid w:val="00DB2079"/>
    <w:rsid w:val="00DB3DF7"/>
    <w:rsid w:val="00DB5060"/>
    <w:rsid w:val="00DB5C54"/>
    <w:rsid w:val="00DB5DE6"/>
    <w:rsid w:val="00DB5FC5"/>
    <w:rsid w:val="00DB6EB5"/>
    <w:rsid w:val="00DC048A"/>
    <w:rsid w:val="00DC209C"/>
    <w:rsid w:val="00DC271F"/>
    <w:rsid w:val="00DC2819"/>
    <w:rsid w:val="00DC3DE1"/>
    <w:rsid w:val="00DC45BA"/>
    <w:rsid w:val="00DC4649"/>
    <w:rsid w:val="00DC5E24"/>
    <w:rsid w:val="00DD1831"/>
    <w:rsid w:val="00DD310D"/>
    <w:rsid w:val="00DD3585"/>
    <w:rsid w:val="00DD67BC"/>
    <w:rsid w:val="00DD76F0"/>
    <w:rsid w:val="00DD79B9"/>
    <w:rsid w:val="00DE139A"/>
    <w:rsid w:val="00DE2844"/>
    <w:rsid w:val="00DE2A83"/>
    <w:rsid w:val="00DE6DB9"/>
    <w:rsid w:val="00DE7003"/>
    <w:rsid w:val="00DE7083"/>
    <w:rsid w:val="00DE763A"/>
    <w:rsid w:val="00DF0232"/>
    <w:rsid w:val="00DF34EB"/>
    <w:rsid w:val="00DF5BC2"/>
    <w:rsid w:val="00DF63A6"/>
    <w:rsid w:val="00DF6E21"/>
    <w:rsid w:val="00DF76AB"/>
    <w:rsid w:val="00DF7C28"/>
    <w:rsid w:val="00DF7ED4"/>
    <w:rsid w:val="00E007C3"/>
    <w:rsid w:val="00E00979"/>
    <w:rsid w:val="00E00C70"/>
    <w:rsid w:val="00E0114C"/>
    <w:rsid w:val="00E022B7"/>
    <w:rsid w:val="00E0353D"/>
    <w:rsid w:val="00E04C16"/>
    <w:rsid w:val="00E054F1"/>
    <w:rsid w:val="00E056A6"/>
    <w:rsid w:val="00E061E9"/>
    <w:rsid w:val="00E06A5E"/>
    <w:rsid w:val="00E119D9"/>
    <w:rsid w:val="00E13745"/>
    <w:rsid w:val="00E1529F"/>
    <w:rsid w:val="00E17BC7"/>
    <w:rsid w:val="00E205FB"/>
    <w:rsid w:val="00E20BF9"/>
    <w:rsid w:val="00E20DA0"/>
    <w:rsid w:val="00E222C7"/>
    <w:rsid w:val="00E24974"/>
    <w:rsid w:val="00E249ED"/>
    <w:rsid w:val="00E25231"/>
    <w:rsid w:val="00E25646"/>
    <w:rsid w:val="00E25AE4"/>
    <w:rsid w:val="00E25DD0"/>
    <w:rsid w:val="00E25F2D"/>
    <w:rsid w:val="00E26A52"/>
    <w:rsid w:val="00E2776C"/>
    <w:rsid w:val="00E2778D"/>
    <w:rsid w:val="00E27E5B"/>
    <w:rsid w:val="00E30385"/>
    <w:rsid w:val="00E307AA"/>
    <w:rsid w:val="00E3242F"/>
    <w:rsid w:val="00E335D3"/>
    <w:rsid w:val="00E346DC"/>
    <w:rsid w:val="00E34B9D"/>
    <w:rsid w:val="00E36D60"/>
    <w:rsid w:val="00E425DA"/>
    <w:rsid w:val="00E44052"/>
    <w:rsid w:val="00E451F1"/>
    <w:rsid w:val="00E471BA"/>
    <w:rsid w:val="00E51960"/>
    <w:rsid w:val="00E522F5"/>
    <w:rsid w:val="00E525A6"/>
    <w:rsid w:val="00E53C19"/>
    <w:rsid w:val="00E55044"/>
    <w:rsid w:val="00E550EC"/>
    <w:rsid w:val="00E55EB2"/>
    <w:rsid w:val="00E57BA3"/>
    <w:rsid w:val="00E60028"/>
    <w:rsid w:val="00E60769"/>
    <w:rsid w:val="00E62A6B"/>
    <w:rsid w:val="00E62BA9"/>
    <w:rsid w:val="00E63434"/>
    <w:rsid w:val="00E63712"/>
    <w:rsid w:val="00E63A6A"/>
    <w:rsid w:val="00E662B0"/>
    <w:rsid w:val="00E66EF5"/>
    <w:rsid w:val="00E67CEF"/>
    <w:rsid w:val="00E70287"/>
    <w:rsid w:val="00E706C0"/>
    <w:rsid w:val="00E72353"/>
    <w:rsid w:val="00E72697"/>
    <w:rsid w:val="00E7362B"/>
    <w:rsid w:val="00E75A8A"/>
    <w:rsid w:val="00E75C14"/>
    <w:rsid w:val="00E76CA1"/>
    <w:rsid w:val="00E80814"/>
    <w:rsid w:val="00E8295F"/>
    <w:rsid w:val="00E832F2"/>
    <w:rsid w:val="00E84E02"/>
    <w:rsid w:val="00E85105"/>
    <w:rsid w:val="00E8787C"/>
    <w:rsid w:val="00E879B3"/>
    <w:rsid w:val="00E87A5F"/>
    <w:rsid w:val="00E90495"/>
    <w:rsid w:val="00E9078D"/>
    <w:rsid w:val="00E916DE"/>
    <w:rsid w:val="00E919E6"/>
    <w:rsid w:val="00E92094"/>
    <w:rsid w:val="00E9258A"/>
    <w:rsid w:val="00E92678"/>
    <w:rsid w:val="00E93718"/>
    <w:rsid w:val="00E940E8"/>
    <w:rsid w:val="00E95253"/>
    <w:rsid w:val="00E952DC"/>
    <w:rsid w:val="00E95A1E"/>
    <w:rsid w:val="00E96E47"/>
    <w:rsid w:val="00EA2160"/>
    <w:rsid w:val="00EA2254"/>
    <w:rsid w:val="00EA56E4"/>
    <w:rsid w:val="00EA582A"/>
    <w:rsid w:val="00EA6565"/>
    <w:rsid w:val="00EA6623"/>
    <w:rsid w:val="00EA7526"/>
    <w:rsid w:val="00EA7DEB"/>
    <w:rsid w:val="00EB0584"/>
    <w:rsid w:val="00EB0DD3"/>
    <w:rsid w:val="00EB1102"/>
    <w:rsid w:val="00EB1EC2"/>
    <w:rsid w:val="00EB2051"/>
    <w:rsid w:val="00EB281E"/>
    <w:rsid w:val="00EB2D1E"/>
    <w:rsid w:val="00EB4012"/>
    <w:rsid w:val="00EB50F8"/>
    <w:rsid w:val="00EB60A2"/>
    <w:rsid w:val="00EB67D8"/>
    <w:rsid w:val="00EB6C3B"/>
    <w:rsid w:val="00EB7497"/>
    <w:rsid w:val="00EC083B"/>
    <w:rsid w:val="00EC0F9A"/>
    <w:rsid w:val="00EC101E"/>
    <w:rsid w:val="00EC149C"/>
    <w:rsid w:val="00EC197F"/>
    <w:rsid w:val="00EC1E7F"/>
    <w:rsid w:val="00EC2915"/>
    <w:rsid w:val="00EC4100"/>
    <w:rsid w:val="00ED0243"/>
    <w:rsid w:val="00ED0A70"/>
    <w:rsid w:val="00ED127D"/>
    <w:rsid w:val="00ED1911"/>
    <w:rsid w:val="00ED194F"/>
    <w:rsid w:val="00ED27EB"/>
    <w:rsid w:val="00ED41D6"/>
    <w:rsid w:val="00ED4751"/>
    <w:rsid w:val="00ED7079"/>
    <w:rsid w:val="00ED713D"/>
    <w:rsid w:val="00ED7207"/>
    <w:rsid w:val="00EE04CE"/>
    <w:rsid w:val="00EE0762"/>
    <w:rsid w:val="00EE1BA5"/>
    <w:rsid w:val="00EE5D7D"/>
    <w:rsid w:val="00EE7CA1"/>
    <w:rsid w:val="00EF2935"/>
    <w:rsid w:val="00EF3072"/>
    <w:rsid w:val="00EF52CF"/>
    <w:rsid w:val="00EF5E71"/>
    <w:rsid w:val="00EF5F74"/>
    <w:rsid w:val="00EF7664"/>
    <w:rsid w:val="00EF7825"/>
    <w:rsid w:val="00EF787F"/>
    <w:rsid w:val="00F00EF7"/>
    <w:rsid w:val="00F0147A"/>
    <w:rsid w:val="00F0184D"/>
    <w:rsid w:val="00F0228C"/>
    <w:rsid w:val="00F034CF"/>
    <w:rsid w:val="00F03997"/>
    <w:rsid w:val="00F0487D"/>
    <w:rsid w:val="00F04AC1"/>
    <w:rsid w:val="00F05CE5"/>
    <w:rsid w:val="00F06130"/>
    <w:rsid w:val="00F06BAE"/>
    <w:rsid w:val="00F06C4D"/>
    <w:rsid w:val="00F073D7"/>
    <w:rsid w:val="00F11132"/>
    <w:rsid w:val="00F11BB9"/>
    <w:rsid w:val="00F125A9"/>
    <w:rsid w:val="00F1274E"/>
    <w:rsid w:val="00F13726"/>
    <w:rsid w:val="00F13948"/>
    <w:rsid w:val="00F13D27"/>
    <w:rsid w:val="00F1414F"/>
    <w:rsid w:val="00F14299"/>
    <w:rsid w:val="00F163AB"/>
    <w:rsid w:val="00F17CFB"/>
    <w:rsid w:val="00F21B45"/>
    <w:rsid w:val="00F225B7"/>
    <w:rsid w:val="00F229A4"/>
    <w:rsid w:val="00F22A10"/>
    <w:rsid w:val="00F25796"/>
    <w:rsid w:val="00F25CF7"/>
    <w:rsid w:val="00F25F72"/>
    <w:rsid w:val="00F27FA9"/>
    <w:rsid w:val="00F3090F"/>
    <w:rsid w:val="00F30A70"/>
    <w:rsid w:val="00F32363"/>
    <w:rsid w:val="00F3272C"/>
    <w:rsid w:val="00F32B71"/>
    <w:rsid w:val="00F35893"/>
    <w:rsid w:val="00F35E00"/>
    <w:rsid w:val="00F367AC"/>
    <w:rsid w:val="00F36AAD"/>
    <w:rsid w:val="00F4035D"/>
    <w:rsid w:val="00F40526"/>
    <w:rsid w:val="00F40E8A"/>
    <w:rsid w:val="00F4206B"/>
    <w:rsid w:val="00F420A1"/>
    <w:rsid w:val="00F43461"/>
    <w:rsid w:val="00F4509B"/>
    <w:rsid w:val="00F45253"/>
    <w:rsid w:val="00F468D6"/>
    <w:rsid w:val="00F51CC8"/>
    <w:rsid w:val="00F51FC2"/>
    <w:rsid w:val="00F5480E"/>
    <w:rsid w:val="00F56932"/>
    <w:rsid w:val="00F56C9F"/>
    <w:rsid w:val="00F56D88"/>
    <w:rsid w:val="00F57555"/>
    <w:rsid w:val="00F57799"/>
    <w:rsid w:val="00F57AB1"/>
    <w:rsid w:val="00F60F51"/>
    <w:rsid w:val="00F6362D"/>
    <w:rsid w:val="00F63EE3"/>
    <w:rsid w:val="00F65AF6"/>
    <w:rsid w:val="00F6676A"/>
    <w:rsid w:val="00F67248"/>
    <w:rsid w:val="00F675BC"/>
    <w:rsid w:val="00F67A15"/>
    <w:rsid w:val="00F702B4"/>
    <w:rsid w:val="00F7411C"/>
    <w:rsid w:val="00F74386"/>
    <w:rsid w:val="00F7494B"/>
    <w:rsid w:val="00F75E43"/>
    <w:rsid w:val="00F76D9E"/>
    <w:rsid w:val="00F771A0"/>
    <w:rsid w:val="00F77719"/>
    <w:rsid w:val="00F815AF"/>
    <w:rsid w:val="00F817C8"/>
    <w:rsid w:val="00F82771"/>
    <w:rsid w:val="00F82F88"/>
    <w:rsid w:val="00F83C53"/>
    <w:rsid w:val="00F83D02"/>
    <w:rsid w:val="00F86918"/>
    <w:rsid w:val="00F869D4"/>
    <w:rsid w:val="00F86E4D"/>
    <w:rsid w:val="00F87DBF"/>
    <w:rsid w:val="00F90746"/>
    <w:rsid w:val="00F90FFB"/>
    <w:rsid w:val="00F92210"/>
    <w:rsid w:val="00F94B0D"/>
    <w:rsid w:val="00F94BE7"/>
    <w:rsid w:val="00F95695"/>
    <w:rsid w:val="00F9574F"/>
    <w:rsid w:val="00F9598E"/>
    <w:rsid w:val="00F96FDA"/>
    <w:rsid w:val="00FA06E8"/>
    <w:rsid w:val="00FA1039"/>
    <w:rsid w:val="00FA152C"/>
    <w:rsid w:val="00FA2EB6"/>
    <w:rsid w:val="00FA3D3D"/>
    <w:rsid w:val="00FA4830"/>
    <w:rsid w:val="00FA6ACD"/>
    <w:rsid w:val="00FA7755"/>
    <w:rsid w:val="00FA789F"/>
    <w:rsid w:val="00FB01BD"/>
    <w:rsid w:val="00FB27F4"/>
    <w:rsid w:val="00FB380F"/>
    <w:rsid w:val="00FB3959"/>
    <w:rsid w:val="00FB3D01"/>
    <w:rsid w:val="00FB4393"/>
    <w:rsid w:val="00FB679F"/>
    <w:rsid w:val="00FB7134"/>
    <w:rsid w:val="00FB7956"/>
    <w:rsid w:val="00FC0CC6"/>
    <w:rsid w:val="00FC1352"/>
    <w:rsid w:val="00FC27A1"/>
    <w:rsid w:val="00FC2987"/>
    <w:rsid w:val="00FC30AF"/>
    <w:rsid w:val="00FC3233"/>
    <w:rsid w:val="00FC380D"/>
    <w:rsid w:val="00FC627B"/>
    <w:rsid w:val="00FC737F"/>
    <w:rsid w:val="00FC73D9"/>
    <w:rsid w:val="00FD0F26"/>
    <w:rsid w:val="00FD1F03"/>
    <w:rsid w:val="00FD2D61"/>
    <w:rsid w:val="00FD3F85"/>
    <w:rsid w:val="00FD40FA"/>
    <w:rsid w:val="00FD48D0"/>
    <w:rsid w:val="00FD7584"/>
    <w:rsid w:val="00FE02F7"/>
    <w:rsid w:val="00FE1B44"/>
    <w:rsid w:val="00FE3D02"/>
    <w:rsid w:val="00FE3E27"/>
    <w:rsid w:val="00FE4010"/>
    <w:rsid w:val="00FE7495"/>
    <w:rsid w:val="00FE794C"/>
    <w:rsid w:val="00FE7984"/>
    <w:rsid w:val="00FF00A0"/>
    <w:rsid w:val="00FF1B92"/>
    <w:rsid w:val="00FF22EA"/>
    <w:rsid w:val="00FF2CC1"/>
    <w:rsid w:val="00FF4242"/>
    <w:rsid w:val="00FF5C61"/>
    <w:rsid w:val="00FF6A86"/>
    <w:rsid w:val="00FF707C"/>
    <w:rsid w:val="00FF7594"/>
    <w:rsid w:val="00FF75B4"/>
    <w:rsid w:val="00FF77B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15" style="mso-position-horizontal-relative:page;mso-position-vertical:center;mso-position-vertical-relative:page" fillcolor="none [3215]" stroke="f">
      <v:fill color="none [3215]"/>
      <v:stroke on="f"/>
      <o:colormru v:ext="edit" colors="#f56b07,#b92e2e,#b31b08,#c0440d,#be3102,#eb4650,#c67548,#c36119"/>
      <o:colormenu v:ext="edit" stroke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Times New Roman"/>
        <w:sz w:val="21"/>
        <w:szCs w:val="21"/>
        <w:lang w:val="en-AU" w:eastAsia="en-AU" w:bidi="ar-SA"/>
      </w:rPr>
    </w:rPrDefault>
    <w:pPrDefault/>
  </w:docDefaults>
  <w:latentStyles w:defLockedState="1" w:defUIPriority="0" w:defSemiHidden="0" w:defUnhideWhenUsed="0" w:defQFormat="0" w:count="267">
    <w:lsdException w:name="Normal" w:locked="0" w:qFormat="1"/>
    <w:lsdException w:name="heading 1" w:locked="0" w:qFormat="1"/>
    <w:lsdException w:name="heading 2" w:locked="0" w:qFormat="1"/>
    <w:lsdException w:name="heading 3" w:locked="0" w:qFormat="1"/>
    <w:lsdException w:name="heading 4" w:locked="0" w:qFormat="1"/>
    <w:lsdException w:name="heading 5" w:locked="0" w:qFormat="1"/>
    <w:lsdException w:name="heading 6" w:locked="0" w:qFormat="1"/>
    <w:lsdException w:name="heading 7" w:locked="0" w:qFormat="1"/>
    <w:lsdException w:name="heading 8" w:locked="0" w:qFormat="1"/>
    <w:lsdException w:name="heading 9" w:locked="0" w:qFormat="1"/>
    <w:lsdException w:name="index 1" w:locked="0" w:semiHidden="1"/>
    <w:lsdException w:name="index 2" w:locked="0" w:semiHidden="1"/>
    <w:lsdException w:name="index 3" w:locked="0" w:semiHidden="1"/>
    <w:lsdException w:name="index 4" w:locked="0" w:semiHidden="1"/>
    <w:lsdException w:name="index 5" w:locked="0" w:semiHidden="1"/>
    <w:lsdException w:name="index 6" w:locked="0" w:semiHidden="1"/>
    <w:lsdException w:name="index 7" w:locked="0" w:semiHidden="1"/>
    <w:lsdException w:name="index 8" w:locked="0" w:semiHidden="1"/>
    <w:lsdException w:name="index 9" w:locked="0" w:semiHidden="1"/>
    <w:lsdException w:name="toc 1" w:locked="0" w:uiPriority="39"/>
    <w:lsdException w:name="toc 2" w:locked="0" w:uiPriority="39"/>
    <w:lsdException w:name="toc 3" w:locked="0" w:uiPriority="39"/>
    <w:lsdException w:name="toc 4" w:locked="0" w:uiPriority="39"/>
    <w:lsdException w:name="toc 5" w:locked="0" w:uiPriority="39"/>
    <w:lsdException w:name="toc 6" w:locked="0" w:uiPriority="39"/>
    <w:lsdException w:name="toc 7" w:locked="0" w:uiPriority="39"/>
    <w:lsdException w:name="toc 8" w:locked="0"/>
    <w:lsdException w:name="toc 9" w:locked="0" w:uiPriority="39"/>
    <w:lsdException w:name="Normal Indent" w:locked="0" w:semiHidden="1"/>
    <w:lsdException w:name="footnote text" w:locked="0" w:uiPriority="99"/>
    <w:lsdException w:name="annotation text" w:locked="0" w:semiHidden="1"/>
    <w:lsdException w:name="header" w:locked="0"/>
    <w:lsdException w:name="footer" w:locked="0"/>
    <w:lsdException w:name="index heading" w:locked="0" w:semiHidden="1"/>
    <w:lsdException w:name="caption" w:locked="0" w:qFormat="1"/>
    <w:lsdException w:name="table of figures" w:locked="0" w:semiHidden="1" w:unhideWhenUsed="1"/>
    <w:lsdException w:name="envelope address" w:locked="0" w:semiHidden="1" w:unhideWhenUsed="1"/>
    <w:lsdException w:name="envelope return" w:locked="0" w:semiHidden="1"/>
    <w:lsdException w:name="footnote reference" w:locked="0" w:uiPriority="99"/>
    <w:lsdException w:name="annotation reference" w:locked="0" w:semiHidden="1"/>
    <w:lsdException w:name="line number" w:locked="0" w:semiHidden="1"/>
    <w:lsdException w:name="page number" w:locked="0"/>
    <w:lsdException w:name="endnote reference" w:locked="0"/>
    <w:lsdException w:name="endnote text" w:locked="0"/>
    <w:lsdException w:name="table of authorities" w:locked="0" w:semiHidden="1" w:unhideWhenUsed="1"/>
    <w:lsdException w:name="macro" w:semiHidden="1" w:unhideWhenUsed="1"/>
    <w:lsdException w:name="toa heading" w:locked="0" w:semiHidden="1" w:unhideWhenUsed="1"/>
    <w:lsdException w:name="List" w:semiHidden="1"/>
    <w:lsdException w:name="List Bullet" w:semiHidden="1" w:qFormat="1"/>
    <w:lsdException w:name="List Number" w:semiHidden="1" w:uiPriority="13" w:qFormat="1"/>
    <w:lsdException w:name="List 2" w:semiHidden="1"/>
    <w:lsdException w:name="List 3" w:semiHidden="1"/>
    <w:lsdException w:name="List 4" w:semiHidden="1"/>
    <w:lsdException w:name="List 5" w:semiHidden="1"/>
    <w:lsdException w:name="List Bullet 2" w:qFormat="1"/>
    <w:lsdException w:name="List Bullet 3" w:qFormat="1"/>
    <w:lsdException w:name="List Bullet 5" w:semiHidden="1"/>
    <w:lsdException w:name="List Number 2" w:semiHidden="1" w:uiPriority="13" w:qFormat="1"/>
    <w:lsdException w:name="List Number 3" w:semiHidden="1" w:uiPriority="13" w:qFormat="1"/>
    <w:lsdException w:name="List Number 4" w:semiHidden="1" w:uiPriority="13"/>
    <w:lsdException w:name="List Number 5" w:semiHidden="1" w:uiPriority="13"/>
    <w:lsdException w:name="Title" w:locked="0" w:qFormat="1"/>
    <w:lsdException w:name="Closing" w:locked="0" w:semiHidden="1" w:unhideWhenUsed="1"/>
    <w:lsdException w:name="Signature" w:locked="0" w:semiHidden="1"/>
    <w:lsdException w:name="Default Paragraph Font" w:locked="0" w:uiPriority="1"/>
    <w:lsdException w:name="Body Text" w:semiHidden="1" w:uiPriority="99"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locked="0" w:semiHidden="1"/>
    <w:lsdException w:name="Subtitle" w:locked="0" w:semiHidden="1" w:qFormat="1"/>
    <w:lsdException w:name="Salutation" w:locked="0" w:semiHidden="1" w:unhideWhenUsed="1"/>
    <w:lsdException w:name="Date" w:locked="0"/>
    <w:lsdException w:name="Body Text First Indent" w:semiHidden="1"/>
    <w:lsdException w:name="Body Text First Indent 2" w:semiHidden="1"/>
    <w:lsdException w:name="Note Heading" w:locked="0" w:semiHidden="1" w:unhideWhenUsed="1"/>
    <w:lsdException w:name="Body Text 2" w:semiHidden="1"/>
    <w:lsdException w:name="Body Text 3" w:semiHidden="1"/>
    <w:lsdException w:name="Body Text Indent 2" w:semiHidden="1"/>
    <w:lsdException w:name="Body Text Indent 3" w:semiHidden="1"/>
    <w:lsdException w:name="Block Text" w:semiHidden="1" w:qFormat="1"/>
    <w:lsdException w:name="Hyperlink" w:locked="0" w:semiHidden="1" w:uiPriority="99"/>
    <w:lsdException w:name="FollowedHyperlink" w:locked="0" w:semiHidden="1"/>
    <w:lsdException w:name="Strong" w:locked="0" w:semiHidden="1" w:qFormat="1"/>
    <w:lsdException w:name="Emphasis" w:locked="0" w:semiHidden="1" w:qFormat="1"/>
    <w:lsdException w:name="Document Map" w:locked="0" w:semiHidden="1"/>
    <w:lsdException w:name="Plain Text" w:locked="0" w:semiHidden="1"/>
    <w:lsdException w:name="E-mail Signature" w:semiHidden="1"/>
    <w:lsdException w:name="HTML Top of Form" w:locked="0"/>
    <w:lsdException w:name="HTML Bottom of Form" w:locked="0"/>
    <w:lsdException w:name="Normal (Web)" w:locked="0"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locked="0"/>
    <w:lsdException w:name="annotation subject" w:locked="0" w:semiHidden="1"/>
    <w:lsdException w:name="No List" w:locked="0" w:uiPriority="99"/>
    <w:lsdException w:name="Outline List 1" w:locked="0"/>
    <w:lsdException w:name="Outline List 2" w:locked="0"/>
    <w:lsdException w:name="Outline List 3" w:locked="0"/>
    <w:lsdException w:name="Table Theme" w:locked="0"/>
    <w:lsdException w:name="Placeholder Text" w:locked="0" w:semiHidden="1" w:uiPriority="99"/>
    <w:lsdException w:name="No Spacing" w:locked="0"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semiHidden="1" w:uiPriority="34" w:qFormat="1"/>
    <w:lsdException w:name="Quote" w:locked="0" w:semiHidden="1" w:uiPriority="29" w:qFormat="1"/>
    <w:lsdException w:name="Intense Quote" w:locked="0"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locked="0" w:semiHidden="1" w:uiPriority="21" w:qFormat="1"/>
    <w:lsdException w:name="Subtle Reference" w:semiHidden="1" w:uiPriority="31" w:qFormat="1"/>
    <w:lsdException w:name="Intense Reference" w:locked="0" w:semiHidden="1" w:uiPriority="32" w:qFormat="1"/>
    <w:lsdException w:name="Book Title" w:semiHidden="1" w:uiPriority="33" w:qFormat="1"/>
    <w:lsdException w:name="Bibliography" w:semiHidden="1" w:uiPriority="37"/>
    <w:lsdException w:name="TOC Heading" w:locked="0" w:semiHidden="1" w:uiPriority="39" w:unhideWhenUsed="1" w:qFormat="1"/>
  </w:latentStyles>
  <w:style w:type="paragraph" w:default="1" w:styleId="Normal">
    <w:name w:val="Normal"/>
    <w:qFormat/>
    <w:rsid w:val="009814D6"/>
    <w:pPr>
      <w:kinsoku w:val="0"/>
      <w:overflowPunct w:val="0"/>
      <w:autoSpaceDE w:val="0"/>
      <w:autoSpaceDN w:val="0"/>
      <w:adjustRightInd w:val="0"/>
      <w:snapToGrid w:val="0"/>
    </w:pPr>
    <w:rPr>
      <w:rFonts w:ascii="Georgia" w:hAnsi="Georgia" w:cs="Arial"/>
      <w:snapToGrid w:val="0"/>
      <w:sz w:val="20"/>
      <w:szCs w:val="20"/>
      <w:lang w:eastAsia="en-US"/>
    </w:rPr>
  </w:style>
  <w:style w:type="paragraph" w:styleId="Heading1">
    <w:name w:val="heading 1"/>
    <w:aliases w:val="Chapter Heading (Long)"/>
    <w:basedOn w:val="Normal"/>
    <w:next w:val="PwCNormal"/>
    <w:qFormat/>
    <w:rsid w:val="00924BB2"/>
    <w:pPr>
      <w:spacing w:line="720" w:lineRule="atLeast"/>
      <w:outlineLvl w:val="0"/>
    </w:pPr>
    <w:rPr>
      <w:rFonts w:asciiTheme="majorHAnsi" w:hAnsiTheme="majorHAnsi"/>
      <w:b/>
      <w:bCs/>
      <w:i/>
      <w:color w:val="DC6900" w:themeColor="text2"/>
      <w:sz w:val="56"/>
      <w:szCs w:val="72"/>
    </w:rPr>
  </w:style>
  <w:style w:type="paragraph" w:styleId="Heading2">
    <w:name w:val="heading 2"/>
    <w:aliases w:val="Chapter Heading (Short)"/>
    <w:basedOn w:val="Normal"/>
    <w:next w:val="PwCNormal"/>
    <w:qFormat/>
    <w:rsid w:val="00701EA9"/>
    <w:pPr>
      <w:keepNext/>
      <w:keepLines/>
      <w:numPr>
        <w:ilvl w:val="1"/>
        <w:numId w:val="37"/>
      </w:numPr>
      <w:spacing w:after="240"/>
      <w:outlineLvl w:val="1"/>
    </w:pPr>
    <w:rPr>
      <w:rFonts w:asciiTheme="majorHAnsi" w:hAnsiTheme="majorHAnsi"/>
      <w:b/>
      <w:bCs/>
      <w:i/>
      <w:iCs/>
      <w:color w:val="DC6900" w:themeColor="text2"/>
      <w:sz w:val="56"/>
      <w:szCs w:val="36"/>
    </w:rPr>
  </w:style>
  <w:style w:type="paragraph" w:styleId="Heading3">
    <w:name w:val="heading 3"/>
    <w:aliases w:val="Appendix Heading (Long)"/>
    <w:basedOn w:val="Heading1"/>
    <w:next w:val="PwCNormal"/>
    <w:qFormat/>
    <w:rsid w:val="00924BB2"/>
    <w:pPr>
      <w:outlineLvl w:val="2"/>
    </w:pPr>
    <w:rPr>
      <w:bCs w:val="0"/>
      <w:color w:val="DC6900" w:themeColor="accent1"/>
    </w:rPr>
  </w:style>
  <w:style w:type="paragraph" w:styleId="Heading4">
    <w:name w:val="heading 4"/>
    <w:aliases w:val="Appendix Heading (Short)"/>
    <w:basedOn w:val="Heading2"/>
    <w:next w:val="PwCNormal"/>
    <w:qFormat/>
    <w:rsid w:val="00847199"/>
    <w:pPr>
      <w:numPr>
        <w:ilvl w:val="4"/>
      </w:numPr>
      <w:outlineLvl w:val="3"/>
    </w:pPr>
    <w:rPr>
      <w:bCs w:val="0"/>
      <w:color w:val="968C6D"/>
    </w:rPr>
  </w:style>
  <w:style w:type="paragraph" w:styleId="Heading5">
    <w:name w:val="heading 5"/>
    <w:basedOn w:val="Heading2"/>
    <w:next w:val="PwCNormal"/>
    <w:qFormat/>
    <w:rsid w:val="003A1A33"/>
    <w:pPr>
      <w:numPr>
        <w:ilvl w:val="0"/>
        <w:numId w:val="0"/>
      </w:numPr>
      <w:spacing w:before="360" w:line="380" w:lineRule="atLeast"/>
      <w:outlineLvl w:val="4"/>
    </w:pPr>
    <w:rPr>
      <w:bCs w:val="0"/>
      <w:iCs w:val="0"/>
      <w:sz w:val="32"/>
      <w:szCs w:val="32"/>
    </w:rPr>
  </w:style>
  <w:style w:type="paragraph" w:styleId="Heading6">
    <w:name w:val="heading 6"/>
    <w:basedOn w:val="Heading2"/>
    <w:next w:val="PwCNormal"/>
    <w:qFormat/>
    <w:rsid w:val="00701EA9"/>
    <w:pPr>
      <w:numPr>
        <w:ilvl w:val="2"/>
      </w:numPr>
      <w:ind w:left="851" w:hanging="851"/>
      <w:outlineLvl w:val="5"/>
    </w:pPr>
    <w:rPr>
      <w:bCs w:val="0"/>
      <w:sz w:val="32"/>
    </w:rPr>
  </w:style>
  <w:style w:type="paragraph" w:styleId="Heading7">
    <w:name w:val="heading 7"/>
    <w:basedOn w:val="Heading6"/>
    <w:next w:val="PwCNormal"/>
    <w:qFormat/>
    <w:rsid w:val="00701EA9"/>
    <w:pPr>
      <w:numPr>
        <w:ilvl w:val="3"/>
      </w:numPr>
      <w:ind w:left="851" w:hanging="851"/>
      <w:outlineLvl w:val="6"/>
    </w:pPr>
    <w:rPr>
      <w:b w:val="0"/>
      <w:sz w:val="28"/>
      <w:szCs w:val="28"/>
    </w:rPr>
  </w:style>
  <w:style w:type="paragraph" w:styleId="Heading8">
    <w:name w:val="heading 8"/>
    <w:basedOn w:val="Majorheading"/>
    <w:next w:val="PwCNormal"/>
    <w:qFormat/>
    <w:rsid w:val="00701EA9"/>
    <w:pPr>
      <w:numPr>
        <w:ilvl w:val="6"/>
        <w:numId w:val="37"/>
      </w:numPr>
      <w:spacing w:before="0" w:after="240"/>
      <w:outlineLvl w:val="7"/>
    </w:pPr>
    <w:rPr>
      <w:sz w:val="32"/>
      <w:szCs w:val="21"/>
    </w:rPr>
  </w:style>
  <w:style w:type="paragraph" w:styleId="Heading9">
    <w:name w:val="heading 9"/>
    <w:basedOn w:val="Heading8"/>
    <w:next w:val="PwCNormal"/>
    <w:qFormat/>
    <w:rsid w:val="003A1A33"/>
    <w:pPr>
      <w:numPr>
        <w:ilvl w:val="0"/>
        <w:numId w:val="0"/>
      </w:numPr>
      <w:outlineLvl w:val="8"/>
    </w:pPr>
    <w:rPr>
      <w:b w:val="0"/>
      <w:i w:val="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A1A33"/>
    <w:pPr>
      <w:tabs>
        <w:tab w:val="right" w:pos="7342"/>
      </w:tabs>
      <w:ind w:left="-2523"/>
    </w:pPr>
    <w:rPr>
      <w:rFonts w:ascii="Arial" w:hAnsi="Arial"/>
      <w:color w:val="000000" w:themeColor="text1"/>
      <w:sz w:val="19"/>
      <w:szCs w:val="18"/>
    </w:rPr>
  </w:style>
  <w:style w:type="paragraph" w:styleId="Footer">
    <w:name w:val="footer"/>
    <w:basedOn w:val="Normal"/>
    <w:link w:val="FooterChar"/>
    <w:rsid w:val="00924BB2"/>
    <w:pPr>
      <w:tabs>
        <w:tab w:val="right" w:pos="9072"/>
      </w:tabs>
      <w:spacing w:line="0" w:lineRule="atLeast"/>
    </w:pPr>
    <w:rPr>
      <w:rFonts w:asciiTheme="minorHAnsi" w:hAnsiTheme="minorHAnsi"/>
      <w:color w:val="000000" w:themeColor="text1"/>
      <w:sz w:val="19"/>
      <w:szCs w:val="18"/>
    </w:rPr>
  </w:style>
  <w:style w:type="paragraph" w:customStyle="1" w:styleId="TOCtitle">
    <w:name w:val="TOC title"/>
    <w:basedOn w:val="Heading2"/>
    <w:next w:val="PwCNormal"/>
    <w:unhideWhenUsed/>
    <w:rsid w:val="003A1A33"/>
    <w:pPr>
      <w:numPr>
        <w:ilvl w:val="0"/>
        <w:numId w:val="0"/>
      </w:numPr>
      <w:spacing w:after="600"/>
    </w:pPr>
  </w:style>
  <w:style w:type="paragraph" w:customStyle="1" w:styleId="Covertitle">
    <w:name w:val="Cover title"/>
    <w:basedOn w:val="KeySentenceInside"/>
    <w:next w:val="Coversubtitle"/>
    <w:rsid w:val="003A1A33"/>
    <w:pPr>
      <w:framePr w:w="2154" w:wrap="notBeside" w:vAnchor="page" w:hAnchor="page" w:x="928" w:y="8427"/>
      <w:spacing w:before="200"/>
      <w:ind w:left="113"/>
    </w:pPr>
    <w:rPr>
      <w:rFonts w:asciiTheme="majorHAnsi" w:hAnsiTheme="majorHAnsi"/>
      <w:color w:val="auto"/>
      <w:sz w:val="19"/>
      <w:lang w:val="en-GB"/>
    </w:rPr>
  </w:style>
  <w:style w:type="paragraph" w:customStyle="1" w:styleId="Coversubtitle">
    <w:name w:val="Cover subtitle"/>
    <w:basedOn w:val="Covertitle"/>
    <w:rsid w:val="003A1A33"/>
    <w:pPr>
      <w:framePr w:wrap="notBeside"/>
      <w:spacing w:before="180"/>
    </w:pPr>
    <w:rPr>
      <w:bCs/>
      <w:szCs w:val="64"/>
    </w:rPr>
  </w:style>
  <w:style w:type="paragraph" w:customStyle="1" w:styleId="AppendixNumberLong">
    <w:name w:val="Appendix Number (Long)"/>
    <w:basedOn w:val="Heading3"/>
    <w:next w:val="Heading3"/>
    <w:rsid w:val="003A1A33"/>
    <w:pPr>
      <w:keepNext/>
      <w:keepLines/>
      <w:pageBreakBefore/>
      <w:numPr>
        <w:ilvl w:val="5"/>
        <w:numId w:val="37"/>
      </w:numPr>
    </w:pPr>
    <w:rPr>
      <w:color w:val="000000" w:themeColor="text1"/>
    </w:rPr>
  </w:style>
  <w:style w:type="paragraph" w:customStyle="1" w:styleId="ChapterNumberLong">
    <w:name w:val="Chapter Number (Long)"/>
    <w:basedOn w:val="Heading1"/>
    <w:next w:val="Heading1"/>
    <w:rsid w:val="003A1A33"/>
    <w:pPr>
      <w:pageBreakBefore/>
      <w:numPr>
        <w:numId w:val="37"/>
      </w:numPr>
    </w:pPr>
  </w:style>
  <w:style w:type="paragraph" w:customStyle="1" w:styleId="Footer-Even">
    <w:name w:val="Footer - Even"/>
    <w:basedOn w:val="Footer"/>
    <w:rsid w:val="003A1A33"/>
  </w:style>
  <w:style w:type="paragraph" w:customStyle="1" w:styleId="URL">
    <w:name w:val="URL"/>
    <w:basedOn w:val="PwCNormal"/>
    <w:next w:val="PwCNormal"/>
    <w:rsid w:val="0020235D"/>
    <w:pPr>
      <w:framePr w:wrap="around" w:vAnchor="page" w:hAnchor="page" w:x="1022" w:y="568"/>
      <w:spacing w:after="0"/>
    </w:pPr>
    <w:rPr>
      <w:rFonts w:eastAsia="+mn-ea"/>
      <w:b/>
      <w:i/>
      <w:snapToGrid/>
      <w:color w:val="DC6900" w:themeColor="text2"/>
      <w:sz w:val="36"/>
    </w:rPr>
  </w:style>
  <w:style w:type="paragraph" w:customStyle="1" w:styleId="Indent1">
    <w:name w:val="Indent 1"/>
    <w:basedOn w:val="Normal"/>
    <w:rsid w:val="003A1A33"/>
    <w:pPr>
      <w:numPr>
        <w:ilvl w:val="1"/>
        <w:numId w:val="8"/>
      </w:numPr>
      <w:spacing w:before="100" w:after="100"/>
    </w:pPr>
    <w:rPr>
      <w:rFonts w:cs="Times New Roman"/>
    </w:rPr>
  </w:style>
  <w:style w:type="paragraph" w:customStyle="1" w:styleId="Indent2">
    <w:name w:val="Indent 2"/>
    <w:basedOn w:val="Indent1"/>
    <w:rsid w:val="003A1A33"/>
    <w:pPr>
      <w:numPr>
        <w:ilvl w:val="2"/>
      </w:numPr>
    </w:pPr>
  </w:style>
  <w:style w:type="paragraph" w:customStyle="1" w:styleId="Indent3">
    <w:name w:val="Indent 3"/>
    <w:basedOn w:val="Indent2"/>
    <w:rsid w:val="003A1A33"/>
    <w:pPr>
      <w:numPr>
        <w:ilvl w:val="3"/>
      </w:numPr>
    </w:pPr>
  </w:style>
  <w:style w:type="paragraph" w:customStyle="1" w:styleId="Indent5">
    <w:name w:val="Indent 5"/>
    <w:basedOn w:val="Indent4"/>
    <w:rsid w:val="003A1A33"/>
    <w:pPr>
      <w:numPr>
        <w:ilvl w:val="5"/>
      </w:numPr>
    </w:pPr>
  </w:style>
  <w:style w:type="paragraph" w:customStyle="1" w:styleId="Indent6">
    <w:name w:val="Indent 6"/>
    <w:basedOn w:val="Indent5"/>
    <w:rsid w:val="003A1A33"/>
    <w:pPr>
      <w:numPr>
        <w:ilvl w:val="6"/>
      </w:numPr>
    </w:pPr>
  </w:style>
  <w:style w:type="paragraph" w:customStyle="1" w:styleId="Indent7">
    <w:name w:val="Indent 7"/>
    <w:basedOn w:val="Indent6"/>
    <w:rsid w:val="003A1A33"/>
    <w:pPr>
      <w:numPr>
        <w:ilvl w:val="7"/>
      </w:numPr>
    </w:pPr>
  </w:style>
  <w:style w:type="numbering" w:customStyle="1" w:styleId="Indents">
    <w:name w:val="Indents"/>
    <w:rsid w:val="003A1A33"/>
    <w:pPr>
      <w:numPr>
        <w:numId w:val="2"/>
      </w:numPr>
    </w:pPr>
  </w:style>
  <w:style w:type="paragraph" w:customStyle="1" w:styleId="Copyright">
    <w:name w:val="Copyright"/>
    <w:basedOn w:val="Normal"/>
    <w:rsid w:val="0020235D"/>
    <w:pPr>
      <w:framePr w:w="7938" w:wrap="around" w:vAnchor="page" w:hAnchor="page" w:x="1022" w:y="15196"/>
      <w:spacing w:before="150" w:after="150" w:line="150" w:lineRule="atLeast"/>
      <w:ind w:right="816"/>
    </w:pPr>
    <w:rPr>
      <w:rFonts w:asciiTheme="minorHAnsi" w:hAnsiTheme="minorHAnsi"/>
      <w:color w:val="DC6900" w:themeColor="text2"/>
      <w:sz w:val="16"/>
      <w:lang w:val="en-US"/>
    </w:rPr>
  </w:style>
  <w:style w:type="paragraph" w:customStyle="1" w:styleId="Header-Even">
    <w:name w:val="Header - Even"/>
    <w:basedOn w:val="Header"/>
    <w:rsid w:val="003A1A33"/>
  </w:style>
  <w:style w:type="paragraph" w:customStyle="1" w:styleId="PleaseNote">
    <w:name w:val="Please Note"/>
    <w:basedOn w:val="PrefaceTitle"/>
    <w:next w:val="PwCNormal"/>
    <w:rsid w:val="003A1A33"/>
    <w:rPr>
      <w:iCs w:val="0"/>
    </w:rPr>
  </w:style>
  <w:style w:type="paragraph" w:customStyle="1" w:styleId="Indent4">
    <w:name w:val="Indent 4"/>
    <w:basedOn w:val="Indent3"/>
    <w:rsid w:val="003A1A33"/>
    <w:pPr>
      <w:numPr>
        <w:ilvl w:val="4"/>
      </w:numPr>
    </w:pPr>
  </w:style>
  <w:style w:type="paragraph" w:styleId="TOC2">
    <w:name w:val="toc 2"/>
    <w:basedOn w:val="TOC1"/>
    <w:next w:val="PwCNormal"/>
    <w:uiPriority w:val="39"/>
    <w:rsid w:val="003A1A33"/>
    <w:pPr>
      <w:tabs>
        <w:tab w:val="left" w:pos="567"/>
      </w:tabs>
      <w:ind w:left="567" w:hanging="567"/>
    </w:pPr>
  </w:style>
  <w:style w:type="paragraph" w:styleId="TOC4">
    <w:name w:val="toc 4"/>
    <w:basedOn w:val="TOC2"/>
    <w:next w:val="PwCNormal"/>
    <w:uiPriority w:val="39"/>
    <w:rsid w:val="00A464B3"/>
    <w:pPr>
      <w:tabs>
        <w:tab w:val="clear" w:pos="567"/>
        <w:tab w:val="left" w:pos="1276"/>
      </w:tabs>
      <w:ind w:left="1276" w:hanging="1276"/>
    </w:pPr>
  </w:style>
  <w:style w:type="paragraph" w:styleId="TOC7">
    <w:name w:val="toc 7"/>
    <w:basedOn w:val="TOC6"/>
    <w:next w:val="PwCNormal"/>
    <w:uiPriority w:val="39"/>
    <w:rsid w:val="003A1A33"/>
    <w:pPr>
      <w:tabs>
        <w:tab w:val="clear" w:pos="1134"/>
        <w:tab w:val="left" w:pos="1985"/>
      </w:tabs>
      <w:ind w:left="1985" w:hanging="851"/>
    </w:pPr>
  </w:style>
  <w:style w:type="paragraph" w:customStyle="1" w:styleId="KeySentenceInside">
    <w:name w:val="Key Sentence Inside"/>
    <w:basedOn w:val="KeySentence"/>
    <w:rsid w:val="003A1A33"/>
    <w:pPr>
      <w:framePr w:w="2296" w:wrap="notBeside" w:vAnchor="text" w:hAnchor="margin" w:x="-2521" w:y="1" w:anchorLock="1"/>
    </w:pPr>
  </w:style>
  <w:style w:type="paragraph" w:customStyle="1" w:styleId="ChapterNumberedList1">
    <w:name w:val="Chapter Numbered List 1"/>
    <w:basedOn w:val="PwCNormal"/>
    <w:rsid w:val="003A1A33"/>
    <w:pPr>
      <w:numPr>
        <w:ilvl w:val="7"/>
        <w:numId w:val="37"/>
      </w:numPr>
    </w:pPr>
  </w:style>
  <w:style w:type="paragraph" w:customStyle="1" w:styleId="ChapterNumberedList2">
    <w:name w:val="Chapter Numbered List 2"/>
    <w:basedOn w:val="ChapterNumberedList1"/>
    <w:rsid w:val="003A1A33"/>
    <w:pPr>
      <w:numPr>
        <w:ilvl w:val="8"/>
      </w:numPr>
    </w:pPr>
  </w:style>
  <w:style w:type="paragraph" w:customStyle="1" w:styleId="ChapterNumberedList3">
    <w:name w:val="Chapter Numbered List 3"/>
    <w:basedOn w:val="ChapterNumberedList2"/>
    <w:rsid w:val="001C6E2E"/>
    <w:pPr>
      <w:numPr>
        <w:ilvl w:val="0"/>
        <w:numId w:val="0"/>
      </w:numPr>
    </w:pPr>
  </w:style>
  <w:style w:type="paragraph" w:styleId="TOC6">
    <w:name w:val="toc 6"/>
    <w:basedOn w:val="TOC2"/>
    <w:next w:val="PwCNormal"/>
    <w:uiPriority w:val="39"/>
    <w:rsid w:val="003A1A33"/>
    <w:pPr>
      <w:tabs>
        <w:tab w:val="clear" w:pos="567"/>
        <w:tab w:val="left" w:pos="1134"/>
      </w:tabs>
      <w:ind w:left="1134"/>
    </w:pPr>
  </w:style>
  <w:style w:type="paragraph" w:customStyle="1" w:styleId="PwCNormal">
    <w:name w:val="PwC Normal"/>
    <w:basedOn w:val="Normal"/>
    <w:link w:val="PwCNormalChar"/>
    <w:rsid w:val="003A1A33"/>
    <w:pPr>
      <w:numPr>
        <w:numId w:val="8"/>
      </w:numPr>
      <w:spacing w:after="240"/>
    </w:pPr>
  </w:style>
  <w:style w:type="paragraph" w:customStyle="1" w:styleId="CoverDate">
    <w:name w:val="Cover Date"/>
    <w:basedOn w:val="Coversubtitle"/>
    <w:rsid w:val="003A1A33"/>
    <w:pPr>
      <w:framePr w:wrap="notBeside"/>
    </w:pPr>
  </w:style>
  <w:style w:type="paragraph" w:customStyle="1" w:styleId="KeySentenceOutside">
    <w:name w:val="Key Sentence Outside"/>
    <w:basedOn w:val="KeySentence"/>
    <w:rsid w:val="003A1A33"/>
    <w:pPr>
      <w:framePr w:w="2410" w:wrap="around" w:vAnchor="text" w:hAnchor="margin" w:x="7909" w:y="1" w:anchorLock="1"/>
    </w:pPr>
  </w:style>
  <w:style w:type="character" w:customStyle="1" w:styleId="PwCNormalChar">
    <w:name w:val="PwC Normal Char"/>
    <w:basedOn w:val="DefaultParagraphFont"/>
    <w:link w:val="PwCNormal"/>
    <w:rsid w:val="003A1A33"/>
    <w:rPr>
      <w:rFonts w:ascii="Georgia" w:hAnsi="Georgia" w:cs="Arial"/>
      <w:snapToGrid w:val="0"/>
      <w:sz w:val="20"/>
      <w:szCs w:val="20"/>
      <w:lang w:eastAsia="en-US"/>
    </w:rPr>
  </w:style>
  <w:style w:type="paragraph" w:styleId="TOC1">
    <w:name w:val="toc 1"/>
    <w:basedOn w:val="Normal"/>
    <w:next w:val="PwCNormal"/>
    <w:uiPriority w:val="39"/>
    <w:rsid w:val="005075FD"/>
    <w:pPr>
      <w:tabs>
        <w:tab w:val="right" w:pos="4536"/>
        <w:tab w:val="right" w:pos="7342"/>
      </w:tabs>
      <w:spacing w:before="240" w:after="240" w:line="240" w:lineRule="atLeast"/>
      <w:ind w:right="851"/>
    </w:pPr>
    <w:rPr>
      <w:noProof/>
    </w:rPr>
  </w:style>
  <w:style w:type="paragraph" w:customStyle="1" w:styleId="CREATISID">
    <w:name w:val="CREATISID"/>
    <w:basedOn w:val="PwCNormal"/>
    <w:unhideWhenUsed/>
    <w:rsid w:val="003A1A33"/>
    <w:pPr>
      <w:framePr w:w="227" w:h="539" w:wrap="notBeside" w:vAnchor="page" w:hAnchor="page" w:x="511" w:y="15594"/>
      <w:numPr>
        <w:numId w:val="0"/>
      </w:numPr>
      <w:spacing w:after="0"/>
      <w:textDirection w:val="btLr"/>
    </w:pPr>
    <w:rPr>
      <w:rFonts w:eastAsia="MS Mincho"/>
      <w:sz w:val="10"/>
      <w:szCs w:val="12"/>
      <w:lang w:eastAsia="ja-JP"/>
    </w:rPr>
  </w:style>
  <w:style w:type="numbering" w:customStyle="1" w:styleId="BulletList">
    <w:name w:val="Bullet List"/>
    <w:rsid w:val="003A1A33"/>
    <w:pPr>
      <w:numPr>
        <w:numId w:val="1"/>
      </w:numPr>
    </w:pPr>
  </w:style>
  <w:style w:type="paragraph" w:customStyle="1" w:styleId="Footer-Landscape">
    <w:name w:val="Footer - Landscape"/>
    <w:basedOn w:val="Footer"/>
    <w:rsid w:val="00120CBC"/>
    <w:pPr>
      <w:tabs>
        <w:tab w:val="clear" w:pos="9072"/>
        <w:tab w:val="right" w:pos="14587"/>
      </w:tabs>
    </w:pPr>
  </w:style>
  <w:style w:type="paragraph" w:customStyle="1" w:styleId="TableBullet1Normal">
    <w:name w:val="Table Bullet 1 Normal"/>
    <w:basedOn w:val="TableTextNormal"/>
    <w:rsid w:val="003A1A33"/>
    <w:pPr>
      <w:numPr>
        <w:numId w:val="31"/>
      </w:numPr>
      <w:spacing w:before="40" w:after="40"/>
    </w:pPr>
  </w:style>
  <w:style w:type="paragraph" w:customStyle="1" w:styleId="TableTextNormal">
    <w:name w:val="Table Text Normal"/>
    <w:basedOn w:val="Normal"/>
    <w:rsid w:val="003A1A33"/>
    <w:pPr>
      <w:spacing w:before="80" w:after="80"/>
    </w:pPr>
  </w:style>
  <w:style w:type="paragraph" w:customStyle="1" w:styleId="TableBullet1Small">
    <w:name w:val="Table Bullet 1 Small"/>
    <w:basedOn w:val="TableTextSmall"/>
    <w:rsid w:val="003A1A33"/>
    <w:pPr>
      <w:numPr>
        <w:numId w:val="32"/>
      </w:numPr>
      <w:spacing w:before="20" w:after="20"/>
    </w:pPr>
  </w:style>
  <w:style w:type="paragraph" w:customStyle="1" w:styleId="TableTextSmall">
    <w:name w:val="Table Text Small"/>
    <w:basedOn w:val="Normal"/>
    <w:rsid w:val="003A1A33"/>
    <w:pPr>
      <w:spacing w:before="40" w:after="40"/>
    </w:pPr>
    <w:rPr>
      <w:rFonts w:ascii="Arial" w:hAnsi="Arial"/>
      <w:sz w:val="16"/>
      <w:szCs w:val="18"/>
    </w:rPr>
  </w:style>
  <w:style w:type="paragraph" w:customStyle="1" w:styleId="TableBullet3Normal">
    <w:name w:val="Table Bullet 3 Normal"/>
    <w:basedOn w:val="TableBullet2Normal"/>
    <w:rsid w:val="003A1A33"/>
    <w:pPr>
      <w:numPr>
        <w:ilvl w:val="2"/>
      </w:numPr>
    </w:pPr>
  </w:style>
  <w:style w:type="paragraph" w:customStyle="1" w:styleId="TableBullet3Small">
    <w:name w:val="Table Bullet 3 Small"/>
    <w:basedOn w:val="TableBullet2Small"/>
    <w:rsid w:val="003A1A33"/>
    <w:pPr>
      <w:numPr>
        <w:ilvl w:val="2"/>
      </w:numPr>
    </w:pPr>
    <w:rPr>
      <w:szCs w:val="16"/>
    </w:rPr>
  </w:style>
  <w:style w:type="paragraph" w:customStyle="1" w:styleId="Bullet1">
    <w:name w:val="Bullet 1"/>
    <w:basedOn w:val="PwCNormal"/>
    <w:rsid w:val="003A1A33"/>
    <w:pPr>
      <w:numPr>
        <w:numId w:val="34"/>
      </w:numPr>
      <w:spacing w:after="80"/>
    </w:pPr>
  </w:style>
  <w:style w:type="paragraph" w:customStyle="1" w:styleId="Bullet2">
    <w:name w:val="Bullet 2"/>
    <w:basedOn w:val="Bullet1"/>
    <w:rsid w:val="003A1A33"/>
    <w:pPr>
      <w:numPr>
        <w:ilvl w:val="1"/>
      </w:numPr>
    </w:pPr>
  </w:style>
  <w:style w:type="paragraph" w:customStyle="1" w:styleId="Bullet4">
    <w:name w:val="Bullet 4"/>
    <w:basedOn w:val="Bullet3"/>
    <w:rsid w:val="003A1A33"/>
    <w:pPr>
      <w:numPr>
        <w:ilvl w:val="3"/>
      </w:numPr>
    </w:pPr>
  </w:style>
  <w:style w:type="paragraph" w:styleId="Caption">
    <w:name w:val="caption"/>
    <w:aliases w:val="Text Caption"/>
    <w:basedOn w:val="Normal"/>
    <w:next w:val="Normal"/>
    <w:unhideWhenUsed/>
    <w:qFormat/>
    <w:rsid w:val="003A1A33"/>
    <w:pPr>
      <w:keepNext/>
      <w:keepLines/>
      <w:tabs>
        <w:tab w:val="left" w:pos="992"/>
      </w:tabs>
      <w:spacing w:before="240" w:after="120"/>
      <w:ind w:left="992" w:hanging="992"/>
    </w:pPr>
    <w:rPr>
      <w:rFonts w:asciiTheme="majorHAnsi" w:hAnsiTheme="majorHAnsi"/>
      <w:b/>
      <w:bCs/>
      <w:color w:val="DC6900" w:themeColor="text2"/>
      <w:szCs w:val="18"/>
    </w:rPr>
  </w:style>
  <w:style w:type="paragraph" w:customStyle="1" w:styleId="Majorheading">
    <w:name w:val="Major heading"/>
    <w:basedOn w:val="Normal"/>
    <w:next w:val="PwCNormal"/>
    <w:rsid w:val="003A1A33"/>
    <w:pPr>
      <w:keepNext/>
      <w:keepLines/>
      <w:spacing w:before="240" w:after="40"/>
    </w:pPr>
    <w:rPr>
      <w:rFonts w:asciiTheme="majorHAnsi" w:hAnsiTheme="majorHAnsi"/>
      <w:b/>
      <w:i/>
      <w:color w:val="DC6900" w:themeColor="text2"/>
      <w:sz w:val="28"/>
      <w:szCs w:val="24"/>
    </w:rPr>
  </w:style>
  <w:style w:type="numbering" w:customStyle="1" w:styleId="TableBulletNormalList">
    <w:name w:val="Table Bullet Normal List"/>
    <w:rsid w:val="003A1A33"/>
    <w:pPr>
      <w:numPr>
        <w:numId w:val="5"/>
      </w:numPr>
    </w:pPr>
  </w:style>
  <w:style w:type="paragraph" w:customStyle="1" w:styleId="Disclaimer">
    <w:name w:val="Disclaimer"/>
    <w:basedOn w:val="Normal"/>
    <w:link w:val="DisclaimerChar"/>
    <w:unhideWhenUsed/>
    <w:rsid w:val="003A1A33"/>
    <w:pPr>
      <w:spacing w:after="140"/>
    </w:pPr>
    <w:rPr>
      <w:rFonts w:ascii="Arial" w:hAnsi="Arial"/>
      <w:sz w:val="15"/>
    </w:rPr>
  </w:style>
  <w:style w:type="paragraph" w:customStyle="1" w:styleId="Footer-LandscapeEven">
    <w:name w:val="Footer - Landscape Even"/>
    <w:basedOn w:val="Footer-Landscape"/>
    <w:rsid w:val="003A1A33"/>
  </w:style>
  <w:style w:type="paragraph" w:customStyle="1" w:styleId="PwCNormal-Single">
    <w:name w:val="PwC Normal - Single"/>
    <w:basedOn w:val="PwCNormal"/>
    <w:link w:val="PwCNormal-SingleChar"/>
    <w:rsid w:val="003A1A33"/>
    <w:pPr>
      <w:numPr>
        <w:numId w:val="0"/>
      </w:numPr>
      <w:spacing w:after="0"/>
    </w:pPr>
  </w:style>
  <w:style w:type="paragraph" w:customStyle="1" w:styleId="TableNumberedListNormal">
    <w:name w:val="Table Numbered List Normal"/>
    <w:basedOn w:val="TableTextNormal"/>
    <w:rsid w:val="00A13B58"/>
    <w:pPr>
      <w:tabs>
        <w:tab w:val="left" w:pos="227"/>
      </w:tabs>
      <w:spacing w:before="40" w:after="40"/>
      <w:ind w:left="227" w:hanging="227"/>
    </w:pPr>
    <w:rPr>
      <w:color w:val="000000"/>
    </w:rPr>
  </w:style>
  <w:style w:type="paragraph" w:customStyle="1" w:styleId="TableNumberedListSmall">
    <w:name w:val="Table Numbered List Small"/>
    <w:basedOn w:val="TableTextSmall"/>
    <w:rsid w:val="008D4477"/>
    <w:pPr>
      <w:tabs>
        <w:tab w:val="num" w:pos="567"/>
      </w:tabs>
      <w:spacing w:before="20" w:after="20"/>
      <w:ind w:left="567" w:hanging="567"/>
    </w:pPr>
  </w:style>
  <w:style w:type="paragraph" w:customStyle="1" w:styleId="TableIndent2Normal">
    <w:name w:val="Table Indent 2 Normal"/>
    <w:basedOn w:val="TableIndent1Normal"/>
    <w:rsid w:val="003A1A33"/>
    <w:pPr>
      <w:ind w:left="567"/>
    </w:pPr>
  </w:style>
  <w:style w:type="paragraph" w:customStyle="1" w:styleId="TableIndent2Small">
    <w:name w:val="Table Indent 2 Small"/>
    <w:basedOn w:val="TableIndent1Small"/>
    <w:rsid w:val="003A1A33"/>
    <w:pPr>
      <w:ind w:left="567"/>
    </w:pPr>
    <w:rPr>
      <w:szCs w:val="16"/>
    </w:rPr>
  </w:style>
  <w:style w:type="paragraph" w:customStyle="1" w:styleId="KeySentence">
    <w:name w:val="Key Sentence"/>
    <w:basedOn w:val="Normal"/>
    <w:rsid w:val="003A1A33"/>
    <w:pPr>
      <w:spacing w:after="160" w:line="260" w:lineRule="atLeast"/>
    </w:pPr>
    <w:rPr>
      <w:i/>
      <w:color w:val="DC6900" w:themeColor="text2"/>
      <w:sz w:val="16"/>
      <w:szCs w:val="18"/>
    </w:rPr>
  </w:style>
  <w:style w:type="numbering" w:customStyle="1" w:styleId="TableNumberedListS">
    <w:name w:val="Table Numbered List S"/>
    <w:rsid w:val="003A1A33"/>
  </w:style>
  <w:style w:type="paragraph" w:customStyle="1" w:styleId="PrefaceTitle">
    <w:name w:val="Preface Title"/>
    <w:basedOn w:val="Heading2"/>
    <w:next w:val="PwCNormal"/>
    <w:rsid w:val="003A1A33"/>
    <w:pPr>
      <w:numPr>
        <w:ilvl w:val="0"/>
        <w:numId w:val="0"/>
      </w:numPr>
    </w:pPr>
  </w:style>
  <w:style w:type="paragraph" w:customStyle="1" w:styleId="Sources">
    <w:name w:val="Sources"/>
    <w:basedOn w:val="Normal"/>
    <w:next w:val="PwCNormal"/>
    <w:rsid w:val="003A1A33"/>
    <w:pPr>
      <w:spacing w:before="80" w:after="240" w:line="180" w:lineRule="atLeast"/>
    </w:pPr>
    <w:rPr>
      <w:color w:val="DC6900" w:themeColor="text2"/>
      <w:sz w:val="16"/>
    </w:rPr>
  </w:style>
  <w:style w:type="paragraph" w:customStyle="1" w:styleId="Minorheading">
    <w:name w:val="Minor heading"/>
    <w:basedOn w:val="Majorheading"/>
    <w:next w:val="PwCNormal"/>
    <w:rsid w:val="003A1A33"/>
    <w:pPr>
      <w:spacing w:line="180" w:lineRule="atLeast"/>
    </w:pPr>
    <w:rPr>
      <w:b w:val="0"/>
      <w:sz w:val="26"/>
    </w:rPr>
  </w:style>
  <w:style w:type="paragraph" w:customStyle="1" w:styleId="Minorheading2">
    <w:name w:val="Minor heading 2"/>
    <w:basedOn w:val="Minorheading"/>
    <w:next w:val="PwCNormal"/>
    <w:rsid w:val="003A1A33"/>
    <w:pPr>
      <w:spacing w:line="240" w:lineRule="atLeast"/>
    </w:pPr>
    <w:rPr>
      <w:b/>
      <w:i w:val="0"/>
      <w:sz w:val="20"/>
    </w:rPr>
  </w:style>
  <w:style w:type="paragraph" w:customStyle="1" w:styleId="Minorheading3">
    <w:name w:val="Minor heading 3"/>
    <w:basedOn w:val="Minorheading2"/>
    <w:rsid w:val="003A1A33"/>
    <w:rPr>
      <w:b w:val="0"/>
      <w:i/>
    </w:rPr>
  </w:style>
  <w:style w:type="paragraph" w:customStyle="1" w:styleId="Bullet3">
    <w:name w:val="Bullet 3"/>
    <w:basedOn w:val="Bullet2"/>
    <w:rsid w:val="003A1A33"/>
    <w:pPr>
      <w:numPr>
        <w:ilvl w:val="2"/>
      </w:numPr>
    </w:pPr>
  </w:style>
  <w:style w:type="paragraph" w:customStyle="1" w:styleId="TableBullet2Normal">
    <w:name w:val="Table Bullet 2 Normal"/>
    <w:basedOn w:val="TableBullet1Normal"/>
    <w:rsid w:val="003A1A33"/>
    <w:pPr>
      <w:numPr>
        <w:ilvl w:val="1"/>
      </w:numPr>
    </w:pPr>
  </w:style>
  <w:style w:type="paragraph" w:customStyle="1" w:styleId="TableBullet2Small">
    <w:name w:val="Table Bullet 2 Small"/>
    <w:basedOn w:val="TableBullet1Small"/>
    <w:rsid w:val="003A1A33"/>
    <w:pPr>
      <w:numPr>
        <w:ilvl w:val="1"/>
      </w:numPr>
    </w:pPr>
  </w:style>
  <w:style w:type="paragraph" w:customStyle="1" w:styleId="TableIndent1Normal">
    <w:name w:val="Table Indent 1 Normal"/>
    <w:basedOn w:val="TableBullet1Normal"/>
    <w:rsid w:val="003A1A33"/>
    <w:pPr>
      <w:numPr>
        <w:numId w:val="0"/>
      </w:numPr>
      <w:ind w:left="284"/>
    </w:pPr>
  </w:style>
  <w:style w:type="paragraph" w:customStyle="1" w:styleId="TableIndent1Small">
    <w:name w:val="Table Indent 1 Small"/>
    <w:basedOn w:val="TableBullet1Small"/>
    <w:rsid w:val="003A1A33"/>
    <w:pPr>
      <w:numPr>
        <w:numId w:val="0"/>
      </w:numPr>
      <w:ind w:left="284"/>
    </w:pPr>
  </w:style>
  <w:style w:type="paragraph" w:customStyle="1" w:styleId="KeySentenceheading">
    <w:name w:val="Key Sentence heading"/>
    <w:basedOn w:val="KeySentence"/>
    <w:next w:val="KeySentence"/>
    <w:rsid w:val="00931257"/>
    <w:pPr>
      <w:keepNext/>
      <w:keepLines/>
    </w:pPr>
    <w:rPr>
      <w:rFonts w:asciiTheme="majorHAnsi" w:hAnsiTheme="majorHAnsi"/>
      <w:b/>
      <w:sz w:val="20"/>
    </w:rPr>
  </w:style>
  <w:style w:type="character" w:customStyle="1" w:styleId="Bright">
    <w:name w:val="Bright"/>
    <w:rsid w:val="0073770A"/>
    <w:rPr>
      <w:color w:val="DC6900" w:themeColor="accent1"/>
    </w:rPr>
  </w:style>
  <w:style w:type="character" w:customStyle="1" w:styleId="Base">
    <w:name w:val="Base"/>
    <w:rsid w:val="00701EA9"/>
    <w:rPr>
      <w:b/>
      <w:i/>
      <w:color w:val="DC6900" w:themeColor="text2"/>
    </w:rPr>
  </w:style>
  <w:style w:type="paragraph" w:customStyle="1" w:styleId="Sectiontitle">
    <w:name w:val="Section title"/>
    <w:basedOn w:val="Normal"/>
    <w:next w:val="PwCNormal"/>
    <w:rsid w:val="00317710"/>
    <w:pPr>
      <w:spacing w:line="720" w:lineRule="atLeast"/>
      <w:ind w:right="2636"/>
    </w:pPr>
    <w:rPr>
      <w:rFonts w:asciiTheme="majorHAnsi" w:hAnsiTheme="majorHAnsi"/>
      <w:color w:val="DC6900" w:themeColor="text2"/>
      <w:sz w:val="72"/>
    </w:rPr>
  </w:style>
  <w:style w:type="paragraph" w:customStyle="1" w:styleId="Sectionstatement">
    <w:name w:val="Section statement"/>
    <w:basedOn w:val="Normal"/>
    <w:rsid w:val="00317710"/>
    <w:pPr>
      <w:spacing w:line="720" w:lineRule="atLeast"/>
      <w:ind w:right="2636"/>
    </w:pPr>
    <w:rPr>
      <w:rFonts w:asciiTheme="majorHAnsi" w:hAnsiTheme="majorHAnsi"/>
      <w:color w:val="602320" w:themeColor="accent3"/>
      <w:sz w:val="72"/>
      <w:szCs w:val="72"/>
    </w:rPr>
  </w:style>
  <w:style w:type="paragraph" w:customStyle="1" w:styleId="KeySentenceOutsideheading">
    <w:name w:val="Key Sentence Outside heading"/>
    <w:basedOn w:val="KeySentenceOutside"/>
    <w:next w:val="KeySentenceOutside"/>
    <w:rsid w:val="008C6722"/>
    <w:pPr>
      <w:keepNext/>
      <w:keepLines/>
      <w:framePr w:wrap="around"/>
      <w:spacing w:after="0"/>
    </w:pPr>
    <w:rPr>
      <w:rFonts w:asciiTheme="majorHAnsi" w:hAnsiTheme="majorHAnsi"/>
      <w:b/>
      <w:sz w:val="20"/>
    </w:rPr>
  </w:style>
  <w:style w:type="paragraph" w:styleId="FootnoteText">
    <w:name w:val="footnote text"/>
    <w:basedOn w:val="Normal"/>
    <w:link w:val="FootnoteTextChar"/>
    <w:uiPriority w:val="99"/>
    <w:rsid w:val="003A1A33"/>
    <w:pPr>
      <w:tabs>
        <w:tab w:val="left" w:pos="284"/>
      </w:tabs>
      <w:spacing w:before="80" w:after="80"/>
      <w:ind w:left="227" w:hanging="227"/>
    </w:pPr>
    <w:rPr>
      <w:sz w:val="14"/>
    </w:rPr>
  </w:style>
  <w:style w:type="character" w:styleId="FootnoteReference">
    <w:name w:val="footnote reference"/>
    <w:basedOn w:val="DefaultParagraphFont"/>
    <w:uiPriority w:val="99"/>
    <w:rsid w:val="00BA43D6"/>
    <w:rPr>
      <w:rFonts w:asciiTheme="minorHAnsi" w:hAnsiTheme="minorHAnsi" w:cs="Arial"/>
      <w:sz w:val="21"/>
      <w:vertAlign w:val="superscript"/>
    </w:rPr>
  </w:style>
  <w:style w:type="character" w:styleId="EndnoteReference">
    <w:name w:val="endnote reference"/>
    <w:basedOn w:val="DefaultParagraphFont"/>
    <w:semiHidden/>
    <w:unhideWhenUsed/>
    <w:rsid w:val="003A1A33"/>
    <w:rPr>
      <w:rFonts w:ascii="Arial" w:hAnsi="Arial" w:cs="Arial"/>
      <w:sz w:val="21"/>
      <w:vertAlign w:val="superscript"/>
    </w:rPr>
  </w:style>
  <w:style w:type="paragraph" w:styleId="EndnoteText">
    <w:name w:val="endnote text"/>
    <w:basedOn w:val="FootnoteText"/>
    <w:semiHidden/>
    <w:unhideWhenUsed/>
    <w:rsid w:val="003A1A33"/>
  </w:style>
  <w:style w:type="paragraph" w:customStyle="1" w:styleId="Address">
    <w:name w:val="Address"/>
    <w:basedOn w:val="Normal"/>
    <w:qFormat/>
    <w:rsid w:val="003A1A33"/>
    <w:pPr>
      <w:kinsoku/>
      <w:overflowPunct/>
      <w:autoSpaceDE/>
      <w:autoSpaceDN/>
      <w:adjustRightInd/>
      <w:snapToGrid/>
      <w:spacing w:line="200" w:lineRule="atLeast"/>
    </w:pPr>
    <w:rPr>
      <w:rFonts w:eastAsiaTheme="minorHAnsi" w:cstheme="minorBidi"/>
      <w:i/>
      <w:noProof/>
      <w:snapToGrid/>
      <w:sz w:val="18"/>
      <w:szCs w:val="22"/>
      <w:lang w:val="en-GB" w:eastAsia="en-GB"/>
    </w:rPr>
  </w:style>
  <w:style w:type="table" w:styleId="TableGrid">
    <w:name w:val="Table Grid"/>
    <w:basedOn w:val="TableNormal"/>
    <w:locked/>
    <w:rsid w:val="003A1A33"/>
    <w:pPr>
      <w:kinsoku w:val="0"/>
      <w:overflowPunct w:val="0"/>
      <w:autoSpaceDE w:val="0"/>
      <w:autoSpaceDN w:val="0"/>
      <w:adjustRightInd w:val="0"/>
      <w:snapToGrid w:val="0"/>
    </w:pPr>
    <w:rPr>
      <w:rFonts w:ascii="Georgia" w:hAnsi="Georg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eySentenceInsideheading">
    <w:name w:val="Key Sentence Inside heading"/>
    <w:basedOn w:val="KeySentenceInside"/>
    <w:next w:val="KeySentenceInside"/>
    <w:rsid w:val="00A84ADF"/>
    <w:pPr>
      <w:keepNext/>
      <w:keepLines/>
      <w:framePr w:wrap="notBeside"/>
      <w:spacing w:after="0"/>
      <w:ind w:left="-11"/>
    </w:pPr>
    <w:rPr>
      <w:rFonts w:asciiTheme="majorHAnsi" w:hAnsiTheme="majorHAnsi"/>
      <w:b/>
      <w:sz w:val="20"/>
    </w:rPr>
  </w:style>
  <w:style w:type="paragraph" w:styleId="TOC3">
    <w:name w:val="toc 3"/>
    <w:basedOn w:val="TOC1"/>
    <w:next w:val="PwCNormal"/>
    <w:uiPriority w:val="39"/>
    <w:rsid w:val="003A1A33"/>
    <w:pPr>
      <w:numPr>
        <w:ilvl w:val="2"/>
        <w:numId w:val="35"/>
      </w:numPr>
    </w:pPr>
  </w:style>
  <w:style w:type="paragraph" w:styleId="TOC5">
    <w:name w:val="toc 5"/>
    <w:basedOn w:val="TOC2"/>
    <w:next w:val="PwCNormal"/>
    <w:uiPriority w:val="39"/>
    <w:rsid w:val="00C25FEF"/>
    <w:pPr>
      <w:spacing w:before="640"/>
    </w:pPr>
    <w:rPr>
      <w:b/>
    </w:rPr>
  </w:style>
  <w:style w:type="paragraph" w:styleId="TOC8">
    <w:name w:val="toc 8"/>
    <w:basedOn w:val="TOC7"/>
    <w:next w:val="PwCNormal"/>
    <w:rsid w:val="003A1A33"/>
    <w:pPr>
      <w:tabs>
        <w:tab w:val="clear" w:pos="1985"/>
        <w:tab w:val="left" w:pos="3402"/>
      </w:tabs>
      <w:ind w:left="3403"/>
    </w:pPr>
  </w:style>
  <w:style w:type="paragraph" w:styleId="TOC9">
    <w:name w:val="toc 9"/>
    <w:basedOn w:val="TOC8"/>
    <w:next w:val="PwCNormal"/>
    <w:uiPriority w:val="39"/>
    <w:rsid w:val="003A1A33"/>
    <w:pPr>
      <w:tabs>
        <w:tab w:val="clear" w:pos="3402"/>
        <w:tab w:val="left" w:pos="4253"/>
      </w:tabs>
      <w:ind w:left="4253"/>
    </w:pPr>
  </w:style>
  <w:style w:type="paragraph" w:customStyle="1" w:styleId="Separator">
    <w:name w:val="Separator"/>
    <w:basedOn w:val="Normal"/>
    <w:semiHidden/>
    <w:rsid w:val="003A1A33"/>
    <w:pPr>
      <w:spacing w:before="240" w:after="120"/>
    </w:pPr>
    <w:rPr>
      <w:sz w:val="16"/>
    </w:rPr>
  </w:style>
  <w:style w:type="numbering" w:customStyle="1" w:styleId="TableNumberedListN">
    <w:name w:val="Table Numbered List N"/>
    <w:rsid w:val="003A1A33"/>
  </w:style>
  <w:style w:type="paragraph" w:customStyle="1" w:styleId="TableColumnHeadingNormal">
    <w:name w:val="Table Column Heading Normal"/>
    <w:basedOn w:val="TableTextNormal"/>
    <w:rsid w:val="00AA3ADB"/>
    <w:pPr>
      <w:keepNext/>
      <w:keepLines/>
    </w:pPr>
    <w:rPr>
      <w:b/>
      <w:color w:val="FFFFFF" w:themeColor="background1"/>
    </w:rPr>
  </w:style>
  <w:style w:type="paragraph" w:customStyle="1" w:styleId="TableColumnHeadingSmall">
    <w:name w:val="Table Column Heading Small"/>
    <w:basedOn w:val="TableTextSmall"/>
    <w:next w:val="TableTextSmall"/>
    <w:rsid w:val="003A1A33"/>
    <w:pPr>
      <w:keepNext/>
      <w:keepLines/>
    </w:pPr>
    <w:rPr>
      <w:b/>
      <w:color w:val="DC6900" w:themeColor="text2"/>
      <w:szCs w:val="16"/>
    </w:rPr>
  </w:style>
  <w:style w:type="numbering" w:customStyle="1" w:styleId="TableBulletSmallList">
    <w:name w:val="Table Bullet Small List"/>
    <w:rsid w:val="003A1A33"/>
    <w:pPr>
      <w:numPr>
        <w:numId w:val="3"/>
      </w:numPr>
    </w:pPr>
  </w:style>
  <w:style w:type="paragraph" w:customStyle="1" w:styleId="Header-Landscape">
    <w:name w:val="Header - Landscape"/>
    <w:basedOn w:val="Header"/>
    <w:rsid w:val="003A1A33"/>
  </w:style>
  <w:style w:type="character" w:styleId="PageNumber">
    <w:name w:val="page number"/>
    <w:semiHidden/>
    <w:unhideWhenUsed/>
    <w:rsid w:val="003A1A33"/>
  </w:style>
  <w:style w:type="paragraph" w:styleId="Date">
    <w:name w:val="Date"/>
    <w:basedOn w:val="Normal"/>
    <w:next w:val="PwCNormal"/>
    <w:semiHidden/>
    <w:rsid w:val="003A1A33"/>
  </w:style>
  <w:style w:type="paragraph" w:customStyle="1" w:styleId="Indent8">
    <w:name w:val="Indent 8"/>
    <w:basedOn w:val="Indent7"/>
    <w:rsid w:val="003A1A33"/>
    <w:pPr>
      <w:numPr>
        <w:ilvl w:val="8"/>
      </w:numPr>
    </w:pPr>
  </w:style>
  <w:style w:type="paragraph" w:customStyle="1" w:styleId="Header-LandscapeEven">
    <w:name w:val="Header - Landscape Even"/>
    <w:basedOn w:val="Header-Landscape"/>
    <w:rsid w:val="003A1A33"/>
    <w:pPr>
      <w:tabs>
        <w:tab w:val="right" w:pos="14661"/>
      </w:tabs>
    </w:pPr>
  </w:style>
  <w:style w:type="paragraph" w:customStyle="1" w:styleId="Footer-ToC">
    <w:name w:val="Footer - ToC"/>
    <w:basedOn w:val="Footer"/>
    <w:rsid w:val="003A1A33"/>
  </w:style>
  <w:style w:type="paragraph" w:customStyle="1" w:styleId="Footer-ToCEven">
    <w:name w:val="Footer - ToC Even"/>
    <w:basedOn w:val="Footer-ToC"/>
    <w:rsid w:val="003A1A33"/>
  </w:style>
  <w:style w:type="table" w:customStyle="1" w:styleId="PwCTableStyle1">
    <w:name w:val="PwC Table Style 1"/>
    <w:basedOn w:val="TableNormal"/>
    <w:uiPriority w:val="99"/>
    <w:qFormat/>
    <w:rsid w:val="00207254"/>
    <w:tblPr>
      <w:tblInd w:w="0" w:type="dxa"/>
      <w:tblBorders>
        <w:top w:val="single" w:sz="4" w:space="0" w:color="DC6900" w:themeColor="text2"/>
        <w:bottom w:val="single" w:sz="6" w:space="0" w:color="DC6900" w:themeColor="text2"/>
        <w:insideH w:val="single" w:sz="6" w:space="0" w:color="DC6900" w:themeColor="text2"/>
      </w:tblBorders>
      <w:tblCellMar>
        <w:top w:w="28" w:type="dxa"/>
        <w:left w:w="108" w:type="dxa"/>
        <w:bottom w:w="28" w:type="dxa"/>
        <w:right w:w="108" w:type="dxa"/>
      </w:tblCellMar>
    </w:tblPr>
    <w:tblStylePr w:type="firstRow">
      <w:rPr>
        <w:b w:val="0"/>
        <w:i w:val="0"/>
        <w:color w:val="DC6900" w:themeColor="text2"/>
      </w:rPr>
      <w:tblPr/>
      <w:trPr>
        <w:tblHeader/>
      </w:trPr>
      <w:tcPr>
        <w:tcBorders>
          <w:top w:val="single" w:sz="8" w:space="0" w:color="DC6900" w:themeColor="text2"/>
          <w:insideV w:val="single" w:sz="6" w:space="0" w:color="FFFFFF" w:themeColor="background1"/>
        </w:tcBorders>
      </w:tcPr>
    </w:tblStylePr>
    <w:tblStylePr w:type="lastRow">
      <w:rPr>
        <w:b w:val="0"/>
      </w:rPr>
      <w:tblPr/>
      <w:tcPr>
        <w:tcBorders>
          <w:top w:val="single" w:sz="8" w:space="0" w:color="DC6900" w:themeColor="text2"/>
          <w:bottom w:val="single" w:sz="8" w:space="0" w:color="DC6900" w:themeColor="text2"/>
        </w:tcBorders>
      </w:tcPr>
    </w:tblStylePr>
    <w:tblStylePr w:type="firstCol">
      <w:rPr>
        <w:color w:val="auto"/>
      </w:rPr>
    </w:tblStylePr>
  </w:style>
  <w:style w:type="paragraph" w:customStyle="1" w:styleId="CVRoleTitle">
    <w:name w:val="CV Role Title"/>
    <w:basedOn w:val="CVText"/>
    <w:rsid w:val="003A1A33"/>
    <w:pPr>
      <w:pBdr>
        <w:bottom w:val="none" w:sz="0" w:space="0" w:color="00457C"/>
      </w:pBdr>
    </w:pPr>
    <w:rPr>
      <w:i/>
      <w:color w:val="DC6900" w:themeColor="text2"/>
      <w:sz w:val="24"/>
      <w:szCs w:val="24"/>
    </w:rPr>
  </w:style>
  <w:style w:type="paragraph" w:customStyle="1" w:styleId="ListBullet1">
    <w:name w:val="List Bullet 1"/>
    <w:basedOn w:val="Normal"/>
    <w:semiHidden/>
    <w:locked/>
    <w:rsid w:val="003A1A33"/>
    <w:pPr>
      <w:tabs>
        <w:tab w:val="num" w:pos="720"/>
      </w:tabs>
      <w:spacing w:before="100" w:after="100"/>
      <w:ind w:left="720" w:hanging="720"/>
    </w:pPr>
  </w:style>
  <w:style w:type="paragraph" w:styleId="ListBullet2">
    <w:name w:val="List Bullet 2"/>
    <w:basedOn w:val="ListBullet1"/>
    <w:qFormat/>
    <w:locked/>
    <w:rsid w:val="003A1A33"/>
    <w:pPr>
      <w:numPr>
        <w:ilvl w:val="1"/>
        <w:numId w:val="6"/>
      </w:numPr>
      <w:spacing w:before="0" w:after="240"/>
    </w:pPr>
  </w:style>
  <w:style w:type="paragraph" w:styleId="ListBullet4">
    <w:name w:val="List Bullet 4"/>
    <w:basedOn w:val="ListBullet3"/>
    <w:unhideWhenUsed/>
    <w:locked/>
    <w:rsid w:val="003A1A33"/>
    <w:pPr>
      <w:numPr>
        <w:ilvl w:val="3"/>
      </w:numPr>
    </w:pPr>
  </w:style>
  <w:style w:type="paragraph" w:customStyle="1" w:styleId="CVBullet1">
    <w:name w:val="CV Bullet 1"/>
    <w:basedOn w:val="CVText"/>
    <w:link w:val="CVBullet1Char"/>
    <w:rsid w:val="003A1A33"/>
    <w:pPr>
      <w:numPr>
        <w:numId w:val="10"/>
      </w:numPr>
      <w:spacing w:before="40" w:after="40"/>
    </w:pPr>
  </w:style>
  <w:style w:type="paragraph" w:customStyle="1" w:styleId="CVDetails">
    <w:name w:val="CV Details"/>
    <w:basedOn w:val="CVRoleTitle"/>
    <w:link w:val="CVDetailsChar"/>
    <w:rsid w:val="003A1A33"/>
    <w:pPr>
      <w:spacing w:before="120" w:after="40"/>
    </w:pPr>
    <w:rPr>
      <w:sz w:val="14"/>
    </w:rPr>
  </w:style>
  <w:style w:type="paragraph" w:customStyle="1" w:styleId="CVHeading2">
    <w:name w:val="CV Heading 2"/>
    <w:basedOn w:val="CVHeading1"/>
    <w:next w:val="CVText"/>
    <w:rsid w:val="003A1A33"/>
    <w:pPr>
      <w:pBdr>
        <w:bottom w:val="none" w:sz="0" w:space="0" w:color="00457C"/>
      </w:pBdr>
    </w:pPr>
    <w:rPr>
      <w:b w:val="0"/>
      <w:sz w:val="18"/>
      <w:szCs w:val="24"/>
    </w:rPr>
  </w:style>
  <w:style w:type="paragraph" w:styleId="ListBullet3">
    <w:name w:val="List Bullet 3"/>
    <w:basedOn w:val="ListBullet2"/>
    <w:qFormat/>
    <w:locked/>
    <w:rsid w:val="003A1A33"/>
    <w:pPr>
      <w:numPr>
        <w:ilvl w:val="2"/>
      </w:numPr>
    </w:pPr>
  </w:style>
  <w:style w:type="paragraph" w:customStyle="1" w:styleId="CVHeading1">
    <w:name w:val="CV Heading 1"/>
    <w:basedOn w:val="CVText"/>
    <w:next w:val="CVText"/>
    <w:link w:val="CVHeading1Char"/>
    <w:rsid w:val="003A1A33"/>
    <w:pPr>
      <w:keepNext/>
      <w:keepLines/>
      <w:spacing w:before="120"/>
    </w:pPr>
    <w:rPr>
      <w:b/>
      <w:i/>
      <w:color w:val="DC6900" w:themeColor="text2"/>
    </w:rPr>
  </w:style>
  <w:style w:type="paragraph" w:customStyle="1" w:styleId="CVPhoto">
    <w:name w:val="CV Photo"/>
    <w:basedOn w:val="CVHeading2"/>
    <w:rsid w:val="003A1A33"/>
    <w:rPr>
      <w:sz w:val="21"/>
    </w:rPr>
  </w:style>
  <w:style w:type="paragraph" w:customStyle="1" w:styleId="CVText">
    <w:name w:val="CV Text"/>
    <w:basedOn w:val="PwCNormal"/>
    <w:link w:val="CVTextChar"/>
    <w:qFormat/>
    <w:rsid w:val="003A1A33"/>
    <w:pPr>
      <w:numPr>
        <w:numId w:val="0"/>
      </w:numPr>
      <w:spacing w:before="80" w:after="80"/>
    </w:pPr>
  </w:style>
  <w:style w:type="paragraph" w:customStyle="1" w:styleId="CVNamelarge">
    <w:name w:val="CV Name large"/>
    <w:basedOn w:val="CVText"/>
    <w:next w:val="CVRoleTitle"/>
    <w:rsid w:val="003A1A33"/>
    <w:pPr>
      <w:spacing w:before="0"/>
    </w:pPr>
    <w:rPr>
      <w:b/>
      <w:i/>
      <w:color w:val="DC6900" w:themeColor="text2"/>
      <w:sz w:val="36"/>
      <w:szCs w:val="24"/>
    </w:rPr>
  </w:style>
  <w:style w:type="paragraph" w:customStyle="1" w:styleId="CVBullet2">
    <w:name w:val="CV Bullet 2"/>
    <w:basedOn w:val="CVBullet1"/>
    <w:rsid w:val="003A1A33"/>
    <w:pPr>
      <w:numPr>
        <w:ilvl w:val="1"/>
      </w:numPr>
    </w:pPr>
  </w:style>
  <w:style w:type="paragraph" w:styleId="Title">
    <w:name w:val="Title"/>
    <w:basedOn w:val="Normal"/>
    <w:semiHidden/>
    <w:qFormat/>
    <w:rsid w:val="003A1A33"/>
    <w:pPr>
      <w:spacing w:before="240" w:after="60"/>
      <w:jc w:val="center"/>
      <w:outlineLvl w:val="0"/>
    </w:pPr>
    <w:rPr>
      <w:b/>
      <w:bCs/>
      <w:color w:val="DC6900" w:themeColor="text2"/>
      <w:kern w:val="28"/>
      <w:sz w:val="32"/>
      <w:szCs w:val="32"/>
    </w:rPr>
  </w:style>
  <w:style w:type="paragraph" w:styleId="BalloonText">
    <w:name w:val="Balloon Text"/>
    <w:basedOn w:val="Normal"/>
    <w:semiHidden/>
    <w:locked/>
    <w:rsid w:val="003A1A33"/>
    <w:rPr>
      <w:rFonts w:ascii="Tahoma" w:hAnsi="Tahoma"/>
      <w:sz w:val="16"/>
      <w:szCs w:val="16"/>
    </w:rPr>
  </w:style>
  <w:style w:type="numbering" w:customStyle="1" w:styleId="LongTOC">
    <w:name w:val="LongTOC"/>
    <w:uiPriority w:val="99"/>
    <w:rsid w:val="001C6E2E"/>
    <w:pPr>
      <w:numPr>
        <w:numId w:val="4"/>
      </w:numPr>
    </w:pPr>
  </w:style>
  <w:style w:type="numbering" w:customStyle="1" w:styleId="IndentList">
    <w:name w:val="IndentList"/>
    <w:basedOn w:val="NoList"/>
    <w:rsid w:val="003A1A33"/>
  </w:style>
  <w:style w:type="paragraph" w:customStyle="1" w:styleId="VersionControl">
    <w:name w:val="Version Control"/>
    <w:basedOn w:val="TOCtitle"/>
    <w:unhideWhenUsed/>
    <w:rsid w:val="003A1A33"/>
    <w:pPr>
      <w:framePr w:w="9923" w:wrap="around" w:vAnchor="text" w:hAnchor="page" w:x="1498" w:y="1"/>
      <w:spacing w:before="360" w:after="240"/>
    </w:pPr>
    <w:rPr>
      <w:sz w:val="28"/>
    </w:rPr>
  </w:style>
  <w:style w:type="paragraph" w:customStyle="1" w:styleId="VersionTableHeading">
    <w:name w:val="Version Table Heading"/>
    <w:basedOn w:val="VersionTableText"/>
    <w:unhideWhenUsed/>
    <w:rsid w:val="003A1A33"/>
    <w:pPr>
      <w:framePr w:wrap="around"/>
    </w:pPr>
  </w:style>
  <w:style w:type="paragraph" w:customStyle="1" w:styleId="VersionTableText">
    <w:name w:val="Version Table Text"/>
    <w:basedOn w:val="VersionControl"/>
    <w:unhideWhenUsed/>
    <w:rsid w:val="003A1A33"/>
    <w:pPr>
      <w:framePr w:wrap="around"/>
      <w:spacing w:before="80" w:after="80"/>
      <w:outlineLvl w:val="9"/>
    </w:pPr>
    <w:rPr>
      <w:rFonts w:ascii="Georgia" w:hAnsi="Georgia"/>
      <w:sz w:val="21"/>
      <w:szCs w:val="20"/>
    </w:rPr>
  </w:style>
  <w:style w:type="table" w:customStyle="1" w:styleId="PwCTableStyleBold1">
    <w:name w:val="PwC Table Style Bold 1"/>
    <w:basedOn w:val="TableNormal"/>
    <w:uiPriority w:val="99"/>
    <w:qFormat/>
    <w:rsid w:val="00FB380F"/>
    <w:rPr>
      <w:color w:val="FFFFFF" w:themeColor="background1"/>
    </w:rPr>
    <w:tblPr>
      <w:tblInd w:w="0" w:type="dxa"/>
      <w:tblBorders>
        <w:insideH w:val="single" w:sz="12" w:space="0" w:color="FFFFFF" w:themeColor="background1"/>
        <w:insideV w:val="single" w:sz="12" w:space="0" w:color="FFFFFF" w:themeColor="background1"/>
      </w:tblBorders>
      <w:tblCellMar>
        <w:top w:w="57" w:type="dxa"/>
        <w:left w:w="108" w:type="dxa"/>
        <w:bottom w:w="57" w:type="dxa"/>
        <w:right w:w="108" w:type="dxa"/>
      </w:tblCellMar>
    </w:tblPr>
    <w:tcPr>
      <w:shd w:val="clear" w:color="auto" w:fill="FFA351" w:themeFill="accent1" w:themeFillTint="99"/>
    </w:tcPr>
    <w:tblStylePr w:type="firstRow">
      <w:pPr>
        <w:jc w:val="left"/>
      </w:pPr>
      <w:rPr>
        <w:b/>
      </w:rPr>
      <w:tblPr/>
      <w:tcPr>
        <w:shd w:val="clear" w:color="auto" w:fill="DC6900" w:themeFill="text2"/>
      </w:tcPr>
    </w:tblStylePr>
    <w:tblStylePr w:type="lastRow">
      <w:rPr>
        <w:b/>
      </w:rPr>
    </w:tblStylePr>
    <w:tblStylePr w:type="firstCol">
      <w:tblPr/>
      <w:tcPr>
        <w:shd w:val="clear" w:color="auto" w:fill="DC6900" w:themeFill="accent1"/>
      </w:tcPr>
    </w:tblStylePr>
  </w:style>
  <w:style w:type="paragraph" w:customStyle="1" w:styleId="SectionSummary">
    <w:name w:val="Section Summary"/>
    <w:basedOn w:val="Normal"/>
    <w:next w:val="PwCNormal"/>
    <w:rsid w:val="00317710"/>
    <w:pPr>
      <w:spacing w:after="240"/>
    </w:pPr>
    <w:rPr>
      <w:rFonts w:asciiTheme="majorHAnsi" w:hAnsiTheme="majorHAnsi"/>
      <w:color w:val="602320" w:themeColor="accent3"/>
      <w:sz w:val="24"/>
    </w:rPr>
  </w:style>
  <w:style w:type="character" w:customStyle="1" w:styleId="HeaderChar">
    <w:name w:val="Header Char"/>
    <w:basedOn w:val="DefaultParagraphFont"/>
    <w:link w:val="Header"/>
    <w:locked/>
    <w:rsid w:val="003A1A33"/>
    <w:rPr>
      <w:rFonts w:cs="Arial"/>
      <w:snapToGrid w:val="0"/>
      <w:color w:val="000000" w:themeColor="text1"/>
      <w:sz w:val="19"/>
      <w:szCs w:val="18"/>
      <w:lang w:eastAsia="en-US"/>
    </w:rPr>
  </w:style>
  <w:style w:type="character" w:customStyle="1" w:styleId="FooterChar">
    <w:name w:val="Footer Char"/>
    <w:basedOn w:val="DefaultParagraphFont"/>
    <w:link w:val="Footer"/>
    <w:locked/>
    <w:rsid w:val="00924BB2"/>
    <w:rPr>
      <w:rFonts w:asciiTheme="minorHAnsi" w:hAnsiTheme="minorHAnsi" w:cs="Arial"/>
      <w:snapToGrid w:val="0"/>
      <w:color w:val="000000" w:themeColor="text1"/>
      <w:sz w:val="19"/>
      <w:szCs w:val="18"/>
      <w:lang w:eastAsia="en-US"/>
    </w:rPr>
  </w:style>
  <w:style w:type="paragraph" w:customStyle="1" w:styleId="Header-FirstPage">
    <w:name w:val="Header - First Page"/>
    <w:basedOn w:val="Header"/>
    <w:rsid w:val="003A1A33"/>
  </w:style>
  <w:style w:type="paragraph" w:customStyle="1" w:styleId="Appendicestitle">
    <w:name w:val="Appendices title"/>
    <w:basedOn w:val="TOCtitle"/>
    <w:qFormat/>
    <w:rsid w:val="00847199"/>
    <w:pPr>
      <w:numPr>
        <w:ilvl w:val="1"/>
        <w:numId w:val="35"/>
      </w:numPr>
    </w:pPr>
    <w:rPr>
      <w:color w:val="968C6D"/>
    </w:rPr>
  </w:style>
  <w:style w:type="numbering" w:customStyle="1" w:styleId="CVBullets">
    <w:name w:val="CV Bullets"/>
    <w:uiPriority w:val="99"/>
    <w:rsid w:val="003A1A33"/>
    <w:pPr>
      <w:numPr>
        <w:numId w:val="7"/>
      </w:numPr>
    </w:pPr>
  </w:style>
  <w:style w:type="paragraph" w:styleId="DocumentMap">
    <w:name w:val="Document Map"/>
    <w:basedOn w:val="Normal"/>
    <w:link w:val="DocumentMapChar"/>
    <w:semiHidden/>
    <w:rsid w:val="003A1A33"/>
    <w:rPr>
      <w:rFonts w:ascii="Tahoma" w:hAnsi="Tahoma" w:cs="Tahoma"/>
      <w:sz w:val="16"/>
      <w:szCs w:val="16"/>
    </w:rPr>
  </w:style>
  <w:style w:type="character" w:customStyle="1" w:styleId="DocumentMapChar">
    <w:name w:val="Document Map Char"/>
    <w:basedOn w:val="DefaultParagraphFont"/>
    <w:link w:val="DocumentMap"/>
    <w:semiHidden/>
    <w:rsid w:val="003A1A33"/>
    <w:rPr>
      <w:rFonts w:ascii="Tahoma" w:hAnsi="Tahoma" w:cs="Tahoma"/>
      <w:snapToGrid w:val="0"/>
      <w:sz w:val="16"/>
      <w:szCs w:val="16"/>
      <w:lang w:eastAsia="en-US"/>
    </w:rPr>
  </w:style>
  <w:style w:type="table" w:customStyle="1" w:styleId="ColorfulGrid1">
    <w:name w:val="Colorful Grid1"/>
    <w:basedOn w:val="TableNormal"/>
    <w:uiPriority w:val="73"/>
    <w:semiHidden/>
    <w:locked/>
    <w:rsid w:val="001C6E2E"/>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locked/>
    <w:rsid w:val="001C6E2E"/>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FE0C5" w:themeFill="accent1" w:themeFillTint="33"/>
    </w:tcPr>
    <w:tblStylePr w:type="firstRow">
      <w:rPr>
        <w:b/>
        <w:bCs/>
      </w:rPr>
      <w:tblPr/>
      <w:tcPr>
        <w:shd w:val="clear" w:color="auto" w:fill="FFC28B" w:themeFill="accent1" w:themeFillTint="66"/>
      </w:tcPr>
    </w:tblStylePr>
    <w:tblStylePr w:type="lastRow">
      <w:rPr>
        <w:b/>
        <w:bCs/>
        <w:color w:val="000000" w:themeColor="text1"/>
      </w:rPr>
      <w:tblPr/>
      <w:tcPr>
        <w:shd w:val="clear" w:color="auto" w:fill="FFC28B" w:themeFill="accent1" w:themeFillTint="66"/>
      </w:tcPr>
    </w:tblStylePr>
    <w:tblStylePr w:type="firstCol">
      <w:rPr>
        <w:color w:val="FFFFFF" w:themeColor="background1"/>
      </w:rPr>
      <w:tblPr/>
      <w:tcPr>
        <w:shd w:val="clear" w:color="auto" w:fill="A44E00" w:themeFill="accent1" w:themeFillShade="BF"/>
      </w:tcPr>
    </w:tblStylePr>
    <w:tblStylePr w:type="lastCol">
      <w:rPr>
        <w:color w:val="FFFFFF" w:themeColor="background1"/>
      </w:rPr>
      <w:tblPr/>
      <w:tcPr>
        <w:shd w:val="clear" w:color="auto" w:fill="A44E00" w:themeFill="accent1" w:themeFillShade="BF"/>
      </w:tcPr>
    </w:tblStylePr>
    <w:tblStylePr w:type="band1Vert">
      <w:tblPr/>
      <w:tcPr>
        <w:shd w:val="clear" w:color="auto" w:fill="FFB26E" w:themeFill="accent1" w:themeFillTint="7F"/>
      </w:tcPr>
    </w:tblStylePr>
    <w:tblStylePr w:type="band1Horz">
      <w:tblPr/>
      <w:tcPr>
        <w:shd w:val="clear" w:color="auto" w:fill="FFB26E" w:themeFill="accent1" w:themeFillTint="7F"/>
      </w:tcPr>
    </w:tblStylePr>
  </w:style>
  <w:style w:type="table" w:styleId="ColorfulGrid-Accent2">
    <w:name w:val="Colorful Grid Accent 2"/>
    <w:basedOn w:val="TableNormal"/>
    <w:uiPriority w:val="73"/>
    <w:semiHidden/>
    <w:locked/>
    <w:rsid w:val="001C6E2E"/>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FF0CC" w:themeFill="accent2" w:themeFillTint="33"/>
    </w:tcPr>
    <w:tblStylePr w:type="firstRow">
      <w:rPr>
        <w:b/>
        <w:bCs/>
      </w:rPr>
      <w:tblPr/>
      <w:tcPr>
        <w:shd w:val="clear" w:color="auto" w:fill="FFE199" w:themeFill="accent2" w:themeFillTint="66"/>
      </w:tcPr>
    </w:tblStylePr>
    <w:tblStylePr w:type="lastRow">
      <w:rPr>
        <w:b/>
        <w:bCs/>
        <w:color w:val="000000" w:themeColor="text1"/>
      </w:rPr>
      <w:tblPr/>
      <w:tcPr>
        <w:shd w:val="clear" w:color="auto" w:fill="FFE199" w:themeFill="accent2" w:themeFillTint="66"/>
      </w:tcPr>
    </w:tblStylePr>
    <w:tblStylePr w:type="firstCol">
      <w:rPr>
        <w:color w:val="FFFFFF" w:themeColor="background1"/>
      </w:rPr>
      <w:tblPr/>
      <w:tcPr>
        <w:shd w:val="clear" w:color="auto" w:fill="BF8800" w:themeFill="accent2" w:themeFillShade="BF"/>
      </w:tcPr>
    </w:tblStylePr>
    <w:tblStylePr w:type="lastCol">
      <w:rPr>
        <w:color w:val="FFFFFF" w:themeColor="background1"/>
      </w:rPr>
      <w:tblPr/>
      <w:tcPr>
        <w:shd w:val="clear" w:color="auto" w:fill="BF8800" w:themeFill="accent2" w:themeFillShade="BF"/>
      </w:tcPr>
    </w:tblStylePr>
    <w:tblStylePr w:type="band1Vert">
      <w:tblPr/>
      <w:tcPr>
        <w:shd w:val="clear" w:color="auto" w:fill="FFDA80" w:themeFill="accent2" w:themeFillTint="7F"/>
      </w:tcPr>
    </w:tblStylePr>
    <w:tblStylePr w:type="band1Horz">
      <w:tblPr/>
      <w:tcPr>
        <w:shd w:val="clear" w:color="auto" w:fill="FFDA80" w:themeFill="accent2" w:themeFillTint="7F"/>
      </w:tcPr>
    </w:tblStylePr>
  </w:style>
  <w:style w:type="table" w:styleId="ColorfulGrid-Accent3">
    <w:name w:val="Colorful Grid Accent 3"/>
    <w:basedOn w:val="TableNormal"/>
    <w:uiPriority w:val="73"/>
    <w:semiHidden/>
    <w:locked/>
    <w:rsid w:val="001C6E2E"/>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BC7C5" w:themeFill="accent3" w:themeFillTint="33"/>
    </w:tcPr>
    <w:tblStylePr w:type="firstRow">
      <w:rPr>
        <w:b/>
        <w:bCs/>
      </w:rPr>
      <w:tblPr/>
      <w:tcPr>
        <w:shd w:val="clear" w:color="auto" w:fill="D88F8C" w:themeFill="accent3" w:themeFillTint="66"/>
      </w:tcPr>
    </w:tblStylePr>
    <w:tblStylePr w:type="lastRow">
      <w:rPr>
        <w:b/>
        <w:bCs/>
        <w:color w:val="000000" w:themeColor="text1"/>
      </w:rPr>
      <w:tblPr/>
      <w:tcPr>
        <w:shd w:val="clear" w:color="auto" w:fill="D88F8C" w:themeFill="accent3" w:themeFillTint="66"/>
      </w:tcPr>
    </w:tblStylePr>
    <w:tblStylePr w:type="firstCol">
      <w:rPr>
        <w:color w:val="FFFFFF" w:themeColor="background1"/>
      </w:rPr>
      <w:tblPr/>
      <w:tcPr>
        <w:shd w:val="clear" w:color="auto" w:fill="471A18" w:themeFill="accent3" w:themeFillShade="BF"/>
      </w:tcPr>
    </w:tblStylePr>
    <w:tblStylePr w:type="lastCol">
      <w:rPr>
        <w:color w:val="FFFFFF" w:themeColor="background1"/>
      </w:rPr>
      <w:tblPr/>
      <w:tcPr>
        <w:shd w:val="clear" w:color="auto" w:fill="471A18" w:themeFill="accent3" w:themeFillShade="BF"/>
      </w:tcPr>
    </w:tblStylePr>
    <w:tblStylePr w:type="band1Vert">
      <w:tblPr/>
      <w:tcPr>
        <w:shd w:val="clear" w:color="auto" w:fill="CF7470" w:themeFill="accent3" w:themeFillTint="7F"/>
      </w:tcPr>
    </w:tblStylePr>
    <w:tblStylePr w:type="band1Horz">
      <w:tblPr/>
      <w:tcPr>
        <w:shd w:val="clear" w:color="auto" w:fill="CF7470" w:themeFill="accent3" w:themeFillTint="7F"/>
      </w:tcPr>
    </w:tblStylePr>
  </w:style>
  <w:style w:type="table" w:styleId="ColorfulGrid-Accent4">
    <w:name w:val="Colorful Grid Accent 4"/>
    <w:basedOn w:val="TableNormal"/>
    <w:uiPriority w:val="73"/>
    <w:semiHidden/>
    <w:locked/>
    <w:rsid w:val="001C6E2E"/>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7DCE1" w:themeFill="accent4" w:themeFillTint="33"/>
    </w:tcPr>
    <w:tblStylePr w:type="firstRow">
      <w:rPr>
        <w:b/>
        <w:bCs/>
      </w:rPr>
      <w:tblPr/>
      <w:tcPr>
        <w:shd w:val="clear" w:color="auto" w:fill="F0BAC3" w:themeFill="accent4" w:themeFillTint="66"/>
      </w:tcPr>
    </w:tblStylePr>
    <w:tblStylePr w:type="lastRow">
      <w:rPr>
        <w:b/>
        <w:bCs/>
        <w:color w:val="000000" w:themeColor="text1"/>
      </w:rPr>
      <w:tblPr/>
      <w:tcPr>
        <w:shd w:val="clear" w:color="auto" w:fill="F0BAC3" w:themeFill="accent4" w:themeFillTint="66"/>
      </w:tcPr>
    </w:tblStylePr>
    <w:tblStylePr w:type="firstCol">
      <w:rPr>
        <w:color w:val="FFFFFF" w:themeColor="background1"/>
      </w:rPr>
      <w:tblPr/>
      <w:tcPr>
        <w:shd w:val="clear" w:color="auto" w:fill="BA2740" w:themeFill="accent4" w:themeFillShade="BF"/>
      </w:tcPr>
    </w:tblStylePr>
    <w:tblStylePr w:type="lastCol">
      <w:rPr>
        <w:color w:val="FFFFFF" w:themeColor="background1"/>
      </w:rPr>
      <w:tblPr/>
      <w:tcPr>
        <w:shd w:val="clear" w:color="auto" w:fill="BA2740" w:themeFill="accent4" w:themeFillShade="BF"/>
      </w:tcPr>
    </w:tblStylePr>
    <w:tblStylePr w:type="band1Vert">
      <w:tblPr/>
      <w:tcPr>
        <w:shd w:val="clear" w:color="auto" w:fill="EDA9B4" w:themeFill="accent4" w:themeFillTint="7F"/>
      </w:tcPr>
    </w:tblStylePr>
    <w:tblStylePr w:type="band1Horz">
      <w:tblPr/>
      <w:tcPr>
        <w:shd w:val="clear" w:color="auto" w:fill="EDA9B4" w:themeFill="accent4" w:themeFillTint="7F"/>
      </w:tcPr>
    </w:tblStylePr>
  </w:style>
  <w:style w:type="table" w:styleId="ColorfulGrid-Accent5">
    <w:name w:val="Colorful Grid Accent 5"/>
    <w:basedOn w:val="TableNormal"/>
    <w:uiPriority w:val="73"/>
    <w:semiHidden/>
    <w:locked/>
    <w:rsid w:val="001C6E2E"/>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4CACA" w:themeFill="accent5" w:themeFillTint="33"/>
    </w:tcPr>
    <w:tblStylePr w:type="firstRow">
      <w:rPr>
        <w:b/>
        <w:bCs/>
      </w:rPr>
      <w:tblPr/>
      <w:tcPr>
        <w:shd w:val="clear" w:color="auto" w:fill="EA9595" w:themeFill="accent5" w:themeFillTint="66"/>
      </w:tcPr>
    </w:tblStylePr>
    <w:tblStylePr w:type="lastRow">
      <w:rPr>
        <w:b/>
        <w:bCs/>
        <w:color w:val="000000" w:themeColor="text1"/>
      </w:rPr>
      <w:tblPr/>
      <w:tcPr>
        <w:shd w:val="clear" w:color="auto" w:fill="EA9595" w:themeFill="accent5" w:themeFillTint="66"/>
      </w:tcPr>
    </w:tblStylePr>
    <w:tblStylePr w:type="firstCol">
      <w:rPr>
        <w:color w:val="FFFFFF" w:themeColor="background1"/>
      </w:rPr>
      <w:tblPr/>
      <w:tcPr>
        <w:shd w:val="clear" w:color="auto" w:fill="7A1818" w:themeFill="accent5" w:themeFillShade="BF"/>
      </w:tcPr>
    </w:tblStylePr>
    <w:tblStylePr w:type="lastCol">
      <w:rPr>
        <w:color w:val="FFFFFF" w:themeColor="background1"/>
      </w:rPr>
      <w:tblPr/>
      <w:tcPr>
        <w:shd w:val="clear" w:color="auto" w:fill="7A1818" w:themeFill="accent5" w:themeFillShade="BF"/>
      </w:tcPr>
    </w:tblStylePr>
    <w:tblStylePr w:type="band1Vert">
      <w:tblPr/>
      <w:tcPr>
        <w:shd w:val="clear" w:color="auto" w:fill="E57B7B" w:themeFill="accent5" w:themeFillTint="7F"/>
      </w:tcPr>
    </w:tblStylePr>
    <w:tblStylePr w:type="band1Horz">
      <w:tblPr/>
      <w:tcPr>
        <w:shd w:val="clear" w:color="auto" w:fill="E57B7B" w:themeFill="accent5" w:themeFillTint="7F"/>
      </w:tcPr>
    </w:tblStylePr>
  </w:style>
  <w:style w:type="table" w:styleId="ColorfulGrid-Accent6">
    <w:name w:val="Colorful Grid Accent 6"/>
    <w:basedOn w:val="TableNormal"/>
    <w:uiPriority w:val="73"/>
    <w:semiHidden/>
    <w:locked/>
    <w:rsid w:val="001C6E2E"/>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9D5D1" w:themeFill="accent6" w:themeFillTint="33"/>
    </w:tcPr>
    <w:tblStylePr w:type="firstRow">
      <w:rPr>
        <w:b/>
        <w:bCs/>
      </w:rPr>
      <w:tblPr/>
      <w:tcPr>
        <w:shd w:val="clear" w:color="auto" w:fill="F3ABA4" w:themeFill="accent6" w:themeFillTint="66"/>
      </w:tcPr>
    </w:tblStylePr>
    <w:tblStylePr w:type="lastRow">
      <w:rPr>
        <w:b/>
        <w:bCs/>
        <w:color w:val="000000" w:themeColor="text1"/>
      </w:rPr>
      <w:tblPr/>
      <w:tcPr>
        <w:shd w:val="clear" w:color="auto" w:fill="F3ABA4" w:themeFill="accent6" w:themeFillTint="66"/>
      </w:tcPr>
    </w:tblStylePr>
    <w:tblStylePr w:type="firstCol">
      <w:rPr>
        <w:color w:val="FFFFFF" w:themeColor="background1"/>
      </w:rPr>
      <w:tblPr/>
      <w:tcPr>
        <w:shd w:val="clear" w:color="auto" w:fill="A72316" w:themeFill="accent6" w:themeFillShade="BF"/>
      </w:tcPr>
    </w:tblStylePr>
    <w:tblStylePr w:type="lastCol">
      <w:rPr>
        <w:color w:val="FFFFFF" w:themeColor="background1"/>
      </w:rPr>
      <w:tblPr/>
      <w:tcPr>
        <w:shd w:val="clear" w:color="auto" w:fill="A72316" w:themeFill="accent6" w:themeFillShade="BF"/>
      </w:tcPr>
    </w:tblStylePr>
    <w:tblStylePr w:type="band1Vert">
      <w:tblPr/>
      <w:tcPr>
        <w:shd w:val="clear" w:color="auto" w:fill="F0978E" w:themeFill="accent6" w:themeFillTint="7F"/>
      </w:tcPr>
    </w:tblStylePr>
    <w:tblStylePr w:type="band1Horz">
      <w:tblPr/>
      <w:tcPr>
        <w:shd w:val="clear" w:color="auto" w:fill="F0978E" w:themeFill="accent6" w:themeFillTint="7F"/>
      </w:tcPr>
    </w:tblStylePr>
  </w:style>
  <w:style w:type="table" w:customStyle="1" w:styleId="ColorfulList1">
    <w:name w:val="Colorful List1"/>
    <w:basedOn w:val="TableNormal"/>
    <w:uiPriority w:val="72"/>
    <w:semiHidden/>
    <w:locked/>
    <w:rsid w:val="001C6E2E"/>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9100" w:themeFill="accent2" w:themeFillShade="CC"/>
      </w:tcPr>
    </w:tblStylePr>
    <w:tblStylePr w:type="lastRow">
      <w:rPr>
        <w:b/>
        <w:bCs/>
        <w:color w:val="CC91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locked/>
    <w:rsid w:val="001C6E2E"/>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EFE2" w:themeFill="accent1" w:themeFillTint="19"/>
    </w:tcPr>
    <w:tblStylePr w:type="firstRow">
      <w:rPr>
        <w:b/>
        <w:bCs/>
        <w:color w:val="FFFFFF" w:themeColor="background1"/>
      </w:rPr>
      <w:tblPr/>
      <w:tcPr>
        <w:tcBorders>
          <w:bottom w:val="single" w:sz="12" w:space="0" w:color="FFFFFF" w:themeColor="background1"/>
        </w:tcBorders>
        <w:shd w:val="clear" w:color="auto" w:fill="CC9100" w:themeFill="accent2" w:themeFillShade="CC"/>
      </w:tcPr>
    </w:tblStylePr>
    <w:tblStylePr w:type="lastRow">
      <w:rPr>
        <w:b/>
        <w:bCs/>
        <w:color w:val="CC91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9B7" w:themeFill="accent1" w:themeFillTint="3F"/>
      </w:tcPr>
    </w:tblStylePr>
    <w:tblStylePr w:type="band1Horz">
      <w:tblPr/>
      <w:tcPr>
        <w:shd w:val="clear" w:color="auto" w:fill="FFE0C5" w:themeFill="accent1" w:themeFillTint="33"/>
      </w:tcPr>
    </w:tblStylePr>
  </w:style>
  <w:style w:type="table" w:styleId="ColorfulList-Accent2">
    <w:name w:val="Colorful List Accent 2"/>
    <w:basedOn w:val="TableNormal"/>
    <w:uiPriority w:val="72"/>
    <w:semiHidden/>
    <w:locked/>
    <w:rsid w:val="001C6E2E"/>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F7E6" w:themeFill="accent2" w:themeFillTint="19"/>
    </w:tcPr>
    <w:tblStylePr w:type="firstRow">
      <w:rPr>
        <w:b/>
        <w:bCs/>
        <w:color w:val="FFFFFF" w:themeColor="background1"/>
      </w:rPr>
      <w:tblPr/>
      <w:tcPr>
        <w:tcBorders>
          <w:bottom w:val="single" w:sz="12" w:space="0" w:color="FFFFFF" w:themeColor="background1"/>
        </w:tcBorders>
        <w:shd w:val="clear" w:color="auto" w:fill="CC9100" w:themeFill="accent2" w:themeFillShade="CC"/>
      </w:tcPr>
    </w:tblStylePr>
    <w:tblStylePr w:type="lastRow">
      <w:rPr>
        <w:b/>
        <w:bCs/>
        <w:color w:val="CC91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CC0" w:themeFill="accent2" w:themeFillTint="3F"/>
      </w:tcPr>
    </w:tblStylePr>
    <w:tblStylePr w:type="band1Horz">
      <w:tblPr/>
      <w:tcPr>
        <w:shd w:val="clear" w:color="auto" w:fill="FFF0CC" w:themeFill="accent2" w:themeFillTint="33"/>
      </w:tcPr>
    </w:tblStylePr>
  </w:style>
  <w:style w:type="table" w:styleId="ColorfulList-Accent3">
    <w:name w:val="Colorful List Accent 3"/>
    <w:basedOn w:val="TableNormal"/>
    <w:uiPriority w:val="72"/>
    <w:semiHidden/>
    <w:locked/>
    <w:rsid w:val="001C6E2E"/>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E3E2" w:themeFill="accent3" w:themeFillTint="19"/>
    </w:tcPr>
    <w:tblStylePr w:type="firstRow">
      <w:rPr>
        <w:b/>
        <w:bCs/>
        <w:color w:val="FFFFFF" w:themeColor="background1"/>
      </w:rPr>
      <w:tblPr/>
      <w:tcPr>
        <w:tcBorders>
          <w:bottom w:val="single" w:sz="12" w:space="0" w:color="FFFFFF" w:themeColor="background1"/>
        </w:tcBorders>
        <w:shd w:val="clear" w:color="auto" w:fill="C72944" w:themeFill="accent4" w:themeFillShade="CC"/>
      </w:tcPr>
    </w:tblStylePr>
    <w:tblStylePr w:type="lastRow">
      <w:rPr>
        <w:b/>
        <w:bCs/>
        <w:color w:val="C72944"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BAB8" w:themeFill="accent3" w:themeFillTint="3F"/>
      </w:tcPr>
    </w:tblStylePr>
    <w:tblStylePr w:type="band1Horz">
      <w:tblPr/>
      <w:tcPr>
        <w:shd w:val="clear" w:color="auto" w:fill="EBC7C5" w:themeFill="accent3" w:themeFillTint="33"/>
      </w:tcPr>
    </w:tblStylePr>
  </w:style>
  <w:style w:type="table" w:styleId="ColorfulList-Accent4">
    <w:name w:val="Colorful List Accent 4"/>
    <w:basedOn w:val="TableNormal"/>
    <w:uiPriority w:val="72"/>
    <w:semiHidden/>
    <w:locked/>
    <w:rsid w:val="001C6E2E"/>
    <w:rPr>
      <w:color w:val="000000" w:themeColor="text1"/>
    </w:rPr>
    <w:tblPr>
      <w:tblStyleRowBandSize w:val="1"/>
      <w:tblStyleColBandSize w:val="1"/>
      <w:tblInd w:w="0" w:type="dxa"/>
      <w:tblCellMar>
        <w:top w:w="0" w:type="dxa"/>
        <w:left w:w="108" w:type="dxa"/>
        <w:bottom w:w="0" w:type="dxa"/>
        <w:right w:w="108" w:type="dxa"/>
      </w:tblCellMar>
    </w:tblPr>
    <w:tcPr>
      <w:shd w:val="clear" w:color="auto" w:fill="FBEDF0" w:themeFill="accent4" w:themeFillTint="19"/>
    </w:tcPr>
    <w:tblStylePr w:type="firstRow">
      <w:rPr>
        <w:b/>
        <w:bCs/>
        <w:color w:val="FFFFFF" w:themeColor="background1"/>
      </w:rPr>
      <w:tblPr/>
      <w:tcPr>
        <w:tcBorders>
          <w:bottom w:val="single" w:sz="12" w:space="0" w:color="FFFFFF" w:themeColor="background1"/>
        </w:tcBorders>
        <w:shd w:val="clear" w:color="auto" w:fill="4C1B19" w:themeFill="accent3" w:themeFillShade="CC"/>
      </w:tcPr>
    </w:tblStylePr>
    <w:tblStylePr w:type="lastRow">
      <w:rPr>
        <w:b/>
        <w:bCs/>
        <w:color w:val="4C1B19"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4D9" w:themeFill="accent4" w:themeFillTint="3F"/>
      </w:tcPr>
    </w:tblStylePr>
    <w:tblStylePr w:type="band1Horz">
      <w:tblPr/>
      <w:tcPr>
        <w:shd w:val="clear" w:color="auto" w:fill="F7DCE1" w:themeFill="accent4" w:themeFillTint="33"/>
      </w:tcPr>
    </w:tblStylePr>
  </w:style>
  <w:style w:type="table" w:styleId="ColorfulList-Accent5">
    <w:name w:val="Colorful List Accent 5"/>
    <w:basedOn w:val="TableNormal"/>
    <w:uiPriority w:val="72"/>
    <w:semiHidden/>
    <w:locked/>
    <w:rsid w:val="001C6E2E"/>
    <w:rPr>
      <w:color w:val="000000" w:themeColor="text1"/>
    </w:rPr>
    <w:tblPr>
      <w:tblStyleRowBandSize w:val="1"/>
      <w:tblStyleColBandSize w:val="1"/>
      <w:tblInd w:w="0" w:type="dxa"/>
      <w:tblCellMar>
        <w:top w:w="0" w:type="dxa"/>
        <w:left w:w="108" w:type="dxa"/>
        <w:bottom w:w="0" w:type="dxa"/>
        <w:right w:w="108" w:type="dxa"/>
      </w:tblCellMar>
    </w:tblPr>
    <w:tcPr>
      <w:shd w:val="clear" w:color="auto" w:fill="FAE5E5" w:themeFill="accent5" w:themeFillTint="19"/>
    </w:tcPr>
    <w:tblStylePr w:type="firstRow">
      <w:rPr>
        <w:b/>
        <w:bCs/>
        <w:color w:val="FFFFFF" w:themeColor="background1"/>
      </w:rPr>
      <w:tblPr/>
      <w:tcPr>
        <w:tcBorders>
          <w:bottom w:val="single" w:sz="12" w:space="0" w:color="FFFFFF" w:themeColor="background1"/>
        </w:tcBorders>
        <w:shd w:val="clear" w:color="auto" w:fill="B22618" w:themeFill="accent6" w:themeFillShade="CC"/>
      </w:tcPr>
    </w:tblStylePr>
    <w:tblStylePr w:type="lastRow">
      <w:rPr>
        <w:b/>
        <w:bCs/>
        <w:color w:val="B2261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BDBD" w:themeFill="accent5" w:themeFillTint="3F"/>
      </w:tcPr>
    </w:tblStylePr>
    <w:tblStylePr w:type="band1Horz">
      <w:tblPr/>
      <w:tcPr>
        <w:shd w:val="clear" w:color="auto" w:fill="F4CACA" w:themeFill="accent5" w:themeFillTint="33"/>
      </w:tcPr>
    </w:tblStylePr>
  </w:style>
  <w:style w:type="table" w:styleId="ColorfulList-Accent6">
    <w:name w:val="Colorful List Accent 6"/>
    <w:basedOn w:val="TableNormal"/>
    <w:uiPriority w:val="72"/>
    <w:semiHidden/>
    <w:locked/>
    <w:rsid w:val="001C6E2E"/>
    <w:rPr>
      <w:color w:val="000000" w:themeColor="text1"/>
    </w:rPr>
    <w:tblPr>
      <w:tblStyleRowBandSize w:val="1"/>
      <w:tblStyleColBandSize w:val="1"/>
      <w:tblInd w:w="0" w:type="dxa"/>
      <w:tblCellMar>
        <w:top w:w="0" w:type="dxa"/>
        <w:left w:w="108" w:type="dxa"/>
        <w:bottom w:w="0" w:type="dxa"/>
        <w:right w:w="108" w:type="dxa"/>
      </w:tblCellMar>
    </w:tblPr>
    <w:tcPr>
      <w:shd w:val="clear" w:color="auto" w:fill="FCEAE8" w:themeFill="accent6" w:themeFillTint="19"/>
    </w:tcPr>
    <w:tblStylePr w:type="firstRow">
      <w:rPr>
        <w:b/>
        <w:bCs/>
        <w:color w:val="FFFFFF" w:themeColor="background1"/>
      </w:rPr>
      <w:tblPr/>
      <w:tcPr>
        <w:tcBorders>
          <w:bottom w:val="single" w:sz="12" w:space="0" w:color="FFFFFF" w:themeColor="background1"/>
        </w:tcBorders>
        <w:shd w:val="clear" w:color="auto" w:fill="821919" w:themeFill="accent5" w:themeFillShade="CC"/>
      </w:tcPr>
    </w:tblStylePr>
    <w:tblStylePr w:type="lastRow">
      <w:rPr>
        <w:b/>
        <w:bCs/>
        <w:color w:val="821919"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CBC7" w:themeFill="accent6" w:themeFillTint="3F"/>
      </w:tcPr>
    </w:tblStylePr>
    <w:tblStylePr w:type="band1Horz">
      <w:tblPr/>
      <w:tcPr>
        <w:shd w:val="clear" w:color="auto" w:fill="F9D5D1" w:themeFill="accent6" w:themeFillTint="33"/>
      </w:tcPr>
    </w:tblStylePr>
  </w:style>
  <w:style w:type="table" w:customStyle="1" w:styleId="ColorfulShading1">
    <w:name w:val="Colorful Shading1"/>
    <w:basedOn w:val="TableNormal"/>
    <w:uiPriority w:val="71"/>
    <w:semiHidden/>
    <w:locked/>
    <w:rsid w:val="001C6E2E"/>
    <w:rPr>
      <w:color w:val="000000" w:themeColor="text1"/>
    </w:rPr>
    <w:tblPr>
      <w:tblStyleRowBandSize w:val="1"/>
      <w:tblStyleColBandSize w:val="1"/>
      <w:tblInd w:w="0" w:type="dxa"/>
      <w:tblBorders>
        <w:top w:val="single" w:sz="24" w:space="0" w:color="FFB6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FFB6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locked/>
    <w:rsid w:val="001C6E2E"/>
    <w:rPr>
      <w:color w:val="000000" w:themeColor="text1"/>
    </w:rPr>
    <w:tblPr>
      <w:tblStyleRowBandSize w:val="1"/>
      <w:tblStyleColBandSize w:val="1"/>
      <w:tblInd w:w="0" w:type="dxa"/>
      <w:tblBorders>
        <w:top w:val="single" w:sz="24" w:space="0" w:color="FFB600" w:themeColor="accent2"/>
        <w:left w:val="single" w:sz="4" w:space="0" w:color="DC6900" w:themeColor="accent1"/>
        <w:bottom w:val="single" w:sz="4" w:space="0" w:color="DC6900" w:themeColor="accent1"/>
        <w:right w:val="single" w:sz="4" w:space="0" w:color="DC6900"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EFE2" w:themeFill="accent1" w:themeFillTint="19"/>
    </w:tcPr>
    <w:tblStylePr w:type="firstRow">
      <w:rPr>
        <w:b/>
        <w:bCs/>
      </w:rPr>
      <w:tblPr/>
      <w:tcPr>
        <w:tcBorders>
          <w:top w:val="nil"/>
          <w:left w:val="nil"/>
          <w:bottom w:val="single" w:sz="24" w:space="0" w:color="FFB6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43E00" w:themeFill="accent1" w:themeFillShade="99"/>
      </w:tcPr>
    </w:tblStylePr>
    <w:tblStylePr w:type="firstCol">
      <w:rPr>
        <w:color w:val="FFFFFF" w:themeColor="background1"/>
      </w:rPr>
      <w:tblPr/>
      <w:tcPr>
        <w:tcBorders>
          <w:top w:val="nil"/>
          <w:left w:val="nil"/>
          <w:bottom w:val="nil"/>
          <w:right w:val="nil"/>
          <w:insideH w:val="single" w:sz="4" w:space="0" w:color="843E00" w:themeColor="accent1" w:themeShade="99"/>
          <w:insideV w:val="nil"/>
        </w:tcBorders>
        <w:shd w:val="clear" w:color="auto" w:fill="843E0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843E00" w:themeFill="accent1" w:themeFillShade="99"/>
      </w:tcPr>
    </w:tblStylePr>
    <w:tblStylePr w:type="band1Vert">
      <w:tblPr/>
      <w:tcPr>
        <w:shd w:val="clear" w:color="auto" w:fill="FFC28B" w:themeFill="accent1" w:themeFillTint="66"/>
      </w:tcPr>
    </w:tblStylePr>
    <w:tblStylePr w:type="band1Horz">
      <w:tblPr/>
      <w:tcPr>
        <w:shd w:val="clear" w:color="auto" w:fill="FFB26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locked/>
    <w:rsid w:val="001C6E2E"/>
    <w:rPr>
      <w:color w:val="000000" w:themeColor="text1"/>
    </w:rPr>
    <w:tblPr>
      <w:tblStyleRowBandSize w:val="1"/>
      <w:tblStyleColBandSize w:val="1"/>
      <w:tblInd w:w="0" w:type="dxa"/>
      <w:tblBorders>
        <w:top w:val="single" w:sz="24" w:space="0" w:color="FFB600" w:themeColor="accent2"/>
        <w:left w:val="single" w:sz="4" w:space="0" w:color="FFB600" w:themeColor="accent2"/>
        <w:bottom w:val="single" w:sz="4" w:space="0" w:color="FFB600" w:themeColor="accent2"/>
        <w:right w:val="single" w:sz="4" w:space="0" w:color="FFB600"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7E6" w:themeFill="accent2" w:themeFillTint="19"/>
    </w:tcPr>
    <w:tblStylePr w:type="firstRow">
      <w:rPr>
        <w:b/>
        <w:bCs/>
      </w:rPr>
      <w:tblPr/>
      <w:tcPr>
        <w:tcBorders>
          <w:top w:val="nil"/>
          <w:left w:val="nil"/>
          <w:bottom w:val="single" w:sz="24" w:space="0" w:color="FFB6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6D00" w:themeFill="accent2" w:themeFillShade="99"/>
      </w:tcPr>
    </w:tblStylePr>
    <w:tblStylePr w:type="firstCol">
      <w:rPr>
        <w:color w:val="FFFFFF" w:themeColor="background1"/>
      </w:rPr>
      <w:tblPr/>
      <w:tcPr>
        <w:tcBorders>
          <w:top w:val="nil"/>
          <w:left w:val="nil"/>
          <w:bottom w:val="nil"/>
          <w:right w:val="nil"/>
          <w:insideH w:val="single" w:sz="4" w:space="0" w:color="996D00" w:themeColor="accent2" w:themeShade="99"/>
          <w:insideV w:val="nil"/>
        </w:tcBorders>
        <w:shd w:val="clear" w:color="auto" w:fill="996D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6D00" w:themeFill="accent2" w:themeFillShade="99"/>
      </w:tcPr>
    </w:tblStylePr>
    <w:tblStylePr w:type="band1Vert">
      <w:tblPr/>
      <w:tcPr>
        <w:shd w:val="clear" w:color="auto" w:fill="FFE199" w:themeFill="accent2" w:themeFillTint="66"/>
      </w:tcPr>
    </w:tblStylePr>
    <w:tblStylePr w:type="band1Horz">
      <w:tblPr/>
      <w:tcPr>
        <w:shd w:val="clear" w:color="auto" w:fill="FFDA8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locked/>
    <w:rsid w:val="001C6E2E"/>
    <w:rPr>
      <w:color w:val="000000" w:themeColor="text1"/>
    </w:rPr>
    <w:tblPr>
      <w:tblStyleRowBandSize w:val="1"/>
      <w:tblStyleColBandSize w:val="1"/>
      <w:tblInd w:w="0" w:type="dxa"/>
      <w:tblBorders>
        <w:top w:val="single" w:sz="24" w:space="0" w:color="DB536A" w:themeColor="accent4"/>
        <w:left w:val="single" w:sz="4" w:space="0" w:color="602320" w:themeColor="accent3"/>
        <w:bottom w:val="single" w:sz="4" w:space="0" w:color="602320" w:themeColor="accent3"/>
        <w:right w:val="single" w:sz="4" w:space="0" w:color="602320"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E3E2" w:themeFill="accent3" w:themeFillTint="19"/>
    </w:tcPr>
    <w:tblStylePr w:type="firstRow">
      <w:rPr>
        <w:b/>
        <w:bCs/>
      </w:rPr>
      <w:tblPr/>
      <w:tcPr>
        <w:tcBorders>
          <w:top w:val="nil"/>
          <w:left w:val="nil"/>
          <w:bottom w:val="single" w:sz="24" w:space="0" w:color="DB536A"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1413" w:themeFill="accent3" w:themeFillShade="99"/>
      </w:tcPr>
    </w:tblStylePr>
    <w:tblStylePr w:type="firstCol">
      <w:rPr>
        <w:color w:val="FFFFFF" w:themeColor="background1"/>
      </w:rPr>
      <w:tblPr/>
      <w:tcPr>
        <w:tcBorders>
          <w:top w:val="nil"/>
          <w:left w:val="nil"/>
          <w:bottom w:val="nil"/>
          <w:right w:val="nil"/>
          <w:insideH w:val="single" w:sz="4" w:space="0" w:color="391413" w:themeColor="accent3" w:themeShade="99"/>
          <w:insideV w:val="nil"/>
        </w:tcBorders>
        <w:shd w:val="clear" w:color="auto" w:fill="39141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91413" w:themeFill="accent3" w:themeFillShade="99"/>
      </w:tcPr>
    </w:tblStylePr>
    <w:tblStylePr w:type="band1Vert">
      <w:tblPr/>
      <w:tcPr>
        <w:shd w:val="clear" w:color="auto" w:fill="D88F8C" w:themeFill="accent3" w:themeFillTint="66"/>
      </w:tcPr>
    </w:tblStylePr>
    <w:tblStylePr w:type="band1Horz">
      <w:tblPr/>
      <w:tcPr>
        <w:shd w:val="clear" w:color="auto" w:fill="CF7470" w:themeFill="accent3" w:themeFillTint="7F"/>
      </w:tcPr>
    </w:tblStylePr>
  </w:style>
  <w:style w:type="table" w:styleId="ColorfulShading-Accent4">
    <w:name w:val="Colorful Shading Accent 4"/>
    <w:basedOn w:val="TableNormal"/>
    <w:uiPriority w:val="71"/>
    <w:semiHidden/>
    <w:locked/>
    <w:rsid w:val="001C6E2E"/>
    <w:rPr>
      <w:color w:val="000000" w:themeColor="text1"/>
    </w:rPr>
    <w:tblPr>
      <w:tblStyleRowBandSize w:val="1"/>
      <w:tblStyleColBandSize w:val="1"/>
      <w:tblInd w:w="0" w:type="dxa"/>
      <w:tblBorders>
        <w:top w:val="single" w:sz="24" w:space="0" w:color="602320" w:themeColor="accent3"/>
        <w:left w:val="single" w:sz="4" w:space="0" w:color="DB536A" w:themeColor="accent4"/>
        <w:bottom w:val="single" w:sz="4" w:space="0" w:color="DB536A" w:themeColor="accent4"/>
        <w:right w:val="single" w:sz="4" w:space="0" w:color="DB536A"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DF0" w:themeFill="accent4" w:themeFillTint="19"/>
    </w:tcPr>
    <w:tblStylePr w:type="firstRow">
      <w:rPr>
        <w:b/>
        <w:bCs/>
      </w:rPr>
      <w:tblPr/>
      <w:tcPr>
        <w:tcBorders>
          <w:top w:val="nil"/>
          <w:left w:val="nil"/>
          <w:bottom w:val="single" w:sz="24" w:space="0" w:color="60232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1F33" w:themeFill="accent4" w:themeFillShade="99"/>
      </w:tcPr>
    </w:tblStylePr>
    <w:tblStylePr w:type="firstCol">
      <w:rPr>
        <w:color w:val="FFFFFF" w:themeColor="background1"/>
      </w:rPr>
      <w:tblPr/>
      <w:tcPr>
        <w:tcBorders>
          <w:top w:val="nil"/>
          <w:left w:val="nil"/>
          <w:bottom w:val="nil"/>
          <w:right w:val="nil"/>
          <w:insideH w:val="single" w:sz="4" w:space="0" w:color="951F33" w:themeColor="accent4" w:themeShade="99"/>
          <w:insideV w:val="nil"/>
        </w:tcBorders>
        <w:shd w:val="clear" w:color="auto" w:fill="951F33"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51F33" w:themeFill="accent4" w:themeFillShade="99"/>
      </w:tcPr>
    </w:tblStylePr>
    <w:tblStylePr w:type="band1Vert">
      <w:tblPr/>
      <w:tcPr>
        <w:shd w:val="clear" w:color="auto" w:fill="F0BAC3" w:themeFill="accent4" w:themeFillTint="66"/>
      </w:tcPr>
    </w:tblStylePr>
    <w:tblStylePr w:type="band1Horz">
      <w:tblPr/>
      <w:tcPr>
        <w:shd w:val="clear" w:color="auto" w:fill="EDA9B4"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locked/>
    <w:rsid w:val="001C6E2E"/>
    <w:rPr>
      <w:color w:val="000000" w:themeColor="text1"/>
    </w:rPr>
    <w:tblPr>
      <w:tblStyleRowBandSize w:val="1"/>
      <w:tblStyleColBandSize w:val="1"/>
      <w:tblInd w:w="0" w:type="dxa"/>
      <w:tblBorders>
        <w:top w:val="single" w:sz="24" w:space="0" w:color="E0301E" w:themeColor="accent6"/>
        <w:left w:val="single" w:sz="4" w:space="0" w:color="A32020" w:themeColor="accent5"/>
        <w:bottom w:val="single" w:sz="4" w:space="0" w:color="A32020" w:themeColor="accent5"/>
        <w:right w:val="single" w:sz="4" w:space="0" w:color="A32020"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AE5E5" w:themeFill="accent5" w:themeFillTint="19"/>
    </w:tcPr>
    <w:tblStylePr w:type="firstRow">
      <w:rPr>
        <w:b/>
        <w:bCs/>
      </w:rPr>
      <w:tblPr/>
      <w:tcPr>
        <w:tcBorders>
          <w:top w:val="nil"/>
          <w:left w:val="nil"/>
          <w:bottom w:val="single" w:sz="24" w:space="0" w:color="E0301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11313" w:themeFill="accent5" w:themeFillShade="99"/>
      </w:tcPr>
    </w:tblStylePr>
    <w:tblStylePr w:type="firstCol">
      <w:rPr>
        <w:color w:val="FFFFFF" w:themeColor="background1"/>
      </w:rPr>
      <w:tblPr/>
      <w:tcPr>
        <w:tcBorders>
          <w:top w:val="nil"/>
          <w:left w:val="nil"/>
          <w:bottom w:val="nil"/>
          <w:right w:val="nil"/>
          <w:insideH w:val="single" w:sz="4" w:space="0" w:color="611313" w:themeColor="accent5" w:themeShade="99"/>
          <w:insideV w:val="nil"/>
        </w:tcBorders>
        <w:shd w:val="clear" w:color="auto" w:fill="611313"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611313" w:themeFill="accent5" w:themeFillShade="99"/>
      </w:tcPr>
    </w:tblStylePr>
    <w:tblStylePr w:type="band1Vert">
      <w:tblPr/>
      <w:tcPr>
        <w:shd w:val="clear" w:color="auto" w:fill="EA9595" w:themeFill="accent5" w:themeFillTint="66"/>
      </w:tcPr>
    </w:tblStylePr>
    <w:tblStylePr w:type="band1Horz">
      <w:tblPr/>
      <w:tcPr>
        <w:shd w:val="clear" w:color="auto" w:fill="E57B7B"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locked/>
    <w:rsid w:val="001C6E2E"/>
    <w:rPr>
      <w:color w:val="000000" w:themeColor="text1"/>
    </w:rPr>
    <w:tblPr>
      <w:tblStyleRowBandSize w:val="1"/>
      <w:tblStyleColBandSize w:val="1"/>
      <w:tblInd w:w="0" w:type="dxa"/>
      <w:tblBorders>
        <w:top w:val="single" w:sz="24" w:space="0" w:color="A32020" w:themeColor="accent5"/>
        <w:left w:val="single" w:sz="4" w:space="0" w:color="E0301E" w:themeColor="accent6"/>
        <w:bottom w:val="single" w:sz="4" w:space="0" w:color="E0301E" w:themeColor="accent6"/>
        <w:right w:val="single" w:sz="4" w:space="0" w:color="E0301E"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CEAE8" w:themeFill="accent6" w:themeFillTint="19"/>
    </w:tcPr>
    <w:tblStylePr w:type="firstRow">
      <w:rPr>
        <w:b/>
        <w:bCs/>
      </w:rPr>
      <w:tblPr/>
      <w:tcPr>
        <w:tcBorders>
          <w:top w:val="nil"/>
          <w:left w:val="nil"/>
          <w:bottom w:val="single" w:sz="24" w:space="0" w:color="A3202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61C12" w:themeFill="accent6" w:themeFillShade="99"/>
      </w:tcPr>
    </w:tblStylePr>
    <w:tblStylePr w:type="firstCol">
      <w:rPr>
        <w:color w:val="FFFFFF" w:themeColor="background1"/>
      </w:rPr>
      <w:tblPr/>
      <w:tcPr>
        <w:tcBorders>
          <w:top w:val="nil"/>
          <w:left w:val="nil"/>
          <w:bottom w:val="nil"/>
          <w:right w:val="nil"/>
          <w:insideH w:val="single" w:sz="4" w:space="0" w:color="861C12" w:themeColor="accent6" w:themeShade="99"/>
          <w:insideV w:val="nil"/>
        </w:tcBorders>
        <w:shd w:val="clear" w:color="auto" w:fill="861C12"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861C12" w:themeFill="accent6" w:themeFillShade="99"/>
      </w:tcPr>
    </w:tblStylePr>
    <w:tblStylePr w:type="band1Vert">
      <w:tblPr/>
      <w:tcPr>
        <w:shd w:val="clear" w:color="auto" w:fill="F3ABA4" w:themeFill="accent6" w:themeFillTint="66"/>
      </w:tcPr>
    </w:tblStylePr>
    <w:tblStylePr w:type="band1Horz">
      <w:tblPr/>
      <w:tcPr>
        <w:shd w:val="clear" w:color="auto" w:fill="F0978E" w:themeFill="accent6" w:themeFillTint="7F"/>
      </w:tcPr>
    </w:tblStylePr>
    <w:tblStylePr w:type="neCell">
      <w:rPr>
        <w:color w:val="000000" w:themeColor="text1"/>
      </w:rPr>
    </w:tblStylePr>
    <w:tblStylePr w:type="nwCell">
      <w:rPr>
        <w:color w:val="000000" w:themeColor="text1"/>
      </w:rPr>
    </w:tblStylePr>
  </w:style>
  <w:style w:type="table" w:customStyle="1" w:styleId="DarkList1">
    <w:name w:val="Dark List1"/>
    <w:basedOn w:val="TableNormal"/>
    <w:uiPriority w:val="70"/>
    <w:semiHidden/>
    <w:locked/>
    <w:rsid w:val="001C6E2E"/>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locked/>
    <w:rsid w:val="001C6E2E"/>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DC6900"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D330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A44E0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A44E00" w:themeFill="accent1" w:themeFillShade="BF"/>
      </w:tcPr>
    </w:tblStylePr>
    <w:tblStylePr w:type="band1Vert">
      <w:tblPr/>
      <w:tcPr>
        <w:tcBorders>
          <w:top w:val="nil"/>
          <w:left w:val="nil"/>
          <w:bottom w:val="nil"/>
          <w:right w:val="nil"/>
          <w:insideH w:val="nil"/>
          <w:insideV w:val="nil"/>
        </w:tcBorders>
        <w:shd w:val="clear" w:color="auto" w:fill="A44E00" w:themeFill="accent1" w:themeFillShade="BF"/>
      </w:tcPr>
    </w:tblStylePr>
    <w:tblStylePr w:type="band1Horz">
      <w:tblPr/>
      <w:tcPr>
        <w:tcBorders>
          <w:top w:val="nil"/>
          <w:left w:val="nil"/>
          <w:bottom w:val="nil"/>
          <w:right w:val="nil"/>
          <w:insideH w:val="nil"/>
          <w:insideV w:val="nil"/>
        </w:tcBorders>
        <w:shd w:val="clear" w:color="auto" w:fill="A44E00" w:themeFill="accent1" w:themeFillShade="BF"/>
      </w:tcPr>
    </w:tblStylePr>
  </w:style>
  <w:style w:type="table" w:styleId="DarkList-Accent2">
    <w:name w:val="Dark List Accent 2"/>
    <w:basedOn w:val="TableNormal"/>
    <w:uiPriority w:val="70"/>
    <w:semiHidden/>
    <w:locked/>
    <w:rsid w:val="001C6E2E"/>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FB6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A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88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8800" w:themeFill="accent2" w:themeFillShade="BF"/>
      </w:tcPr>
    </w:tblStylePr>
    <w:tblStylePr w:type="band1Vert">
      <w:tblPr/>
      <w:tcPr>
        <w:tcBorders>
          <w:top w:val="nil"/>
          <w:left w:val="nil"/>
          <w:bottom w:val="nil"/>
          <w:right w:val="nil"/>
          <w:insideH w:val="nil"/>
          <w:insideV w:val="nil"/>
        </w:tcBorders>
        <w:shd w:val="clear" w:color="auto" w:fill="BF8800" w:themeFill="accent2" w:themeFillShade="BF"/>
      </w:tcPr>
    </w:tblStylePr>
    <w:tblStylePr w:type="band1Horz">
      <w:tblPr/>
      <w:tcPr>
        <w:tcBorders>
          <w:top w:val="nil"/>
          <w:left w:val="nil"/>
          <w:bottom w:val="nil"/>
          <w:right w:val="nil"/>
          <w:insideH w:val="nil"/>
          <w:insideV w:val="nil"/>
        </w:tcBorders>
        <w:shd w:val="clear" w:color="auto" w:fill="BF8800" w:themeFill="accent2" w:themeFillShade="BF"/>
      </w:tcPr>
    </w:tblStylePr>
  </w:style>
  <w:style w:type="table" w:styleId="DarkList-Accent3">
    <w:name w:val="Dark List Accent 3"/>
    <w:basedOn w:val="TableNormal"/>
    <w:uiPriority w:val="70"/>
    <w:semiHidden/>
    <w:locked/>
    <w:rsid w:val="001C6E2E"/>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60232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111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71A1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71A18" w:themeFill="accent3" w:themeFillShade="BF"/>
      </w:tcPr>
    </w:tblStylePr>
    <w:tblStylePr w:type="band1Vert">
      <w:tblPr/>
      <w:tcPr>
        <w:tcBorders>
          <w:top w:val="nil"/>
          <w:left w:val="nil"/>
          <w:bottom w:val="nil"/>
          <w:right w:val="nil"/>
          <w:insideH w:val="nil"/>
          <w:insideV w:val="nil"/>
        </w:tcBorders>
        <w:shd w:val="clear" w:color="auto" w:fill="471A18" w:themeFill="accent3" w:themeFillShade="BF"/>
      </w:tcPr>
    </w:tblStylePr>
    <w:tblStylePr w:type="band1Horz">
      <w:tblPr/>
      <w:tcPr>
        <w:tcBorders>
          <w:top w:val="nil"/>
          <w:left w:val="nil"/>
          <w:bottom w:val="nil"/>
          <w:right w:val="nil"/>
          <w:insideH w:val="nil"/>
          <w:insideV w:val="nil"/>
        </w:tcBorders>
        <w:shd w:val="clear" w:color="auto" w:fill="471A18" w:themeFill="accent3" w:themeFillShade="BF"/>
      </w:tcPr>
    </w:tblStylePr>
  </w:style>
  <w:style w:type="table" w:styleId="DarkList-Accent4">
    <w:name w:val="Dark List Accent 4"/>
    <w:basedOn w:val="TableNormal"/>
    <w:uiPriority w:val="70"/>
    <w:semiHidden/>
    <w:locked/>
    <w:rsid w:val="001C6E2E"/>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DB536A"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C1A2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A274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A2740" w:themeFill="accent4" w:themeFillShade="BF"/>
      </w:tcPr>
    </w:tblStylePr>
    <w:tblStylePr w:type="band1Vert">
      <w:tblPr/>
      <w:tcPr>
        <w:tcBorders>
          <w:top w:val="nil"/>
          <w:left w:val="nil"/>
          <w:bottom w:val="nil"/>
          <w:right w:val="nil"/>
          <w:insideH w:val="nil"/>
          <w:insideV w:val="nil"/>
        </w:tcBorders>
        <w:shd w:val="clear" w:color="auto" w:fill="BA2740" w:themeFill="accent4" w:themeFillShade="BF"/>
      </w:tcPr>
    </w:tblStylePr>
    <w:tblStylePr w:type="band1Horz">
      <w:tblPr/>
      <w:tcPr>
        <w:tcBorders>
          <w:top w:val="nil"/>
          <w:left w:val="nil"/>
          <w:bottom w:val="nil"/>
          <w:right w:val="nil"/>
          <w:insideH w:val="nil"/>
          <w:insideV w:val="nil"/>
        </w:tcBorders>
        <w:shd w:val="clear" w:color="auto" w:fill="BA2740" w:themeFill="accent4" w:themeFillShade="BF"/>
      </w:tcPr>
    </w:tblStylePr>
  </w:style>
  <w:style w:type="table" w:styleId="DarkList-Accent5">
    <w:name w:val="Dark List Accent 5"/>
    <w:basedOn w:val="TableNormal"/>
    <w:uiPriority w:val="70"/>
    <w:semiHidden/>
    <w:locked/>
    <w:rsid w:val="001C6E2E"/>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A3202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1101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A181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A1818" w:themeFill="accent5" w:themeFillShade="BF"/>
      </w:tcPr>
    </w:tblStylePr>
    <w:tblStylePr w:type="band1Vert">
      <w:tblPr/>
      <w:tcPr>
        <w:tcBorders>
          <w:top w:val="nil"/>
          <w:left w:val="nil"/>
          <w:bottom w:val="nil"/>
          <w:right w:val="nil"/>
          <w:insideH w:val="nil"/>
          <w:insideV w:val="nil"/>
        </w:tcBorders>
        <w:shd w:val="clear" w:color="auto" w:fill="7A1818" w:themeFill="accent5" w:themeFillShade="BF"/>
      </w:tcPr>
    </w:tblStylePr>
    <w:tblStylePr w:type="band1Horz">
      <w:tblPr/>
      <w:tcPr>
        <w:tcBorders>
          <w:top w:val="nil"/>
          <w:left w:val="nil"/>
          <w:bottom w:val="nil"/>
          <w:right w:val="nil"/>
          <w:insideH w:val="nil"/>
          <w:insideV w:val="nil"/>
        </w:tcBorders>
        <w:shd w:val="clear" w:color="auto" w:fill="7A1818" w:themeFill="accent5" w:themeFillShade="BF"/>
      </w:tcPr>
    </w:tblStylePr>
  </w:style>
  <w:style w:type="table" w:styleId="DarkList-Accent6">
    <w:name w:val="Dark List Accent 6"/>
    <w:basedOn w:val="TableNormal"/>
    <w:uiPriority w:val="70"/>
    <w:semiHidden/>
    <w:locked/>
    <w:rsid w:val="001C6E2E"/>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0301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F170F"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A72316"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A72316" w:themeFill="accent6" w:themeFillShade="BF"/>
      </w:tcPr>
    </w:tblStylePr>
    <w:tblStylePr w:type="band1Vert">
      <w:tblPr/>
      <w:tcPr>
        <w:tcBorders>
          <w:top w:val="nil"/>
          <w:left w:val="nil"/>
          <w:bottom w:val="nil"/>
          <w:right w:val="nil"/>
          <w:insideH w:val="nil"/>
          <w:insideV w:val="nil"/>
        </w:tcBorders>
        <w:shd w:val="clear" w:color="auto" w:fill="A72316" w:themeFill="accent6" w:themeFillShade="BF"/>
      </w:tcPr>
    </w:tblStylePr>
    <w:tblStylePr w:type="band1Horz">
      <w:tblPr/>
      <w:tcPr>
        <w:tcBorders>
          <w:top w:val="nil"/>
          <w:left w:val="nil"/>
          <w:bottom w:val="nil"/>
          <w:right w:val="nil"/>
          <w:insideH w:val="nil"/>
          <w:insideV w:val="nil"/>
        </w:tcBorders>
        <w:shd w:val="clear" w:color="auto" w:fill="A72316" w:themeFill="accent6" w:themeFillShade="BF"/>
      </w:tcPr>
    </w:tblStylePr>
  </w:style>
  <w:style w:type="table" w:customStyle="1" w:styleId="LightGrid1">
    <w:name w:val="Light Grid1"/>
    <w:basedOn w:val="TableNormal"/>
    <w:uiPriority w:val="62"/>
    <w:semiHidden/>
    <w:locked/>
    <w:rsid w:val="001C6E2E"/>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TableNormal"/>
    <w:uiPriority w:val="62"/>
    <w:semiHidden/>
    <w:locked/>
    <w:rsid w:val="001C6E2E"/>
    <w:tblPr>
      <w:tblStyleRowBandSize w:val="1"/>
      <w:tblStyleColBandSize w:val="1"/>
      <w:tblInd w:w="0" w:type="dxa"/>
      <w:tblBorders>
        <w:top w:val="single" w:sz="8" w:space="0" w:color="DC6900" w:themeColor="accent1"/>
        <w:left w:val="single" w:sz="8" w:space="0" w:color="DC6900" w:themeColor="accent1"/>
        <w:bottom w:val="single" w:sz="8" w:space="0" w:color="DC6900" w:themeColor="accent1"/>
        <w:right w:val="single" w:sz="8" w:space="0" w:color="DC6900" w:themeColor="accent1"/>
        <w:insideH w:val="single" w:sz="8" w:space="0" w:color="DC6900" w:themeColor="accent1"/>
        <w:insideV w:val="single" w:sz="8" w:space="0" w:color="DC6900"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DC6900" w:themeColor="accent1"/>
          <w:left w:val="single" w:sz="8" w:space="0" w:color="DC6900" w:themeColor="accent1"/>
          <w:bottom w:val="single" w:sz="18" w:space="0" w:color="DC6900" w:themeColor="accent1"/>
          <w:right w:val="single" w:sz="8" w:space="0" w:color="DC6900" w:themeColor="accent1"/>
          <w:insideH w:val="nil"/>
          <w:insideV w:val="single" w:sz="8" w:space="0" w:color="DC690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C6900" w:themeColor="accent1"/>
          <w:left w:val="single" w:sz="8" w:space="0" w:color="DC6900" w:themeColor="accent1"/>
          <w:bottom w:val="single" w:sz="8" w:space="0" w:color="DC6900" w:themeColor="accent1"/>
          <w:right w:val="single" w:sz="8" w:space="0" w:color="DC6900" w:themeColor="accent1"/>
          <w:insideH w:val="nil"/>
          <w:insideV w:val="single" w:sz="8" w:space="0" w:color="DC690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tblStylePr w:type="band1Vert">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shd w:val="clear" w:color="auto" w:fill="FFD9B7" w:themeFill="accent1" w:themeFillTint="3F"/>
      </w:tcPr>
    </w:tblStylePr>
    <w:tblStylePr w:type="band1Horz">
      <w:tblPr/>
      <w:tcPr>
        <w:tcBorders>
          <w:top w:val="single" w:sz="8" w:space="0" w:color="DC6900" w:themeColor="accent1"/>
          <w:left w:val="single" w:sz="8" w:space="0" w:color="DC6900" w:themeColor="accent1"/>
          <w:bottom w:val="single" w:sz="8" w:space="0" w:color="DC6900" w:themeColor="accent1"/>
          <w:right w:val="single" w:sz="8" w:space="0" w:color="DC6900" w:themeColor="accent1"/>
          <w:insideV w:val="single" w:sz="8" w:space="0" w:color="DC6900" w:themeColor="accent1"/>
        </w:tcBorders>
        <w:shd w:val="clear" w:color="auto" w:fill="FFD9B7" w:themeFill="accent1" w:themeFillTint="3F"/>
      </w:tcPr>
    </w:tblStylePr>
    <w:tblStylePr w:type="band2Horz">
      <w:tblPr/>
      <w:tcPr>
        <w:tcBorders>
          <w:top w:val="single" w:sz="8" w:space="0" w:color="DC6900" w:themeColor="accent1"/>
          <w:left w:val="single" w:sz="8" w:space="0" w:color="DC6900" w:themeColor="accent1"/>
          <w:bottom w:val="single" w:sz="8" w:space="0" w:color="DC6900" w:themeColor="accent1"/>
          <w:right w:val="single" w:sz="8" w:space="0" w:color="DC6900" w:themeColor="accent1"/>
          <w:insideV w:val="single" w:sz="8" w:space="0" w:color="DC6900" w:themeColor="accent1"/>
        </w:tcBorders>
      </w:tcPr>
    </w:tblStylePr>
  </w:style>
  <w:style w:type="table" w:styleId="LightGrid-Accent2">
    <w:name w:val="Light Grid Accent 2"/>
    <w:basedOn w:val="TableNormal"/>
    <w:uiPriority w:val="62"/>
    <w:semiHidden/>
    <w:locked/>
    <w:rsid w:val="001C6E2E"/>
    <w:tblPr>
      <w:tblStyleRowBandSize w:val="1"/>
      <w:tblStyleColBandSize w:val="1"/>
      <w:tblInd w:w="0" w:type="dxa"/>
      <w:tblBorders>
        <w:top w:val="single" w:sz="8" w:space="0" w:color="FFB600" w:themeColor="accent2"/>
        <w:left w:val="single" w:sz="8" w:space="0" w:color="FFB600" w:themeColor="accent2"/>
        <w:bottom w:val="single" w:sz="8" w:space="0" w:color="FFB600" w:themeColor="accent2"/>
        <w:right w:val="single" w:sz="8" w:space="0" w:color="FFB600" w:themeColor="accent2"/>
        <w:insideH w:val="single" w:sz="8" w:space="0" w:color="FFB600" w:themeColor="accent2"/>
        <w:insideV w:val="single" w:sz="8" w:space="0" w:color="FFB6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FB600" w:themeColor="accent2"/>
          <w:left w:val="single" w:sz="8" w:space="0" w:color="FFB600" w:themeColor="accent2"/>
          <w:bottom w:val="single" w:sz="18" w:space="0" w:color="FFB600" w:themeColor="accent2"/>
          <w:right w:val="single" w:sz="8" w:space="0" w:color="FFB600" w:themeColor="accent2"/>
          <w:insideH w:val="nil"/>
          <w:insideV w:val="single" w:sz="8" w:space="0" w:color="FFB6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B600" w:themeColor="accent2"/>
          <w:left w:val="single" w:sz="8" w:space="0" w:color="FFB600" w:themeColor="accent2"/>
          <w:bottom w:val="single" w:sz="8" w:space="0" w:color="FFB600" w:themeColor="accent2"/>
          <w:right w:val="single" w:sz="8" w:space="0" w:color="FFB600" w:themeColor="accent2"/>
          <w:insideH w:val="nil"/>
          <w:insideV w:val="single" w:sz="8" w:space="0" w:color="FFB6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B600" w:themeColor="accent2"/>
          <w:left w:val="single" w:sz="8" w:space="0" w:color="FFB600" w:themeColor="accent2"/>
          <w:bottom w:val="single" w:sz="8" w:space="0" w:color="FFB600" w:themeColor="accent2"/>
          <w:right w:val="single" w:sz="8" w:space="0" w:color="FFB600" w:themeColor="accent2"/>
        </w:tcBorders>
      </w:tcPr>
    </w:tblStylePr>
    <w:tblStylePr w:type="band1Vert">
      <w:tblPr/>
      <w:tcPr>
        <w:tcBorders>
          <w:top w:val="single" w:sz="8" w:space="0" w:color="FFB600" w:themeColor="accent2"/>
          <w:left w:val="single" w:sz="8" w:space="0" w:color="FFB600" w:themeColor="accent2"/>
          <w:bottom w:val="single" w:sz="8" w:space="0" w:color="FFB600" w:themeColor="accent2"/>
          <w:right w:val="single" w:sz="8" w:space="0" w:color="FFB600" w:themeColor="accent2"/>
        </w:tcBorders>
        <w:shd w:val="clear" w:color="auto" w:fill="FFECC0" w:themeFill="accent2" w:themeFillTint="3F"/>
      </w:tcPr>
    </w:tblStylePr>
    <w:tblStylePr w:type="band1Horz">
      <w:tblPr/>
      <w:tcPr>
        <w:tcBorders>
          <w:top w:val="single" w:sz="8" w:space="0" w:color="FFB600" w:themeColor="accent2"/>
          <w:left w:val="single" w:sz="8" w:space="0" w:color="FFB600" w:themeColor="accent2"/>
          <w:bottom w:val="single" w:sz="8" w:space="0" w:color="FFB600" w:themeColor="accent2"/>
          <w:right w:val="single" w:sz="8" w:space="0" w:color="FFB600" w:themeColor="accent2"/>
          <w:insideV w:val="single" w:sz="8" w:space="0" w:color="FFB600" w:themeColor="accent2"/>
        </w:tcBorders>
        <w:shd w:val="clear" w:color="auto" w:fill="FFECC0" w:themeFill="accent2" w:themeFillTint="3F"/>
      </w:tcPr>
    </w:tblStylePr>
    <w:tblStylePr w:type="band2Horz">
      <w:tblPr/>
      <w:tcPr>
        <w:tcBorders>
          <w:top w:val="single" w:sz="8" w:space="0" w:color="FFB600" w:themeColor="accent2"/>
          <w:left w:val="single" w:sz="8" w:space="0" w:color="FFB600" w:themeColor="accent2"/>
          <w:bottom w:val="single" w:sz="8" w:space="0" w:color="FFB600" w:themeColor="accent2"/>
          <w:right w:val="single" w:sz="8" w:space="0" w:color="FFB600" w:themeColor="accent2"/>
          <w:insideV w:val="single" w:sz="8" w:space="0" w:color="FFB600" w:themeColor="accent2"/>
        </w:tcBorders>
      </w:tcPr>
    </w:tblStylePr>
  </w:style>
  <w:style w:type="table" w:styleId="LightGrid-Accent3">
    <w:name w:val="Light Grid Accent 3"/>
    <w:basedOn w:val="TableNormal"/>
    <w:uiPriority w:val="62"/>
    <w:semiHidden/>
    <w:locked/>
    <w:rsid w:val="001C6E2E"/>
    <w:tblPr>
      <w:tblStyleRowBandSize w:val="1"/>
      <w:tblStyleColBandSize w:val="1"/>
      <w:tblInd w:w="0" w:type="dxa"/>
      <w:tblBorders>
        <w:top w:val="single" w:sz="8" w:space="0" w:color="602320" w:themeColor="accent3"/>
        <w:left w:val="single" w:sz="8" w:space="0" w:color="602320" w:themeColor="accent3"/>
        <w:bottom w:val="single" w:sz="8" w:space="0" w:color="602320" w:themeColor="accent3"/>
        <w:right w:val="single" w:sz="8" w:space="0" w:color="602320" w:themeColor="accent3"/>
        <w:insideH w:val="single" w:sz="8" w:space="0" w:color="602320" w:themeColor="accent3"/>
        <w:insideV w:val="single" w:sz="8" w:space="0" w:color="602320"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602320" w:themeColor="accent3"/>
          <w:left w:val="single" w:sz="8" w:space="0" w:color="602320" w:themeColor="accent3"/>
          <w:bottom w:val="single" w:sz="18" w:space="0" w:color="602320" w:themeColor="accent3"/>
          <w:right w:val="single" w:sz="8" w:space="0" w:color="602320" w:themeColor="accent3"/>
          <w:insideH w:val="nil"/>
          <w:insideV w:val="single" w:sz="8" w:space="0" w:color="60232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02320" w:themeColor="accent3"/>
          <w:left w:val="single" w:sz="8" w:space="0" w:color="602320" w:themeColor="accent3"/>
          <w:bottom w:val="single" w:sz="8" w:space="0" w:color="602320" w:themeColor="accent3"/>
          <w:right w:val="single" w:sz="8" w:space="0" w:color="602320" w:themeColor="accent3"/>
          <w:insideH w:val="nil"/>
          <w:insideV w:val="single" w:sz="8" w:space="0" w:color="60232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02320" w:themeColor="accent3"/>
          <w:left w:val="single" w:sz="8" w:space="0" w:color="602320" w:themeColor="accent3"/>
          <w:bottom w:val="single" w:sz="8" w:space="0" w:color="602320" w:themeColor="accent3"/>
          <w:right w:val="single" w:sz="8" w:space="0" w:color="602320" w:themeColor="accent3"/>
        </w:tcBorders>
      </w:tcPr>
    </w:tblStylePr>
    <w:tblStylePr w:type="band1Vert">
      <w:tblPr/>
      <w:tcPr>
        <w:tcBorders>
          <w:top w:val="single" w:sz="8" w:space="0" w:color="602320" w:themeColor="accent3"/>
          <w:left w:val="single" w:sz="8" w:space="0" w:color="602320" w:themeColor="accent3"/>
          <w:bottom w:val="single" w:sz="8" w:space="0" w:color="602320" w:themeColor="accent3"/>
          <w:right w:val="single" w:sz="8" w:space="0" w:color="602320" w:themeColor="accent3"/>
        </w:tcBorders>
        <w:shd w:val="clear" w:color="auto" w:fill="E7BAB8" w:themeFill="accent3" w:themeFillTint="3F"/>
      </w:tcPr>
    </w:tblStylePr>
    <w:tblStylePr w:type="band1Horz">
      <w:tblPr/>
      <w:tcPr>
        <w:tcBorders>
          <w:top w:val="single" w:sz="8" w:space="0" w:color="602320" w:themeColor="accent3"/>
          <w:left w:val="single" w:sz="8" w:space="0" w:color="602320" w:themeColor="accent3"/>
          <w:bottom w:val="single" w:sz="8" w:space="0" w:color="602320" w:themeColor="accent3"/>
          <w:right w:val="single" w:sz="8" w:space="0" w:color="602320" w:themeColor="accent3"/>
          <w:insideV w:val="single" w:sz="8" w:space="0" w:color="602320" w:themeColor="accent3"/>
        </w:tcBorders>
        <w:shd w:val="clear" w:color="auto" w:fill="E7BAB8" w:themeFill="accent3" w:themeFillTint="3F"/>
      </w:tcPr>
    </w:tblStylePr>
    <w:tblStylePr w:type="band2Horz">
      <w:tblPr/>
      <w:tcPr>
        <w:tcBorders>
          <w:top w:val="single" w:sz="8" w:space="0" w:color="602320" w:themeColor="accent3"/>
          <w:left w:val="single" w:sz="8" w:space="0" w:color="602320" w:themeColor="accent3"/>
          <w:bottom w:val="single" w:sz="8" w:space="0" w:color="602320" w:themeColor="accent3"/>
          <w:right w:val="single" w:sz="8" w:space="0" w:color="602320" w:themeColor="accent3"/>
          <w:insideV w:val="single" w:sz="8" w:space="0" w:color="602320" w:themeColor="accent3"/>
        </w:tcBorders>
      </w:tcPr>
    </w:tblStylePr>
  </w:style>
  <w:style w:type="table" w:styleId="LightGrid-Accent4">
    <w:name w:val="Light Grid Accent 4"/>
    <w:basedOn w:val="TableNormal"/>
    <w:uiPriority w:val="62"/>
    <w:semiHidden/>
    <w:locked/>
    <w:rsid w:val="001C6E2E"/>
    <w:tblPr>
      <w:tblStyleRowBandSize w:val="1"/>
      <w:tblStyleColBandSize w:val="1"/>
      <w:tblInd w:w="0" w:type="dxa"/>
      <w:tblBorders>
        <w:top w:val="single" w:sz="8" w:space="0" w:color="DB536A" w:themeColor="accent4"/>
        <w:left w:val="single" w:sz="8" w:space="0" w:color="DB536A" w:themeColor="accent4"/>
        <w:bottom w:val="single" w:sz="8" w:space="0" w:color="DB536A" w:themeColor="accent4"/>
        <w:right w:val="single" w:sz="8" w:space="0" w:color="DB536A" w:themeColor="accent4"/>
        <w:insideH w:val="single" w:sz="8" w:space="0" w:color="DB536A" w:themeColor="accent4"/>
        <w:insideV w:val="single" w:sz="8" w:space="0" w:color="DB536A"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DB536A" w:themeColor="accent4"/>
          <w:left w:val="single" w:sz="8" w:space="0" w:color="DB536A" w:themeColor="accent4"/>
          <w:bottom w:val="single" w:sz="18" w:space="0" w:color="DB536A" w:themeColor="accent4"/>
          <w:right w:val="single" w:sz="8" w:space="0" w:color="DB536A" w:themeColor="accent4"/>
          <w:insideH w:val="nil"/>
          <w:insideV w:val="single" w:sz="8" w:space="0" w:color="DB536A"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B536A" w:themeColor="accent4"/>
          <w:left w:val="single" w:sz="8" w:space="0" w:color="DB536A" w:themeColor="accent4"/>
          <w:bottom w:val="single" w:sz="8" w:space="0" w:color="DB536A" w:themeColor="accent4"/>
          <w:right w:val="single" w:sz="8" w:space="0" w:color="DB536A" w:themeColor="accent4"/>
          <w:insideH w:val="nil"/>
          <w:insideV w:val="single" w:sz="8" w:space="0" w:color="DB536A"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B536A" w:themeColor="accent4"/>
          <w:left w:val="single" w:sz="8" w:space="0" w:color="DB536A" w:themeColor="accent4"/>
          <w:bottom w:val="single" w:sz="8" w:space="0" w:color="DB536A" w:themeColor="accent4"/>
          <w:right w:val="single" w:sz="8" w:space="0" w:color="DB536A" w:themeColor="accent4"/>
        </w:tcBorders>
      </w:tcPr>
    </w:tblStylePr>
    <w:tblStylePr w:type="band1Vert">
      <w:tblPr/>
      <w:tcPr>
        <w:tcBorders>
          <w:top w:val="single" w:sz="8" w:space="0" w:color="DB536A" w:themeColor="accent4"/>
          <w:left w:val="single" w:sz="8" w:space="0" w:color="DB536A" w:themeColor="accent4"/>
          <w:bottom w:val="single" w:sz="8" w:space="0" w:color="DB536A" w:themeColor="accent4"/>
          <w:right w:val="single" w:sz="8" w:space="0" w:color="DB536A" w:themeColor="accent4"/>
        </w:tcBorders>
        <w:shd w:val="clear" w:color="auto" w:fill="F6D4D9" w:themeFill="accent4" w:themeFillTint="3F"/>
      </w:tcPr>
    </w:tblStylePr>
    <w:tblStylePr w:type="band1Horz">
      <w:tblPr/>
      <w:tcPr>
        <w:tcBorders>
          <w:top w:val="single" w:sz="8" w:space="0" w:color="DB536A" w:themeColor="accent4"/>
          <w:left w:val="single" w:sz="8" w:space="0" w:color="DB536A" w:themeColor="accent4"/>
          <w:bottom w:val="single" w:sz="8" w:space="0" w:color="DB536A" w:themeColor="accent4"/>
          <w:right w:val="single" w:sz="8" w:space="0" w:color="DB536A" w:themeColor="accent4"/>
          <w:insideV w:val="single" w:sz="8" w:space="0" w:color="DB536A" w:themeColor="accent4"/>
        </w:tcBorders>
        <w:shd w:val="clear" w:color="auto" w:fill="F6D4D9" w:themeFill="accent4" w:themeFillTint="3F"/>
      </w:tcPr>
    </w:tblStylePr>
    <w:tblStylePr w:type="band2Horz">
      <w:tblPr/>
      <w:tcPr>
        <w:tcBorders>
          <w:top w:val="single" w:sz="8" w:space="0" w:color="DB536A" w:themeColor="accent4"/>
          <w:left w:val="single" w:sz="8" w:space="0" w:color="DB536A" w:themeColor="accent4"/>
          <w:bottom w:val="single" w:sz="8" w:space="0" w:color="DB536A" w:themeColor="accent4"/>
          <w:right w:val="single" w:sz="8" w:space="0" w:color="DB536A" w:themeColor="accent4"/>
          <w:insideV w:val="single" w:sz="8" w:space="0" w:color="DB536A" w:themeColor="accent4"/>
        </w:tcBorders>
      </w:tcPr>
    </w:tblStylePr>
  </w:style>
  <w:style w:type="table" w:styleId="LightGrid-Accent5">
    <w:name w:val="Light Grid Accent 5"/>
    <w:basedOn w:val="TableNormal"/>
    <w:uiPriority w:val="62"/>
    <w:semiHidden/>
    <w:locked/>
    <w:rsid w:val="001C6E2E"/>
    <w:tblPr>
      <w:tblStyleRowBandSize w:val="1"/>
      <w:tblStyleColBandSize w:val="1"/>
      <w:tblInd w:w="0" w:type="dxa"/>
      <w:tblBorders>
        <w:top w:val="single" w:sz="8" w:space="0" w:color="A32020" w:themeColor="accent5"/>
        <w:left w:val="single" w:sz="8" w:space="0" w:color="A32020" w:themeColor="accent5"/>
        <w:bottom w:val="single" w:sz="8" w:space="0" w:color="A32020" w:themeColor="accent5"/>
        <w:right w:val="single" w:sz="8" w:space="0" w:color="A32020" w:themeColor="accent5"/>
        <w:insideH w:val="single" w:sz="8" w:space="0" w:color="A32020" w:themeColor="accent5"/>
        <w:insideV w:val="single" w:sz="8" w:space="0" w:color="A32020"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A32020" w:themeColor="accent5"/>
          <w:left w:val="single" w:sz="8" w:space="0" w:color="A32020" w:themeColor="accent5"/>
          <w:bottom w:val="single" w:sz="18" w:space="0" w:color="A32020" w:themeColor="accent5"/>
          <w:right w:val="single" w:sz="8" w:space="0" w:color="A32020" w:themeColor="accent5"/>
          <w:insideH w:val="nil"/>
          <w:insideV w:val="single" w:sz="8" w:space="0" w:color="A3202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32020" w:themeColor="accent5"/>
          <w:left w:val="single" w:sz="8" w:space="0" w:color="A32020" w:themeColor="accent5"/>
          <w:bottom w:val="single" w:sz="8" w:space="0" w:color="A32020" w:themeColor="accent5"/>
          <w:right w:val="single" w:sz="8" w:space="0" w:color="A32020" w:themeColor="accent5"/>
          <w:insideH w:val="nil"/>
          <w:insideV w:val="single" w:sz="8" w:space="0" w:color="A3202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32020" w:themeColor="accent5"/>
          <w:left w:val="single" w:sz="8" w:space="0" w:color="A32020" w:themeColor="accent5"/>
          <w:bottom w:val="single" w:sz="8" w:space="0" w:color="A32020" w:themeColor="accent5"/>
          <w:right w:val="single" w:sz="8" w:space="0" w:color="A32020" w:themeColor="accent5"/>
        </w:tcBorders>
      </w:tcPr>
    </w:tblStylePr>
    <w:tblStylePr w:type="band1Vert">
      <w:tblPr/>
      <w:tcPr>
        <w:tcBorders>
          <w:top w:val="single" w:sz="8" w:space="0" w:color="A32020" w:themeColor="accent5"/>
          <w:left w:val="single" w:sz="8" w:space="0" w:color="A32020" w:themeColor="accent5"/>
          <w:bottom w:val="single" w:sz="8" w:space="0" w:color="A32020" w:themeColor="accent5"/>
          <w:right w:val="single" w:sz="8" w:space="0" w:color="A32020" w:themeColor="accent5"/>
        </w:tcBorders>
        <w:shd w:val="clear" w:color="auto" w:fill="F2BDBD" w:themeFill="accent5" w:themeFillTint="3F"/>
      </w:tcPr>
    </w:tblStylePr>
    <w:tblStylePr w:type="band1Horz">
      <w:tblPr/>
      <w:tcPr>
        <w:tcBorders>
          <w:top w:val="single" w:sz="8" w:space="0" w:color="A32020" w:themeColor="accent5"/>
          <w:left w:val="single" w:sz="8" w:space="0" w:color="A32020" w:themeColor="accent5"/>
          <w:bottom w:val="single" w:sz="8" w:space="0" w:color="A32020" w:themeColor="accent5"/>
          <w:right w:val="single" w:sz="8" w:space="0" w:color="A32020" w:themeColor="accent5"/>
          <w:insideV w:val="single" w:sz="8" w:space="0" w:color="A32020" w:themeColor="accent5"/>
        </w:tcBorders>
        <w:shd w:val="clear" w:color="auto" w:fill="F2BDBD" w:themeFill="accent5" w:themeFillTint="3F"/>
      </w:tcPr>
    </w:tblStylePr>
    <w:tblStylePr w:type="band2Horz">
      <w:tblPr/>
      <w:tcPr>
        <w:tcBorders>
          <w:top w:val="single" w:sz="8" w:space="0" w:color="A32020" w:themeColor="accent5"/>
          <w:left w:val="single" w:sz="8" w:space="0" w:color="A32020" w:themeColor="accent5"/>
          <w:bottom w:val="single" w:sz="8" w:space="0" w:color="A32020" w:themeColor="accent5"/>
          <w:right w:val="single" w:sz="8" w:space="0" w:color="A32020" w:themeColor="accent5"/>
          <w:insideV w:val="single" w:sz="8" w:space="0" w:color="A32020" w:themeColor="accent5"/>
        </w:tcBorders>
      </w:tcPr>
    </w:tblStylePr>
  </w:style>
  <w:style w:type="table" w:styleId="LightGrid-Accent6">
    <w:name w:val="Light Grid Accent 6"/>
    <w:basedOn w:val="TableNormal"/>
    <w:uiPriority w:val="62"/>
    <w:semiHidden/>
    <w:locked/>
    <w:rsid w:val="001C6E2E"/>
    <w:tblPr>
      <w:tblStyleRowBandSize w:val="1"/>
      <w:tblStyleColBandSize w:val="1"/>
      <w:tblInd w:w="0" w:type="dxa"/>
      <w:tblBorders>
        <w:top w:val="single" w:sz="8" w:space="0" w:color="E0301E" w:themeColor="accent6"/>
        <w:left w:val="single" w:sz="8" w:space="0" w:color="E0301E" w:themeColor="accent6"/>
        <w:bottom w:val="single" w:sz="8" w:space="0" w:color="E0301E" w:themeColor="accent6"/>
        <w:right w:val="single" w:sz="8" w:space="0" w:color="E0301E" w:themeColor="accent6"/>
        <w:insideH w:val="single" w:sz="8" w:space="0" w:color="E0301E" w:themeColor="accent6"/>
        <w:insideV w:val="single" w:sz="8" w:space="0" w:color="E0301E"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E0301E" w:themeColor="accent6"/>
          <w:left w:val="single" w:sz="8" w:space="0" w:color="E0301E" w:themeColor="accent6"/>
          <w:bottom w:val="single" w:sz="18" w:space="0" w:color="E0301E" w:themeColor="accent6"/>
          <w:right w:val="single" w:sz="8" w:space="0" w:color="E0301E" w:themeColor="accent6"/>
          <w:insideH w:val="nil"/>
          <w:insideV w:val="single" w:sz="8" w:space="0" w:color="E0301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0301E" w:themeColor="accent6"/>
          <w:left w:val="single" w:sz="8" w:space="0" w:color="E0301E" w:themeColor="accent6"/>
          <w:bottom w:val="single" w:sz="8" w:space="0" w:color="E0301E" w:themeColor="accent6"/>
          <w:right w:val="single" w:sz="8" w:space="0" w:color="E0301E" w:themeColor="accent6"/>
          <w:insideH w:val="nil"/>
          <w:insideV w:val="single" w:sz="8" w:space="0" w:color="E0301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tblStylePr w:type="band1Vert">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shd w:val="clear" w:color="auto" w:fill="F7CBC7" w:themeFill="accent6" w:themeFillTint="3F"/>
      </w:tcPr>
    </w:tblStylePr>
    <w:tblStylePr w:type="band1Horz">
      <w:tblPr/>
      <w:tcPr>
        <w:tcBorders>
          <w:top w:val="single" w:sz="8" w:space="0" w:color="E0301E" w:themeColor="accent6"/>
          <w:left w:val="single" w:sz="8" w:space="0" w:color="E0301E" w:themeColor="accent6"/>
          <w:bottom w:val="single" w:sz="8" w:space="0" w:color="E0301E" w:themeColor="accent6"/>
          <w:right w:val="single" w:sz="8" w:space="0" w:color="E0301E" w:themeColor="accent6"/>
          <w:insideV w:val="single" w:sz="8" w:space="0" w:color="E0301E" w:themeColor="accent6"/>
        </w:tcBorders>
        <w:shd w:val="clear" w:color="auto" w:fill="F7CBC7" w:themeFill="accent6" w:themeFillTint="3F"/>
      </w:tcPr>
    </w:tblStylePr>
    <w:tblStylePr w:type="band2Horz">
      <w:tblPr/>
      <w:tcPr>
        <w:tcBorders>
          <w:top w:val="single" w:sz="8" w:space="0" w:color="E0301E" w:themeColor="accent6"/>
          <w:left w:val="single" w:sz="8" w:space="0" w:color="E0301E" w:themeColor="accent6"/>
          <w:bottom w:val="single" w:sz="8" w:space="0" w:color="E0301E" w:themeColor="accent6"/>
          <w:right w:val="single" w:sz="8" w:space="0" w:color="E0301E" w:themeColor="accent6"/>
          <w:insideV w:val="single" w:sz="8" w:space="0" w:color="E0301E" w:themeColor="accent6"/>
        </w:tcBorders>
      </w:tcPr>
    </w:tblStylePr>
  </w:style>
  <w:style w:type="table" w:customStyle="1" w:styleId="LightList1">
    <w:name w:val="Light List1"/>
    <w:basedOn w:val="TableNormal"/>
    <w:uiPriority w:val="61"/>
    <w:semiHidden/>
    <w:locked/>
    <w:rsid w:val="001C6E2E"/>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uiPriority w:val="61"/>
    <w:semiHidden/>
    <w:locked/>
    <w:rsid w:val="001C6E2E"/>
    <w:tblPr>
      <w:tblStyleRowBandSize w:val="1"/>
      <w:tblStyleColBandSize w:val="1"/>
      <w:tblInd w:w="0" w:type="dxa"/>
      <w:tblBorders>
        <w:top w:val="single" w:sz="8" w:space="0" w:color="DC6900" w:themeColor="accent1"/>
        <w:left w:val="single" w:sz="8" w:space="0" w:color="DC6900" w:themeColor="accent1"/>
        <w:bottom w:val="single" w:sz="8" w:space="0" w:color="DC6900" w:themeColor="accent1"/>
        <w:right w:val="single" w:sz="8" w:space="0" w:color="DC6900"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DC6900" w:themeFill="accent1"/>
      </w:tcPr>
    </w:tblStylePr>
    <w:tblStylePr w:type="lastRow">
      <w:pPr>
        <w:spacing w:before="0" w:after="0" w:line="240" w:lineRule="auto"/>
      </w:pPr>
      <w:rPr>
        <w:b/>
        <w:bCs/>
      </w:rPr>
      <w:tblPr/>
      <w:tcPr>
        <w:tcBorders>
          <w:top w:val="double" w:sz="6" w:space="0" w:color="DC6900" w:themeColor="accent1"/>
          <w:left w:val="single" w:sz="8" w:space="0" w:color="DC6900" w:themeColor="accent1"/>
          <w:bottom w:val="single" w:sz="8" w:space="0" w:color="DC6900" w:themeColor="accent1"/>
          <w:right w:val="single" w:sz="8" w:space="0" w:color="DC6900" w:themeColor="accent1"/>
        </w:tcBorders>
      </w:tcPr>
    </w:tblStylePr>
    <w:tblStylePr w:type="firstCol">
      <w:rPr>
        <w:b/>
        <w:bCs/>
      </w:rPr>
    </w:tblStylePr>
    <w:tblStylePr w:type="lastCol">
      <w:rPr>
        <w:b/>
        <w:bCs/>
      </w:rPr>
    </w:tblStylePr>
    <w:tblStylePr w:type="band1Vert">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tblStylePr w:type="band1Horz">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style>
  <w:style w:type="table" w:styleId="LightList-Accent2">
    <w:name w:val="Light List Accent 2"/>
    <w:basedOn w:val="TableNormal"/>
    <w:uiPriority w:val="61"/>
    <w:semiHidden/>
    <w:locked/>
    <w:rsid w:val="001C6E2E"/>
    <w:tblPr>
      <w:tblStyleRowBandSize w:val="1"/>
      <w:tblStyleColBandSize w:val="1"/>
      <w:tblInd w:w="0" w:type="dxa"/>
      <w:tblBorders>
        <w:top w:val="single" w:sz="8" w:space="0" w:color="FFB600" w:themeColor="accent2"/>
        <w:left w:val="single" w:sz="8" w:space="0" w:color="FFB600" w:themeColor="accent2"/>
        <w:bottom w:val="single" w:sz="8" w:space="0" w:color="FFB600" w:themeColor="accent2"/>
        <w:right w:val="single" w:sz="8" w:space="0" w:color="FFB600"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FB600" w:themeFill="accent2"/>
      </w:tcPr>
    </w:tblStylePr>
    <w:tblStylePr w:type="lastRow">
      <w:pPr>
        <w:spacing w:before="0" w:after="0" w:line="240" w:lineRule="auto"/>
      </w:pPr>
      <w:rPr>
        <w:b/>
        <w:bCs/>
      </w:rPr>
      <w:tblPr/>
      <w:tcPr>
        <w:tcBorders>
          <w:top w:val="double" w:sz="6" w:space="0" w:color="FFB600" w:themeColor="accent2"/>
          <w:left w:val="single" w:sz="8" w:space="0" w:color="FFB600" w:themeColor="accent2"/>
          <w:bottom w:val="single" w:sz="8" w:space="0" w:color="FFB600" w:themeColor="accent2"/>
          <w:right w:val="single" w:sz="8" w:space="0" w:color="FFB600" w:themeColor="accent2"/>
        </w:tcBorders>
      </w:tcPr>
    </w:tblStylePr>
    <w:tblStylePr w:type="firstCol">
      <w:rPr>
        <w:b/>
        <w:bCs/>
      </w:rPr>
    </w:tblStylePr>
    <w:tblStylePr w:type="lastCol">
      <w:rPr>
        <w:b/>
        <w:bCs/>
      </w:rPr>
    </w:tblStylePr>
    <w:tblStylePr w:type="band1Vert">
      <w:tblPr/>
      <w:tcPr>
        <w:tcBorders>
          <w:top w:val="single" w:sz="8" w:space="0" w:color="FFB600" w:themeColor="accent2"/>
          <w:left w:val="single" w:sz="8" w:space="0" w:color="FFB600" w:themeColor="accent2"/>
          <w:bottom w:val="single" w:sz="8" w:space="0" w:color="FFB600" w:themeColor="accent2"/>
          <w:right w:val="single" w:sz="8" w:space="0" w:color="FFB600" w:themeColor="accent2"/>
        </w:tcBorders>
      </w:tcPr>
    </w:tblStylePr>
    <w:tblStylePr w:type="band1Horz">
      <w:tblPr/>
      <w:tcPr>
        <w:tcBorders>
          <w:top w:val="single" w:sz="8" w:space="0" w:color="FFB600" w:themeColor="accent2"/>
          <w:left w:val="single" w:sz="8" w:space="0" w:color="FFB600" w:themeColor="accent2"/>
          <w:bottom w:val="single" w:sz="8" w:space="0" w:color="FFB600" w:themeColor="accent2"/>
          <w:right w:val="single" w:sz="8" w:space="0" w:color="FFB600" w:themeColor="accent2"/>
        </w:tcBorders>
      </w:tcPr>
    </w:tblStylePr>
  </w:style>
  <w:style w:type="table" w:styleId="LightList-Accent3">
    <w:name w:val="Light List Accent 3"/>
    <w:basedOn w:val="TableNormal"/>
    <w:uiPriority w:val="61"/>
    <w:semiHidden/>
    <w:locked/>
    <w:rsid w:val="001C6E2E"/>
    <w:tblPr>
      <w:tblStyleRowBandSize w:val="1"/>
      <w:tblStyleColBandSize w:val="1"/>
      <w:tblInd w:w="0" w:type="dxa"/>
      <w:tblBorders>
        <w:top w:val="single" w:sz="8" w:space="0" w:color="602320" w:themeColor="accent3"/>
        <w:left w:val="single" w:sz="8" w:space="0" w:color="602320" w:themeColor="accent3"/>
        <w:bottom w:val="single" w:sz="8" w:space="0" w:color="602320" w:themeColor="accent3"/>
        <w:right w:val="single" w:sz="8" w:space="0" w:color="602320"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602320" w:themeFill="accent3"/>
      </w:tcPr>
    </w:tblStylePr>
    <w:tblStylePr w:type="lastRow">
      <w:pPr>
        <w:spacing w:before="0" w:after="0" w:line="240" w:lineRule="auto"/>
      </w:pPr>
      <w:rPr>
        <w:b/>
        <w:bCs/>
      </w:rPr>
      <w:tblPr/>
      <w:tcPr>
        <w:tcBorders>
          <w:top w:val="double" w:sz="6" w:space="0" w:color="602320" w:themeColor="accent3"/>
          <w:left w:val="single" w:sz="8" w:space="0" w:color="602320" w:themeColor="accent3"/>
          <w:bottom w:val="single" w:sz="8" w:space="0" w:color="602320" w:themeColor="accent3"/>
          <w:right w:val="single" w:sz="8" w:space="0" w:color="602320" w:themeColor="accent3"/>
        </w:tcBorders>
      </w:tcPr>
    </w:tblStylePr>
    <w:tblStylePr w:type="firstCol">
      <w:rPr>
        <w:b/>
        <w:bCs/>
      </w:rPr>
    </w:tblStylePr>
    <w:tblStylePr w:type="lastCol">
      <w:rPr>
        <w:b/>
        <w:bCs/>
      </w:rPr>
    </w:tblStylePr>
    <w:tblStylePr w:type="band1Vert">
      <w:tblPr/>
      <w:tcPr>
        <w:tcBorders>
          <w:top w:val="single" w:sz="8" w:space="0" w:color="602320" w:themeColor="accent3"/>
          <w:left w:val="single" w:sz="8" w:space="0" w:color="602320" w:themeColor="accent3"/>
          <w:bottom w:val="single" w:sz="8" w:space="0" w:color="602320" w:themeColor="accent3"/>
          <w:right w:val="single" w:sz="8" w:space="0" w:color="602320" w:themeColor="accent3"/>
        </w:tcBorders>
      </w:tcPr>
    </w:tblStylePr>
    <w:tblStylePr w:type="band1Horz">
      <w:tblPr/>
      <w:tcPr>
        <w:tcBorders>
          <w:top w:val="single" w:sz="8" w:space="0" w:color="602320" w:themeColor="accent3"/>
          <w:left w:val="single" w:sz="8" w:space="0" w:color="602320" w:themeColor="accent3"/>
          <w:bottom w:val="single" w:sz="8" w:space="0" w:color="602320" w:themeColor="accent3"/>
          <w:right w:val="single" w:sz="8" w:space="0" w:color="602320" w:themeColor="accent3"/>
        </w:tcBorders>
      </w:tcPr>
    </w:tblStylePr>
  </w:style>
  <w:style w:type="table" w:styleId="LightList-Accent4">
    <w:name w:val="Light List Accent 4"/>
    <w:basedOn w:val="TableNormal"/>
    <w:uiPriority w:val="61"/>
    <w:semiHidden/>
    <w:locked/>
    <w:rsid w:val="001C6E2E"/>
    <w:tblPr>
      <w:tblStyleRowBandSize w:val="1"/>
      <w:tblStyleColBandSize w:val="1"/>
      <w:tblInd w:w="0" w:type="dxa"/>
      <w:tblBorders>
        <w:top w:val="single" w:sz="8" w:space="0" w:color="DB536A" w:themeColor="accent4"/>
        <w:left w:val="single" w:sz="8" w:space="0" w:color="DB536A" w:themeColor="accent4"/>
        <w:bottom w:val="single" w:sz="8" w:space="0" w:color="DB536A" w:themeColor="accent4"/>
        <w:right w:val="single" w:sz="8" w:space="0" w:color="DB536A"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DB536A" w:themeFill="accent4"/>
      </w:tcPr>
    </w:tblStylePr>
    <w:tblStylePr w:type="lastRow">
      <w:pPr>
        <w:spacing w:before="0" w:after="0" w:line="240" w:lineRule="auto"/>
      </w:pPr>
      <w:rPr>
        <w:b/>
        <w:bCs/>
      </w:rPr>
      <w:tblPr/>
      <w:tcPr>
        <w:tcBorders>
          <w:top w:val="double" w:sz="6" w:space="0" w:color="DB536A" w:themeColor="accent4"/>
          <w:left w:val="single" w:sz="8" w:space="0" w:color="DB536A" w:themeColor="accent4"/>
          <w:bottom w:val="single" w:sz="8" w:space="0" w:color="DB536A" w:themeColor="accent4"/>
          <w:right w:val="single" w:sz="8" w:space="0" w:color="DB536A" w:themeColor="accent4"/>
        </w:tcBorders>
      </w:tcPr>
    </w:tblStylePr>
    <w:tblStylePr w:type="firstCol">
      <w:rPr>
        <w:b/>
        <w:bCs/>
      </w:rPr>
    </w:tblStylePr>
    <w:tblStylePr w:type="lastCol">
      <w:rPr>
        <w:b/>
        <w:bCs/>
      </w:rPr>
    </w:tblStylePr>
    <w:tblStylePr w:type="band1Vert">
      <w:tblPr/>
      <w:tcPr>
        <w:tcBorders>
          <w:top w:val="single" w:sz="8" w:space="0" w:color="DB536A" w:themeColor="accent4"/>
          <w:left w:val="single" w:sz="8" w:space="0" w:color="DB536A" w:themeColor="accent4"/>
          <w:bottom w:val="single" w:sz="8" w:space="0" w:color="DB536A" w:themeColor="accent4"/>
          <w:right w:val="single" w:sz="8" w:space="0" w:color="DB536A" w:themeColor="accent4"/>
        </w:tcBorders>
      </w:tcPr>
    </w:tblStylePr>
    <w:tblStylePr w:type="band1Horz">
      <w:tblPr/>
      <w:tcPr>
        <w:tcBorders>
          <w:top w:val="single" w:sz="8" w:space="0" w:color="DB536A" w:themeColor="accent4"/>
          <w:left w:val="single" w:sz="8" w:space="0" w:color="DB536A" w:themeColor="accent4"/>
          <w:bottom w:val="single" w:sz="8" w:space="0" w:color="DB536A" w:themeColor="accent4"/>
          <w:right w:val="single" w:sz="8" w:space="0" w:color="DB536A" w:themeColor="accent4"/>
        </w:tcBorders>
      </w:tcPr>
    </w:tblStylePr>
  </w:style>
  <w:style w:type="table" w:styleId="LightList-Accent5">
    <w:name w:val="Light List Accent 5"/>
    <w:basedOn w:val="TableNormal"/>
    <w:uiPriority w:val="61"/>
    <w:semiHidden/>
    <w:locked/>
    <w:rsid w:val="001C6E2E"/>
    <w:tblPr>
      <w:tblStyleRowBandSize w:val="1"/>
      <w:tblStyleColBandSize w:val="1"/>
      <w:tblInd w:w="0" w:type="dxa"/>
      <w:tblBorders>
        <w:top w:val="single" w:sz="8" w:space="0" w:color="A32020" w:themeColor="accent5"/>
        <w:left w:val="single" w:sz="8" w:space="0" w:color="A32020" w:themeColor="accent5"/>
        <w:bottom w:val="single" w:sz="8" w:space="0" w:color="A32020" w:themeColor="accent5"/>
        <w:right w:val="single" w:sz="8" w:space="0" w:color="A32020"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32020" w:themeFill="accent5"/>
      </w:tcPr>
    </w:tblStylePr>
    <w:tblStylePr w:type="lastRow">
      <w:pPr>
        <w:spacing w:before="0" w:after="0" w:line="240" w:lineRule="auto"/>
      </w:pPr>
      <w:rPr>
        <w:b/>
        <w:bCs/>
      </w:rPr>
      <w:tblPr/>
      <w:tcPr>
        <w:tcBorders>
          <w:top w:val="double" w:sz="6" w:space="0" w:color="A32020" w:themeColor="accent5"/>
          <w:left w:val="single" w:sz="8" w:space="0" w:color="A32020" w:themeColor="accent5"/>
          <w:bottom w:val="single" w:sz="8" w:space="0" w:color="A32020" w:themeColor="accent5"/>
          <w:right w:val="single" w:sz="8" w:space="0" w:color="A32020" w:themeColor="accent5"/>
        </w:tcBorders>
      </w:tcPr>
    </w:tblStylePr>
    <w:tblStylePr w:type="firstCol">
      <w:rPr>
        <w:b/>
        <w:bCs/>
      </w:rPr>
    </w:tblStylePr>
    <w:tblStylePr w:type="lastCol">
      <w:rPr>
        <w:b/>
        <w:bCs/>
      </w:rPr>
    </w:tblStylePr>
    <w:tblStylePr w:type="band1Vert">
      <w:tblPr/>
      <w:tcPr>
        <w:tcBorders>
          <w:top w:val="single" w:sz="8" w:space="0" w:color="A32020" w:themeColor="accent5"/>
          <w:left w:val="single" w:sz="8" w:space="0" w:color="A32020" w:themeColor="accent5"/>
          <w:bottom w:val="single" w:sz="8" w:space="0" w:color="A32020" w:themeColor="accent5"/>
          <w:right w:val="single" w:sz="8" w:space="0" w:color="A32020" w:themeColor="accent5"/>
        </w:tcBorders>
      </w:tcPr>
    </w:tblStylePr>
    <w:tblStylePr w:type="band1Horz">
      <w:tblPr/>
      <w:tcPr>
        <w:tcBorders>
          <w:top w:val="single" w:sz="8" w:space="0" w:color="A32020" w:themeColor="accent5"/>
          <w:left w:val="single" w:sz="8" w:space="0" w:color="A32020" w:themeColor="accent5"/>
          <w:bottom w:val="single" w:sz="8" w:space="0" w:color="A32020" w:themeColor="accent5"/>
          <w:right w:val="single" w:sz="8" w:space="0" w:color="A32020" w:themeColor="accent5"/>
        </w:tcBorders>
      </w:tcPr>
    </w:tblStylePr>
  </w:style>
  <w:style w:type="table" w:styleId="LightList-Accent6">
    <w:name w:val="Light List Accent 6"/>
    <w:basedOn w:val="TableNormal"/>
    <w:uiPriority w:val="61"/>
    <w:semiHidden/>
    <w:locked/>
    <w:rsid w:val="001C6E2E"/>
    <w:tblPr>
      <w:tblStyleRowBandSize w:val="1"/>
      <w:tblStyleColBandSize w:val="1"/>
      <w:tblInd w:w="0" w:type="dxa"/>
      <w:tblBorders>
        <w:top w:val="single" w:sz="8" w:space="0" w:color="E0301E" w:themeColor="accent6"/>
        <w:left w:val="single" w:sz="8" w:space="0" w:color="E0301E" w:themeColor="accent6"/>
        <w:bottom w:val="single" w:sz="8" w:space="0" w:color="E0301E" w:themeColor="accent6"/>
        <w:right w:val="single" w:sz="8" w:space="0" w:color="E0301E"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E0301E" w:themeFill="accent6"/>
      </w:tcPr>
    </w:tblStylePr>
    <w:tblStylePr w:type="lastRow">
      <w:pPr>
        <w:spacing w:before="0" w:after="0" w:line="240" w:lineRule="auto"/>
      </w:pPr>
      <w:rPr>
        <w:b/>
        <w:bCs/>
      </w:rPr>
      <w:tblPr/>
      <w:tcPr>
        <w:tcBorders>
          <w:top w:val="double" w:sz="6" w:space="0" w:color="E0301E" w:themeColor="accent6"/>
          <w:left w:val="single" w:sz="8" w:space="0" w:color="E0301E" w:themeColor="accent6"/>
          <w:bottom w:val="single" w:sz="8" w:space="0" w:color="E0301E" w:themeColor="accent6"/>
          <w:right w:val="single" w:sz="8" w:space="0" w:color="E0301E" w:themeColor="accent6"/>
        </w:tcBorders>
      </w:tcPr>
    </w:tblStylePr>
    <w:tblStylePr w:type="firstCol">
      <w:rPr>
        <w:b/>
        <w:bCs/>
      </w:rPr>
    </w:tblStylePr>
    <w:tblStylePr w:type="lastCol">
      <w:rPr>
        <w:b/>
        <w:bCs/>
      </w:rPr>
    </w:tblStylePr>
    <w:tblStylePr w:type="band1Vert">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tblStylePr w:type="band1Horz">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style>
  <w:style w:type="table" w:customStyle="1" w:styleId="LightShading1">
    <w:name w:val="Light Shading1"/>
    <w:basedOn w:val="TableNormal"/>
    <w:uiPriority w:val="60"/>
    <w:semiHidden/>
    <w:locked/>
    <w:rsid w:val="001C6E2E"/>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semiHidden/>
    <w:locked/>
    <w:rsid w:val="001C6E2E"/>
    <w:rPr>
      <w:color w:val="A44E00" w:themeColor="accent1" w:themeShade="BF"/>
    </w:rPr>
    <w:tblPr>
      <w:tblStyleRowBandSize w:val="1"/>
      <w:tblStyleColBandSize w:val="1"/>
      <w:tblInd w:w="0" w:type="dxa"/>
      <w:tblBorders>
        <w:top w:val="single" w:sz="8" w:space="0" w:color="DC6900" w:themeColor="accent1"/>
        <w:bottom w:val="single" w:sz="8" w:space="0" w:color="DC6900"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DC6900" w:themeColor="accent1"/>
          <w:left w:val="nil"/>
          <w:bottom w:val="single" w:sz="8" w:space="0" w:color="DC6900" w:themeColor="accent1"/>
          <w:right w:val="nil"/>
          <w:insideH w:val="nil"/>
          <w:insideV w:val="nil"/>
        </w:tcBorders>
      </w:tcPr>
    </w:tblStylePr>
    <w:tblStylePr w:type="lastRow">
      <w:pPr>
        <w:spacing w:before="0" w:after="0" w:line="240" w:lineRule="auto"/>
      </w:pPr>
      <w:rPr>
        <w:b/>
        <w:bCs/>
      </w:rPr>
      <w:tblPr/>
      <w:tcPr>
        <w:tcBorders>
          <w:top w:val="single" w:sz="8" w:space="0" w:color="DC6900" w:themeColor="accent1"/>
          <w:left w:val="nil"/>
          <w:bottom w:val="single" w:sz="8" w:space="0" w:color="DC690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9B7" w:themeFill="accent1" w:themeFillTint="3F"/>
      </w:tcPr>
    </w:tblStylePr>
    <w:tblStylePr w:type="band1Horz">
      <w:tblPr/>
      <w:tcPr>
        <w:tcBorders>
          <w:left w:val="nil"/>
          <w:right w:val="nil"/>
          <w:insideH w:val="nil"/>
          <w:insideV w:val="nil"/>
        </w:tcBorders>
        <w:shd w:val="clear" w:color="auto" w:fill="FFD9B7" w:themeFill="accent1" w:themeFillTint="3F"/>
      </w:tcPr>
    </w:tblStylePr>
  </w:style>
  <w:style w:type="table" w:styleId="LightShading-Accent2">
    <w:name w:val="Light Shading Accent 2"/>
    <w:basedOn w:val="TableNormal"/>
    <w:uiPriority w:val="60"/>
    <w:semiHidden/>
    <w:locked/>
    <w:rsid w:val="001C6E2E"/>
    <w:rPr>
      <w:color w:val="BF8800" w:themeColor="accent2" w:themeShade="BF"/>
    </w:rPr>
    <w:tblPr>
      <w:tblStyleRowBandSize w:val="1"/>
      <w:tblStyleColBandSize w:val="1"/>
      <w:tblInd w:w="0" w:type="dxa"/>
      <w:tblBorders>
        <w:top w:val="single" w:sz="8" w:space="0" w:color="FFB600" w:themeColor="accent2"/>
        <w:bottom w:val="single" w:sz="8" w:space="0" w:color="FFB6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B600" w:themeColor="accent2"/>
          <w:left w:val="nil"/>
          <w:bottom w:val="single" w:sz="8" w:space="0" w:color="FFB600" w:themeColor="accent2"/>
          <w:right w:val="nil"/>
          <w:insideH w:val="nil"/>
          <w:insideV w:val="nil"/>
        </w:tcBorders>
      </w:tcPr>
    </w:tblStylePr>
    <w:tblStylePr w:type="lastRow">
      <w:pPr>
        <w:spacing w:before="0" w:after="0" w:line="240" w:lineRule="auto"/>
      </w:pPr>
      <w:rPr>
        <w:b/>
        <w:bCs/>
      </w:rPr>
      <w:tblPr/>
      <w:tcPr>
        <w:tcBorders>
          <w:top w:val="single" w:sz="8" w:space="0" w:color="FFB600" w:themeColor="accent2"/>
          <w:left w:val="nil"/>
          <w:bottom w:val="single" w:sz="8" w:space="0" w:color="FFB6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hemeFill="accent2" w:themeFillTint="3F"/>
      </w:tcPr>
    </w:tblStylePr>
    <w:tblStylePr w:type="band1Horz">
      <w:tblPr/>
      <w:tcPr>
        <w:tcBorders>
          <w:left w:val="nil"/>
          <w:right w:val="nil"/>
          <w:insideH w:val="nil"/>
          <w:insideV w:val="nil"/>
        </w:tcBorders>
        <w:shd w:val="clear" w:color="auto" w:fill="FFECC0" w:themeFill="accent2" w:themeFillTint="3F"/>
      </w:tcPr>
    </w:tblStylePr>
  </w:style>
  <w:style w:type="table" w:styleId="LightShading-Accent3">
    <w:name w:val="Light Shading Accent 3"/>
    <w:basedOn w:val="TableNormal"/>
    <w:uiPriority w:val="60"/>
    <w:semiHidden/>
    <w:locked/>
    <w:rsid w:val="001C6E2E"/>
    <w:rPr>
      <w:color w:val="471A18" w:themeColor="accent3" w:themeShade="BF"/>
    </w:rPr>
    <w:tblPr>
      <w:tblStyleRowBandSize w:val="1"/>
      <w:tblStyleColBandSize w:val="1"/>
      <w:tblInd w:w="0" w:type="dxa"/>
      <w:tblBorders>
        <w:top w:val="single" w:sz="8" w:space="0" w:color="602320" w:themeColor="accent3"/>
        <w:bottom w:val="single" w:sz="8" w:space="0" w:color="602320"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602320" w:themeColor="accent3"/>
          <w:left w:val="nil"/>
          <w:bottom w:val="single" w:sz="8" w:space="0" w:color="602320" w:themeColor="accent3"/>
          <w:right w:val="nil"/>
          <w:insideH w:val="nil"/>
          <w:insideV w:val="nil"/>
        </w:tcBorders>
      </w:tcPr>
    </w:tblStylePr>
    <w:tblStylePr w:type="lastRow">
      <w:pPr>
        <w:spacing w:before="0" w:after="0" w:line="240" w:lineRule="auto"/>
      </w:pPr>
      <w:rPr>
        <w:b/>
        <w:bCs/>
      </w:rPr>
      <w:tblPr/>
      <w:tcPr>
        <w:tcBorders>
          <w:top w:val="single" w:sz="8" w:space="0" w:color="602320" w:themeColor="accent3"/>
          <w:left w:val="nil"/>
          <w:bottom w:val="single" w:sz="8" w:space="0" w:color="60232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BAB8" w:themeFill="accent3" w:themeFillTint="3F"/>
      </w:tcPr>
    </w:tblStylePr>
    <w:tblStylePr w:type="band1Horz">
      <w:tblPr/>
      <w:tcPr>
        <w:tcBorders>
          <w:left w:val="nil"/>
          <w:right w:val="nil"/>
          <w:insideH w:val="nil"/>
          <w:insideV w:val="nil"/>
        </w:tcBorders>
        <w:shd w:val="clear" w:color="auto" w:fill="E7BAB8" w:themeFill="accent3" w:themeFillTint="3F"/>
      </w:tcPr>
    </w:tblStylePr>
  </w:style>
  <w:style w:type="table" w:styleId="LightShading-Accent4">
    <w:name w:val="Light Shading Accent 4"/>
    <w:basedOn w:val="TableNormal"/>
    <w:uiPriority w:val="60"/>
    <w:semiHidden/>
    <w:locked/>
    <w:rsid w:val="001C6E2E"/>
    <w:rPr>
      <w:color w:val="BA2740" w:themeColor="accent4" w:themeShade="BF"/>
    </w:rPr>
    <w:tblPr>
      <w:tblStyleRowBandSize w:val="1"/>
      <w:tblStyleColBandSize w:val="1"/>
      <w:tblInd w:w="0" w:type="dxa"/>
      <w:tblBorders>
        <w:top w:val="single" w:sz="8" w:space="0" w:color="DB536A" w:themeColor="accent4"/>
        <w:bottom w:val="single" w:sz="8" w:space="0" w:color="DB536A"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DB536A" w:themeColor="accent4"/>
          <w:left w:val="nil"/>
          <w:bottom w:val="single" w:sz="8" w:space="0" w:color="DB536A" w:themeColor="accent4"/>
          <w:right w:val="nil"/>
          <w:insideH w:val="nil"/>
          <w:insideV w:val="nil"/>
        </w:tcBorders>
      </w:tcPr>
    </w:tblStylePr>
    <w:tblStylePr w:type="lastRow">
      <w:pPr>
        <w:spacing w:before="0" w:after="0" w:line="240" w:lineRule="auto"/>
      </w:pPr>
      <w:rPr>
        <w:b/>
        <w:bCs/>
      </w:rPr>
      <w:tblPr/>
      <w:tcPr>
        <w:tcBorders>
          <w:top w:val="single" w:sz="8" w:space="0" w:color="DB536A" w:themeColor="accent4"/>
          <w:left w:val="nil"/>
          <w:bottom w:val="single" w:sz="8" w:space="0" w:color="DB536A"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4D9" w:themeFill="accent4" w:themeFillTint="3F"/>
      </w:tcPr>
    </w:tblStylePr>
    <w:tblStylePr w:type="band1Horz">
      <w:tblPr/>
      <w:tcPr>
        <w:tcBorders>
          <w:left w:val="nil"/>
          <w:right w:val="nil"/>
          <w:insideH w:val="nil"/>
          <w:insideV w:val="nil"/>
        </w:tcBorders>
        <w:shd w:val="clear" w:color="auto" w:fill="F6D4D9" w:themeFill="accent4" w:themeFillTint="3F"/>
      </w:tcPr>
    </w:tblStylePr>
  </w:style>
  <w:style w:type="table" w:styleId="LightShading-Accent5">
    <w:name w:val="Light Shading Accent 5"/>
    <w:basedOn w:val="TableNormal"/>
    <w:uiPriority w:val="60"/>
    <w:semiHidden/>
    <w:locked/>
    <w:rsid w:val="001C6E2E"/>
    <w:rPr>
      <w:color w:val="7A1818" w:themeColor="accent5" w:themeShade="BF"/>
    </w:rPr>
    <w:tblPr>
      <w:tblStyleRowBandSize w:val="1"/>
      <w:tblStyleColBandSize w:val="1"/>
      <w:tblInd w:w="0" w:type="dxa"/>
      <w:tblBorders>
        <w:top w:val="single" w:sz="8" w:space="0" w:color="A32020" w:themeColor="accent5"/>
        <w:bottom w:val="single" w:sz="8" w:space="0" w:color="A32020"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32020" w:themeColor="accent5"/>
          <w:left w:val="nil"/>
          <w:bottom w:val="single" w:sz="8" w:space="0" w:color="A32020" w:themeColor="accent5"/>
          <w:right w:val="nil"/>
          <w:insideH w:val="nil"/>
          <w:insideV w:val="nil"/>
        </w:tcBorders>
      </w:tcPr>
    </w:tblStylePr>
    <w:tblStylePr w:type="lastRow">
      <w:pPr>
        <w:spacing w:before="0" w:after="0" w:line="240" w:lineRule="auto"/>
      </w:pPr>
      <w:rPr>
        <w:b/>
        <w:bCs/>
      </w:rPr>
      <w:tblPr/>
      <w:tcPr>
        <w:tcBorders>
          <w:top w:val="single" w:sz="8" w:space="0" w:color="A32020" w:themeColor="accent5"/>
          <w:left w:val="nil"/>
          <w:bottom w:val="single" w:sz="8" w:space="0" w:color="A3202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BDBD" w:themeFill="accent5" w:themeFillTint="3F"/>
      </w:tcPr>
    </w:tblStylePr>
    <w:tblStylePr w:type="band1Horz">
      <w:tblPr/>
      <w:tcPr>
        <w:tcBorders>
          <w:left w:val="nil"/>
          <w:right w:val="nil"/>
          <w:insideH w:val="nil"/>
          <w:insideV w:val="nil"/>
        </w:tcBorders>
        <w:shd w:val="clear" w:color="auto" w:fill="F2BDBD" w:themeFill="accent5" w:themeFillTint="3F"/>
      </w:tcPr>
    </w:tblStylePr>
  </w:style>
  <w:style w:type="table" w:styleId="LightShading-Accent6">
    <w:name w:val="Light Shading Accent 6"/>
    <w:basedOn w:val="TableNormal"/>
    <w:uiPriority w:val="60"/>
    <w:semiHidden/>
    <w:locked/>
    <w:rsid w:val="001C6E2E"/>
    <w:rPr>
      <w:color w:val="A72316" w:themeColor="accent6" w:themeShade="BF"/>
    </w:rPr>
    <w:tblPr>
      <w:tblStyleRowBandSize w:val="1"/>
      <w:tblStyleColBandSize w:val="1"/>
      <w:tblInd w:w="0" w:type="dxa"/>
      <w:tblBorders>
        <w:top w:val="single" w:sz="8" w:space="0" w:color="E0301E" w:themeColor="accent6"/>
        <w:bottom w:val="single" w:sz="8" w:space="0" w:color="E0301E"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0301E" w:themeColor="accent6"/>
          <w:left w:val="nil"/>
          <w:bottom w:val="single" w:sz="8" w:space="0" w:color="E0301E" w:themeColor="accent6"/>
          <w:right w:val="nil"/>
          <w:insideH w:val="nil"/>
          <w:insideV w:val="nil"/>
        </w:tcBorders>
      </w:tcPr>
    </w:tblStylePr>
    <w:tblStylePr w:type="lastRow">
      <w:pPr>
        <w:spacing w:before="0" w:after="0" w:line="240" w:lineRule="auto"/>
      </w:pPr>
      <w:rPr>
        <w:b/>
        <w:bCs/>
      </w:rPr>
      <w:tblPr/>
      <w:tcPr>
        <w:tcBorders>
          <w:top w:val="single" w:sz="8" w:space="0" w:color="E0301E" w:themeColor="accent6"/>
          <w:left w:val="nil"/>
          <w:bottom w:val="single" w:sz="8" w:space="0" w:color="E0301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CBC7" w:themeFill="accent6" w:themeFillTint="3F"/>
      </w:tcPr>
    </w:tblStylePr>
    <w:tblStylePr w:type="band1Horz">
      <w:tblPr/>
      <w:tcPr>
        <w:tcBorders>
          <w:left w:val="nil"/>
          <w:right w:val="nil"/>
          <w:insideH w:val="nil"/>
          <w:insideV w:val="nil"/>
        </w:tcBorders>
        <w:shd w:val="clear" w:color="auto" w:fill="F7CBC7" w:themeFill="accent6" w:themeFillTint="3F"/>
      </w:tcPr>
    </w:tblStylePr>
  </w:style>
  <w:style w:type="table" w:customStyle="1" w:styleId="MediumGrid11">
    <w:name w:val="Medium Grid 11"/>
    <w:basedOn w:val="TableNormal"/>
    <w:uiPriority w:val="67"/>
    <w:semiHidden/>
    <w:locked/>
    <w:rsid w:val="001C6E2E"/>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locked/>
    <w:rsid w:val="001C6E2E"/>
    <w:tblPr>
      <w:tblStyleRowBandSize w:val="1"/>
      <w:tblStyleColBandSize w:val="1"/>
      <w:tblInd w:w="0" w:type="dxa"/>
      <w:tbl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single" w:sz="8" w:space="0" w:color="FF8C25" w:themeColor="accent1" w:themeTint="BF"/>
        <w:insideV w:val="single" w:sz="8" w:space="0" w:color="FF8C25" w:themeColor="accent1" w:themeTint="BF"/>
      </w:tblBorders>
      <w:tblCellMar>
        <w:top w:w="0" w:type="dxa"/>
        <w:left w:w="108" w:type="dxa"/>
        <w:bottom w:w="0" w:type="dxa"/>
        <w:right w:w="108" w:type="dxa"/>
      </w:tblCellMar>
    </w:tblPr>
    <w:tcPr>
      <w:shd w:val="clear" w:color="auto" w:fill="FFD9B7" w:themeFill="accent1" w:themeFillTint="3F"/>
    </w:tcPr>
    <w:tblStylePr w:type="firstRow">
      <w:rPr>
        <w:b/>
        <w:bCs/>
      </w:rPr>
    </w:tblStylePr>
    <w:tblStylePr w:type="lastRow">
      <w:rPr>
        <w:b/>
        <w:bCs/>
      </w:rPr>
      <w:tblPr/>
      <w:tcPr>
        <w:tcBorders>
          <w:top w:val="single" w:sz="18" w:space="0" w:color="FF8C25" w:themeColor="accent1" w:themeTint="BF"/>
        </w:tcBorders>
      </w:tcPr>
    </w:tblStylePr>
    <w:tblStylePr w:type="firstCol">
      <w:rPr>
        <w:b/>
        <w:bCs/>
      </w:rPr>
    </w:tblStylePr>
    <w:tblStylePr w:type="lastCol">
      <w:rPr>
        <w:b/>
        <w:bCs/>
      </w:rPr>
    </w:tblStylePr>
    <w:tblStylePr w:type="band1Vert">
      <w:tblPr/>
      <w:tcPr>
        <w:shd w:val="clear" w:color="auto" w:fill="FFB26E" w:themeFill="accent1" w:themeFillTint="7F"/>
      </w:tcPr>
    </w:tblStylePr>
    <w:tblStylePr w:type="band1Horz">
      <w:tblPr/>
      <w:tcPr>
        <w:shd w:val="clear" w:color="auto" w:fill="FFB26E" w:themeFill="accent1" w:themeFillTint="7F"/>
      </w:tcPr>
    </w:tblStylePr>
  </w:style>
  <w:style w:type="table" w:styleId="MediumGrid1-Accent2">
    <w:name w:val="Medium Grid 1 Accent 2"/>
    <w:basedOn w:val="TableNormal"/>
    <w:uiPriority w:val="67"/>
    <w:semiHidden/>
    <w:locked/>
    <w:rsid w:val="001C6E2E"/>
    <w:tblPr>
      <w:tblStyleRowBandSize w:val="1"/>
      <w:tblStyleColBandSize w:val="1"/>
      <w:tblInd w:w="0" w:type="dxa"/>
      <w:tblBorders>
        <w:top w:val="single" w:sz="8" w:space="0" w:color="FFC840" w:themeColor="accent2" w:themeTint="BF"/>
        <w:left w:val="single" w:sz="8" w:space="0" w:color="FFC840" w:themeColor="accent2" w:themeTint="BF"/>
        <w:bottom w:val="single" w:sz="8" w:space="0" w:color="FFC840" w:themeColor="accent2" w:themeTint="BF"/>
        <w:right w:val="single" w:sz="8" w:space="0" w:color="FFC840" w:themeColor="accent2" w:themeTint="BF"/>
        <w:insideH w:val="single" w:sz="8" w:space="0" w:color="FFC840" w:themeColor="accent2" w:themeTint="BF"/>
        <w:insideV w:val="single" w:sz="8" w:space="0" w:color="FFC840" w:themeColor="accent2" w:themeTint="BF"/>
      </w:tblBorders>
      <w:tblCellMar>
        <w:top w:w="0" w:type="dxa"/>
        <w:left w:w="108" w:type="dxa"/>
        <w:bottom w:w="0" w:type="dxa"/>
        <w:right w:w="108" w:type="dxa"/>
      </w:tblCellMar>
    </w:tblPr>
    <w:tcPr>
      <w:shd w:val="clear" w:color="auto" w:fill="FFECC0" w:themeFill="accent2" w:themeFillTint="3F"/>
    </w:tcPr>
    <w:tblStylePr w:type="firstRow">
      <w:rPr>
        <w:b/>
        <w:bCs/>
      </w:rPr>
    </w:tblStylePr>
    <w:tblStylePr w:type="lastRow">
      <w:rPr>
        <w:b/>
        <w:bCs/>
      </w:rPr>
      <w:tblPr/>
      <w:tcPr>
        <w:tcBorders>
          <w:top w:val="single" w:sz="18" w:space="0" w:color="FFC840" w:themeColor="accent2" w:themeTint="BF"/>
        </w:tcBorders>
      </w:tcPr>
    </w:tblStylePr>
    <w:tblStylePr w:type="firstCol">
      <w:rPr>
        <w:b/>
        <w:bCs/>
      </w:rPr>
    </w:tblStylePr>
    <w:tblStylePr w:type="lastCol">
      <w:rPr>
        <w:b/>
        <w:bCs/>
      </w:rPr>
    </w:tblStylePr>
    <w:tblStylePr w:type="band1Vert">
      <w:tblPr/>
      <w:tcPr>
        <w:shd w:val="clear" w:color="auto" w:fill="FFDA80" w:themeFill="accent2" w:themeFillTint="7F"/>
      </w:tcPr>
    </w:tblStylePr>
    <w:tblStylePr w:type="band1Horz">
      <w:tblPr/>
      <w:tcPr>
        <w:shd w:val="clear" w:color="auto" w:fill="FFDA80" w:themeFill="accent2" w:themeFillTint="7F"/>
      </w:tcPr>
    </w:tblStylePr>
  </w:style>
  <w:style w:type="table" w:styleId="MediumGrid1-Accent3">
    <w:name w:val="Medium Grid 1 Accent 3"/>
    <w:basedOn w:val="TableNormal"/>
    <w:uiPriority w:val="67"/>
    <w:semiHidden/>
    <w:locked/>
    <w:rsid w:val="001C6E2E"/>
    <w:tblPr>
      <w:tblStyleRowBandSize w:val="1"/>
      <w:tblStyleColBandSize w:val="1"/>
      <w:tblInd w:w="0" w:type="dxa"/>
      <w:tblBorders>
        <w:top w:val="single" w:sz="8" w:space="0" w:color="A73C38" w:themeColor="accent3" w:themeTint="BF"/>
        <w:left w:val="single" w:sz="8" w:space="0" w:color="A73C38" w:themeColor="accent3" w:themeTint="BF"/>
        <w:bottom w:val="single" w:sz="8" w:space="0" w:color="A73C38" w:themeColor="accent3" w:themeTint="BF"/>
        <w:right w:val="single" w:sz="8" w:space="0" w:color="A73C38" w:themeColor="accent3" w:themeTint="BF"/>
        <w:insideH w:val="single" w:sz="8" w:space="0" w:color="A73C38" w:themeColor="accent3" w:themeTint="BF"/>
        <w:insideV w:val="single" w:sz="8" w:space="0" w:color="A73C38" w:themeColor="accent3" w:themeTint="BF"/>
      </w:tblBorders>
      <w:tblCellMar>
        <w:top w:w="0" w:type="dxa"/>
        <w:left w:w="108" w:type="dxa"/>
        <w:bottom w:w="0" w:type="dxa"/>
        <w:right w:w="108" w:type="dxa"/>
      </w:tblCellMar>
    </w:tblPr>
    <w:tcPr>
      <w:shd w:val="clear" w:color="auto" w:fill="E7BAB8" w:themeFill="accent3" w:themeFillTint="3F"/>
    </w:tcPr>
    <w:tblStylePr w:type="firstRow">
      <w:rPr>
        <w:b/>
        <w:bCs/>
      </w:rPr>
    </w:tblStylePr>
    <w:tblStylePr w:type="lastRow">
      <w:rPr>
        <w:b/>
        <w:bCs/>
      </w:rPr>
      <w:tblPr/>
      <w:tcPr>
        <w:tcBorders>
          <w:top w:val="single" w:sz="18" w:space="0" w:color="A73C38" w:themeColor="accent3" w:themeTint="BF"/>
        </w:tcBorders>
      </w:tcPr>
    </w:tblStylePr>
    <w:tblStylePr w:type="firstCol">
      <w:rPr>
        <w:b/>
        <w:bCs/>
      </w:rPr>
    </w:tblStylePr>
    <w:tblStylePr w:type="lastCol">
      <w:rPr>
        <w:b/>
        <w:bCs/>
      </w:rPr>
    </w:tblStylePr>
    <w:tblStylePr w:type="band1Vert">
      <w:tblPr/>
      <w:tcPr>
        <w:shd w:val="clear" w:color="auto" w:fill="CF7470" w:themeFill="accent3" w:themeFillTint="7F"/>
      </w:tcPr>
    </w:tblStylePr>
    <w:tblStylePr w:type="band1Horz">
      <w:tblPr/>
      <w:tcPr>
        <w:shd w:val="clear" w:color="auto" w:fill="CF7470" w:themeFill="accent3" w:themeFillTint="7F"/>
      </w:tcPr>
    </w:tblStylePr>
  </w:style>
  <w:style w:type="table" w:styleId="MediumGrid1-Accent4">
    <w:name w:val="Medium Grid 1 Accent 4"/>
    <w:basedOn w:val="TableNormal"/>
    <w:uiPriority w:val="67"/>
    <w:semiHidden/>
    <w:locked/>
    <w:rsid w:val="001C6E2E"/>
    <w:tblPr>
      <w:tblStyleRowBandSize w:val="1"/>
      <w:tblStyleColBandSize w:val="1"/>
      <w:tblInd w:w="0" w:type="dxa"/>
      <w:tblBorders>
        <w:top w:val="single" w:sz="8" w:space="0" w:color="E47E8F" w:themeColor="accent4" w:themeTint="BF"/>
        <w:left w:val="single" w:sz="8" w:space="0" w:color="E47E8F" w:themeColor="accent4" w:themeTint="BF"/>
        <w:bottom w:val="single" w:sz="8" w:space="0" w:color="E47E8F" w:themeColor="accent4" w:themeTint="BF"/>
        <w:right w:val="single" w:sz="8" w:space="0" w:color="E47E8F" w:themeColor="accent4" w:themeTint="BF"/>
        <w:insideH w:val="single" w:sz="8" w:space="0" w:color="E47E8F" w:themeColor="accent4" w:themeTint="BF"/>
        <w:insideV w:val="single" w:sz="8" w:space="0" w:color="E47E8F" w:themeColor="accent4" w:themeTint="BF"/>
      </w:tblBorders>
      <w:tblCellMar>
        <w:top w:w="0" w:type="dxa"/>
        <w:left w:w="108" w:type="dxa"/>
        <w:bottom w:w="0" w:type="dxa"/>
        <w:right w:w="108" w:type="dxa"/>
      </w:tblCellMar>
    </w:tblPr>
    <w:tcPr>
      <w:shd w:val="clear" w:color="auto" w:fill="F6D4D9" w:themeFill="accent4" w:themeFillTint="3F"/>
    </w:tcPr>
    <w:tblStylePr w:type="firstRow">
      <w:rPr>
        <w:b/>
        <w:bCs/>
      </w:rPr>
    </w:tblStylePr>
    <w:tblStylePr w:type="lastRow">
      <w:rPr>
        <w:b/>
        <w:bCs/>
      </w:rPr>
      <w:tblPr/>
      <w:tcPr>
        <w:tcBorders>
          <w:top w:val="single" w:sz="18" w:space="0" w:color="E47E8F" w:themeColor="accent4" w:themeTint="BF"/>
        </w:tcBorders>
      </w:tcPr>
    </w:tblStylePr>
    <w:tblStylePr w:type="firstCol">
      <w:rPr>
        <w:b/>
        <w:bCs/>
      </w:rPr>
    </w:tblStylePr>
    <w:tblStylePr w:type="lastCol">
      <w:rPr>
        <w:b/>
        <w:bCs/>
      </w:rPr>
    </w:tblStylePr>
    <w:tblStylePr w:type="band1Vert">
      <w:tblPr/>
      <w:tcPr>
        <w:shd w:val="clear" w:color="auto" w:fill="EDA9B4" w:themeFill="accent4" w:themeFillTint="7F"/>
      </w:tcPr>
    </w:tblStylePr>
    <w:tblStylePr w:type="band1Horz">
      <w:tblPr/>
      <w:tcPr>
        <w:shd w:val="clear" w:color="auto" w:fill="EDA9B4" w:themeFill="accent4" w:themeFillTint="7F"/>
      </w:tcPr>
    </w:tblStylePr>
  </w:style>
  <w:style w:type="table" w:styleId="MediumGrid1-Accent5">
    <w:name w:val="Medium Grid 1 Accent 5"/>
    <w:basedOn w:val="TableNormal"/>
    <w:uiPriority w:val="67"/>
    <w:semiHidden/>
    <w:locked/>
    <w:rsid w:val="001C6E2E"/>
    <w:tblPr>
      <w:tblStyleRowBandSize w:val="1"/>
      <w:tblStyleColBandSize w:val="1"/>
      <w:tblInd w:w="0" w:type="dxa"/>
      <w:tblBorders>
        <w:top w:val="single" w:sz="8" w:space="0" w:color="D83939" w:themeColor="accent5" w:themeTint="BF"/>
        <w:left w:val="single" w:sz="8" w:space="0" w:color="D83939" w:themeColor="accent5" w:themeTint="BF"/>
        <w:bottom w:val="single" w:sz="8" w:space="0" w:color="D83939" w:themeColor="accent5" w:themeTint="BF"/>
        <w:right w:val="single" w:sz="8" w:space="0" w:color="D83939" w:themeColor="accent5" w:themeTint="BF"/>
        <w:insideH w:val="single" w:sz="8" w:space="0" w:color="D83939" w:themeColor="accent5" w:themeTint="BF"/>
        <w:insideV w:val="single" w:sz="8" w:space="0" w:color="D83939" w:themeColor="accent5" w:themeTint="BF"/>
      </w:tblBorders>
      <w:tblCellMar>
        <w:top w:w="0" w:type="dxa"/>
        <w:left w:w="108" w:type="dxa"/>
        <w:bottom w:w="0" w:type="dxa"/>
        <w:right w:w="108" w:type="dxa"/>
      </w:tblCellMar>
    </w:tblPr>
    <w:tcPr>
      <w:shd w:val="clear" w:color="auto" w:fill="F2BDBD" w:themeFill="accent5" w:themeFillTint="3F"/>
    </w:tcPr>
    <w:tblStylePr w:type="firstRow">
      <w:rPr>
        <w:b/>
        <w:bCs/>
      </w:rPr>
    </w:tblStylePr>
    <w:tblStylePr w:type="lastRow">
      <w:rPr>
        <w:b/>
        <w:bCs/>
      </w:rPr>
      <w:tblPr/>
      <w:tcPr>
        <w:tcBorders>
          <w:top w:val="single" w:sz="18" w:space="0" w:color="D83939" w:themeColor="accent5" w:themeTint="BF"/>
        </w:tcBorders>
      </w:tcPr>
    </w:tblStylePr>
    <w:tblStylePr w:type="firstCol">
      <w:rPr>
        <w:b/>
        <w:bCs/>
      </w:rPr>
    </w:tblStylePr>
    <w:tblStylePr w:type="lastCol">
      <w:rPr>
        <w:b/>
        <w:bCs/>
      </w:rPr>
    </w:tblStylePr>
    <w:tblStylePr w:type="band1Vert">
      <w:tblPr/>
      <w:tcPr>
        <w:shd w:val="clear" w:color="auto" w:fill="E57B7B" w:themeFill="accent5" w:themeFillTint="7F"/>
      </w:tcPr>
    </w:tblStylePr>
    <w:tblStylePr w:type="band1Horz">
      <w:tblPr/>
      <w:tcPr>
        <w:shd w:val="clear" w:color="auto" w:fill="E57B7B" w:themeFill="accent5" w:themeFillTint="7F"/>
      </w:tcPr>
    </w:tblStylePr>
  </w:style>
  <w:style w:type="table" w:styleId="MediumGrid1-Accent6">
    <w:name w:val="Medium Grid 1 Accent 6"/>
    <w:basedOn w:val="TableNormal"/>
    <w:uiPriority w:val="67"/>
    <w:semiHidden/>
    <w:locked/>
    <w:rsid w:val="001C6E2E"/>
    <w:tblPr>
      <w:tblStyleRowBandSize w:val="1"/>
      <w:tblStyleColBandSize w:val="1"/>
      <w:tblInd w:w="0" w:type="dxa"/>
      <w:tblBorders>
        <w:top w:val="single" w:sz="8" w:space="0" w:color="E86255" w:themeColor="accent6" w:themeTint="BF"/>
        <w:left w:val="single" w:sz="8" w:space="0" w:color="E86255" w:themeColor="accent6" w:themeTint="BF"/>
        <w:bottom w:val="single" w:sz="8" w:space="0" w:color="E86255" w:themeColor="accent6" w:themeTint="BF"/>
        <w:right w:val="single" w:sz="8" w:space="0" w:color="E86255" w:themeColor="accent6" w:themeTint="BF"/>
        <w:insideH w:val="single" w:sz="8" w:space="0" w:color="E86255" w:themeColor="accent6" w:themeTint="BF"/>
        <w:insideV w:val="single" w:sz="8" w:space="0" w:color="E86255" w:themeColor="accent6" w:themeTint="BF"/>
      </w:tblBorders>
      <w:tblCellMar>
        <w:top w:w="0" w:type="dxa"/>
        <w:left w:w="108" w:type="dxa"/>
        <w:bottom w:w="0" w:type="dxa"/>
        <w:right w:w="108" w:type="dxa"/>
      </w:tblCellMar>
    </w:tblPr>
    <w:tcPr>
      <w:shd w:val="clear" w:color="auto" w:fill="F7CBC7" w:themeFill="accent6" w:themeFillTint="3F"/>
    </w:tcPr>
    <w:tblStylePr w:type="firstRow">
      <w:rPr>
        <w:b/>
        <w:bCs/>
      </w:rPr>
    </w:tblStylePr>
    <w:tblStylePr w:type="lastRow">
      <w:rPr>
        <w:b/>
        <w:bCs/>
      </w:rPr>
      <w:tblPr/>
      <w:tcPr>
        <w:tcBorders>
          <w:top w:val="single" w:sz="18" w:space="0" w:color="E86255" w:themeColor="accent6" w:themeTint="BF"/>
        </w:tcBorders>
      </w:tcPr>
    </w:tblStylePr>
    <w:tblStylePr w:type="firstCol">
      <w:rPr>
        <w:b/>
        <w:bCs/>
      </w:rPr>
    </w:tblStylePr>
    <w:tblStylePr w:type="lastCol">
      <w:rPr>
        <w:b/>
        <w:bCs/>
      </w:rPr>
    </w:tblStylePr>
    <w:tblStylePr w:type="band1Vert">
      <w:tblPr/>
      <w:tcPr>
        <w:shd w:val="clear" w:color="auto" w:fill="F0978E" w:themeFill="accent6" w:themeFillTint="7F"/>
      </w:tcPr>
    </w:tblStylePr>
    <w:tblStylePr w:type="band1Horz">
      <w:tblPr/>
      <w:tcPr>
        <w:shd w:val="clear" w:color="auto" w:fill="F0978E" w:themeFill="accent6" w:themeFillTint="7F"/>
      </w:tcPr>
    </w:tblStylePr>
  </w:style>
  <w:style w:type="table" w:customStyle="1" w:styleId="MediumGrid21">
    <w:name w:val="Medium Grid 21"/>
    <w:basedOn w:val="TableNormal"/>
    <w:uiPriority w:val="68"/>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DC6900" w:themeColor="accent1"/>
        <w:left w:val="single" w:sz="8" w:space="0" w:color="DC6900" w:themeColor="accent1"/>
        <w:bottom w:val="single" w:sz="8" w:space="0" w:color="DC6900" w:themeColor="accent1"/>
        <w:right w:val="single" w:sz="8" w:space="0" w:color="DC6900" w:themeColor="accent1"/>
        <w:insideH w:val="single" w:sz="8" w:space="0" w:color="DC6900" w:themeColor="accent1"/>
        <w:insideV w:val="single" w:sz="8" w:space="0" w:color="DC6900" w:themeColor="accent1"/>
      </w:tblBorders>
      <w:tblCellMar>
        <w:top w:w="0" w:type="dxa"/>
        <w:left w:w="108" w:type="dxa"/>
        <w:bottom w:w="0" w:type="dxa"/>
        <w:right w:w="108" w:type="dxa"/>
      </w:tblCellMar>
    </w:tblPr>
    <w:tcPr>
      <w:shd w:val="clear" w:color="auto" w:fill="FFD9B7" w:themeFill="accent1" w:themeFillTint="3F"/>
    </w:tcPr>
    <w:tblStylePr w:type="firstRow">
      <w:rPr>
        <w:b/>
        <w:bCs/>
        <w:color w:val="000000" w:themeColor="text1"/>
      </w:rPr>
      <w:tblPr/>
      <w:tcPr>
        <w:shd w:val="clear" w:color="auto" w:fill="FFEFE2"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0C5" w:themeFill="accent1" w:themeFillTint="33"/>
      </w:tcPr>
    </w:tblStylePr>
    <w:tblStylePr w:type="band1Vert">
      <w:tblPr/>
      <w:tcPr>
        <w:shd w:val="clear" w:color="auto" w:fill="FFB26E" w:themeFill="accent1" w:themeFillTint="7F"/>
      </w:tcPr>
    </w:tblStylePr>
    <w:tblStylePr w:type="band1Horz">
      <w:tblPr/>
      <w:tcPr>
        <w:tcBorders>
          <w:insideH w:val="single" w:sz="6" w:space="0" w:color="DC6900" w:themeColor="accent1"/>
          <w:insideV w:val="single" w:sz="6" w:space="0" w:color="DC6900" w:themeColor="accent1"/>
        </w:tcBorders>
        <w:shd w:val="clear" w:color="auto" w:fill="FFB26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FFB600" w:themeColor="accent2"/>
        <w:left w:val="single" w:sz="8" w:space="0" w:color="FFB600" w:themeColor="accent2"/>
        <w:bottom w:val="single" w:sz="8" w:space="0" w:color="FFB600" w:themeColor="accent2"/>
        <w:right w:val="single" w:sz="8" w:space="0" w:color="FFB600" w:themeColor="accent2"/>
        <w:insideH w:val="single" w:sz="8" w:space="0" w:color="FFB600" w:themeColor="accent2"/>
        <w:insideV w:val="single" w:sz="8" w:space="0" w:color="FFB600" w:themeColor="accent2"/>
      </w:tblBorders>
      <w:tblCellMar>
        <w:top w:w="0" w:type="dxa"/>
        <w:left w:w="108" w:type="dxa"/>
        <w:bottom w:w="0" w:type="dxa"/>
        <w:right w:w="108" w:type="dxa"/>
      </w:tblCellMar>
    </w:tblPr>
    <w:tcPr>
      <w:shd w:val="clear" w:color="auto" w:fill="FFECC0" w:themeFill="accent2" w:themeFillTint="3F"/>
    </w:tcPr>
    <w:tblStylePr w:type="firstRow">
      <w:rPr>
        <w:b/>
        <w:bCs/>
        <w:color w:val="000000" w:themeColor="text1"/>
      </w:rPr>
      <w:tblPr/>
      <w:tcPr>
        <w:shd w:val="clear" w:color="auto" w:fill="FFF7E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0CC" w:themeFill="accent2" w:themeFillTint="33"/>
      </w:tcPr>
    </w:tblStylePr>
    <w:tblStylePr w:type="band1Vert">
      <w:tblPr/>
      <w:tcPr>
        <w:shd w:val="clear" w:color="auto" w:fill="FFDA80" w:themeFill="accent2" w:themeFillTint="7F"/>
      </w:tcPr>
    </w:tblStylePr>
    <w:tblStylePr w:type="band1Horz">
      <w:tblPr/>
      <w:tcPr>
        <w:tcBorders>
          <w:insideH w:val="single" w:sz="6" w:space="0" w:color="FFB600" w:themeColor="accent2"/>
          <w:insideV w:val="single" w:sz="6" w:space="0" w:color="FFB600" w:themeColor="accent2"/>
        </w:tcBorders>
        <w:shd w:val="clear" w:color="auto" w:fill="FFDA8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602320" w:themeColor="accent3"/>
        <w:left w:val="single" w:sz="8" w:space="0" w:color="602320" w:themeColor="accent3"/>
        <w:bottom w:val="single" w:sz="8" w:space="0" w:color="602320" w:themeColor="accent3"/>
        <w:right w:val="single" w:sz="8" w:space="0" w:color="602320" w:themeColor="accent3"/>
        <w:insideH w:val="single" w:sz="8" w:space="0" w:color="602320" w:themeColor="accent3"/>
        <w:insideV w:val="single" w:sz="8" w:space="0" w:color="602320" w:themeColor="accent3"/>
      </w:tblBorders>
      <w:tblCellMar>
        <w:top w:w="0" w:type="dxa"/>
        <w:left w:w="108" w:type="dxa"/>
        <w:bottom w:w="0" w:type="dxa"/>
        <w:right w:w="108" w:type="dxa"/>
      </w:tblCellMar>
    </w:tblPr>
    <w:tcPr>
      <w:shd w:val="clear" w:color="auto" w:fill="E7BAB8" w:themeFill="accent3" w:themeFillTint="3F"/>
    </w:tcPr>
    <w:tblStylePr w:type="firstRow">
      <w:rPr>
        <w:b/>
        <w:bCs/>
        <w:color w:val="000000" w:themeColor="text1"/>
      </w:rPr>
      <w:tblPr/>
      <w:tcPr>
        <w:shd w:val="clear" w:color="auto" w:fill="F5E3E2"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C7C5" w:themeFill="accent3" w:themeFillTint="33"/>
      </w:tcPr>
    </w:tblStylePr>
    <w:tblStylePr w:type="band1Vert">
      <w:tblPr/>
      <w:tcPr>
        <w:shd w:val="clear" w:color="auto" w:fill="CF7470" w:themeFill="accent3" w:themeFillTint="7F"/>
      </w:tcPr>
    </w:tblStylePr>
    <w:tblStylePr w:type="band1Horz">
      <w:tblPr/>
      <w:tcPr>
        <w:tcBorders>
          <w:insideH w:val="single" w:sz="6" w:space="0" w:color="602320" w:themeColor="accent3"/>
          <w:insideV w:val="single" w:sz="6" w:space="0" w:color="602320" w:themeColor="accent3"/>
        </w:tcBorders>
        <w:shd w:val="clear" w:color="auto" w:fill="CF7470"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DB536A" w:themeColor="accent4"/>
        <w:left w:val="single" w:sz="8" w:space="0" w:color="DB536A" w:themeColor="accent4"/>
        <w:bottom w:val="single" w:sz="8" w:space="0" w:color="DB536A" w:themeColor="accent4"/>
        <w:right w:val="single" w:sz="8" w:space="0" w:color="DB536A" w:themeColor="accent4"/>
        <w:insideH w:val="single" w:sz="8" w:space="0" w:color="DB536A" w:themeColor="accent4"/>
        <w:insideV w:val="single" w:sz="8" w:space="0" w:color="DB536A" w:themeColor="accent4"/>
      </w:tblBorders>
      <w:tblCellMar>
        <w:top w:w="0" w:type="dxa"/>
        <w:left w:w="108" w:type="dxa"/>
        <w:bottom w:w="0" w:type="dxa"/>
        <w:right w:w="108" w:type="dxa"/>
      </w:tblCellMar>
    </w:tblPr>
    <w:tcPr>
      <w:shd w:val="clear" w:color="auto" w:fill="F6D4D9" w:themeFill="accent4" w:themeFillTint="3F"/>
    </w:tcPr>
    <w:tblStylePr w:type="firstRow">
      <w:rPr>
        <w:b/>
        <w:bCs/>
        <w:color w:val="000000" w:themeColor="text1"/>
      </w:rPr>
      <w:tblPr/>
      <w:tcPr>
        <w:shd w:val="clear" w:color="auto" w:fill="FBEDF0"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DCE1" w:themeFill="accent4" w:themeFillTint="33"/>
      </w:tcPr>
    </w:tblStylePr>
    <w:tblStylePr w:type="band1Vert">
      <w:tblPr/>
      <w:tcPr>
        <w:shd w:val="clear" w:color="auto" w:fill="EDA9B4" w:themeFill="accent4" w:themeFillTint="7F"/>
      </w:tcPr>
    </w:tblStylePr>
    <w:tblStylePr w:type="band1Horz">
      <w:tblPr/>
      <w:tcPr>
        <w:tcBorders>
          <w:insideH w:val="single" w:sz="6" w:space="0" w:color="DB536A" w:themeColor="accent4"/>
          <w:insideV w:val="single" w:sz="6" w:space="0" w:color="DB536A" w:themeColor="accent4"/>
        </w:tcBorders>
        <w:shd w:val="clear" w:color="auto" w:fill="EDA9B4"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A32020" w:themeColor="accent5"/>
        <w:left w:val="single" w:sz="8" w:space="0" w:color="A32020" w:themeColor="accent5"/>
        <w:bottom w:val="single" w:sz="8" w:space="0" w:color="A32020" w:themeColor="accent5"/>
        <w:right w:val="single" w:sz="8" w:space="0" w:color="A32020" w:themeColor="accent5"/>
        <w:insideH w:val="single" w:sz="8" w:space="0" w:color="A32020" w:themeColor="accent5"/>
        <w:insideV w:val="single" w:sz="8" w:space="0" w:color="A32020" w:themeColor="accent5"/>
      </w:tblBorders>
      <w:tblCellMar>
        <w:top w:w="0" w:type="dxa"/>
        <w:left w:w="108" w:type="dxa"/>
        <w:bottom w:w="0" w:type="dxa"/>
        <w:right w:w="108" w:type="dxa"/>
      </w:tblCellMar>
    </w:tblPr>
    <w:tcPr>
      <w:shd w:val="clear" w:color="auto" w:fill="F2BDBD" w:themeFill="accent5" w:themeFillTint="3F"/>
    </w:tcPr>
    <w:tblStylePr w:type="firstRow">
      <w:rPr>
        <w:b/>
        <w:bCs/>
        <w:color w:val="000000" w:themeColor="text1"/>
      </w:rPr>
      <w:tblPr/>
      <w:tcPr>
        <w:shd w:val="clear" w:color="auto" w:fill="FAE5E5"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CACA" w:themeFill="accent5" w:themeFillTint="33"/>
      </w:tcPr>
    </w:tblStylePr>
    <w:tblStylePr w:type="band1Vert">
      <w:tblPr/>
      <w:tcPr>
        <w:shd w:val="clear" w:color="auto" w:fill="E57B7B" w:themeFill="accent5" w:themeFillTint="7F"/>
      </w:tcPr>
    </w:tblStylePr>
    <w:tblStylePr w:type="band1Horz">
      <w:tblPr/>
      <w:tcPr>
        <w:tcBorders>
          <w:insideH w:val="single" w:sz="6" w:space="0" w:color="A32020" w:themeColor="accent5"/>
          <w:insideV w:val="single" w:sz="6" w:space="0" w:color="A32020" w:themeColor="accent5"/>
        </w:tcBorders>
        <w:shd w:val="clear" w:color="auto" w:fill="E57B7B"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E0301E" w:themeColor="accent6"/>
        <w:left w:val="single" w:sz="8" w:space="0" w:color="E0301E" w:themeColor="accent6"/>
        <w:bottom w:val="single" w:sz="8" w:space="0" w:color="E0301E" w:themeColor="accent6"/>
        <w:right w:val="single" w:sz="8" w:space="0" w:color="E0301E" w:themeColor="accent6"/>
        <w:insideH w:val="single" w:sz="8" w:space="0" w:color="E0301E" w:themeColor="accent6"/>
        <w:insideV w:val="single" w:sz="8" w:space="0" w:color="E0301E" w:themeColor="accent6"/>
      </w:tblBorders>
      <w:tblCellMar>
        <w:top w:w="0" w:type="dxa"/>
        <w:left w:w="108" w:type="dxa"/>
        <w:bottom w:w="0" w:type="dxa"/>
        <w:right w:w="108" w:type="dxa"/>
      </w:tblCellMar>
    </w:tblPr>
    <w:tcPr>
      <w:shd w:val="clear" w:color="auto" w:fill="F7CBC7" w:themeFill="accent6" w:themeFillTint="3F"/>
    </w:tcPr>
    <w:tblStylePr w:type="firstRow">
      <w:rPr>
        <w:b/>
        <w:bCs/>
        <w:color w:val="000000" w:themeColor="text1"/>
      </w:rPr>
      <w:tblPr/>
      <w:tcPr>
        <w:shd w:val="clear" w:color="auto" w:fill="FCEA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9D5D1" w:themeFill="accent6" w:themeFillTint="33"/>
      </w:tcPr>
    </w:tblStylePr>
    <w:tblStylePr w:type="band1Vert">
      <w:tblPr/>
      <w:tcPr>
        <w:shd w:val="clear" w:color="auto" w:fill="F0978E" w:themeFill="accent6" w:themeFillTint="7F"/>
      </w:tcPr>
    </w:tblStylePr>
    <w:tblStylePr w:type="band1Horz">
      <w:tblPr/>
      <w:tcPr>
        <w:tcBorders>
          <w:insideH w:val="single" w:sz="6" w:space="0" w:color="E0301E" w:themeColor="accent6"/>
          <w:insideV w:val="single" w:sz="6" w:space="0" w:color="E0301E" w:themeColor="accent6"/>
        </w:tcBorders>
        <w:shd w:val="clear" w:color="auto" w:fill="F0978E" w:themeFill="accent6" w:themeFillTint="7F"/>
      </w:tcPr>
    </w:tblStylePr>
    <w:tblStylePr w:type="nwCell">
      <w:tblPr/>
      <w:tcPr>
        <w:shd w:val="clear" w:color="auto" w:fill="FFFFFF" w:themeFill="background1"/>
      </w:tcPr>
    </w:tblStylePr>
  </w:style>
  <w:style w:type="table" w:customStyle="1" w:styleId="MediumGrid31">
    <w:name w:val="Medium Grid 31"/>
    <w:basedOn w:val="TableNormal"/>
    <w:uiPriority w:val="69"/>
    <w:semiHidden/>
    <w:locked/>
    <w:rsid w:val="001C6E2E"/>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locked/>
    <w:rsid w:val="001C6E2E"/>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D9B7"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C690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C690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C690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C690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B26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B26E" w:themeFill="accent1" w:themeFillTint="7F"/>
      </w:tcPr>
    </w:tblStylePr>
  </w:style>
  <w:style w:type="table" w:styleId="MediumGrid3-Accent2">
    <w:name w:val="Medium Grid 3 Accent 2"/>
    <w:basedOn w:val="TableNormal"/>
    <w:uiPriority w:val="69"/>
    <w:semiHidden/>
    <w:locked/>
    <w:rsid w:val="001C6E2E"/>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ECC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B6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B6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B6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B6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A8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A80" w:themeFill="accent2" w:themeFillTint="7F"/>
      </w:tcPr>
    </w:tblStylePr>
  </w:style>
  <w:style w:type="table" w:styleId="MediumGrid3-Accent3">
    <w:name w:val="Medium Grid 3 Accent 3"/>
    <w:basedOn w:val="TableNormal"/>
    <w:uiPriority w:val="69"/>
    <w:semiHidden/>
    <w:locked/>
    <w:rsid w:val="001C6E2E"/>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7BAB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0232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0232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0232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0232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7470"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7470" w:themeFill="accent3" w:themeFillTint="7F"/>
      </w:tcPr>
    </w:tblStylePr>
  </w:style>
  <w:style w:type="table" w:styleId="MediumGrid3-Accent4">
    <w:name w:val="Medium Grid 3 Accent 4"/>
    <w:basedOn w:val="TableNormal"/>
    <w:uiPriority w:val="69"/>
    <w:semiHidden/>
    <w:locked/>
    <w:rsid w:val="001C6E2E"/>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6D4D9"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B536A"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B536A"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B536A"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B536A"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DA9B4"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DA9B4" w:themeFill="accent4" w:themeFillTint="7F"/>
      </w:tcPr>
    </w:tblStylePr>
  </w:style>
  <w:style w:type="table" w:styleId="MediumGrid3-Accent5">
    <w:name w:val="Medium Grid 3 Accent 5"/>
    <w:basedOn w:val="TableNormal"/>
    <w:uiPriority w:val="69"/>
    <w:semiHidden/>
    <w:locked/>
    <w:rsid w:val="001C6E2E"/>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2BDB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3202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3202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3202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3202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7B7B"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7B7B" w:themeFill="accent5" w:themeFillTint="7F"/>
      </w:tcPr>
    </w:tblStylePr>
  </w:style>
  <w:style w:type="table" w:styleId="MediumGrid3-Accent6">
    <w:name w:val="Medium Grid 3 Accent 6"/>
    <w:basedOn w:val="TableNormal"/>
    <w:uiPriority w:val="69"/>
    <w:semiHidden/>
    <w:locked/>
    <w:rsid w:val="001C6E2E"/>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7CBC7"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0301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0301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0301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0301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0978E"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0978E" w:themeFill="accent6" w:themeFillTint="7F"/>
      </w:tcPr>
    </w:tblStylePr>
  </w:style>
  <w:style w:type="table" w:customStyle="1" w:styleId="MediumList11">
    <w:name w:val="Medium List 11"/>
    <w:basedOn w:val="TableNormal"/>
    <w:uiPriority w:val="65"/>
    <w:semiHidden/>
    <w:locked/>
    <w:rsid w:val="001C6E2E"/>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DC69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TableNormal"/>
    <w:uiPriority w:val="65"/>
    <w:semiHidden/>
    <w:locked/>
    <w:rsid w:val="001C6E2E"/>
    <w:rPr>
      <w:color w:val="000000" w:themeColor="text1"/>
    </w:rPr>
    <w:tblPr>
      <w:tblStyleRowBandSize w:val="1"/>
      <w:tblStyleColBandSize w:val="1"/>
      <w:tblInd w:w="0" w:type="dxa"/>
      <w:tblBorders>
        <w:top w:val="single" w:sz="8" w:space="0" w:color="DC6900" w:themeColor="accent1"/>
        <w:bottom w:val="single" w:sz="8" w:space="0" w:color="DC6900"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DC6900" w:themeColor="accent1"/>
        </w:tcBorders>
      </w:tcPr>
    </w:tblStylePr>
    <w:tblStylePr w:type="lastRow">
      <w:rPr>
        <w:b/>
        <w:bCs/>
        <w:color w:val="DC6900" w:themeColor="text2"/>
      </w:rPr>
      <w:tblPr/>
      <w:tcPr>
        <w:tcBorders>
          <w:top w:val="single" w:sz="8" w:space="0" w:color="DC6900" w:themeColor="accent1"/>
          <w:bottom w:val="single" w:sz="8" w:space="0" w:color="DC6900" w:themeColor="accent1"/>
        </w:tcBorders>
      </w:tcPr>
    </w:tblStylePr>
    <w:tblStylePr w:type="firstCol">
      <w:rPr>
        <w:b/>
        <w:bCs/>
      </w:rPr>
    </w:tblStylePr>
    <w:tblStylePr w:type="lastCol">
      <w:rPr>
        <w:b/>
        <w:bCs/>
      </w:rPr>
      <w:tblPr/>
      <w:tcPr>
        <w:tcBorders>
          <w:top w:val="single" w:sz="8" w:space="0" w:color="DC6900" w:themeColor="accent1"/>
          <w:bottom w:val="single" w:sz="8" w:space="0" w:color="DC6900" w:themeColor="accent1"/>
        </w:tcBorders>
      </w:tcPr>
    </w:tblStylePr>
    <w:tblStylePr w:type="band1Vert">
      <w:tblPr/>
      <w:tcPr>
        <w:shd w:val="clear" w:color="auto" w:fill="FFD9B7" w:themeFill="accent1" w:themeFillTint="3F"/>
      </w:tcPr>
    </w:tblStylePr>
    <w:tblStylePr w:type="band1Horz">
      <w:tblPr/>
      <w:tcPr>
        <w:shd w:val="clear" w:color="auto" w:fill="FFD9B7" w:themeFill="accent1" w:themeFillTint="3F"/>
      </w:tcPr>
    </w:tblStylePr>
  </w:style>
  <w:style w:type="table" w:styleId="MediumList1-Accent2">
    <w:name w:val="Medium List 1 Accent 2"/>
    <w:basedOn w:val="TableNormal"/>
    <w:uiPriority w:val="65"/>
    <w:semiHidden/>
    <w:locked/>
    <w:rsid w:val="001C6E2E"/>
    <w:rPr>
      <w:color w:val="000000" w:themeColor="text1"/>
    </w:rPr>
    <w:tblPr>
      <w:tblStyleRowBandSize w:val="1"/>
      <w:tblStyleColBandSize w:val="1"/>
      <w:tblInd w:w="0" w:type="dxa"/>
      <w:tblBorders>
        <w:top w:val="single" w:sz="8" w:space="0" w:color="FFB600" w:themeColor="accent2"/>
        <w:bottom w:val="single" w:sz="8" w:space="0" w:color="FFB6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FB600" w:themeColor="accent2"/>
        </w:tcBorders>
      </w:tcPr>
    </w:tblStylePr>
    <w:tblStylePr w:type="lastRow">
      <w:rPr>
        <w:b/>
        <w:bCs/>
        <w:color w:val="DC6900" w:themeColor="text2"/>
      </w:rPr>
      <w:tblPr/>
      <w:tcPr>
        <w:tcBorders>
          <w:top w:val="single" w:sz="8" w:space="0" w:color="FFB600" w:themeColor="accent2"/>
          <w:bottom w:val="single" w:sz="8" w:space="0" w:color="FFB600" w:themeColor="accent2"/>
        </w:tcBorders>
      </w:tcPr>
    </w:tblStylePr>
    <w:tblStylePr w:type="firstCol">
      <w:rPr>
        <w:b/>
        <w:bCs/>
      </w:rPr>
    </w:tblStylePr>
    <w:tblStylePr w:type="lastCol">
      <w:rPr>
        <w:b/>
        <w:bCs/>
      </w:rPr>
      <w:tblPr/>
      <w:tcPr>
        <w:tcBorders>
          <w:top w:val="single" w:sz="8" w:space="0" w:color="FFB600" w:themeColor="accent2"/>
          <w:bottom w:val="single" w:sz="8" w:space="0" w:color="FFB600" w:themeColor="accent2"/>
        </w:tcBorders>
      </w:tcPr>
    </w:tblStylePr>
    <w:tblStylePr w:type="band1Vert">
      <w:tblPr/>
      <w:tcPr>
        <w:shd w:val="clear" w:color="auto" w:fill="FFECC0" w:themeFill="accent2" w:themeFillTint="3F"/>
      </w:tcPr>
    </w:tblStylePr>
    <w:tblStylePr w:type="band1Horz">
      <w:tblPr/>
      <w:tcPr>
        <w:shd w:val="clear" w:color="auto" w:fill="FFECC0" w:themeFill="accent2" w:themeFillTint="3F"/>
      </w:tcPr>
    </w:tblStylePr>
  </w:style>
  <w:style w:type="table" w:styleId="MediumList1-Accent3">
    <w:name w:val="Medium List 1 Accent 3"/>
    <w:basedOn w:val="TableNormal"/>
    <w:uiPriority w:val="65"/>
    <w:semiHidden/>
    <w:locked/>
    <w:rsid w:val="001C6E2E"/>
    <w:rPr>
      <w:color w:val="000000" w:themeColor="text1"/>
    </w:rPr>
    <w:tblPr>
      <w:tblStyleRowBandSize w:val="1"/>
      <w:tblStyleColBandSize w:val="1"/>
      <w:tblInd w:w="0" w:type="dxa"/>
      <w:tblBorders>
        <w:top w:val="single" w:sz="8" w:space="0" w:color="602320" w:themeColor="accent3"/>
        <w:bottom w:val="single" w:sz="8" w:space="0" w:color="602320"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602320" w:themeColor="accent3"/>
        </w:tcBorders>
      </w:tcPr>
    </w:tblStylePr>
    <w:tblStylePr w:type="lastRow">
      <w:rPr>
        <w:b/>
        <w:bCs/>
        <w:color w:val="DC6900" w:themeColor="text2"/>
      </w:rPr>
      <w:tblPr/>
      <w:tcPr>
        <w:tcBorders>
          <w:top w:val="single" w:sz="8" w:space="0" w:color="602320" w:themeColor="accent3"/>
          <w:bottom w:val="single" w:sz="8" w:space="0" w:color="602320" w:themeColor="accent3"/>
        </w:tcBorders>
      </w:tcPr>
    </w:tblStylePr>
    <w:tblStylePr w:type="firstCol">
      <w:rPr>
        <w:b/>
        <w:bCs/>
      </w:rPr>
    </w:tblStylePr>
    <w:tblStylePr w:type="lastCol">
      <w:rPr>
        <w:b/>
        <w:bCs/>
      </w:rPr>
      <w:tblPr/>
      <w:tcPr>
        <w:tcBorders>
          <w:top w:val="single" w:sz="8" w:space="0" w:color="602320" w:themeColor="accent3"/>
          <w:bottom w:val="single" w:sz="8" w:space="0" w:color="602320" w:themeColor="accent3"/>
        </w:tcBorders>
      </w:tcPr>
    </w:tblStylePr>
    <w:tblStylePr w:type="band1Vert">
      <w:tblPr/>
      <w:tcPr>
        <w:shd w:val="clear" w:color="auto" w:fill="E7BAB8" w:themeFill="accent3" w:themeFillTint="3F"/>
      </w:tcPr>
    </w:tblStylePr>
    <w:tblStylePr w:type="band1Horz">
      <w:tblPr/>
      <w:tcPr>
        <w:shd w:val="clear" w:color="auto" w:fill="E7BAB8" w:themeFill="accent3" w:themeFillTint="3F"/>
      </w:tcPr>
    </w:tblStylePr>
  </w:style>
  <w:style w:type="table" w:styleId="MediumList1-Accent4">
    <w:name w:val="Medium List 1 Accent 4"/>
    <w:basedOn w:val="TableNormal"/>
    <w:uiPriority w:val="65"/>
    <w:semiHidden/>
    <w:locked/>
    <w:rsid w:val="001C6E2E"/>
    <w:rPr>
      <w:color w:val="000000" w:themeColor="text1"/>
    </w:rPr>
    <w:tblPr>
      <w:tblStyleRowBandSize w:val="1"/>
      <w:tblStyleColBandSize w:val="1"/>
      <w:tblInd w:w="0" w:type="dxa"/>
      <w:tblBorders>
        <w:top w:val="single" w:sz="8" w:space="0" w:color="DB536A" w:themeColor="accent4"/>
        <w:bottom w:val="single" w:sz="8" w:space="0" w:color="DB536A"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DB536A" w:themeColor="accent4"/>
        </w:tcBorders>
      </w:tcPr>
    </w:tblStylePr>
    <w:tblStylePr w:type="lastRow">
      <w:rPr>
        <w:b/>
        <w:bCs/>
        <w:color w:val="DC6900" w:themeColor="text2"/>
      </w:rPr>
      <w:tblPr/>
      <w:tcPr>
        <w:tcBorders>
          <w:top w:val="single" w:sz="8" w:space="0" w:color="DB536A" w:themeColor="accent4"/>
          <w:bottom w:val="single" w:sz="8" w:space="0" w:color="DB536A" w:themeColor="accent4"/>
        </w:tcBorders>
      </w:tcPr>
    </w:tblStylePr>
    <w:tblStylePr w:type="firstCol">
      <w:rPr>
        <w:b/>
        <w:bCs/>
      </w:rPr>
    </w:tblStylePr>
    <w:tblStylePr w:type="lastCol">
      <w:rPr>
        <w:b/>
        <w:bCs/>
      </w:rPr>
      <w:tblPr/>
      <w:tcPr>
        <w:tcBorders>
          <w:top w:val="single" w:sz="8" w:space="0" w:color="DB536A" w:themeColor="accent4"/>
          <w:bottom w:val="single" w:sz="8" w:space="0" w:color="DB536A" w:themeColor="accent4"/>
        </w:tcBorders>
      </w:tcPr>
    </w:tblStylePr>
    <w:tblStylePr w:type="band1Vert">
      <w:tblPr/>
      <w:tcPr>
        <w:shd w:val="clear" w:color="auto" w:fill="F6D4D9" w:themeFill="accent4" w:themeFillTint="3F"/>
      </w:tcPr>
    </w:tblStylePr>
    <w:tblStylePr w:type="band1Horz">
      <w:tblPr/>
      <w:tcPr>
        <w:shd w:val="clear" w:color="auto" w:fill="F6D4D9" w:themeFill="accent4" w:themeFillTint="3F"/>
      </w:tcPr>
    </w:tblStylePr>
  </w:style>
  <w:style w:type="table" w:styleId="MediumList1-Accent5">
    <w:name w:val="Medium List 1 Accent 5"/>
    <w:basedOn w:val="TableNormal"/>
    <w:uiPriority w:val="65"/>
    <w:semiHidden/>
    <w:locked/>
    <w:rsid w:val="001C6E2E"/>
    <w:rPr>
      <w:color w:val="000000" w:themeColor="text1"/>
    </w:rPr>
    <w:tblPr>
      <w:tblStyleRowBandSize w:val="1"/>
      <w:tblStyleColBandSize w:val="1"/>
      <w:tblInd w:w="0" w:type="dxa"/>
      <w:tblBorders>
        <w:top w:val="single" w:sz="8" w:space="0" w:color="A32020" w:themeColor="accent5"/>
        <w:bottom w:val="single" w:sz="8" w:space="0" w:color="A32020"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A32020" w:themeColor="accent5"/>
        </w:tcBorders>
      </w:tcPr>
    </w:tblStylePr>
    <w:tblStylePr w:type="lastRow">
      <w:rPr>
        <w:b/>
        <w:bCs/>
        <w:color w:val="DC6900" w:themeColor="text2"/>
      </w:rPr>
      <w:tblPr/>
      <w:tcPr>
        <w:tcBorders>
          <w:top w:val="single" w:sz="8" w:space="0" w:color="A32020" w:themeColor="accent5"/>
          <w:bottom w:val="single" w:sz="8" w:space="0" w:color="A32020" w:themeColor="accent5"/>
        </w:tcBorders>
      </w:tcPr>
    </w:tblStylePr>
    <w:tblStylePr w:type="firstCol">
      <w:rPr>
        <w:b/>
        <w:bCs/>
      </w:rPr>
    </w:tblStylePr>
    <w:tblStylePr w:type="lastCol">
      <w:rPr>
        <w:b/>
        <w:bCs/>
      </w:rPr>
      <w:tblPr/>
      <w:tcPr>
        <w:tcBorders>
          <w:top w:val="single" w:sz="8" w:space="0" w:color="A32020" w:themeColor="accent5"/>
          <w:bottom w:val="single" w:sz="8" w:space="0" w:color="A32020" w:themeColor="accent5"/>
        </w:tcBorders>
      </w:tcPr>
    </w:tblStylePr>
    <w:tblStylePr w:type="band1Vert">
      <w:tblPr/>
      <w:tcPr>
        <w:shd w:val="clear" w:color="auto" w:fill="F2BDBD" w:themeFill="accent5" w:themeFillTint="3F"/>
      </w:tcPr>
    </w:tblStylePr>
    <w:tblStylePr w:type="band1Horz">
      <w:tblPr/>
      <w:tcPr>
        <w:shd w:val="clear" w:color="auto" w:fill="F2BDBD" w:themeFill="accent5" w:themeFillTint="3F"/>
      </w:tcPr>
    </w:tblStylePr>
  </w:style>
  <w:style w:type="table" w:styleId="MediumList1-Accent6">
    <w:name w:val="Medium List 1 Accent 6"/>
    <w:basedOn w:val="TableNormal"/>
    <w:uiPriority w:val="65"/>
    <w:semiHidden/>
    <w:locked/>
    <w:rsid w:val="001C6E2E"/>
    <w:rPr>
      <w:color w:val="000000" w:themeColor="text1"/>
    </w:rPr>
    <w:tblPr>
      <w:tblStyleRowBandSize w:val="1"/>
      <w:tblStyleColBandSize w:val="1"/>
      <w:tblInd w:w="0" w:type="dxa"/>
      <w:tblBorders>
        <w:top w:val="single" w:sz="8" w:space="0" w:color="E0301E" w:themeColor="accent6"/>
        <w:bottom w:val="single" w:sz="8" w:space="0" w:color="E0301E"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E0301E" w:themeColor="accent6"/>
        </w:tcBorders>
      </w:tcPr>
    </w:tblStylePr>
    <w:tblStylePr w:type="lastRow">
      <w:rPr>
        <w:b/>
        <w:bCs/>
        <w:color w:val="DC6900" w:themeColor="text2"/>
      </w:rPr>
      <w:tblPr/>
      <w:tcPr>
        <w:tcBorders>
          <w:top w:val="single" w:sz="8" w:space="0" w:color="E0301E" w:themeColor="accent6"/>
          <w:bottom w:val="single" w:sz="8" w:space="0" w:color="E0301E" w:themeColor="accent6"/>
        </w:tcBorders>
      </w:tcPr>
    </w:tblStylePr>
    <w:tblStylePr w:type="firstCol">
      <w:rPr>
        <w:b/>
        <w:bCs/>
      </w:rPr>
    </w:tblStylePr>
    <w:tblStylePr w:type="lastCol">
      <w:rPr>
        <w:b/>
        <w:bCs/>
      </w:rPr>
      <w:tblPr/>
      <w:tcPr>
        <w:tcBorders>
          <w:top w:val="single" w:sz="8" w:space="0" w:color="E0301E" w:themeColor="accent6"/>
          <w:bottom w:val="single" w:sz="8" w:space="0" w:color="E0301E" w:themeColor="accent6"/>
        </w:tcBorders>
      </w:tcPr>
    </w:tblStylePr>
    <w:tblStylePr w:type="band1Vert">
      <w:tblPr/>
      <w:tcPr>
        <w:shd w:val="clear" w:color="auto" w:fill="F7CBC7" w:themeFill="accent6" w:themeFillTint="3F"/>
      </w:tcPr>
    </w:tblStylePr>
    <w:tblStylePr w:type="band1Horz">
      <w:tblPr/>
      <w:tcPr>
        <w:shd w:val="clear" w:color="auto" w:fill="F7CBC7" w:themeFill="accent6" w:themeFillTint="3F"/>
      </w:tcPr>
    </w:tblStylePr>
  </w:style>
  <w:style w:type="table" w:customStyle="1" w:styleId="MediumList21">
    <w:name w:val="Medium List 21"/>
    <w:basedOn w:val="TableNormal"/>
    <w:uiPriority w:val="66"/>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DC6900" w:themeColor="accent1"/>
        <w:left w:val="single" w:sz="8" w:space="0" w:color="DC6900" w:themeColor="accent1"/>
        <w:bottom w:val="single" w:sz="8" w:space="0" w:color="DC6900" w:themeColor="accent1"/>
        <w:right w:val="single" w:sz="8" w:space="0" w:color="DC6900"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DC6900" w:themeColor="accent1"/>
          <w:right w:val="nil"/>
          <w:insideH w:val="nil"/>
          <w:insideV w:val="nil"/>
        </w:tcBorders>
        <w:shd w:val="clear" w:color="auto" w:fill="FFFFFF" w:themeFill="background1"/>
      </w:tcPr>
    </w:tblStylePr>
    <w:tblStylePr w:type="lastRow">
      <w:tblPr/>
      <w:tcPr>
        <w:tcBorders>
          <w:top w:val="single" w:sz="8" w:space="0" w:color="DC6900"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C6900" w:themeColor="accent1"/>
          <w:insideH w:val="nil"/>
          <w:insideV w:val="nil"/>
        </w:tcBorders>
        <w:shd w:val="clear" w:color="auto" w:fill="FFFFFF" w:themeFill="background1"/>
      </w:tcPr>
    </w:tblStylePr>
    <w:tblStylePr w:type="lastCol">
      <w:tblPr/>
      <w:tcPr>
        <w:tcBorders>
          <w:top w:val="nil"/>
          <w:left w:val="single" w:sz="8" w:space="0" w:color="DC690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9B7" w:themeFill="accent1" w:themeFillTint="3F"/>
      </w:tcPr>
    </w:tblStylePr>
    <w:tblStylePr w:type="band1Horz">
      <w:tblPr/>
      <w:tcPr>
        <w:tcBorders>
          <w:top w:val="nil"/>
          <w:bottom w:val="nil"/>
          <w:insideH w:val="nil"/>
          <w:insideV w:val="nil"/>
        </w:tcBorders>
        <w:shd w:val="clear" w:color="auto" w:fill="FFD9B7"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FFB600" w:themeColor="accent2"/>
        <w:left w:val="single" w:sz="8" w:space="0" w:color="FFB600" w:themeColor="accent2"/>
        <w:bottom w:val="single" w:sz="8" w:space="0" w:color="FFB600" w:themeColor="accent2"/>
        <w:right w:val="single" w:sz="8" w:space="0" w:color="FFB6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FFB600" w:themeColor="accent2"/>
          <w:right w:val="nil"/>
          <w:insideH w:val="nil"/>
          <w:insideV w:val="nil"/>
        </w:tcBorders>
        <w:shd w:val="clear" w:color="auto" w:fill="FFFFFF" w:themeFill="background1"/>
      </w:tcPr>
    </w:tblStylePr>
    <w:tblStylePr w:type="lastRow">
      <w:tblPr/>
      <w:tcPr>
        <w:tcBorders>
          <w:top w:val="single" w:sz="8" w:space="0" w:color="FFB6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B600" w:themeColor="accent2"/>
          <w:insideH w:val="nil"/>
          <w:insideV w:val="nil"/>
        </w:tcBorders>
        <w:shd w:val="clear" w:color="auto" w:fill="FFFFFF" w:themeFill="background1"/>
      </w:tcPr>
    </w:tblStylePr>
    <w:tblStylePr w:type="lastCol">
      <w:tblPr/>
      <w:tcPr>
        <w:tcBorders>
          <w:top w:val="nil"/>
          <w:left w:val="single" w:sz="8" w:space="0" w:color="FFB6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CC0" w:themeFill="accent2" w:themeFillTint="3F"/>
      </w:tcPr>
    </w:tblStylePr>
    <w:tblStylePr w:type="band1Horz">
      <w:tblPr/>
      <w:tcPr>
        <w:tcBorders>
          <w:top w:val="nil"/>
          <w:bottom w:val="nil"/>
          <w:insideH w:val="nil"/>
          <w:insideV w:val="nil"/>
        </w:tcBorders>
        <w:shd w:val="clear" w:color="auto" w:fill="FFECC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602320" w:themeColor="accent3"/>
        <w:left w:val="single" w:sz="8" w:space="0" w:color="602320" w:themeColor="accent3"/>
        <w:bottom w:val="single" w:sz="8" w:space="0" w:color="602320" w:themeColor="accent3"/>
        <w:right w:val="single" w:sz="8" w:space="0" w:color="602320"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602320" w:themeColor="accent3"/>
          <w:right w:val="nil"/>
          <w:insideH w:val="nil"/>
          <w:insideV w:val="nil"/>
        </w:tcBorders>
        <w:shd w:val="clear" w:color="auto" w:fill="FFFFFF" w:themeFill="background1"/>
      </w:tcPr>
    </w:tblStylePr>
    <w:tblStylePr w:type="lastRow">
      <w:tblPr/>
      <w:tcPr>
        <w:tcBorders>
          <w:top w:val="single" w:sz="8" w:space="0" w:color="60232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02320" w:themeColor="accent3"/>
          <w:insideH w:val="nil"/>
          <w:insideV w:val="nil"/>
        </w:tcBorders>
        <w:shd w:val="clear" w:color="auto" w:fill="FFFFFF" w:themeFill="background1"/>
      </w:tcPr>
    </w:tblStylePr>
    <w:tblStylePr w:type="lastCol">
      <w:tblPr/>
      <w:tcPr>
        <w:tcBorders>
          <w:top w:val="nil"/>
          <w:left w:val="single" w:sz="8" w:space="0" w:color="60232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BAB8" w:themeFill="accent3" w:themeFillTint="3F"/>
      </w:tcPr>
    </w:tblStylePr>
    <w:tblStylePr w:type="band1Horz">
      <w:tblPr/>
      <w:tcPr>
        <w:tcBorders>
          <w:top w:val="nil"/>
          <w:bottom w:val="nil"/>
          <w:insideH w:val="nil"/>
          <w:insideV w:val="nil"/>
        </w:tcBorders>
        <w:shd w:val="clear" w:color="auto" w:fill="E7BAB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DB536A" w:themeColor="accent4"/>
        <w:left w:val="single" w:sz="8" w:space="0" w:color="DB536A" w:themeColor="accent4"/>
        <w:bottom w:val="single" w:sz="8" w:space="0" w:color="DB536A" w:themeColor="accent4"/>
        <w:right w:val="single" w:sz="8" w:space="0" w:color="DB536A"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DB536A" w:themeColor="accent4"/>
          <w:right w:val="nil"/>
          <w:insideH w:val="nil"/>
          <w:insideV w:val="nil"/>
        </w:tcBorders>
        <w:shd w:val="clear" w:color="auto" w:fill="FFFFFF" w:themeFill="background1"/>
      </w:tcPr>
    </w:tblStylePr>
    <w:tblStylePr w:type="lastRow">
      <w:tblPr/>
      <w:tcPr>
        <w:tcBorders>
          <w:top w:val="single" w:sz="8" w:space="0" w:color="DB536A"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B536A" w:themeColor="accent4"/>
          <w:insideH w:val="nil"/>
          <w:insideV w:val="nil"/>
        </w:tcBorders>
        <w:shd w:val="clear" w:color="auto" w:fill="FFFFFF" w:themeFill="background1"/>
      </w:tcPr>
    </w:tblStylePr>
    <w:tblStylePr w:type="lastCol">
      <w:tblPr/>
      <w:tcPr>
        <w:tcBorders>
          <w:top w:val="nil"/>
          <w:left w:val="single" w:sz="8" w:space="0" w:color="DB536A"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4D9" w:themeFill="accent4" w:themeFillTint="3F"/>
      </w:tcPr>
    </w:tblStylePr>
    <w:tblStylePr w:type="band1Horz">
      <w:tblPr/>
      <w:tcPr>
        <w:tcBorders>
          <w:top w:val="nil"/>
          <w:bottom w:val="nil"/>
          <w:insideH w:val="nil"/>
          <w:insideV w:val="nil"/>
        </w:tcBorders>
        <w:shd w:val="clear" w:color="auto" w:fill="F6D4D9"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A32020" w:themeColor="accent5"/>
        <w:left w:val="single" w:sz="8" w:space="0" w:color="A32020" w:themeColor="accent5"/>
        <w:bottom w:val="single" w:sz="8" w:space="0" w:color="A32020" w:themeColor="accent5"/>
        <w:right w:val="single" w:sz="8" w:space="0" w:color="A32020"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A32020" w:themeColor="accent5"/>
          <w:right w:val="nil"/>
          <w:insideH w:val="nil"/>
          <w:insideV w:val="nil"/>
        </w:tcBorders>
        <w:shd w:val="clear" w:color="auto" w:fill="FFFFFF" w:themeFill="background1"/>
      </w:tcPr>
    </w:tblStylePr>
    <w:tblStylePr w:type="lastRow">
      <w:tblPr/>
      <w:tcPr>
        <w:tcBorders>
          <w:top w:val="single" w:sz="8" w:space="0" w:color="A32020"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32020" w:themeColor="accent5"/>
          <w:insideH w:val="nil"/>
          <w:insideV w:val="nil"/>
        </w:tcBorders>
        <w:shd w:val="clear" w:color="auto" w:fill="FFFFFF" w:themeFill="background1"/>
      </w:tcPr>
    </w:tblStylePr>
    <w:tblStylePr w:type="lastCol">
      <w:tblPr/>
      <w:tcPr>
        <w:tcBorders>
          <w:top w:val="nil"/>
          <w:left w:val="single" w:sz="8" w:space="0" w:color="A3202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BDBD" w:themeFill="accent5" w:themeFillTint="3F"/>
      </w:tcPr>
    </w:tblStylePr>
    <w:tblStylePr w:type="band1Horz">
      <w:tblPr/>
      <w:tcPr>
        <w:tcBorders>
          <w:top w:val="nil"/>
          <w:bottom w:val="nil"/>
          <w:insideH w:val="nil"/>
          <w:insideV w:val="nil"/>
        </w:tcBorders>
        <w:shd w:val="clear" w:color="auto" w:fill="F2BDB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E0301E" w:themeColor="accent6"/>
        <w:left w:val="single" w:sz="8" w:space="0" w:color="E0301E" w:themeColor="accent6"/>
        <w:bottom w:val="single" w:sz="8" w:space="0" w:color="E0301E" w:themeColor="accent6"/>
        <w:right w:val="single" w:sz="8" w:space="0" w:color="E0301E"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E0301E" w:themeColor="accent6"/>
          <w:right w:val="nil"/>
          <w:insideH w:val="nil"/>
          <w:insideV w:val="nil"/>
        </w:tcBorders>
        <w:shd w:val="clear" w:color="auto" w:fill="FFFFFF" w:themeFill="background1"/>
      </w:tcPr>
    </w:tblStylePr>
    <w:tblStylePr w:type="lastRow">
      <w:tblPr/>
      <w:tcPr>
        <w:tcBorders>
          <w:top w:val="single" w:sz="8" w:space="0" w:color="E0301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0301E" w:themeColor="accent6"/>
          <w:insideH w:val="nil"/>
          <w:insideV w:val="nil"/>
        </w:tcBorders>
        <w:shd w:val="clear" w:color="auto" w:fill="FFFFFF" w:themeFill="background1"/>
      </w:tcPr>
    </w:tblStylePr>
    <w:tblStylePr w:type="lastCol">
      <w:tblPr/>
      <w:tcPr>
        <w:tcBorders>
          <w:top w:val="nil"/>
          <w:left w:val="single" w:sz="8" w:space="0" w:color="E0301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CBC7" w:themeFill="accent6" w:themeFillTint="3F"/>
      </w:tcPr>
    </w:tblStylePr>
    <w:tblStylePr w:type="band1Horz">
      <w:tblPr/>
      <w:tcPr>
        <w:tcBorders>
          <w:top w:val="nil"/>
          <w:bottom w:val="nil"/>
          <w:insideH w:val="nil"/>
          <w:insideV w:val="nil"/>
        </w:tcBorders>
        <w:shd w:val="clear" w:color="auto" w:fill="F7CBC7"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Shading11">
    <w:name w:val="Medium Shading 11"/>
    <w:basedOn w:val="TableNormal"/>
    <w:uiPriority w:val="63"/>
    <w:semiHidden/>
    <w:locked/>
    <w:rsid w:val="001C6E2E"/>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63"/>
    <w:semiHidden/>
    <w:locked/>
    <w:rsid w:val="001C6E2E"/>
    <w:tblPr>
      <w:tblStyleRowBandSize w:val="1"/>
      <w:tblStyleColBandSize w:val="1"/>
      <w:tblInd w:w="0" w:type="dxa"/>
      <w:tbl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single" w:sz="8" w:space="0" w:color="FF8C25"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nil"/>
          <w:insideV w:val="nil"/>
        </w:tcBorders>
        <w:shd w:val="clear" w:color="auto" w:fill="DC6900" w:themeFill="accent1"/>
      </w:tcPr>
    </w:tblStylePr>
    <w:tblStylePr w:type="lastRow">
      <w:pPr>
        <w:spacing w:before="0" w:after="0" w:line="240" w:lineRule="auto"/>
      </w:pPr>
      <w:rPr>
        <w:b/>
        <w:bCs/>
      </w:rPr>
      <w:tblPr/>
      <w:tcPr>
        <w:tcBorders>
          <w:top w:val="double" w:sz="6"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nil"/>
          <w:insideV w:val="nil"/>
        </w:tcBorders>
      </w:tcPr>
    </w:tblStylePr>
    <w:tblStylePr w:type="firstCol">
      <w:rPr>
        <w:b/>
        <w:bCs/>
      </w:rPr>
    </w:tblStylePr>
    <w:tblStylePr w:type="lastCol">
      <w:rPr>
        <w:b/>
        <w:bCs/>
      </w:rPr>
    </w:tblStylePr>
    <w:tblStylePr w:type="band1Vert">
      <w:tblPr/>
      <w:tcPr>
        <w:shd w:val="clear" w:color="auto" w:fill="FFD9B7" w:themeFill="accent1" w:themeFillTint="3F"/>
      </w:tcPr>
    </w:tblStylePr>
    <w:tblStylePr w:type="band1Horz">
      <w:tblPr/>
      <w:tcPr>
        <w:tcBorders>
          <w:insideH w:val="nil"/>
          <w:insideV w:val="nil"/>
        </w:tcBorders>
        <w:shd w:val="clear" w:color="auto" w:fill="FFD9B7"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locked/>
    <w:rsid w:val="001C6E2E"/>
    <w:tblPr>
      <w:tblStyleRowBandSize w:val="1"/>
      <w:tblStyleColBandSize w:val="1"/>
      <w:tblInd w:w="0" w:type="dxa"/>
      <w:tblBorders>
        <w:top w:val="single" w:sz="8" w:space="0" w:color="FFC840" w:themeColor="accent2" w:themeTint="BF"/>
        <w:left w:val="single" w:sz="8" w:space="0" w:color="FFC840" w:themeColor="accent2" w:themeTint="BF"/>
        <w:bottom w:val="single" w:sz="8" w:space="0" w:color="FFC840" w:themeColor="accent2" w:themeTint="BF"/>
        <w:right w:val="single" w:sz="8" w:space="0" w:color="FFC840" w:themeColor="accent2" w:themeTint="BF"/>
        <w:insideH w:val="single" w:sz="8" w:space="0" w:color="FFC840"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FC840" w:themeColor="accent2" w:themeTint="BF"/>
          <w:left w:val="single" w:sz="8" w:space="0" w:color="FFC840" w:themeColor="accent2" w:themeTint="BF"/>
          <w:bottom w:val="single" w:sz="8" w:space="0" w:color="FFC840" w:themeColor="accent2" w:themeTint="BF"/>
          <w:right w:val="single" w:sz="8" w:space="0" w:color="FFC840" w:themeColor="accent2" w:themeTint="BF"/>
          <w:insideH w:val="nil"/>
          <w:insideV w:val="nil"/>
        </w:tcBorders>
        <w:shd w:val="clear" w:color="auto" w:fill="FFB600" w:themeFill="accent2"/>
      </w:tcPr>
    </w:tblStylePr>
    <w:tblStylePr w:type="lastRow">
      <w:pPr>
        <w:spacing w:before="0" w:after="0" w:line="240" w:lineRule="auto"/>
      </w:pPr>
      <w:rPr>
        <w:b/>
        <w:bCs/>
      </w:rPr>
      <w:tblPr/>
      <w:tcPr>
        <w:tcBorders>
          <w:top w:val="double" w:sz="6" w:space="0" w:color="FFC840" w:themeColor="accent2" w:themeTint="BF"/>
          <w:left w:val="single" w:sz="8" w:space="0" w:color="FFC840" w:themeColor="accent2" w:themeTint="BF"/>
          <w:bottom w:val="single" w:sz="8" w:space="0" w:color="FFC840" w:themeColor="accent2" w:themeTint="BF"/>
          <w:right w:val="single" w:sz="8" w:space="0" w:color="FFC84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ECC0" w:themeFill="accent2" w:themeFillTint="3F"/>
      </w:tcPr>
    </w:tblStylePr>
    <w:tblStylePr w:type="band1Horz">
      <w:tblPr/>
      <w:tcPr>
        <w:tcBorders>
          <w:insideH w:val="nil"/>
          <w:insideV w:val="nil"/>
        </w:tcBorders>
        <w:shd w:val="clear" w:color="auto" w:fill="FFECC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locked/>
    <w:rsid w:val="001C6E2E"/>
    <w:tblPr>
      <w:tblStyleRowBandSize w:val="1"/>
      <w:tblStyleColBandSize w:val="1"/>
      <w:tblInd w:w="0" w:type="dxa"/>
      <w:tblBorders>
        <w:top w:val="single" w:sz="8" w:space="0" w:color="A73C38" w:themeColor="accent3" w:themeTint="BF"/>
        <w:left w:val="single" w:sz="8" w:space="0" w:color="A73C38" w:themeColor="accent3" w:themeTint="BF"/>
        <w:bottom w:val="single" w:sz="8" w:space="0" w:color="A73C38" w:themeColor="accent3" w:themeTint="BF"/>
        <w:right w:val="single" w:sz="8" w:space="0" w:color="A73C38" w:themeColor="accent3" w:themeTint="BF"/>
        <w:insideH w:val="single" w:sz="8" w:space="0" w:color="A73C38"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A73C38" w:themeColor="accent3" w:themeTint="BF"/>
          <w:left w:val="single" w:sz="8" w:space="0" w:color="A73C38" w:themeColor="accent3" w:themeTint="BF"/>
          <w:bottom w:val="single" w:sz="8" w:space="0" w:color="A73C38" w:themeColor="accent3" w:themeTint="BF"/>
          <w:right w:val="single" w:sz="8" w:space="0" w:color="A73C38" w:themeColor="accent3" w:themeTint="BF"/>
          <w:insideH w:val="nil"/>
          <w:insideV w:val="nil"/>
        </w:tcBorders>
        <w:shd w:val="clear" w:color="auto" w:fill="602320" w:themeFill="accent3"/>
      </w:tcPr>
    </w:tblStylePr>
    <w:tblStylePr w:type="lastRow">
      <w:pPr>
        <w:spacing w:before="0" w:after="0" w:line="240" w:lineRule="auto"/>
      </w:pPr>
      <w:rPr>
        <w:b/>
        <w:bCs/>
      </w:rPr>
      <w:tblPr/>
      <w:tcPr>
        <w:tcBorders>
          <w:top w:val="double" w:sz="6" w:space="0" w:color="A73C38" w:themeColor="accent3" w:themeTint="BF"/>
          <w:left w:val="single" w:sz="8" w:space="0" w:color="A73C38" w:themeColor="accent3" w:themeTint="BF"/>
          <w:bottom w:val="single" w:sz="8" w:space="0" w:color="A73C38" w:themeColor="accent3" w:themeTint="BF"/>
          <w:right w:val="single" w:sz="8" w:space="0" w:color="A73C38" w:themeColor="accent3" w:themeTint="BF"/>
          <w:insideH w:val="nil"/>
          <w:insideV w:val="nil"/>
        </w:tcBorders>
      </w:tcPr>
    </w:tblStylePr>
    <w:tblStylePr w:type="firstCol">
      <w:rPr>
        <w:b/>
        <w:bCs/>
      </w:rPr>
    </w:tblStylePr>
    <w:tblStylePr w:type="lastCol">
      <w:rPr>
        <w:b/>
        <w:bCs/>
      </w:rPr>
    </w:tblStylePr>
    <w:tblStylePr w:type="band1Vert">
      <w:tblPr/>
      <w:tcPr>
        <w:shd w:val="clear" w:color="auto" w:fill="E7BAB8" w:themeFill="accent3" w:themeFillTint="3F"/>
      </w:tcPr>
    </w:tblStylePr>
    <w:tblStylePr w:type="band1Horz">
      <w:tblPr/>
      <w:tcPr>
        <w:tcBorders>
          <w:insideH w:val="nil"/>
          <w:insideV w:val="nil"/>
        </w:tcBorders>
        <w:shd w:val="clear" w:color="auto" w:fill="E7BAB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locked/>
    <w:rsid w:val="001C6E2E"/>
    <w:tblPr>
      <w:tblStyleRowBandSize w:val="1"/>
      <w:tblStyleColBandSize w:val="1"/>
      <w:tblInd w:w="0" w:type="dxa"/>
      <w:tblBorders>
        <w:top w:val="single" w:sz="8" w:space="0" w:color="E47E8F" w:themeColor="accent4" w:themeTint="BF"/>
        <w:left w:val="single" w:sz="8" w:space="0" w:color="E47E8F" w:themeColor="accent4" w:themeTint="BF"/>
        <w:bottom w:val="single" w:sz="8" w:space="0" w:color="E47E8F" w:themeColor="accent4" w:themeTint="BF"/>
        <w:right w:val="single" w:sz="8" w:space="0" w:color="E47E8F" w:themeColor="accent4" w:themeTint="BF"/>
        <w:insideH w:val="single" w:sz="8" w:space="0" w:color="E47E8F"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E47E8F" w:themeColor="accent4" w:themeTint="BF"/>
          <w:left w:val="single" w:sz="8" w:space="0" w:color="E47E8F" w:themeColor="accent4" w:themeTint="BF"/>
          <w:bottom w:val="single" w:sz="8" w:space="0" w:color="E47E8F" w:themeColor="accent4" w:themeTint="BF"/>
          <w:right w:val="single" w:sz="8" w:space="0" w:color="E47E8F" w:themeColor="accent4" w:themeTint="BF"/>
          <w:insideH w:val="nil"/>
          <w:insideV w:val="nil"/>
        </w:tcBorders>
        <w:shd w:val="clear" w:color="auto" w:fill="DB536A" w:themeFill="accent4"/>
      </w:tcPr>
    </w:tblStylePr>
    <w:tblStylePr w:type="lastRow">
      <w:pPr>
        <w:spacing w:before="0" w:after="0" w:line="240" w:lineRule="auto"/>
      </w:pPr>
      <w:rPr>
        <w:b/>
        <w:bCs/>
      </w:rPr>
      <w:tblPr/>
      <w:tcPr>
        <w:tcBorders>
          <w:top w:val="double" w:sz="6" w:space="0" w:color="E47E8F" w:themeColor="accent4" w:themeTint="BF"/>
          <w:left w:val="single" w:sz="8" w:space="0" w:color="E47E8F" w:themeColor="accent4" w:themeTint="BF"/>
          <w:bottom w:val="single" w:sz="8" w:space="0" w:color="E47E8F" w:themeColor="accent4" w:themeTint="BF"/>
          <w:right w:val="single" w:sz="8" w:space="0" w:color="E47E8F" w:themeColor="accent4" w:themeTint="BF"/>
          <w:insideH w:val="nil"/>
          <w:insideV w:val="nil"/>
        </w:tcBorders>
      </w:tcPr>
    </w:tblStylePr>
    <w:tblStylePr w:type="firstCol">
      <w:rPr>
        <w:b/>
        <w:bCs/>
      </w:rPr>
    </w:tblStylePr>
    <w:tblStylePr w:type="lastCol">
      <w:rPr>
        <w:b/>
        <w:bCs/>
      </w:rPr>
    </w:tblStylePr>
    <w:tblStylePr w:type="band1Vert">
      <w:tblPr/>
      <w:tcPr>
        <w:shd w:val="clear" w:color="auto" w:fill="F6D4D9" w:themeFill="accent4" w:themeFillTint="3F"/>
      </w:tcPr>
    </w:tblStylePr>
    <w:tblStylePr w:type="band1Horz">
      <w:tblPr/>
      <w:tcPr>
        <w:tcBorders>
          <w:insideH w:val="nil"/>
          <w:insideV w:val="nil"/>
        </w:tcBorders>
        <w:shd w:val="clear" w:color="auto" w:fill="F6D4D9"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locked/>
    <w:rsid w:val="001C6E2E"/>
    <w:tblPr>
      <w:tblStyleRowBandSize w:val="1"/>
      <w:tblStyleColBandSize w:val="1"/>
      <w:tblInd w:w="0" w:type="dxa"/>
      <w:tblBorders>
        <w:top w:val="single" w:sz="8" w:space="0" w:color="D83939" w:themeColor="accent5" w:themeTint="BF"/>
        <w:left w:val="single" w:sz="8" w:space="0" w:color="D83939" w:themeColor="accent5" w:themeTint="BF"/>
        <w:bottom w:val="single" w:sz="8" w:space="0" w:color="D83939" w:themeColor="accent5" w:themeTint="BF"/>
        <w:right w:val="single" w:sz="8" w:space="0" w:color="D83939" w:themeColor="accent5" w:themeTint="BF"/>
        <w:insideH w:val="single" w:sz="8" w:space="0" w:color="D83939"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D83939" w:themeColor="accent5" w:themeTint="BF"/>
          <w:left w:val="single" w:sz="8" w:space="0" w:color="D83939" w:themeColor="accent5" w:themeTint="BF"/>
          <w:bottom w:val="single" w:sz="8" w:space="0" w:color="D83939" w:themeColor="accent5" w:themeTint="BF"/>
          <w:right w:val="single" w:sz="8" w:space="0" w:color="D83939" w:themeColor="accent5" w:themeTint="BF"/>
          <w:insideH w:val="nil"/>
          <w:insideV w:val="nil"/>
        </w:tcBorders>
        <w:shd w:val="clear" w:color="auto" w:fill="A32020" w:themeFill="accent5"/>
      </w:tcPr>
    </w:tblStylePr>
    <w:tblStylePr w:type="lastRow">
      <w:pPr>
        <w:spacing w:before="0" w:after="0" w:line="240" w:lineRule="auto"/>
      </w:pPr>
      <w:rPr>
        <w:b/>
        <w:bCs/>
      </w:rPr>
      <w:tblPr/>
      <w:tcPr>
        <w:tcBorders>
          <w:top w:val="double" w:sz="6" w:space="0" w:color="D83939" w:themeColor="accent5" w:themeTint="BF"/>
          <w:left w:val="single" w:sz="8" w:space="0" w:color="D83939" w:themeColor="accent5" w:themeTint="BF"/>
          <w:bottom w:val="single" w:sz="8" w:space="0" w:color="D83939" w:themeColor="accent5" w:themeTint="BF"/>
          <w:right w:val="single" w:sz="8" w:space="0" w:color="D83939" w:themeColor="accent5" w:themeTint="BF"/>
          <w:insideH w:val="nil"/>
          <w:insideV w:val="nil"/>
        </w:tcBorders>
      </w:tcPr>
    </w:tblStylePr>
    <w:tblStylePr w:type="firstCol">
      <w:rPr>
        <w:b/>
        <w:bCs/>
      </w:rPr>
    </w:tblStylePr>
    <w:tblStylePr w:type="lastCol">
      <w:rPr>
        <w:b/>
        <w:bCs/>
      </w:rPr>
    </w:tblStylePr>
    <w:tblStylePr w:type="band1Vert">
      <w:tblPr/>
      <w:tcPr>
        <w:shd w:val="clear" w:color="auto" w:fill="F2BDBD" w:themeFill="accent5" w:themeFillTint="3F"/>
      </w:tcPr>
    </w:tblStylePr>
    <w:tblStylePr w:type="band1Horz">
      <w:tblPr/>
      <w:tcPr>
        <w:tcBorders>
          <w:insideH w:val="nil"/>
          <w:insideV w:val="nil"/>
        </w:tcBorders>
        <w:shd w:val="clear" w:color="auto" w:fill="F2BDB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locked/>
    <w:rsid w:val="001C6E2E"/>
    <w:tblPr>
      <w:tblStyleRowBandSize w:val="1"/>
      <w:tblStyleColBandSize w:val="1"/>
      <w:tblInd w:w="0" w:type="dxa"/>
      <w:tblBorders>
        <w:top w:val="single" w:sz="8" w:space="0" w:color="E86255" w:themeColor="accent6" w:themeTint="BF"/>
        <w:left w:val="single" w:sz="8" w:space="0" w:color="E86255" w:themeColor="accent6" w:themeTint="BF"/>
        <w:bottom w:val="single" w:sz="8" w:space="0" w:color="E86255" w:themeColor="accent6" w:themeTint="BF"/>
        <w:right w:val="single" w:sz="8" w:space="0" w:color="E86255" w:themeColor="accent6" w:themeTint="BF"/>
        <w:insideH w:val="single" w:sz="8" w:space="0" w:color="E86255"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E86255" w:themeColor="accent6" w:themeTint="BF"/>
          <w:left w:val="single" w:sz="8" w:space="0" w:color="E86255" w:themeColor="accent6" w:themeTint="BF"/>
          <w:bottom w:val="single" w:sz="8" w:space="0" w:color="E86255" w:themeColor="accent6" w:themeTint="BF"/>
          <w:right w:val="single" w:sz="8" w:space="0" w:color="E86255" w:themeColor="accent6" w:themeTint="BF"/>
          <w:insideH w:val="nil"/>
          <w:insideV w:val="nil"/>
        </w:tcBorders>
        <w:shd w:val="clear" w:color="auto" w:fill="E0301E" w:themeFill="accent6"/>
      </w:tcPr>
    </w:tblStylePr>
    <w:tblStylePr w:type="lastRow">
      <w:pPr>
        <w:spacing w:before="0" w:after="0" w:line="240" w:lineRule="auto"/>
      </w:pPr>
      <w:rPr>
        <w:b/>
        <w:bCs/>
      </w:rPr>
      <w:tblPr/>
      <w:tcPr>
        <w:tcBorders>
          <w:top w:val="double" w:sz="6" w:space="0" w:color="E86255" w:themeColor="accent6" w:themeTint="BF"/>
          <w:left w:val="single" w:sz="8" w:space="0" w:color="E86255" w:themeColor="accent6" w:themeTint="BF"/>
          <w:bottom w:val="single" w:sz="8" w:space="0" w:color="E86255" w:themeColor="accent6" w:themeTint="BF"/>
          <w:right w:val="single" w:sz="8" w:space="0" w:color="E86255" w:themeColor="accent6" w:themeTint="BF"/>
          <w:insideH w:val="nil"/>
          <w:insideV w:val="nil"/>
        </w:tcBorders>
      </w:tcPr>
    </w:tblStylePr>
    <w:tblStylePr w:type="firstCol">
      <w:rPr>
        <w:b/>
        <w:bCs/>
      </w:rPr>
    </w:tblStylePr>
    <w:tblStylePr w:type="lastCol">
      <w:rPr>
        <w:b/>
        <w:bCs/>
      </w:rPr>
    </w:tblStylePr>
    <w:tblStylePr w:type="band1Vert">
      <w:tblPr/>
      <w:tcPr>
        <w:shd w:val="clear" w:color="auto" w:fill="F7CBC7" w:themeFill="accent6" w:themeFillTint="3F"/>
      </w:tcPr>
    </w:tblStylePr>
    <w:tblStylePr w:type="band1Horz">
      <w:tblPr/>
      <w:tcPr>
        <w:tcBorders>
          <w:insideH w:val="nil"/>
          <w:insideV w:val="nil"/>
        </w:tcBorders>
        <w:shd w:val="clear" w:color="auto" w:fill="F7CBC7" w:themeFill="accent6" w:themeFillTint="3F"/>
      </w:tcPr>
    </w:tblStylePr>
    <w:tblStylePr w:type="band2Horz">
      <w:tblPr/>
      <w:tcPr>
        <w:tcBorders>
          <w:insideH w:val="nil"/>
          <w:insideV w:val="nil"/>
        </w:tcBorders>
      </w:tcPr>
    </w:tblStylePr>
  </w:style>
  <w:style w:type="table" w:customStyle="1" w:styleId="MediumShading21">
    <w:name w:val="Medium Shading 21"/>
    <w:basedOn w:val="TableNormal"/>
    <w:uiPriority w:val="64"/>
    <w:semiHidden/>
    <w:locked/>
    <w:rsid w:val="001C6E2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semiHidden/>
    <w:locked/>
    <w:rsid w:val="001C6E2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C690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DC6900" w:themeFill="accent1"/>
      </w:tcPr>
    </w:tblStylePr>
    <w:tblStylePr w:type="lastCol">
      <w:rPr>
        <w:b/>
        <w:bCs/>
        <w:color w:val="FFFFFF" w:themeColor="background1"/>
      </w:rPr>
      <w:tblPr/>
      <w:tcPr>
        <w:tcBorders>
          <w:left w:val="nil"/>
          <w:right w:val="nil"/>
          <w:insideH w:val="nil"/>
          <w:insideV w:val="nil"/>
        </w:tcBorders>
        <w:shd w:val="clear" w:color="auto" w:fill="DC690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locked/>
    <w:rsid w:val="001C6E2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B6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B600" w:themeFill="accent2"/>
      </w:tcPr>
    </w:tblStylePr>
    <w:tblStylePr w:type="lastCol">
      <w:rPr>
        <w:b/>
        <w:bCs/>
        <w:color w:val="FFFFFF" w:themeColor="background1"/>
      </w:rPr>
      <w:tblPr/>
      <w:tcPr>
        <w:tcBorders>
          <w:left w:val="nil"/>
          <w:right w:val="nil"/>
          <w:insideH w:val="nil"/>
          <w:insideV w:val="nil"/>
        </w:tcBorders>
        <w:shd w:val="clear" w:color="auto" w:fill="FFB6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locked/>
    <w:rsid w:val="001C6E2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0232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02320" w:themeFill="accent3"/>
      </w:tcPr>
    </w:tblStylePr>
    <w:tblStylePr w:type="lastCol">
      <w:rPr>
        <w:b/>
        <w:bCs/>
        <w:color w:val="FFFFFF" w:themeColor="background1"/>
      </w:rPr>
      <w:tblPr/>
      <w:tcPr>
        <w:tcBorders>
          <w:left w:val="nil"/>
          <w:right w:val="nil"/>
          <w:insideH w:val="nil"/>
          <w:insideV w:val="nil"/>
        </w:tcBorders>
        <w:shd w:val="clear" w:color="auto" w:fill="60232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locked/>
    <w:rsid w:val="001C6E2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B536A"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DB536A" w:themeFill="accent4"/>
      </w:tcPr>
    </w:tblStylePr>
    <w:tblStylePr w:type="lastCol">
      <w:rPr>
        <w:b/>
        <w:bCs/>
        <w:color w:val="FFFFFF" w:themeColor="background1"/>
      </w:rPr>
      <w:tblPr/>
      <w:tcPr>
        <w:tcBorders>
          <w:left w:val="nil"/>
          <w:right w:val="nil"/>
          <w:insideH w:val="nil"/>
          <w:insideV w:val="nil"/>
        </w:tcBorders>
        <w:shd w:val="clear" w:color="auto" w:fill="DB536A"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locked/>
    <w:rsid w:val="001C6E2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3202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32020" w:themeFill="accent5"/>
      </w:tcPr>
    </w:tblStylePr>
    <w:tblStylePr w:type="lastCol">
      <w:rPr>
        <w:b/>
        <w:bCs/>
        <w:color w:val="FFFFFF" w:themeColor="background1"/>
      </w:rPr>
      <w:tblPr/>
      <w:tcPr>
        <w:tcBorders>
          <w:left w:val="nil"/>
          <w:right w:val="nil"/>
          <w:insideH w:val="nil"/>
          <w:insideV w:val="nil"/>
        </w:tcBorders>
        <w:shd w:val="clear" w:color="auto" w:fill="A3202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locked/>
    <w:rsid w:val="001C6E2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0301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0301E" w:themeFill="accent6"/>
      </w:tcPr>
    </w:tblStylePr>
    <w:tblStylePr w:type="lastCol">
      <w:rPr>
        <w:b/>
        <w:bCs/>
        <w:color w:val="FFFFFF" w:themeColor="background1"/>
      </w:rPr>
      <w:tblPr/>
      <w:tcPr>
        <w:tcBorders>
          <w:left w:val="nil"/>
          <w:right w:val="nil"/>
          <w:insideH w:val="nil"/>
          <w:insideV w:val="nil"/>
        </w:tcBorders>
        <w:shd w:val="clear" w:color="auto" w:fill="E0301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PwCTableStyle2">
    <w:name w:val="PwC Table Style 2"/>
    <w:basedOn w:val="PwCTableStyle1"/>
    <w:uiPriority w:val="99"/>
    <w:qFormat/>
    <w:rsid w:val="00FB380F"/>
    <w:tblPr>
      <w:tblInd w:w="0" w:type="dxa"/>
      <w:tblBorders>
        <w:bottom w:val="dotted" w:sz="8" w:space="0" w:color="DC6900" w:themeColor="accent1"/>
        <w:insideH w:val="single" w:sz="6" w:space="0" w:color="DC6900" w:themeColor="accent1"/>
      </w:tblBorders>
      <w:tblCellMar>
        <w:top w:w="28" w:type="dxa"/>
        <w:left w:w="108" w:type="dxa"/>
        <w:bottom w:w="28" w:type="dxa"/>
        <w:right w:w="108" w:type="dxa"/>
      </w:tblCellMar>
    </w:tblPr>
    <w:tcPr>
      <w:shd w:val="clear" w:color="auto" w:fill="auto"/>
    </w:tcPr>
    <w:tblStylePr w:type="firstRow">
      <w:rPr>
        <w:b/>
        <w:i/>
        <w:color w:val="DC6900" w:themeColor="accent1"/>
      </w:rPr>
      <w:tblPr/>
      <w:trPr>
        <w:tblHeader/>
      </w:trPr>
      <w:tcPr>
        <w:tcBorders>
          <w:top w:val="single" w:sz="8" w:space="0" w:color="DC6900" w:themeColor="accent1"/>
          <w:insideV w:val="single" w:sz="6" w:space="0" w:color="FFFFFF" w:themeColor="background1"/>
        </w:tcBorders>
        <w:shd w:val="clear" w:color="auto" w:fill="auto"/>
      </w:tcPr>
    </w:tblStylePr>
    <w:tblStylePr w:type="lastRow">
      <w:rPr>
        <w:b/>
      </w:rPr>
      <w:tblPr/>
      <w:tcPr>
        <w:tcBorders>
          <w:top w:val="single" w:sz="8" w:space="0" w:color="DC6900" w:themeColor="accent1"/>
          <w:bottom w:val="single" w:sz="8" w:space="0" w:color="DC6900" w:themeColor="accent1"/>
        </w:tcBorders>
        <w:shd w:val="clear" w:color="auto" w:fill="auto"/>
      </w:tcPr>
    </w:tblStylePr>
    <w:tblStylePr w:type="firstCol">
      <w:rPr>
        <w:color w:val="DC6900" w:themeColor="accent1"/>
      </w:rPr>
    </w:tblStylePr>
  </w:style>
  <w:style w:type="table" w:styleId="Table3Deffects2">
    <w:name w:val="Table 3D effects 2"/>
    <w:basedOn w:val="TableNormal"/>
    <w:semiHidden/>
    <w:locked/>
    <w:rsid w:val="001C6E2E"/>
    <w:pPr>
      <w:kinsoku w:val="0"/>
      <w:overflowPunct w:val="0"/>
      <w:autoSpaceDE w:val="0"/>
      <w:autoSpaceDN w:val="0"/>
      <w:adjustRightInd w:val="0"/>
      <w:snapToGrid w:val="0"/>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locked/>
    <w:rsid w:val="001C6E2E"/>
    <w:pPr>
      <w:kinsoku w:val="0"/>
      <w:overflowPunct w:val="0"/>
      <w:autoSpaceDE w:val="0"/>
      <w:autoSpaceDN w:val="0"/>
      <w:adjustRightInd w:val="0"/>
      <w:snapToGrid w:val="0"/>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locked/>
    <w:rsid w:val="001C6E2E"/>
    <w:pPr>
      <w:kinsoku w:val="0"/>
      <w:overflowPunct w:val="0"/>
      <w:autoSpaceDE w:val="0"/>
      <w:autoSpaceDN w:val="0"/>
      <w:adjustRightInd w:val="0"/>
      <w:snapToGrid w:val="0"/>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locked/>
    <w:rsid w:val="001C6E2E"/>
    <w:pPr>
      <w:kinsoku w:val="0"/>
      <w:overflowPunct w:val="0"/>
      <w:autoSpaceDE w:val="0"/>
      <w:autoSpaceDN w:val="0"/>
      <w:adjustRightInd w:val="0"/>
      <w:snapToGrid w:val="0"/>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locked/>
    <w:rsid w:val="001C6E2E"/>
    <w:pPr>
      <w:kinsoku w:val="0"/>
      <w:overflowPunct w:val="0"/>
      <w:autoSpaceDE w:val="0"/>
      <w:autoSpaceDN w:val="0"/>
      <w:adjustRightInd w:val="0"/>
      <w:snapToGrid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locked/>
    <w:rsid w:val="001C6E2E"/>
    <w:pPr>
      <w:kinsoku w:val="0"/>
      <w:overflowPunct w:val="0"/>
      <w:autoSpaceDE w:val="0"/>
      <w:autoSpaceDN w:val="0"/>
      <w:adjustRightInd w:val="0"/>
      <w:snapToGrid w:val="0"/>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locked/>
    <w:rsid w:val="001C6E2E"/>
    <w:pPr>
      <w:kinsoku w:val="0"/>
      <w:overflowPunct w:val="0"/>
      <w:autoSpaceDE w:val="0"/>
      <w:autoSpaceDN w:val="0"/>
      <w:adjustRightInd w:val="0"/>
      <w:snapToGrid w:val="0"/>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locked/>
    <w:rsid w:val="001C6E2E"/>
    <w:pPr>
      <w:kinsoku w:val="0"/>
      <w:overflowPunct w:val="0"/>
      <w:autoSpaceDE w:val="0"/>
      <w:autoSpaceDN w:val="0"/>
      <w:adjustRightInd w:val="0"/>
      <w:snapToGrid w:val="0"/>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locked/>
    <w:rsid w:val="001C6E2E"/>
    <w:pPr>
      <w:kinsoku w:val="0"/>
      <w:overflowPunct w:val="0"/>
      <w:autoSpaceDE w:val="0"/>
      <w:autoSpaceDN w:val="0"/>
      <w:adjustRightInd w:val="0"/>
      <w:snapToGrid w:val="0"/>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locked/>
    <w:rsid w:val="001C6E2E"/>
    <w:pPr>
      <w:kinsoku w:val="0"/>
      <w:overflowPunct w:val="0"/>
      <w:autoSpaceDE w:val="0"/>
      <w:autoSpaceDN w:val="0"/>
      <w:adjustRightInd w:val="0"/>
      <w:snapToGrid w:val="0"/>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locked/>
    <w:rsid w:val="001C6E2E"/>
    <w:pPr>
      <w:kinsoku w:val="0"/>
      <w:overflowPunct w:val="0"/>
      <w:autoSpaceDE w:val="0"/>
      <w:autoSpaceDN w:val="0"/>
      <w:adjustRightInd w:val="0"/>
      <w:snapToGrid w:val="0"/>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locked/>
    <w:rsid w:val="001C6E2E"/>
    <w:pPr>
      <w:kinsoku w:val="0"/>
      <w:overflowPunct w:val="0"/>
      <w:autoSpaceDE w:val="0"/>
      <w:autoSpaceDN w:val="0"/>
      <w:adjustRightInd w:val="0"/>
      <w:snapToGrid w:val="0"/>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locked/>
    <w:rsid w:val="001C6E2E"/>
    <w:pPr>
      <w:kinsoku w:val="0"/>
      <w:overflowPunct w:val="0"/>
      <w:autoSpaceDE w:val="0"/>
      <w:autoSpaceDN w:val="0"/>
      <w:adjustRightInd w:val="0"/>
      <w:snapToGrid w:val="0"/>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locked/>
    <w:rsid w:val="001C6E2E"/>
    <w:pPr>
      <w:kinsoku w:val="0"/>
      <w:overflowPunct w:val="0"/>
      <w:autoSpaceDE w:val="0"/>
      <w:autoSpaceDN w:val="0"/>
      <w:adjustRightInd w:val="0"/>
      <w:snapToGrid w:val="0"/>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locked/>
    <w:rsid w:val="001C6E2E"/>
    <w:pPr>
      <w:kinsoku w:val="0"/>
      <w:overflowPunct w:val="0"/>
      <w:autoSpaceDE w:val="0"/>
      <w:autoSpaceDN w:val="0"/>
      <w:adjustRightInd w:val="0"/>
      <w:snapToGrid w:val="0"/>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locked/>
    <w:rsid w:val="001C6E2E"/>
    <w:pPr>
      <w:kinsoku w:val="0"/>
      <w:overflowPunct w:val="0"/>
      <w:autoSpaceDE w:val="0"/>
      <w:autoSpaceDN w:val="0"/>
      <w:adjustRightInd w:val="0"/>
      <w:snapToGrid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locked/>
    <w:rsid w:val="003A1A33"/>
    <w:pPr>
      <w:kinsoku w:val="0"/>
      <w:overflowPunct w:val="0"/>
      <w:autoSpaceDE w:val="0"/>
      <w:autoSpaceDN w:val="0"/>
      <w:adjustRightInd w:val="0"/>
      <w:snapToGrid w:val="0"/>
    </w:pPr>
    <w:rPr>
      <w:rFonts w:ascii="Georgia" w:hAnsi="Georgia"/>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locked/>
    <w:rsid w:val="003A1A33"/>
    <w:pPr>
      <w:kinsoku w:val="0"/>
      <w:overflowPunct w:val="0"/>
      <w:autoSpaceDE w:val="0"/>
      <w:autoSpaceDN w:val="0"/>
      <w:adjustRightInd w:val="0"/>
      <w:snapToGrid w:val="0"/>
    </w:pPr>
    <w:rPr>
      <w:rFonts w:ascii="Georgia" w:hAnsi="Georgia"/>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locked/>
    <w:rsid w:val="003A1A33"/>
    <w:pPr>
      <w:kinsoku w:val="0"/>
      <w:overflowPunct w:val="0"/>
      <w:autoSpaceDE w:val="0"/>
      <w:autoSpaceDN w:val="0"/>
      <w:adjustRightInd w:val="0"/>
      <w:snapToGrid w:val="0"/>
    </w:pPr>
    <w:rPr>
      <w:rFonts w:ascii="Georgia" w:hAnsi="Georgia"/>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locked/>
    <w:rsid w:val="003A1A33"/>
    <w:pPr>
      <w:kinsoku w:val="0"/>
      <w:overflowPunct w:val="0"/>
      <w:autoSpaceDE w:val="0"/>
      <w:autoSpaceDN w:val="0"/>
      <w:adjustRightInd w:val="0"/>
      <w:snapToGrid w:val="0"/>
    </w:pPr>
    <w:rPr>
      <w:rFonts w:ascii="Georgia" w:hAnsi="Georgia"/>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locked/>
    <w:rsid w:val="003A1A33"/>
    <w:pPr>
      <w:kinsoku w:val="0"/>
      <w:overflowPunct w:val="0"/>
      <w:autoSpaceDE w:val="0"/>
      <w:autoSpaceDN w:val="0"/>
      <w:adjustRightInd w:val="0"/>
      <w:snapToGrid w:val="0"/>
    </w:pPr>
    <w:rPr>
      <w:rFonts w:ascii="Georgia" w:hAnsi="Georgia"/>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locked/>
    <w:rsid w:val="003A1A33"/>
    <w:pPr>
      <w:kinsoku w:val="0"/>
      <w:overflowPunct w:val="0"/>
      <w:autoSpaceDE w:val="0"/>
      <w:autoSpaceDN w:val="0"/>
      <w:adjustRightInd w:val="0"/>
      <w:snapToGrid w:val="0"/>
    </w:pPr>
    <w:rPr>
      <w:rFonts w:ascii="Georgia" w:hAnsi="Georgia"/>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locked/>
    <w:rsid w:val="003A1A33"/>
    <w:pPr>
      <w:kinsoku w:val="0"/>
      <w:overflowPunct w:val="0"/>
      <w:autoSpaceDE w:val="0"/>
      <w:autoSpaceDN w:val="0"/>
      <w:adjustRightInd w:val="0"/>
      <w:snapToGrid w:val="0"/>
    </w:pPr>
    <w:rPr>
      <w:rFonts w:ascii="Georgia" w:hAnsi="Georgia"/>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locked/>
    <w:rsid w:val="003A1A33"/>
    <w:pPr>
      <w:kinsoku w:val="0"/>
      <w:overflowPunct w:val="0"/>
      <w:autoSpaceDE w:val="0"/>
      <w:autoSpaceDN w:val="0"/>
      <w:adjustRightInd w:val="0"/>
      <w:snapToGrid w:val="0"/>
    </w:pPr>
    <w:rPr>
      <w:rFonts w:ascii="Georgia" w:hAnsi="Georgia"/>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locked/>
    <w:rsid w:val="001C6E2E"/>
    <w:pPr>
      <w:kinsoku w:val="0"/>
      <w:overflowPunct w:val="0"/>
      <w:autoSpaceDE w:val="0"/>
      <w:autoSpaceDN w:val="0"/>
      <w:adjustRightInd w:val="0"/>
      <w:snapToGrid w:val="0"/>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locked/>
    <w:rsid w:val="001C6E2E"/>
    <w:pPr>
      <w:kinsoku w:val="0"/>
      <w:overflowPunct w:val="0"/>
      <w:autoSpaceDE w:val="0"/>
      <w:autoSpaceDN w:val="0"/>
      <w:adjustRightInd w:val="0"/>
      <w:snapToGrid w:val="0"/>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locked/>
    <w:rsid w:val="001C6E2E"/>
    <w:pPr>
      <w:kinsoku w:val="0"/>
      <w:overflowPunct w:val="0"/>
      <w:autoSpaceDE w:val="0"/>
      <w:autoSpaceDN w:val="0"/>
      <w:adjustRightInd w:val="0"/>
      <w:snapToGrid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locked/>
    <w:rsid w:val="001C6E2E"/>
    <w:pPr>
      <w:kinsoku w:val="0"/>
      <w:overflowPunct w:val="0"/>
      <w:autoSpaceDE w:val="0"/>
      <w:autoSpaceDN w:val="0"/>
      <w:adjustRightInd w:val="0"/>
      <w:snapToGrid w:val="0"/>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locked/>
    <w:rsid w:val="001C6E2E"/>
    <w:pPr>
      <w:kinsoku w:val="0"/>
      <w:overflowPunct w:val="0"/>
      <w:autoSpaceDE w:val="0"/>
      <w:autoSpaceDN w:val="0"/>
      <w:adjustRightInd w:val="0"/>
      <w:snapToGrid w:val="0"/>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locked/>
    <w:rsid w:val="001C6E2E"/>
    <w:pPr>
      <w:kinsoku w:val="0"/>
      <w:overflowPunct w:val="0"/>
      <w:autoSpaceDE w:val="0"/>
      <w:autoSpaceDN w:val="0"/>
      <w:adjustRightInd w:val="0"/>
      <w:snapToGrid w:val="0"/>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locked/>
    <w:rsid w:val="001C6E2E"/>
    <w:pPr>
      <w:kinsoku w:val="0"/>
      <w:overflowPunct w:val="0"/>
      <w:autoSpaceDE w:val="0"/>
      <w:autoSpaceDN w:val="0"/>
      <w:adjustRightInd w:val="0"/>
      <w:snapToGrid w:val="0"/>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locked/>
    <w:rsid w:val="001C6E2E"/>
    <w:pPr>
      <w:kinsoku w:val="0"/>
      <w:overflowPunct w:val="0"/>
      <w:autoSpaceDE w:val="0"/>
      <w:autoSpaceDN w:val="0"/>
      <w:adjustRightInd w:val="0"/>
      <w:snapToGrid w:val="0"/>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locked/>
    <w:rsid w:val="001C6E2E"/>
    <w:pPr>
      <w:kinsoku w:val="0"/>
      <w:overflowPunct w:val="0"/>
      <w:autoSpaceDE w:val="0"/>
      <w:autoSpaceDN w:val="0"/>
      <w:adjustRightInd w:val="0"/>
      <w:snapToGrid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locked/>
    <w:rsid w:val="001C6E2E"/>
    <w:pPr>
      <w:kinsoku w:val="0"/>
      <w:overflowPunct w:val="0"/>
      <w:autoSpaceDE w:val="0"/>
      <w:autoSpaceDN w:val="0"/>
      <w:adjustRightInd w:val="0"/>
      <w:snapToGrid w:val="0"/>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locked/>
    <w:rsid w:val="001C6E2E"/>
    <w:pPr>
      <w:kinsoku w:val="0"/>
      <w:overflowPunct w:val="0"/>
      <w:autoSpaceDE w:val="0"/>
      <w:autoSpaceDN w:val="0"/>
      <w:adjustRightInd w:val="0"/>
      <w:snapToGrid w:val="0"/>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locked/>
    <w:rsid w:val="001C6E2E"/>
    <w:pPr>
      <w:kinsoku w:val="0"/>
      <w:overflowPunct w:val="0"/>
      <w:autoSpaceDE w:val="0"/>
      <w:autoSpaceDN w:val="0"/>
      <w:adjustRightInd w:val="0"/>
      <w:snapToGrid w:val="0"/>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locked/>
    <w:rsid w:val="001C6E2E"/>
    <w:pPr>
      <w:kinsoku w:val="0"/>
      <w:overflowPunct w:val="0"/>
      <w:autoSpaceDE w:val="0"/>
      <w:autoSpaceDN w:val="0"/>
      <w:adjustRightInd w:val="0"/>
      <w:snapToGrid w:val="0"/>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locked/>
    <w:rsid w:val="001C6E2E"/>
    <w:pPr>
      <w:kinsoku w:val="0"/>
      <w:overflowPunct w:val="0"/>
      <w:autoSpaceDE w:val="0"/>
      <w:autoSpaceDN w:val="0"/>
      <w:adjustRightInd w:val="0"/>
      <w:snapToGrid w:val="0"/>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A1A33"/>
    <w:pPr>
      <w:kinsoku w:val="0"/>
      <w:overflowPunct w:val="0"/>
      <w:autoSpaceDE w:val="0"/>
      <w:autoSpaceDN w:val="0"/>
      <w:adjustRightInd w:val="0"/>
      <w:snapToGrid w:val="0"/>
    </w:pPr>
    <w:rPr>
      <w:rFonts w:ascii="Georgia" w:hAnsi="Georg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locked/>
    <w:rsid w:val="001C6E2E"/>
    <w:pPr>
      <w:kinsoku w:val="0"/>
      <w:overflowPunct w:val="0"/>
      <w:autoSpaceDE w:val="0"/>
      <w:autoSpaceDN w:val="0"/>
      <w:adjustRightInd w:val="0"/>
      <w:snapToGrid w:val="0"/>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locked/>
    <w:rsid w:val="001C6E2E"/>
    <w:pPr>
      <w:kinsoku w:val="0"/>
      <w:overflowPunct w:val="0"/>
      <w:autoSpaceDE w:val="0"/>
      <w:autoSpaceDN w:val="0"/>
      <w:adjustRightInd w:val="0"/>
      <w:snapToGrid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locked/>
    <w:rsid w:val="001C6E2E"/>
    <w:pPr>
      <w:kinsoku w:val="0"/>
      <w:overflowPunct w:val="0"/>
      <w:autoSpaceDE w:val="0"/>
      <w:autoSpaceDN w:val="0"/>
      <w:adjustRightInd w:val="0"/>
      <w:snapToGrid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MacroText">
    <w:name w:val="macro"/>
    <w:link w:val="MacroTextChar"/>
    <w:unhideWhenUsed/>
    <w:locked/>
    <w:rsid w:val="003A1A33"/>
    <w:pPr>
      <w:tabs>
        <w:tab w:val="left" w:pos="567"/>
        <w:tab w:val="left" w:pos="1134"/>
        <w:tab w:val="left" w:pos="1701"/>
        <w:tab w:val="left" w:pos="2268"/>
        <w:tab w:val="left" w:pos="2835"/>
        <w:tab w:val="left" w:pos="3402"/>
        <w:tab w:val="left" w:pos="3969"/>
      </w:tabs>
      <w:kinsoku w:val="0"/>
      <w:overflowPunct w:val="0"/>
      <w:autoSpaceDE w:val="0"/>
      <w:autoSpaceDN w:val="0"/>
      <w:adjustRightInd w:val="0"/>
      <w:snapToGrid w:val="0"/>
    </w:pPr>
    <w:rPr>
      <w:rFonts w:ascii="Consolas" w:hAnsi="Consolas" w:cs="Arial"/>
      <w:snapToGrid w:val="0"/>
      <w:sz w:val="20"/>
      <w:szCs w:val="20"/>
      <w:lang w:eastAsia="en-US"/>
    </w:rPr>
  </w:style>
  <w:style w:type="character" w:customStyle="1" w:styleId="MacroTextChar">
    <w:name w:val="Macro Text Char"/>
    <w:basedOn w:val="DefaultParagraphFont"/>
    <w:link w:val="MacroText"/>
    <w:rsid w:val="003A1A33"/>
    <w:rPr>
      <w:rFonts w:ascii="Consolas" w:hAnsi="Consolas" w:cs="Arial"/>
      <w:snapToGrid w:val="0"/>
      <w:sz w:val="20"/>
      <w:szCs w:val="20"/>
      <w:lang w:eastAsia="en-US"/>
    </w:rPr>
  </w:style>
  <w:style w:type="paragraph" w:styleId="Bibliography">
    <w:name w:val="Bibliography"/>
    <w:basedOn w:val="Normal"/>
    <w:next w:val="Normal"/>
    <w:uiPriority w:val="37"/>
    <w:semiHidden/>
    <w:locked/>
    <w:rsid w:val="003A1A33"/>
  </w:style>
  <w:style w:type="paragraph" w:styleId="BlockText">
    <w:name w:val="Block Text"/>
    <w:basedOn w:val="Normal"/>
    <w:qFormat/>
    <w:locked/>
    <w:rsid w:val="003A1A33"/>
    <w:pPr>
      <w:spacing w:after="240"/>
    </w:pPr>
    <w:rPr>
      <w:rFonts w:eastAsiaTheme="minorEastAsia" w:cstheme="minorBidi"/>
      <w:b/>
      <w:i/>
      <w:iCs/>
      <w:color w:val="DC6900" w:themeColor="accent1"/>
      <w:sz w:val="48"/>
    </w:rPr>
  </w:style>
  <w:style w:type="paragraph" w:styleId="BodyText">
    <w:name w:val="Body Text"/>
    <w:basedOn w:val="Normal"/>
    <w:link w:val="BodyTextChar"/>
    <w:uiPriority w:val="99"/>
    <w:qFormat/>
    <w:locked/>
    <w:rsid w:val="003A1A33"/>
    <w:pPr>
      <w:spacing w:after="120"/>
    </w:pPr>
  </w:style>
  <w:style w:type="character" w:customStyle="1" w:styleId="BodyTextChar">
    <w:name w:val="Body Text Char"/>
    <w:basedOn w:val="DefaultParagraphFont"/>
    <w:link w:val="BodyText"/>
    <w:uiPriority w:val="99"/>
    <w:rsid w:val="003A1A33"/>
    <w:rPr>
      <w:rFonts w:ascii="Georgia" w:hAnsi="Georgia" w:cs="Arial"/>
      <w:snapToGrid w:val="0"/>
      <w:sz w:val="20"/>
      <w:szCs w:val="20"/>
      <w:lang w:eastAsia="en-US"/>
    </w:rPr>
  </w:style>
  <w:style w:type="paragraph" w:styleId="BodyText2">
    <w:name w:val="Body Text 2"/>
    <w:basedOn w:val="Normal"/>
    <w:link w:val="BodyText2Char"/>
    <w:semiHidden/>
    <w:locked/>
    <w:rsid w:val="003A1A33"/>
    <w:pPr>
      <w:spacing w:after="120" w:line="480" w:lineRule="auto"/>
    </w:pPr>
  </w:style>
  <w:style w:type="character" w:customStyle="1" w:styleId="BodyText2Char">
    <w:name w:val="Body Text 2 Char"/>
    <w:basedOn w:val="DefaultParagraphFont"/>
    <w:link w:val="BodyText2"/>
    <w:semiHidden/>
    <w:rsid w:val="003A1A33"/>
    <w:rPr>
      <w:rFonts w:ascii="Georgia" w:hAnsi="Georgia" w:cs="Arial"/>
      <w:snapToGrid w:val="0"/>
      <w:sz w:val="20"/>
      <w:szCs w:val="20"/>
      <w:lang w:eastAsia="en-US"/>
    </w:rPr>
  </w:style>
  <w:style w:type="paragraph" w:styleId="BodyText3">
    <w:name w:val="Body Text 3"/>
    <w:basedOn w:val="Normal"/>
    <w:link w:val="BodyText3Char"/>
    <w:semiHidden/>
    <w:locked/>
    <w:rsid w:val="003A1A33"/>
    <w:pPr>
      <w:spacing w:after="120"/>
    </w:pPr>
    <w:rPr>
      <w:sz w:val="16"/>
      <w:szCs w:val="16"/>
    </w:rPr>
  </w:style>
  <w:style w:type="character" w:customStyle="1" w:styleId="BodyText3Char">
    <w:name w:val="Body Text 3 Char"/>
    <w:basedOn w:val="DefaultParagraphFont"/>
    <w:link w:val="BodyText3"/>
    <w:semiHidden/>
    <w:rsid w:val="003A1A33"/>
    <w:rPr>
      <w:rFonts w:ascii="Georgia" w:hAnsi="Georgia" w:cs="Arial"/>
      <w:snapToGrid w:val="0"/>
      <w:sz w:val="16"/>
      <w:szCs w:val="16"/>
      <w:lang w:eastAsia="en-US"/>
    </w:rPr>
  </w:style>
  <w:style w:type="paragraph" w:styleId="BodyTextFirstIndent">
    <w:name w:val="Body Text First Indent"/>
    <w:basedOn w:val="BodyText"/>
    <w:link w:val="BodyTextFirstIndentChar"/>
    <w:semiHidden/>
    <w:locked/>
    <w:rsid w:val="003A1A33"/>
    <w:pPr>
      <w:spacing w:after="0"/>
      <w:ind w:firstLine="360"/>
    </w:pPr>
  </w:style>
  <w:style w:type="character" w:customStyle="1" w:styleId="BodyTextFirstIndentChar">
    <w:name w:val="Body Text First Indent Char"/>
    <w:basedOn w:val="BodyTextChar"/>
    <w:link w:val="BodyTextFirstIndent"/>
    <w:semiHidden/>
    <w:rsid w:val="003A1A33"/>
    <w:rPr>
      <w:rFonts w:ascii="Georgia" w:hAnsi="Georgia" w:cs="Arial"/>
      <w:snapToGrid w:val="0"/>
      <w:sz w:val="20"/>
      <w:szCs w:val="20"/>
      <w:lang w:eastAsia="en-US"/>
    </w:rPr>
  </w:style>
  <w:style w:type="paragraph" w:styleId="BodyTextIndent">
    <w:name w:val="Body Text Indent"/>
    <w:basedOn w:val="Normal"/>
    <w:link w:val="BodyTextIndentChar"/>
    <w:semiHidden/>
    <w:locked/>
    <w:rsid w:val="003A1A33"/>
    <w:pPr>
      <w:spacing w:after="120"/>
      <w:ind w:left="283"/>
    </w:pPr>
  </w:style>
  <w:style w:type="character" w:customStyle="1" w:styleId="BodyTextIndentChar">
    <w:name w:val="Body Text Indent Char"/>
    <w:basedOn w:val="DefaultParagraphFont"/>
    <w:link w:val="BodyTextIndent"/>
    <w:semiHidden/>
    <w:rsid w:val="003A1A33"/>
    <w:rPr>
      <w:rFonts w:ascii="Georgia" w:hAnsi="Georgia" w:cs="Arial"/>
      <w:snapToGrid w:val="0"/>
      <w:sz w:val="20"/>
      <w:szCs w:val="20"/>
      <w:lang w:eastAsia="en-US"/>
    </w:rPr>
  </w:style>
  <w:style w:type="paragraph" w:styleId="BodyTextFirstIndent2">
    <w:name w:val="Body Text First Indent 2"/>
    <w:basedOn w:val="BodyTextIndent"/>
    <w:link w:val="BodyTextFirstIndent2Char"/>
    <w:semiHidden/>
    <w:locked/>
    <w:rsid w:val="003A1A33"/>
    <w:pPr>
      <w:spacing w:after="0"/>
      <w:ind w:left="360" w:firstLine="360"/>
    </w:pPr>
  </w:style>
  <w:style w:type="character" w:customStyle="1" w:styleId="BodyTextFirstIndent2Char">
    <w:name w:val="Body Text First Indent 2 Char"/>
    <w:basedOn w:val="BodyTextIndentChar"/>
    <w:link w:val="BodyTextFirstIndent2"/>
    <w:semiHidden/>
    <w:rsid w:val="003A1A33"/>
    <w:rPr>
      <w:rFonts w:ascii="Georgia" w:hAnsi="Georgia" w:cs="Arial"/>
      <w:snapToGrid w:val="0"/>
      <w:sz w:val="20"/>
      <w:szCs w:val="20"/>
      <w:lang w:eastAsia="en-US"/>
    </w:rPr>
  </w:style>
  <w:style w:type="paragraph" w:styleId="BodyTextIndent2">
    <w:name w:val="Body Text Indent 2"/>
    <w:basedOn w:val="Normal"/>
    <w:link w:val="BodyTextIndent2Char"/>
    <w:semiHidden/>
    <w:locked/>
    <w:rsid w:val="003A1A33"/>
    <w:pPr>
      <w:spacing w:after="120" w:line="480" w:lineRule="auto"/>
      <w:ind w:left="283"/>
    </w:pPr>
  </w:style>
  <w:style w:type="character" w:customStyle="1" w:styleId="BodyTextIndent2Char">
    <w:name w:val="Body Text Indent 2 Char"/>
    <w:basedOn w:val="DefaultParagraphFont"/>
    <w:link w:val="BodyTextIndent2"/>
    <w:semiHidden/>
    <w:rsid w:val="003A1A33"/>
    <w:rPr>
      <w:rFonts w:ascii="Georgia" w:hAnsi="Georgia" w:cs="Arial"/>
      <w:snapToGrid w:val="0"/>
      <w:sz w:val="20"/>
      <w:szCs w:val="20"/>
      <w:lang w:eastAsia="en-US"/>
    </w:rPr>
  </w:style>
  <w:style w:type="paragraph" w:styleId="BodyTextIndent3">
    <w:name w:val="Body Text Indent 3"/>
    <w:basedOn w:val="Normal"/>
    <w:link w:val="BodyTextIndent3Char"/>
    <w:semiHidden/>
    <w:locked/>
    <w:rsid w:val="003A1A33"/>
    <w:pPr>
      <w:spacing w:after="120"/>
      <w:ind w:left="283"/>
    </w:pPr>
    <w:rPr>
      <w:sz w:val="16"/>
      <w:szCs w:val="16"/>
    </w:rPr>
  </w:style>
  <w:style w:type="character" w:customStyle="1" w:styleId="BodyTextIndent3Char">
    <w:name w:val="Body Text Indent 3 Char"/>
    <w:basedOn w:val="DefaultParagraphFont"/>
    <w:link w:val="BodyTextIndent3"/>
    <w:semiHidden/>
    <w:rsid w:val="003A1A33"/>
    <w:rPr>
      <w:rFonts w:ascii="Georgia" w:hAnsi="Georgia" w:cs="Arial"/>
      <w:snapToGrid w:val="0"/>
      <w:sz w:val="16"/>
      <w:szCs w:val="16"/>
      <w:lang w:eastAsia="en-US"/>
    </w:rPr>
  </w:style>
  <w:style w:type="character" w:styleId="BookTitle">
    <w:name w:val="Book Title"/>
    <w:basedOn w:val="DefaultParagraphFont"/>
    <w:uiPriority w:val="33"/>
    <w:semiHidden/>
    <w:qFormat/>
    <w:locked/>
    <w:rsid w:val="003A1A33"/>
    <w:rPr>
      <w:rFonts w:ascii="Georgia" w:hAnsi="Georgia"/>
      <w:b/>
      <w:bCs/>
      <w:smallCaps/>
      <w:spacing w:val="5"/>
    </w:rPr>
  </w:style>
  <w:style w:type="paragraph" w:styleId="Closing">
    <w:name w:val="Closing"/>
    <w:basedOn w:val="Normal"/>
    <w:link w:val="ClosingChar"/>
    <w:semiHidden/>
    <w:unhideWhenUsed/>
    <w:rsid w:val="003A1A33"/>
    <w:pPr>
      <w:ind w:left="4252"/>
    </w:pPr>
  </w:style>
  <w:style w:type="character" w:customStyle="1" w:styleId="ClosingChar">
    <w:name w:val="Closing Char"/>
    <w:basedOn w:val="DefaultParagraphFont"/>
    <w:link w:val="Closing"/>
    <w:semiHidden/>
    <w:rsid w:val="003A1A33"/>
    <w:rPr>
      <w:rFonts w:ascii="Georgia" w:hAnsi="Georgia" w:cs="Arial"/>
      <w:snapToGrid w:val="0"/>
      <w:sz w:val="20"/>
      <w:szCs w:val="20"/>
      <w:lang w:eastAsia="en-US"/>
    </w:rPr>
  </w:style>
  <w:style w:type="character" w:styleId="CommentReference">
    <w:name w:val="annotation reference"/>
    <w:basedOn w:val="DefaultParagraphFont"/>
    <w:semiHidden/>
    <w:rsid w:val="003A1A33"/>
    <w:rPr>
      <w:rFonts w:ascii="Georgia" w:hAnsi="Georgia"/>
      <w:sz w:val="16"/>
      <w:szCs w:val="16"/>
    </w:rPr>
  </w:style>
  <w:style w:type="paragraph" w:styleId="CommentText">
    <w:name w:val="annotation text"/>
    <w:basedOn w:val="Normal"/>
    <w:link w:val="CommentTextChar"/>
    <w:semiHidden/>
    <w:rsid w:val="003A1A33"/>
  </w:style>
  <w:style w:type="character" w:customStyle="1" w:styleId="CommentTextChar">
    <w:name w:val="Comment Text Char"/>
    <w:basedOn w:val="DefaultParagraphFont"/>
    <w:link w:val="CommentText"/>
    <w:semiHidden/>
    <w:rsid w:val="003A1A33"/>
    <w:rPr>
      <w:rFonts w:ascii="Georgia" w:hAnsi="Georgia" w:cs="Arial"/>
      <w:snapToGrid w:val="0"/>
      <w:sz w:val="20"/>
      <w:szCs w:val="20"/>
      <w:lang w:eastAsia="en-US"/>
    </w:rPr>
  </w:style>
  <w:style w:type="paragraph" w:styleId="CommentSubject">
    <w:name w:val="annotation subject"/>
    <w:basedOn w:val="CommentText"/>
    <w:next w:val="CommentText"/>
    <w:link w:val="CommentSubjectChar"/>
    <w:semiHidden/>
    <w:rsid w:val="003A1A33"/>
    <w:rPr>
      <w:b/>
      <w:bCs/>
    </w:rPr>
  </w:style>
  <w:style w:type="character" w:customStyle="1" w:styleId="CommentSubjectChar">
    <w:name w:val="Comment Subject Char"/>
    <w:basedOn w:val="CommentTextChar"/>
    <w:link w:val="CommentSubject"/>
    <w:semiHidden/>
    <w:rsid w:val="003A1A33"/>
    <w:rPr>
      <w:rFonts w:ascii="Georgia" w:hAnsi="Georgia" w:cs="Arial"/>
      <w:b/>
      <w:bCs/>
      <w:snapToGrid w:val="0"/>
      <w:sz w:val="20"/>
      <w:szCs w:val="20"/>
      <w:lang w:eastAsia="en-US"/>
    </w:rPr>
  </w:style>
  <w:style w:type="paragraph" w:styleId="E-mailSignature">
    <w:name w:val="E-mail Signature"/>
    <w:basedOn w:val="Normal"/>
    <w:link w:val="E-mailSignatureChar"/>
    <w:semiHidden/>
    <w:locked/>
    <w:rsid w:val="001C6E2E"/>
  </w:style>
  <w:style w:type="character" w:customStyle="1" w:styleId="E-mailSignatureChar">
    <w:name w:val="E-mail Signature Char"/>
    <w:basedOn w:val="DefaultParagraphFont"/>
    <w:link w:val="E-mailSignature"/>
    <w:semiHidden/>
    <w:rsid w:val="001C6E2E"/>
    <w:rPr>
      <w:rFonts w:asciiTheme="minorHAnsi" w:hAnsiTheme="minorHAnsi" w:cs="Arial"/>
      <w:snapToGrid w:val="0"/>
      <w:sz w:val="20"/>
      <w:lang w:eastAsia="en-US"/>
    </w:rPr>
  </w:style>
  <w:style w:type="character" w:styleId="Emphasis">
    <w:name w:val="Emphasis"/>
    <w:basedOn w:val="DefaultParagraphFont"/>
    <w:semiHidden/>
    <w:qFormat/>
    <w:rsid w:val="001C6E2E"/>
    <w:rPr>
      <w:i/>
      <w:iCs/>
    </w:rPr>
  </w:style>
  <w:style w:type="paragraph" w:styleId="EnvelopeAddress">
    <w:name w:val="envelope address"/>
    <w:basedOn w:val="Normal"/>
    <w:semiHidden/>
    <w:unhideWhenUsed/>
    <w:rsid w:val="003A1A33"/>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semiHidden/>
    <w:rsid w:val="003A1A33"/>
    <w:rPr>
      <w:rFonts w:asciiTheme="majorHAnsi" w:eastAsiaTheme="majorEastAsia" w:hAnsiTheme="majorHAnsi" w:cstheme="majorBidi"/>
    </w:rPr>
  </w:style>
  <w:style w:type="character" w:styleId="FollowedHyperlink">
    <w:name w:val="FollowedHyperlink"/>
    <w:basedOn w:val="DefaultParagraphFont"/>
    <w:semiHidden/>
    <w:rsid w:val="003A1A33"/>
    <w:rPr>
      <w:color w:val="0000FF" w:themeColor="followedHyperlink"/>
      <w:u w:val="single"/>
    </w:rPr>
  </w:style>
  <w:style w:type="character" w:styleId="HTMLAcronym">
    <w:name w:val="HTML Acronym"/>
    <w:basedOn w:val="DefaultParagraphFont"/>
    <w:semiHidden/>
    <w:locked/>
    <w:rsid w:val="001C6E2E"/>
  </w:style>
  <w:style w:type="paragraph" w:styleId="HTMLAddress">
    <w:name w:val="HTML Address"/>
    <w:basedOn w:val="Normal"/>
    <w:link w:val="HTMLAddressChar"/>
    <w:semiHidden/>
    <w:locked/>
    <w:rsid w:val="001C6E2E"/>
    <w:rPr>
      <w:i/>
      <w:iCs/>
    </w:rPr>
  </w:style>
  <w:style w:type="character" w:customStyle="1" w:styleId="HTMLAddressChar">
    <w:name w:val="HTML Address Char"/>
    <w:basedOn w:val="DefaultParagraphFont"/>
    <w:link w:val="HTMLAddress"/>
    <w:semiHidden/>
    <w:rsid w:val="001C6E2E"/>
    <w:rPr>
      <w:rFonts w:asciiTheme="minorHAnsi" w:hAnsiTheme="minorHAnsi" w:cs="Arial"/>
      <w:i/>
      <w:iCs/>
      <w:snapToGrid w:val="0"/>
      <w:sz w:val="20"/>
      <w:lang w:eastAsia="en-US"/>
    </w:rPr>
  </w:style>
  <w:style w:type="character" w:styleId="HTMLCite">
    <w:name w:val="HTML Cite"/>
    <w:basedOn w:val="DefaultParagraphFont"/>
    <w:semiHidden/>
    <w:locked/>
    <w:rsid w:val="001C6E2E"/>
    <w:rPr>
      <w:i/>
      <w:iCs/>
    </w:rPr>
  </w:style>
  <w:style w:type="character" w:styleId="HTMLCode">
    <w:name w:val="HTML Code"/>
    <w:basedOn w:val="DefaultParagraphFont"/>
    <w:semiHidden/>
    <w:locked/>
    <w:rsid w:val="001C6E2E"/>
    <w:rPr>
      <w:rFonts w:ascii="Consolas" w:hAnsi="Consolas"/>
      <w:sz w:val="20"/>
      <w:szCs w:val="20"/>
    </w:rPr>
  </w:style>
  <w:style w:type="character" w:styleId="HTMLDefinition">
    <w:name w:val="HTML Definition"/>
    <w:basedOn w:val="DefaultParagraphFont"/>
    <w:semiHidden/>
    <w:locked/>
    <w:rsid w:val="001C6E2E"/>
    <w:rPr>
      <w:i/>
      <w:iCs/>
    </w:rPr>
  </w:style>
  <w:style w:type="character" w:styleId="HTMLKeyboard">
    <w:name w:val="HTML Keyboard"/>
    <w:basedOn w:val="DefaultParagraphFont"/>
    <w:semiHidden/>
    <w:locked/>
    <w:rsid w:val="001C6E2E"/>
    <w:rPr>
      <w:rFonts w:ascii="Consolas" w:hAnsi="Consolas"/>
      <w:sz w:val="20"/>
      <w:szCs w:val="20"/>
    </w:rPr>
  </w:style>
  <w:style w:type="paragraph" w:styleId="HTMLPreformatted">
    <w:name w:val="HTML Preformatted"/>
    <w:basedOn w:val="Normal"/>
    <w:link w:val="HTMLPreformattedChar"/>
    <w:semiHidden/>
    <w:locked/>
    <w:rsid w:val="001C6E2E"/>
    <w:rPr>
      <w:rFonts w:ascii="Consolas" w:hAnsi="Consolas"/>
    </w:rPr>
  </w:style>
  <w:style w:type="character" w:customStyle="1" w:styleId="HTMLPreformattedChar">
    <w:name w:val="HTML Preformatted Char"/>
    <w:basedOn w:val="DefaultParagraphFont"/>
    <w:link w:val="HTMLPreformatted"/>
    <w:semiHidden/>
    <w:rsid w:val="001C6E2E"/>
    <w:rPr>
      <w:rFonts w:ascii="Consolas" w:hAnsi="Consolas" w:cs="Arial"/>
      <w:snapToGrid w:val="0"/>
      <w:sz w:val="20"/>
      <w:szCs w:val="20"/>
      <w:lang w:eastAsia="en-US"/>
    </w:rPr>
  </w:style>
  <w:style w:type="character" w:styleId="HTMLSample">
    <w:name w:val="HTML Sample"/>
    <w:basedOn w:val="DefaultParagraphFont"/>
    <w:semiHidden/>
    <w:locked/>
    <w:rsid w:val="001C6E2E"/>
    <w:rPr>
      <w:rFonts w:ascii="Consolas" w:hAnsi="Consolas"/>
      <w:sz w:val="24"/>
      <w:szCs w:val="24"/>
    </w:rPr>
  </w:style>
  <w:style w:type="character" w:styleId="HTMLTypewriter">
    <w:name w:val="HTML Typewriter"/>
    <w:basedOn w:val="DefaultParagraphFont"/>
    <w:semiHidden/>
    <w:locked/>
    <w:rsid w:val="001C6E2E"/>
    <w:rPr>
      <w:rFonts w:ascii="Consolas" w:hAnsi="Consolas"/>
      <w:sz w:val="20"/>
      <w:szCs w:val="20"/>
    </w:rPr>
  </w:style>
  <w:style w:type="character" w:styleId="HTMLVariable">
    <w:name w:val="HTML Variable"/>
    <w:basedOn w:val="DefaultParagraphFont"/>
    <w:semiHidden/>
    <w:locked/>
    <w:rsid w:val="001C6E2E"/>
    <w:rPr>
      <w:i/>
      <w:iCs/>
    </w:rPr>
  </w:style>
  <w:style w:type="character" w:styleId="Hyperlink">
    <w:name w:val="Hyperlink"/>
    <w:basedOn w:val="DefaultParagraphFont"/>
    <w:uiPriority w:val="99"/>
    <w:rsid w:val="003A1A33"/>
    <w:rPr>
      <w:color w:val="DC6900" w:themeColor="text2"/>
      <w:u w:val="single"/>
    </w:rPr>
  </w:style>
  <w:style w:type="paragraph" w:styleId="Index1">
    <w:name w:val="index 1"/>
    <w:basedOn w:val="Normal"/>
    <w:next w:val="Normal"/>
    <w:autoRedefine/>
    <w:semiHidden/>
    <w:rsid w:val="001C6E2E"/>
    <w:pPr>
      <w:ind w:left="210" w:hanging="210"/>
    </w:pPr>
  </w:style>
  <w:style w:type="paragraph" w:styleId="Index2">
    <w:name w:val="index 2"/>
    <w:basedOn w:val="Normal"/>
    <w:next w:val="Normal"/>
    <w:autoRedefine/>
    <w:semiHidden/>
    <w:rsid w:val="001C6E2E"/>
    <w:pPr>
      <w:ind w:left="420" w:hanging="210"/>
    </w:pPr>
  </w:style>
  <w:style w:type="paragraph" w:styleId="Index3">
    <w:name w:val="index 3"/>
    <w:basedOn w:val="Normal"/>
    <w:next w:val="Normal"/>
    <w:autoRedefine/>
    <w:semiHidden/>
    <w:rsid w:val="001C6E2E"/>
    <w:pPr>
      <w:ind w:left="630" w:hanging="210"/>
    </w:pPr>
  </w:style>
  <w:style w:type="paragraph" w:styleId="Index4">
    <w:name w:val="index 4"/>
    <w:basedOn w:val="Normal"/>
    <w:next w:val="Normal"/>
    <w:autoRedefine/>
    <w:semiHidden/>
    <w:rsid w:val="001C6E2E"/>
    <w:pPr>
      <w:ind w:left="840" w:hanging="210"/>
    </w:pPr>
  </w:style>
  <w:style w:type="paragraph" w:styleId="Index5">
    <w:name w:val="index 5"/>
    <w:basedOn w:val="Normal"/>
    <w:next w:val="Normal"/>
    <w:autoRedefine/>
    <w:semiHidden/>
    <w:rsid w:val="001C6E2E"/>
    <w:pPr>
      <w:ind w:left="1050" w:hanging="210"/>
    </w:pPr>
  </w:style>
  <w:style w:type="paragraph" w:styleId="Index6">
    <w:name w:val="index 6"/>
    <w:basedOn w:val="Normal"/>
    <w:next w:val="Normal"/>
    <w:autoRedefine/>
    <w:semiHidden/>
    <w:rsid w:val="001C6E2E"/>
    <w:pPr>
      <w:ind w:left="1260" w:hanging="210"/>
    </w:pPr>
  </w:style>
  <w:style w:type="paragraph" w:styleId="Index7">
    <w:name w:val="index 7"/>
    <w:basedOn w:val="Normal"/>
    <w:next w:val="Normal"/>
    <w:autoRedefine/>
    <w:semiHidden/>
    <w:rsid w:val="001C6E2E"/>
    <w:pPr>
      <w:ind w:left="1470" w:hanging="210"/>
    </w:pPr>
  </w:style>
  <w:style w:type="paragraph" w:styleId="Index8">
    <w:name w:val="index 8"/>
    <w:basedOn w:val="Normal"/>
    <w:next w:val="Normal"/>
    <w:autoRedefine/>
    <w:semiHidden/>
    <w:rsid w:val="001C6E2E"/>
    <w:pPr>
      <w:ind w:left="1680" w:hanging="210"/>
    </w:pPr>
  </w:style>
  <w:style w:type="paragraph" w:styleId="Index9">
    <w:name w:val="index 9"/>
    <w:basedOn w:val="Normal"/>
    <w:next w:val="Normal"/>
    <w:autoRedefine/>
    <w:semiHidden/>
    <w:rsid w:val="001C6E2E"/>
    <w:pPr>
      <w:ind w:left="1890" w:hanging="210"/>
    </w:pPr>
  </w:style>
  <w:style w:type="paragraph" w:styleId="IndexHeading">
    <w:name w:val="index heading"/>
    <w:basedOn w:val="Normal"/>
    <w:next w:val="Normal"/>
    <w:semiHidden/>
    <w:rsid w:val="003A1A33"/>
    <w:rPr>
      <w:rFonts w:asciiTheme="majorHAnsi" w:eastAsiaTheme="majorEastAsia" w:hAnsiTheme="majorHAnsi" w:cstheme="majorBidi"/>
      <w:b/>
      <w:bCs/>
    </w:rPr>
  </w:style>
  <w:style w:type="character" w:styleId="IntenseEmphasis">
    <w:name w:val="Intense Emphasis"/>
    <w:basedOn w:val="DefaultParagraphFont"/>
    <w:uiPriority w:val="21"/>
    <w:semiHidden/>
    <w:qFormat/>
    <w:rsid w:val="001C6E2E"/>
    <w:rPr>
      <w:b/>
      <w:bCs/>
      <w:i/>
      <w:iCs/>
      <w:color w:val="DC6900" w:themeColor="accent1"/>
    </w:rPr>
  </w:style>
  <w:style w:type="paragraph" w:styleId="IntenseQuote">
    <w:name w:val="Intense Quote"/>
    <w:basedOn w:val="Normal"/>
    <w:next w:val="Normal"/>
    <w:link w:val="IntenseQuoteChar"/>
    <w:uiPriority w:val="30"/>
    <w:semiHidden/>
    <w:qFormat/>
    <w:rsid w:val="001C6E2E"/>
    <w:pPr>
      <w:pBdr>
        <w:bottom w:val="single" w:sz="4" w:space="4" w:color="DC6900" w:themeColor="accent1"/>
      </w:pBdr>
      <w:spacing w:before="200" w:after="280"/>
      <w:ind w:left="936" w:right="936"/>
    </w:pPr>
    <w:rPr>
      <w:b/>
      <w:bCs/>
      <w:i/>
      <w:iCs/>
      <w:color w:val="DC6900" w:themeColor="accent1"/>
    </w:rPr>
  </w:style>
  <w:style w:type="character" w:customStyle="1" w:styleId="IntenseQuoteChar">
    <w:name w:val="Intense Quote Char"/>
    <w:basedOn w:val="DefaultParagraphFont"/>
    <w:link w:val="IntenseQuote"/>
    <w:uiPriority w:val="30"/>
    <w:semiHidden/>
    <w:rsid w:val="001C6E2E"/>
    <w:rPr>
      <w:rFonts w:asciiTheme="minorHAnsi" w:hAnsiTheme="minorHAnsi" w:cs="Arial"/>
      <w:b/>
      <w:bCs/>
      <w:i/>
      <w:iCs/>
      <w:snapToGrid w:val="0"/>
      <w:color w:val="DC6900" w:themeColor="accent1"/>
      <w:sz w:val="20"/>
      <w:lang w:eastAsia="en-US"/>
    </w:rPr>
  </w:style>
  <w:style w:type="character" w:styleId="IntenseReference">
    <w:name w:val="Intense Reference"/>
    <w:basedOn w:val="DefaultParagraphFont"/>
    <w:uiPriority w:val="32"/>
    <w:semiHidden/>
    <w:qFormat/>
    <w:rsid w:val="001C6E2E"/>
    <w:rPr>
      <w:b/>
      <w:bCs/>
      <w:smallCaps/>
      <w:color w:val="FFB600" w:themeColor="accent2"/>
      <w:spacing w:val="5"/>
      <w:u w:val="single"/>
    </w:rPr>
  </w:style>
  <w:style w:type="character" w:styleId="LineNumber">
    <w:name w:val="line number"/>
    <w:basedOn w:val="DefaultParagraphFont"/>
    <w:semiHidden/>
    <w:rsid w:val="003A1A33"/>
  </w:style>
  <w:style w:type="paragraph" w:styleId="List">
    <w:name w:val="List"/>
    <w:basedOn w:val="Normal"/>
    <w:semiHidden/>
    <w:locked/>
    <w:rsid w:val="001C6E2E"/>
    <w:pPr>
      <w:ind w:left="283" w:hanging="283"/>
      <w:contextualSpacing/>
    </w:pPr>
  </w:style>
  <w:style w:type="paragraph" w:styleId="List2">
    <w:name w:val="List 2"/>
    <w:basedOn w:val="Normal"/>
    <w:semiHidden/>
    <w:locked/>
    <w:rsid w:val="001C6E2E"/>
    <w:pPr>
      <w:ind w:left="566" w:hanging="283"/>
      <w:contextualSpacing/>
    </w:pPr>
  </w:style>
  <w:style w:type="paragraph" w:styleId="List3">
    <w:name w:val="List 3"/>
    <w:basedOn w:val="Normal"/>
    <w:semiHidden/>
    <w:locked/>
    <w:rsid w:val="001C6E2E"/>
    <w:pPr>
      <w:ind w:left="849" w:hanging="283"/>
      <w:contextualSpacing/>
    </w:pPr>
  </w:style>
  <w:style w:type="paragraph" w:styleId="List4">
    <w:name w:val="List 4"/>
    <w:basedOn w:val="Normal"/>
    <w:semiHidden/>
    <w:locked/>
    <w:rsid w:val="001C6E2E"/>
    <w:pPr>
      <w:ind w:left="1132" w:hanging="283"/>
      <w:contextualSpacing/>
    </w:pPr>
  </w:style>
  <w:style w:type="paragraph" w:styleId="List5">
    <w:name w:val="List 5"/>
    <w:basedOn w:val="Normal"/>
    <w:semiHidden/>
    <w:locked/>
    <w:rsid w:val="001C6E2E"/>
    <w:pPr>
      <w:ind w:left="1415" w:hanging="283"/>
      <w:contextualSpacing/>
    </w:pPr>
  </w:style>
  <w:style w:type="paragraph" w:styleId="ListBullet">
    <w:name w:val="List Bullet"/>
    <w:basedOn w:val="Normal"/>
    <w:qFormat/>
    <w:locked/>
    <w:rsid w:val="003A1A33"/>
    <w:pPr>
      <w:numPr>
        <w:numId w:val="6"/>
      </w:numPr>
      <w:spacing w:after="240"/>
    </w:pPr>
  </w:style>
  <w:style w:type="paragraph" w:styleId="ListBullet5">
    <w:name w:val="List Bullet 5"/>
    <w:basedOn w:val="ListBullet4"/>
    <w:unhideWhenUsed/>
    <w:locked/>
    <w:rsid w:val="003A1A33"/>
    <w:pPr>
      <w:numPr>
        <w:ilvl w:val="4"/>
      </w:numPr>
      <w:contextualSpacing/>
    </w:pPr>
  </w:style>
  <w:style w:type="paragraph" w:styleId="ListContinue">
    <w:name w:val="List Continue"/>
    <w:basedOn w:val="Normal"/>
    <w:semiHidden/>
    <w:locked/>
    <w:rsid w:val="001C6E2E"/>
    <w:pPr>
      <w:spacing w:after="120"/>
      <w:ind w:left="283"/>
      <w:contextualSpacing/>
    </w:pPr>
  </w:style>
  <w:style w:type="paragraph" w:styleId="ListContinue2">
    <w:name w:val="List Continue 2"/>
    <w:basedOn w:val="Normal"/>
    <w:semiHidden/>
    <w:locked/>
    <w:rsid w:val="001C6E2E"/>
    <w:pPr>
      <w:spacing w:after="120"/>
      <w:ind w:left="566"/>
      <w:contextualSpacing/>
    </w:pPr>
  </w:style>
  <w:style w:type="paragraph" w:styleId="ListContinue3">
    <w:name w:val="List Continue 3"/>
    <w:basedOn w:val="Normal"/>
    <w:semiHidden/>
    <w:locked/>
    <w:rsid w:val="001C6E2E"/>
    <w:pPr>
      <w:spacing w:after="120"/>
      <w:ind w:left="849"/>
      <w:contextualSpacing/>
    </w:pPr>
  </w:style>
  <w:style w:type="paragraph" w:styleId="ListContinue4">
    <w:name w:val="List Continue 4"/>
    <w:basedOn w:val="Normal"/>
    <w:semiHidden/>
    <w:locked/>
    <w:rsid w:val="001C6E2E"/>
    <w:pPr>
      <w:spacing w:after="120"/>
      <w:ind w:left="1132"/>
      <w:contextualSpacing/>
    </w:pPr>
  </w:style>
  <w:style w:type="paragraph" w:styleId="ListContinue5">
    <w:name w:val="List Continue 5"/>
    <w:basedOn w:val="Normal"/>
    <w:semiHidden/>
    <w:locked/>
    <w:rsid w:val="001C6E2E"/>
    <w:pPr>
      <w:spacing w:after="120"/>
      <w:ind w:left="1415"/>
      <w:contextualSpacing/>
    </w:pPr>
  </w:style>
  <w:style w:type="paragraph" w:styleId="ListNumber">
    <w:name w:val="List Number"/>
    <w:basedOn w:val="Normal"/>
    <w:uiPriority w:val="13"/>
    <w:unhideWhenUsed/>
    <w:qFormat/>
    <w:locked/>
    <w:rsid w:val="003A1A33"/>
    <w:pPr>
      <w:numPr>
        <w:numId w:val="33"/>
      </w:numPr>
      <w:contextualSpacing/>
    </w:pPr>
  </w:style>
  <w:style w:type="paragraph" w:styleId="ListNumber2">
    <w:name w:val="List Number 2"/>
    <w:basedOn w:val="ListNumber"/>
    <w:uiPriority w:val="13"/>
    <w:unhideWhenUsed/>
    <w:qFormat/>
    <w:locked/>
    <w:rsid w:val="003A1A33"/>
    <w:pPr>
      <w:numPr>
        <w:ilvl w:val="1"/>
      </w:numPr>
    </w:pPr>
  </w:style>
  <w:style w:type="paragraph" w:styleId="ListNumber3">
    <w:name w:val="List Number 3"/>
    <w:basedOn w:val="ListNumber2"/>
    <w:uiPriority w:val="13"/>
    <w:unhideWhenUsed/>
    <w:qFormat/>
    <w:locked/>
    <w:rsid w:val="003A1A33"/>
    <w:pPr>
      <w:numPr>
        <w:ilvl w:val="2"/>
      </w:numPr>
    </w:pPr>
  </w:style>
  <w:style w:type="paragraph" w:styleId="ListNumber4">
    <w:name w:val="List Number 4"/>
    <w:basedOn w:val="ListNumber3"/>
    <w:uiPriority w:val="13"/>
    <w:unhideWhenUsed/>
    <w:locked/>
    <w:rsid w:val="003A1A33"/>
    <w:pPr>
      <w:numPr>
        <w:ilvl w:val="3"/>
      </w:numPr>
    </w:pPr>
  </w:style>
  <w:style w:type="paragraph" w:styleId="ListNumber5">
    <w:name w:val="List Number 5"/>
    <w:basedOn w:val="ListNumber4"/>
    <w:uiPriority w:val="13"/>
    <w:unhideWhenUsed/>
    <w:locked/>
    <w:rsid w:val="003A1A33"/>
    <w:pPr>
      <w:numPr>
        <w:ilvl w:val="4"/>
      </w:numPr>
    </w:pPr>
  </w:style>
  <w:style w:type="paragraph" w:styleId="ListParagraph">
    <w:name w:val="List Paragraph"/>
    <w:basedOn w:val="Normal"/>
    <w:uiPriority w:val="34"/>
    <w:semiHidden/>
    <w:qFormat/>
    <w:locked/>
    <w:rsid w:val="003A1A33"/>
    <w:pPr>
      <w:ind w:left="720"/>
      <w:contextualSpacing/>
    </w:pPr>
  </w:style>
  <w:style w:type="paragraph" w:styleId="MessageHeader">
    <w:name w:val="Message Header"/>
    <w:basedOn w:val="Normal"/>
    <w:link w:val="MessageHeaderChar"/>
    <w:semiHidden/>
    <w:rsid w:val="003A1A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semiHidden/>
    <w:rsid w:val="003A1A33"/>
    <w:rPr>
      <w:rFonts w:asciiTheme="majorHAnsi" w:eastAsiaTheme="majorEastAsia" w:hAnsiTheme="majorHAnsi" w:cstheme="majorBidi"/>
      <w:snapToGrid w:val="0"/>
      <w:sz w:val="24"/>
      <w:szCs w:val="24"/>
      <w:shd w:val="pct20" w:color="auto" w:fill="auto"/>
      <w:lang w:eastAsia="en-US"/>
    </w:rPr>
  </w:style>
  <w:style w:type="paragraph" w:styleId="NoSpacing">
    <w:name w:val="No Spacing"/>
    <w:uiPriority w:val="1"/>
    <w:semiHidden/>
    <w:qFormat/>
    <w:rsid w:val="003A1A33"/>
    <w:pPr>
      <w:kinsoku w:val="0"/>
      <w:overflowPunct w:val="0"/>
      <w:autoSpaceDE w:val="0"/>
      <w:autoSpaceDN w:val="0"/>
      <w:adjustRightInd w:val="0"/>
      <w:snapToGrid w:val="0"/>
    </w:pPr>
    <w:rPr>
      <w:rFonts w:ascii="Georgia" w:hAnsi="Georgia" w:cs="Arial"/>
      <w:snapToGrid w:val="0"/>
      <w:sz w:val="20"/>
      <w:szCs w:val="20"/>
      <w:lang w:eastAsia="en-US"/>
    </w:rPr>
  </w:style>
  <w:style w:type="paragraph" w:styleId="NormalWeb">
    <w:name w:val="Normal (Web)"/>
    <w:basedOn w:val="Normal"/>
    <w:semiHidden/>
    <w:rsid w:val="001C6E2E"/>
    <w:rPr>
      <w:rFonts w:ascii="Times New Roman" w:hAnsi="Times New Roman" w:cs="Times New Roman"/>
      <w:sz w:val="24"/>
      <w:szCs w:val="24"/>
    </w:rPr>
  </w:style>
  <w:style w:type="paragraph" w:styleId="NormalIndent">
    <w:name w:val="Normal Indent"/>
    <w:basedOn w:val="Normal"/>
    <w:semiHidden/>
    <w:rsid w:val="003A1A33"/>
    <w:pPr>
      <w:ind w:left="720"/>
    </w:pPr>
  </w:style>
  <w:style w:type="paragraph" w:styleId="NoteHeading">
    <w:name w:val="Note Heading"/>
    <w:basedOn w:val="Normal"/>
    <w:next w:val="Normal"/>
    <w:link w:val="NoteHeadingChar"/>
    <w:semiHidden/>
    <w:unhideWhenUsed/>
    <w:rsid w:val="003A1A33"/>
  </w:style>
  <w:style w:type="character" w:customStyle="1" w:styleId="NoteHeadingChar">
    <w:name w:val="Note Heading Char"/>
    <w:basedOn w:val="DefaultParagraphFont"/>
    <w:link w:val="NoteHeading"/>
    <w:semiHidden/>
    <w:rsid w:val="003A1A33"/>
    <w:rPr>
      <w:rFonts w:ascii="Georgia" w:hAnsi="Georgia" w:cs="Arial"/>
      <w:snapToGrid w:val="0"/>
      <w:sz w:val="20"/>
      <w:szCs w:val="20"/>
      <w:lang w:eastAsia="en-US"/>
    </w:rPr>
  </w:style>
  <w:style w:type="character" w:styleId="PlaceholderText">
    <w:name w:val="Placeholder Text"/>
    <w:basedOn w:val="DefaultParagraphFont"/>
    <w:uiPriority w:val="99"/>
    <w:semiHidden/>
    <w:rsid w:val="003A1A33"/>
    <w:rPr>
      <w:color w:val="808080"/>
    </w:rPr>
  </w:style>
  <w:style w:type="paragraph" w:styleId="PlainText">
    <w:name w:val="Plain Text"/>
    <w:basedOn w:val="Normal"/>
    <w:link w:val="PlainTextChar"/>
    <w:semiHidden/>
    <w:rsid w:val="003A1A33"/>
    <w:rPr>
      <w:rFonts w:ascii="Consolas" w:hAnsi="Consolas"/>
    </w:rPr>
  </w:style>
  <w:style w:type="character" w:customStyle="1" w:styleId="PlainTextChar">
    <w:name w:val="Plain Text Char"/>
    <w:basedOn w:val="DefaultParagraphFont"/>
    <w:link w:val="PlainText"/>
    <w:semiHidden/>
    <w:rsid w:val="003A1A33"/>
    <w:rPr>
      <w:rFonts w:ascii="Consolas" w:hAnsi="Consolas" w:cs="Arial"/>
      <w:snapToGrid w:val="0"/>
      <w:sz w:val="20"/>
      <w:szCs w:val="20"/>
      <w:lang w:eastAsia="en-US"/>
    </w:rPr>
  </w:style>
  <w:style w:type="paragraph" w:styleId="Quote">
    <w:name w:val="Quote"/>
    <w:basedOn w:val="Normal"/>
    <w:next w:val="Normal"/>
    <w:link w:val="QuoteChar"/>
    <w:uiPriority w:val="29"/>
    <w:semiHidden/>
    <w:qFormat/>
    <w:rsid w:val="003A1A33"/>
    <w:rPr>
      <w:i/>
      <w:iCs/>
      <w:color w:val="000000" w:themeColor="text1"/>
    </w:rPr>
  </w:style>
  <w:style w:type="character" w:customStyle="1" w:styleId="QuoteChar">
    <w:name w:val="Quote Char"/>
    <w:basedOn w:val="DefaultParagraphFont"/>
    <w:link w:val="Quote"/>
    <w:uiPriority w:val="29"/>
    <w:semiHidden/>
    <w:rsid w:val="003A1A33"/>
    <w:rPr>
      <w:rFonts w:ascii="Georgia" w:hAnsi="Georgia" w:cs="Arial"/>
      <w:i/>
      <w:iCs/>
      <w:snapToGrid w:val="0"/>
      <w:color w:val="000000" w:themeColor="text1"/>
      <w:sz w:val="20"/>
      <w:szCs w:val="20"/>
      <w:lang w:eastAsia="en-US"/>
    </w:rPr>
  </w:style>
  <w:style w:type="paragraph" w:styleId="Salutation">
    <w:name w:val="Salutation"/>
    <w:basedOn w:val="Normal"/>
    <w:next w:val="Normal"/>
    <w:link w:val="SalutationChar"/>
    <w:semiHidden/>
    <w:unhideWhenUsed/>
    <w:rsid w:val="003A1A33"/>
  </w:style>
  <w:style w:type="character" w:customStyle="1" w:styleId="SalutationChar">
    <w:name w:val="Salutation Char"/>
    <w:basedOn w:val="DefaultParagraphFont"/>
    <w:link w:val="Salutation"/>
    <w:semiHidden/>
    <w:rsid w:val="003A1A33"/>
    <w:rPr>
      <w:rFonts w:ascii="Georgia" w:hAnsi="Georgia" w:cs="Arial"/>
      <w:snapToGrid w:val="0"/>
      <w:sz w:val="20"/>
      <w:szCs w:val="20"/>
      <w:lang w:eastAsia="en-US"/>
    </w:rPr>
  </w:style>
  <w:style w:type="paragraph" w:styleId="Signature">
    <w:name w:val="Signature"/>
    <w:basedOn w:val="Normal"/>
    <w:link w:val="SignatureChar"/>
    <w:semiHidden/>
    <w:rsid w:val="003A1A33"/>
    <w:pPr>
      <w:ind w:left="4252"/>
    </w:pPr>
  </w:style>
  <w:style w:type="character" w:customStyle="1" w:styleId="SignatureChar">
    <w:name w:val="Signature Char"/>
    <w:basedOn w:val="DefaultParagraphFont"/>
    <w:link w:val="Signature"/>
    <w:semiHidden/>
    <w:rsid w:val="003A1A33"/>
    <w:rPr>
      <w:rFonts w:ascii="Georgia" w:hAnsi="Georgia" w:cs="Arial"/>
      <w:snapToGrid w:val="0"/>
      <w:sz w:val="20"/>
      <w:szCs w:val="20"/>
      <w:lang w:eastAsia="en-US"/>
    </w:rPr>
  </w:style>
  <w:style w:type="character" w:styleId="Strong">
    <w:name w:val="Strong"/>
    <w:basedOn w:val="DefaultParagraphFont"/>
    <w:semiHidden/>
    <w:qFormat/>
    <w:rsid w:val="001C6E2E"/>
    <w:rPr>
      <w:b/>
      <w:bCs/>
    </w:rPr>
  </w:style>
  <w:style w:type="paragraph" w:styleId="Subtitle">
    <w:name w:val="Subtitle"/>
    <w:basedOn w:val="Normal"/>
    <w:next w:val="Normal"/>
    <w:link w:val="SubtitleChar"/>
    <w:semiHidden/>
    <w:qFormat/>
    <w:rsid w:val="001C6E2E"/>
    <w:pPr>
      <w:numPr>
        <w:ilvl w:val="1"/>
      </w:numPr>
    </w:pPr>
    <w:rPr>
      <w:rFonts w:asciiTheme="majorHAnsi" w:eastAsiaTheme="majorEastAsia" w:hAnsiTheme="majorHAnsi" w:cstheme="majorBidi"/>
      <w:i/>
      <w:iCs/>
      <w:color w:val="DC6900" w:themeColor="accent1"/>
      <w:spacing w:val="15"/>
      <w:sz w:val="24"/>
      <w:szCs w:val="24"/>
    </w:rPr>
  </w:style>
  <w:style w:type="character" w:customStyle="1" w:styleId="SubtitleChar">
    <w:name w:val="Subtitle Char"/>
    <w:basedOn w:val="DefaultParagraphFont"/>
    <w:link w:val="Subtitle"/>
    <w:semiHidden/>
    <w:rsid w:val="001C6E2E"/>
    <w:rPr>
      <w:rFonts w:asciiTheme="majorHAnsi" w:eastAsiaTheme="majorEastAsia" w:hAnsiTheme="majorHAnsi" w:cstheme="majorBidi"/>
      <w:i/>
      <w:iCs/>
      <w:snapToGrid w:val="0"/>
      <w:color w:val="DC6900" w:themeColor="accent1"/>
      <w:spacing w:val="15"/>
      <w:sz w:val="24"/>
      <w:szCs w:val="24"/>
      <w:lang w:eastAsia="en-US"/>
    </w:rPr>
  </w:style>
  <w:style w:type="character" w:styleId="SubtleEmphasis">
    <w:name w:val="Subtle Emphasis"/>
    <w:basedOn w:val="DefaultParagraphFont"/>
    <w:uiPriority w:val="19"/>
    <w:semiHidden/>
    <w:qFormat/>
    <w:locked/>
    <w:rsid w:val="001C6E2E"/>
    <w:rPr>
      <w:i/>
      <w:iCs/>
      <w:color w:val="808080" w:themeColor="text1" w:themeTint="7F"/>
    </w:rPr>
  </w:style>
  <w:style w:type="character" w:styleId="SubtleReference">
    <w:name w:val="Subtle Reference"/>
    <w:basedOn w:val="DefaultParagraphFont"/>
    <w:uiPriority w:val="31"/>
    <w:semiHidden/>
    <w:qFormat/>
    <w:locked/>
    <w:rsid w:val="001C6E2E"/>
    <w:rPr>
      <w:smallCaps/>
      <w:color w:val="FFB600" w:themeColor="accent2"/>
      <w:u w:val="single"/>
    </w:rPr>
  </w:style>
  <w:style w:type="paragraph" w:styleId="TableofAuthorities">
    <w:name w:val="table of authorities"/>
    <w:basedOn w:val="Normal"/>
    <w:next w:val="Normal"/>
    <w:semiHidden/>
    <w:unhideWhenUsed/>
    <w:rsid w:val="003A1A33"/>
    <w:pPr>
      <w:ind w:left="210" w:hanging="210"/>
    </w:pPr>
  </w:style>
  <w:style w:type="paragraph" w:styleId="TableofFigures">
    <w:name w:val="table of figures"/>
    <w:basedOn w:val="Normal"/>
    <w:next w:val="Normal"/>
    <w:semiHidden/>
    <w:unhideWhenUsed/>
    <w:rsid w:val="003A1A33"/>
  </w:style>
  <w:style w:type="paragraph" w:styleId="TOAHeading">
    <w:name w:val="toa heading"/>
    <w:basedOn w:val="Normal"/>
    <w:next w:val="Normal"/>
    <w:semiHidden/>
    <w:unhideWhenUsed/>
    <w:rsid w:val="003A1A33"/>
    <w:pPr>
      <w:spacing w:before="120"/>
    </w:pPr>
    <w:rPr>
      <w:rFonts w:asciiTheme="majorHAnsi" w:eastAsiaTheme="majorEastAsia" w:hAnsiTheme="majorHAnsi" w:cstheme="majorBidi"/>
      <w:b/>
      <w:bCs/>
      <w:sz w:val="24"/>
      <w:szCs w:val="24"/>
    </w:rPr>
  </w:style>
  <w:style w:type="paragraph" w:styleId="TOCHeading">
    <w:name w:val="TOC Heading"/>
    <w:basedOn w:val="Heading1"/>
    <w:next w:val="Normal"/>
    <w:uiPriority w:val="39"/>
    <w:semiHidden/>
    <w:unhideWhenUsed/>
    <w:qFormat/>
    <w:rsid w:val="003A1A33"/>
    <w:pPr>
      <w:keepNext/>
      <w:keepLines/>
      <w:spacing w:before="480" w:line="240" w:lineRule="auto"/>
      <w:outlineLvl w:val="9"/>
    </w:pPr>
    <w:rPr>
      <w:rFonts w:eastAsiaTheme="majorEastAsia" w:cstheme="majorBidi"/>
      <w:color w:val="A44E00" w:themeColor="accent1" w:themeShade="BF"/>
      <w:sz w:val="28"/>
      <w:szCs w:val="28"/>
    </w:rPr>
  </w:style>
  <w:style w:type="paragraph" w:customStyle="1" w:styleId="CoverPanelFrame">
    <w:name w:val="Cover Panel Frame"/>
    <w:basedOn w:val="Coverpulloutframe"/>
    <w:rsid w:val="003A1A33"/>
    <w:pPr>
      <w:framePr w:w="7441" w:wrap="notBeside" w:vAnchor="margin" w:hAnchor="text" w:x="-112" w:y="1"/>
      <w:pBdr>
        <w:top w:val="single" w:sz="4" w:space="1" w:color="auto"/>
        <w:left w:val="single" w:sz="4" w:space="4" w:color="auto"/>
      </w:pBdr>
    </w:pPr>
    <w:rPr>
      <w:rFonts w:eastAsia="+mn-ea"/>
    </w:rPr>
  </w:style>
  <w:style w:type="paragraph" w:customStyle="1" w:styleId="CoverGrowFooter">
    <w:name w:val="Cover Grow Footer"/>
    <w:rsid w:val="00E55EB2"/>
    <w:pPr>
      <w:framePr w:w="3209" w:wrap="around" w:vAnchor="page" w:hAnchor="page" w:x="7820" w:y="15072"/>
    </w:pPr>
    <w:rPr>
      <w:rFonts w:asciiTheme="majorHAnsi" w:hAnsiTheme="majorHAnsi" w:cs="Arial"/>
      <w:b/>
      <w:i/>
      <w:noProof/>
      <w:color w:val="DC6900" w:themeColor="text2"/>
      <w:sz w:val="32"/>
      <w:szCs w:val="32"/>
    </w:rPr>
  </w:style>
  <w:style w:type="paragraph" w:customStyle="1" w:styleId="LogoActivated">
    <w:name w:val="Logo Activated"/>
    <w:basedOn w:val="Normal"/>
    <w:rsid w:val="003A1A33"/>
    <w:pPr>
      <w:framePr w:w="3119" w:h="1412" w:hRule="exact" w:wrap="around" w:vAnchor="page" w:hAnchor="page" w:x="1543" w:y="15299"/>
      <w:tabs>
        <w:tab w:val="center" w:pos="2551"/>
        <w:tab w:val="right" w:pos="7682"/>
      </w:tabs>
      <w:spacing w:line="0" w:lineRule="atLeast"/>
    </w:pPr>
    <w:rPr>
      <w:rFonts w:asciiTheme="majorHAnsi" w:hAnsiTheme="majorHAnsi"/>
      <w:noProof/>
      <w:snapToGrid/>
      <w:sz w:val="18"/>
      <w:szCs w:val="32"/>
      <w:lang w:eastAsia="en-AU"/>
    </w:rPr>
  </w:style>
  <w:style w:type="character" w:customStyle="1" w:styleId="FooterGrow">
    <w:name w:val="Footer Grow"/>
    <w:basedOn w:val="DefaultParagraphFont"/>
    <w:uiPriority w:val="1"/>
    <w:qFormat/>
    <w:rsid w:val="003D06E6"/>
    <w:rPr>
      <w:rFonts w:asciiTheme="majorHAnsi" w:hAnsiTheme="majorHAnsi"/>
      <w:b/>
      <w:i/>
    </w:rPr>
  </w:style>
  <w:style w:type="paragraph" w:customStyle="1" w:styleId="FirstPagePanelFrame">
    <w:name w:val="First Page Panel Frame"/>
    <w:basedOn w:val="CoverPanelFrame"/>
    <w:rsid w:val="005075FD"/>
    <w:pPr>
      <w:pageBreakBefore/>
      <w:framePr w:w="9299" w:h="227" w:hRule="exact" w:wrap="notBeside" w:y="-169"/>
      <w:pBdr>
        <w:top w:val="single" w:sz="6" w:space="1" w:color="DC6900" w:themeColor="text2"/>
        <w:left w:val="single" w:sz="6" w:space="4" w:color="DC6900" w:themeColor="text2"/>
      </w:pBdr>
    </w:pPr>
  </w:style>
  <w:style w:type="paragraph" w:customStyle="1" w:styleId="GrowURL">
    <w:name w:val="Grow URL"/>
    <w:basedOn w:val="Normal"/>
    <w:rsid w:val="003A1A33"/>
    <w:rPr>
      <w:rFonts w:asciiTheme="majorHAnsi" w:hAnsiTheme="majorHAnsi"/>
    </w:rPr>
  </w:style>
  <w:style w:type="paragraph" w:customStyle="1" w:styleId="Coverpulloutframe">
    <w:name w:val="Cover pull out frame"/>
    <w:basedOn w:val="KeySentenceInside"/>
    <w:rsid w:val="005075FD"/>
    <w:pPr>
      <w:framePr w:w="2189" w:h="227" w:wrap="notBeside" w:vAnchor="page" w:hAnchor="page" w:x="908" w:y="8415"/>
      <w:pBdr>
        <w:top w:val="dotted" w:sz="8" w:space="1" w:color="A32020"/>
        <w:left w:val="dotted" w:sz="8" w:space="4" w:color="A32020"/>
      </w:pBdr>
      <w:spacing w:after="0" w:line="0" w:lineRule="atLeast"/>
    </w:pPr>
    <w:rPr>
      <w:color w:val="auto"/>
      <w:sz w:val="8"/>
      <w:lang w:val="en-GB"/>
    </w:rPr>
  </w:style>
  <w:style w:type="paragraph" w:customStyle="1" w:styleId="CoverOutcomeHeadline">
    <w:name w:val="Cover Outcome Headline"/>
    <w:basedOn w:val="PwCNormal"/>
    <w:rsid w:val="00B01F26"/>
    <w:pPr>
      <w:spacing w:after="0" w:line="520" w:lineRule="atLeast"/>
      <w:ind w:right="2016"/>
    </w:pPr>
    <w:rPr>
      <w:b/>
      <w:i/>
      <w:color w:val="FFFFFF" w:themeColor="background1"/>
      <w:sz w:val="52"/>
      <w:szCs w:val="88"/>
      <w:lang w:val="en-GB"/>
    </w:rPr>
  </w:style>
  <w:style w:type="paragraph" w:customStyle="1" w:styleId="CoverOutcomeSubtitle">
    <w:name w:val="Cover Outcome Subtitle"/>
    <w:basedOn w:val="CoverOutcomeHeadline"/>
    <w:rsid w:val="00F77719"/>
    <w:pPr>
      <w:spacing w:line="440" w:lineRule="atLeast"/>
      <w:ind w:right="2448"/>
    </w:pPr>
    <w:rPr>
      <w:b w:val="0"/>
      <w:i w:val="0"/>
      <w:sz w:val="44"/>
    </w:rPr>
  </w:style>
  <w:style w:type="paragraph" w:customStyle="1" w:styleId="LogoFixed">
    <w:name w:val="Logo Fixed"/>
    <w:basedOn w:val="LogoActivated"/>
    <w:rsid w:val="003A1A33"/>
    <w:pPr>
      <w:framePr w:h="2733" w:hRule="exact" w:wrap="around" w:x="1322" w:y="14125"/>
    </w:pPr>
  </w:style>
  <w:style w:type="character" w:customStyle="1" w:styleId="DisclaimerChar">
    <w:name w:val="Disclaimer Char"/>
    <w:basedOn w:val="DefaultParagraphFont"/>
    <w:link w:val="Disclaimer"/>
    <w:rsid w:val="00336BAA"/>
    <w:rPr>
      <w:rFonts w:cs="Arial"/>
      <w:snapToGrid w:val="0"/>
      <w:sz w:val="15"/>
      <w:szCs w:val="20"/>
      <w:lang w:eastAsia="en-US"/>
    </w:rPr>
  </w:style>
  <w:style w:type="paragraph" w:customStyle="1" w:styleId="PwCAddress">
    <w:name w:val="PwC Address"/>
    <w:basedOn w:val="Normal"/>
    <w:link w:val="PwCAddressChar"/>
    <w:qFormat/>
    <w:rsid w:val="00336BAA"/>
    <w:pPr>
      <w:kinsoku/>
      <w:overflowPunct/>
      <w:autoSpaceDE/>
      <w:autoSpaceDN/>
      <w:adjustRightInd/>
      <w:snapToGrid/>
      <w:spacing w:line="200" w:lineRule="atLeast"/>
    </w:pPr>
    <w:rPr>
      <w:rFonts w:eastAsiaTheme="minorHAnsi" w:cstheme="minorBidi"/>
      <w:i/>
      <w:noProof/>
      <w:snapToGrid/>
      <w:sz w:val="18"/>
      <w:szCs w:val="22"/>
      <w:lang w:val="en-GB" w:eastAsia="en-GB"/>
    </w:rPr>
  </w:style>
  <w:style w:type="character" w:customStyle="1" w:styleId="PwCAddressChar">
    <w:name w:val="PwC Address Char"/>
    <w:basedOn w:val="DefaultParagraphFont"/>
    <w:link w:val="PwCAddress"/>
    <w:rsid w:val="00336BAA"/>
    <w:rPr>
      <w:rFonts w:asciiTheme="minorHAnsi" w:eastAsiaTheme="minorHAnsi" w:hAnsiTheme="minorHAnsi" w:cstheme="minorBidi"/>
      <w:i/>
      <w:noProof/>
      <w:sz w:val="18"/>
      <w:szCs w:val="22"/>
      <w:lang w:val="en-GB" w:eastAsia="en-GB"/>
    </w:rPr>
  </w:style>
  <w:style w:type="paragraph" w:customStyle="1" w:styleId="StyleTOC1Right015cm">
    <w:name w:val="Style TOC 1 + Right:  0.15 cm"/>
    <w:basedOn w:val="TOC1"/>
    <w:rsid w:val="00336BAA"/>
    <w:pPr>
      <w:tabs>
        <w:tab w:val="left" w:pos="426"/>
        <w:tab w:val="right" w:pos="5103"/>
      </w:tabs>
      <w:spacing w:before="180"/>
      <w:ind w:right="0"/>
    </w:pPr>
    <w:rPr>
      <w:rFonts w:asciiTheme="majorHAnsi" w:hAnsiTheme="majorHAnsi" w:cs="Times New Roman"/>
      <w:bCs/>
      <w:color w:val="000000" w:themeColor="text1"/>
      <w:sz w:val="18"/>
    </w:rPr>
  </w:style>
  <w:style w:type="paragraph" w:customStyle="1" w:styleId="StyleTOCtitleText2">
    <w:name w:val="Style TOC title + Text 2"/>
    <w:basedOn w:val="TOCtitle"/>
    <w:rsid w:val="00336BAA"/>
    <w:rPr>
      <w:color w:val="FFFFFF" w:themeColor="background1"/>
    </w:rPr>
  </w:style>
  <w:style w:type="paragraph" w:customStyle="1" w:styleId="TheirNumbersedList">
    <w:name w:val="Their Numbersed List"/>
    <w:basedOn w:val="ChapterNumberedList1"/>
    <w:qFormat/>
    <w:rsid w:val="005D3DF0"/>
    <w:pPr>
      <w:numPr>
        <w:numId w:val="11"/>
      </w:numPr>
    </w:pPr>
  </w:style>
  <w:style w:type="paragraph" w:customStyle="1" w:styleId="TheirBullet1">
    <w:name w:val="Their Bullet 1"/>
    <w:basedOn w:val="Bullet1"/>
    <w:qFormat/>
    <w:rsid w:val="007854F5"/>
    <w:pPr>
      <w:numPr>
        <w:numId w:val="12"/>
      </w:numPr>
      <w:ind w:left="227" w:hanging="227"/>
    </w:pPr>
    <w:rPr>
      <w:color w:val="DC6900" w:themeColor="accent1"/>
    </w:rPr>
  </w:style>
  <w:style w:type="table" w:customStyle="1" w:styleId="PwC-CVtablestyle1">
    <w:name w:val="PwC - CV table style 1"/>
    <w:basedOn w:val="TableNormal"/>
    <w:uiPriority w:val="99"/>
    <w:qFormat/>
    <w:rsid w:val="00FB380F"/>
    <w:rPr>
      <w:rFonts w:eastAsia="Batang"/>
    </w:rPr>
    <w:tblPr>
      <w:tblInd w:w="0" w:type="dxa"/>
      <w:tblCellMar>
        <w:top w:w="0" w:type="dxa"/>
        <w:left w:w="108" w:type="dxa"/>
        <w:bottom w:w="0" w:type="dxa"/>
        <w:right w:w="108" w:type="dxa"/>
      </w:tblCellMar>
    </w:tblPr>
    <w:tblStylePr w:type="firstRow">
      <w:pPr>
        <w:jc w:val="left"/>
      </w:pPr>
      <w:tblPr/>
      <w:tcPr>
        <w:tcBorders>
          <w:bottom w:val="single" w:sz="8" w:space="0" w:color="DC6900" w:themeColor="accent1"/>
        </w:tcBorders>
      </w:tcPr>
    </w:tblStylePr>
  </w:style>
  <w:style w:type="character" w:customStyle="1" w:styleId="CVBullet1Char">
    <w:name w:val="CV Bullet 1 Char"/>
    <w:basedOn w:val="DefaultParagraphFont"/>
    <w:link w:val="CVBullet1"/>
    <w:locked/>
    <w:rsid w:val="00CF5565"/>
    <w:rPr>
      <w:rFonts w:ascii="Georgia" w:hAnsi="Georgia" w:cs="Arial"/>
      <w:snapToGrid w:val="0"/>
      <w:sz w:val="20"/>
      <w:szCs w:val="20"/>
      <w:lang w:eastAsia="en-US"/>
    </w:rPr>
  </w:style>
  <w:style w:type="paragraph" w:customStyle="1" w:styleId="CVQuote">
    <w:name w:val="CV Quote"/>
    <w:basedOn w:val="KeySentenceheading"/>
    <w:qFormat/>
    <w:rsid w:val="00E8787C"/>
    <w:pPr>
      <w:spacing w:before="80" w:after="80" w:line="264" w:lineRule="auto"/>
      <w:ind w:left="85" w:hanging="85"/>
    </w:pPr>
    <w:rPr>
      <w:rFonts w:eastAsia="Batang"/>
      <w:color w:val="968C6D"/>
      <w:sz w:val="16"/>
    </w:rPr>
  </w:style>
  <w:style w:type="paragraph" w:customStyle="1" w:styleId="StyleStyleTOCtitleText228ptAccent5">
    <w:name w:val="Style Style TOC title + Text 2 + 28 pt Accent 5"/>
    <w:basedOn w:val="StyleTOCtitleText2"/>
    <w:rsid w:val="00551DAA"/>
  </w:style>
  <w:style w:type="paragraph" w:customStyle="1" w:styleId="BlockText2">
    <w:name w:val="Block Text 2"/>
    <w:basedOn w:val="Normal"/>
    <w:qFormat/>
    <w:rsid w:val="003A1A33"/>
    <w:pPr>
      <w:pBdr>
        <w:top w:val="single" w:sz="2" w:space="10" w:color="DC6900" w:themeColor="text2"/>
        <w:left w:val="single" w:sz="2" w:space="10" w:color="DC6900" w:themeColor="text2"/>
        <w:bottom w:val="single" w:sz="2" w:space="10" w:color="DC6900" w:themeColor="text2"/>
        <w:right w:val="single" w:sz="2" w:space="10" w:color="DC6900" w:themeColor="text2"/>
      </w:pBdr>
      <w:shd w:val="clear" w:color="auto" w:fill="DC6900" w:themeFill="text2"/>
      <w:kinsoku/>
      <w:overflowPunct/>
      <w:autoSpaceDE/>
      <w:autoSpaceDN/>
      <w:adjustRightInd/>
      <w:snapToGrid/>
      <w:spacing w:after="240"/>
      <w:ind w:left="227" w:right="227"/>
    </w:pPr>
    <w:rPr>
      <w:rFonts w:eastAsiaTheme="minorHAnsi" w:cstheme="minorBidi"/>
      <w:i/>
      <w:snapToGrid/>
      <w:color w:val="FFFFFF" w:themeColor="background2"/>
      <w:sz w:val="48"/>
      <w:szCs w:val="48"/>
      <w:lang w:val="en-GB"/>
    </w:rPr>
  </w:style>
  <w:style w:type="paragraph" w:customStyle="1" w:styleId="Appendix">
    <w:name w:val="Appendix"/>
    <w:basedOn w:val="Heading1"/>
    <w:next w:val="Normal"/>
    <w:uiPriority w:val="99"/>
    <w:qFormat/>
    <w:rsid w:val="00924BB2"/>
    <w:pPr>
      <w:keepNext/>
      <w:keepLines/>
      <w:numPr>
        <w:numId w:val="14"/>
      </w:numPr>
      <w:kinsoku/>
      <w:overflowPunct/>
      <w:autoSpaceDE/>
      <w:autoSpaceDN/>
      <w:adjustRightInd/>
      <w:snapToGrid/>
      <w:spacing w:after="480" w:line="600" w:lineRule="atLeast"/>
    </w:pPr>
    <w:rPr>
      <w:rFonts w:eastAsiaTheme="majorEastAsia" w:cstheme="majorBidi"/>
      <w:snapToGrid/>
      <w:color w:val="DC6900" w:themeColor="accent1"/>
      <w:szCs w:val="28"/>
      <w:lang w:val="en-GB"/>
    </w:rPr>
  </w:style>
  <w:style w:type="numbering" w:customStyle="1" w:styleId="PwCAppendixList1">
    <w:name w:val="PwC Appendix List 1"/>
    <w:uiPriority w:val="99"/>
    <w:rsid w:val="003A1A33"/>
    <w:pPr>
      <w:numPr>
        <w:numId w:val="13"/>
      </w:numPr>
    </w:pPr>
  </w:style>
  <w:style w:type="numbering" w:customStyle="1" w:styleId="TableNumberdListNormal">
    <w:name w:val="Table Numberd List Normal"/>
    <w:uiPriority w:val="99"/>
    <w:rsid w:val="003A1A33"/>
    <w:pPr>
      <w:numPr>
        <w:numId w:val="16"/>
      </w:numPr>
    </w:pPr>
  </w:style>
  <w:style w:type="numbering" w:customStyle="1" w:styleId="PwCListNumbers1">
    <w:name w:val="PwC List Numbers 1"/>
    <w:uiPriority w:val="99"/>
    <w:rsid w:val="003A1A33"/>
    <w:pPr>
      <w:numPr>
        <w:numId w:val="15"/>
      </w:numPr>
    </w:pPr>
  </w:style>
  <w:style w:type="paragraph" w:customStyle="1" w:styleId="BlockText3">
    <w:name w:val="Block Text 3"/>
    <w:basedOn w:val="BlockText"/>
    <w:qFormat/>
    <w:rsid w:val="003A1A33"/>
    <w:pPr>
      <w:pBdr>
        <w:top w:val="single" w:sz="8" w:space="10" w:color="F2F2F2" w:themeColor="background2" w:themeShade="F2"/>
        <w:left w:val="single" w:sz="8" w:space="10" w:color="F2F2F2" w:themeColor="background2" w:themeShade="F2"/>
        <w:bottom w:val="single" w:sz="8" w:space="10" w:color="F2F2F2" w:themeColor="background2" w:themeShade="F2"/>
        <w:right w:val="single" w:sz="8" w:space="10" w:color="F2F2F2" w:themeColor="background2" w:themeShade="F2"/>
      </w:pBdr>
      <w:shd w:val="clear" w:color="auto" w:fill="F2F2F2" w:themeFill="background2" w:themeFillShade="F2"/>
      <w:kinsoku/>
      <w:overflowPunct/>
      <w:autoSpaceDE/>
      <w:autoSpaceDN/>
      <w:adjustRightInd/>
      <w:snapToGrid/>
      <w:ind w:left="227" w:right="227"/>
    </w:pPr>
    <w:rPr>
      <w:snapToGrid/>
      <w:sz w:val="96"/>
      <w:lang w:val="en-GB"/>
    </w:rPr>
  </w:style>
  <w:style w:type="paragraph" w:customStyle="1" w:styleId="SubHeading">
    <w:name w:val="Sub Heading"/>
    <w:basedOn w:val="PwCNormal"/>
    <w:rsid w:val="003A1A33"/>
    <w:pPr>
      <w:spacing w:after="480" w:line="600" w:lineRule="atLeast"/>
    </w:pPr>
    <w:rPr>
      <w:sz w:val="56"/>
    </w:rPr>
  </w:style>
  <w:style w:type="paragraph" w:customStyle="1" w:styleId="BlockTextClient">
    <w:name w:val="Block Text Client"/>
    <w:basedOn w:val="BlockText"/>
    <w:rsid w:val="003A1A33"/>
    <w:pPr>
      <w:spacing w:after="0"/>
    </w:pPr>
    <w:rPr>
      <w:b w:val="0"/>
      <w:sz w:val="20"/>
    </w:rPr>
  </w:style>
  <w:style w:type="paragraph" w:customStyle="1" w:styleId="BlockTextPosition">
    <w:name w:val="Block Text Position"/>
    <w:basedOn w:val="BlockText"/>
    <w:rsid w:val="003A1A33"/>
    <w:rPr>
      <w:b w:val="0"/>
      <w:i w:val="0"/>
      <w:sz w:val="20"/>
    </w:rPr>
  </w:style>
  <w:style w:type="paragraph" w:customStyle="1" w:styleId="BlockText2Client">
    <w:name w:val="Block Text 2 Client"/>
    <w:basedOn w:val="BlockText2"/>
    <w:rsid w:val="003A1A33"/>
    <w:pPr>
      <w:spacing w:after="0"/>
    </w:pPr>
    <w:rPr>
      <w:sz w:val="20"/>
      <w:szCs w:val="20"/>
    </w:rPr>
  </w:style>
  <w:style w:type="paragraph" w:customStyle="1" w:styleId="BlockText2Position">
    <w:name w:val="Block Text 2 Position"/>
    <w:basedOn w:val="BlockText2"/>
    <w:rsid w:val="003A1A33"/>
    <w:rPr>
      <w:i w:val="0"/>
      <w:sz w:val="20"/>
      <w:szCs w:val="20"/>
    </w:rPr>
  </w:style>
  <w:style w:type="paragraph" w:customStyle="1" w:styleId="URLCover">
    <w:name w:val="URL Cover"/>
    <w:basedOn w:val="Normal"/>
    <w:rsid w:val="003A1A33"/>
    <w:rPr>
      <w:color w:val="000000" w:themeColor="text1"/>
      <w:sz w:val="19"/>
    </w:rPr>
  </w:style>
  <w:style w:type="paragraph" w:customStyle="1" w:styleId="NumericCaption">
    <w:name w:val="Numeric Caption"/>
    <w:basedOn w:val="Caption"/>
    <w:rsid w:val="00E44052"/>
    <w:pPr>
      <w:tabs>
        <w:tab w:val="clear" w:pos="992"/>
        <w:tab w:val="left" w:pos="1008"/>
      </w:tabs>
    </w:pPr>
  </w:style>
  <w:style w:type="paragraph" w:customStyle="1" w:styleId="NumericTableColumnHeadingNormal">
    <w:name w:val="Numeric Table Column Heading Normal"/>
    <w:basedOn w:val="TableColumnHeadingNormal"/>
    <w:rsid w:val="003A1A33"/>
    <w:rPr>
      <w:rFonts w:ascii="Arial" w:hAnsi="Arial"/>
    </w:rPr>
  </w:style>
  <w:style w:type="paragraph" w:customStyle="1" w:styleId="NumericTableTextNormal">
    <w:name w:val="Numeric Table Text Normal"/>
    <w:basedOn w:val="TableTextNormal"/>
    <w:rsid w:val="003A1A33"/>
    <w:rPr>
      <w:rFonts w:ascii="Arial" w:hAnsi="Arial"/>
    </w:rPr>
  </w:style>
  <w:style w:type="paragraph" w:customStyle="1" w:styleId="NumericSources">
    <w:name w:val="Numeric Sources"/>
    <w:basedOn w:val="Sources"/>
    <w:rsid w:val="003A1A33"/>
    <w:rPr>
      <w:rFonts w:ascii="Arial" w:hAnsi="Arial"/>
    </w:rPr>
  </w:style>
  <w:style w:type="paragraph" w:customStyle="1" w:styleId="NumericTableColumnHeadingSmall">
    <w:name w:val="Numeric Table Column Heading Small"/>
    <w:basedOn w:val="NumericTableColumnHeadingNormal"/>
    <w:rsid w:val="003A1A33"/>
    <w:rPr>
      <w:sz w:val="16"/>
      <w:szCs w:val="16"/>
    </w:rPr>
  </w:style>
  <w:style w:type="paragraph" w:customStyle="1" w:styleId="NumericTableTextSmall">
    <w:name w:val="Numeric Table Text Small"/>
    <w:basedOn w:val="NumericTableTextNormal"/>
    <w:rsid w:val="003A1A33"/>
    <w:rPr>
      <w:sz w:val="16"/>
      <w:szCs w:val="16"/>
    </w:rPr>
  </w:style>
  <w:style w:type="paragraph" w:customStyle="1" w:styleId="NumericTableTextDecimalNormal">
    <w:name w:val="Numeric Table Text Decimal Normal"/>
    <w:basedOn w:val="NumericTableTextNormal"/>
    <w:rsid w:val="003A1A33"/>
    <w:pPr>
      <w:tabs>
        <w:tab w:val="decimal" w:pos="1004"/>
      </w:tabs>
    </w:pPr>
  </w:style>
  <w:style w:type="paragraph" w:customStyle="1" w:styleId="NumericTableTextDecimalSmall">
    <w:name w:val="Numeric Table Text Decimal Small"/>
    <w:basedOn w:val="NumericTableTextDecimalNormal"/>
    <w:rsid w:val="003A1A33"/>
    <w:rPr>
      <w:sz w:val="16"/>
      <w:szCs w:val="16"/>
    </w:rPr>
  </w:style>
  <w:style w:type="paragraph" w:customStyle="1" w:styleId="Heading2Nospacing">
    <w:name w:val="Heading 2 No spacing"/>
    <w:basedOn w:val="Heading2"/>
    <w:rsid w:val="00701EA9"/>
    <w:pPr>
      <w:spacing w:line="0" w:lineRule="atLeast"/>
    </w:pPr>
  </w:style>
  <w:style w:type="paragraph" w:customStyle="1" w:styleId="TableNumberedList1">
    <w:name w:val="Table Numbered List 1"/>
    <w:basedOn w:val="TableTextNormal"/>
    <w:rsid w:val="003A1A33"/>
    <w:pPr>
      <w:numPr>
        <w:numId w:val="17"/>
      </w:numPr>
    </w:pPr>
  </w:style>
  <w:style w:type="paragraph" w:customStyle="1" w:styleId="TableNumberedList2">
    <w:name w:val="Table Numbered List 2"/>
    <w:basedOn w:val="TableNumberedList1"/>
    <w:rsid w:val="003A1A33"/>
    <w:pPr>
      <w:numPr>
        <w:ilvl w:val="1"/>
      </w:numPr>
      <w:spacing w:before="40" w:after="40"/>
    </w:pPr>
  </w:style>
  <w:style w:type="paragraph" w:customStyle="1" w:styleId="TableNumberedList3">
    <w:name w:val="Table Numbered List 3"/>
    <w:basedOn w:val="TableNumberedList2"/>
    <w:rsid w:val="003A1A33"/>
    <w:pPr>
      <w:numPr>
        <w:ilvl w:val="2"/>
      </w:numPr>
    </w:pPr>
  </w:style>
  <w:style w:type="paragraph" w:customStyle="1" w:styleId="TableNumberedListSmall1">
    <w:name w:val="Table Numbered List Small 1"/>
    <w:basedOn w:val="TableTextSmall"/>
    <w:rsid w:val="003A1A33"/>
    <w:pPr>
      <w:numPr>
        <w:numId w:val="18"/>
      </w:numPr>
    </w:pPr>
  </w:style>
  <w:style w:type="paragraph" w:customStyle="1" w:styleId="TableNumberedListSmall2">
    <w:name w:val="Table Numbered List Small 2"/>
    <w:basedOn w:val="TableNumberedListSmall1"/>
    <w:rsid w:val="003A1A33"/>
    <w:pPr>
      <w:numPr>
        <w:ilvl w:val="1"/>
      </w:numPr>
    </w:pPr>
    <w:rPr>
      <w:szCs w:val="21"/>
    </w:rPr>
  </w:style>
  <w:style w:type="paragraph" w:customStyle="1" w:styleId="TableNumberedListSmall3">
    <w:name w:val="Table Numbered List Small 3"/>
    <w:basedOn w:val="TableNumberedListSmall2"/>
    <w:rsid w:val="003A1A33"/>
    <w:pPr>
      <w:numPr>
        <w:ilvl w:val="2"/>
      </w:numPr>
    </w:pPr>
  </w:style>
  <w:style w:type="numbering" w:customStyle="1" w:styleId="ListNumberList">
    <w:name w:val="List Number List"/>
    <w:uiPriority w:val="99"/>
    <w:rsid w:val="003A1A33"/>
    <w:pPr>
      <w:numPr>
        <w:numId w:val="19"/>
      </w:numPr>
    </w:pPr>
  </w:style>
  <w:style w:type="numbering" w:styleId="111111">
    <w:name w:val="Outline List 2"/>
    <w:basedOn w:val="NoList"/>
    <w:rsid w:val="003A1A33"/>
    <w:pPr>
      <w:numPr>
        <w:numId w:val="20"/>
      </w:numPr>
    </w:pPr>
  </w:style>
  <w:style w:type="numbering" w:styleId="1ai">
    <w:name w:val="Outline List 1"/>
    <w:basedOn w:val="NoList"/>
    <w:rsid w:val="003A1A33"/>
    <w:pPr>
      <w:numPr>
        <w:numId w:val="21"/>
      </w:numPr>
    </w:pPr>
  </w:style>
  <w:style w:type="numbering" w:styleId="ArticleSection">
    <w:name w:val="Outline List 3"/>
    <w:basedOn w:val="NoList"/>
    <w:rsid w:val="003A1A33"/>
    <w:pPr>
      <w:numPr>
        <w:numId w:val="22"/>
      </w:numPr>
    </w:pPr>
  </w:style>
  <w:style w:type="paragraph" w:customStyle="1" w:styleId="AppendixPanelFrame">
    <w:name w:val="Appendix Panel Frame"/>
    <w:basedOn w:val="FirstPagePanelFrame"/>
    <w:qFormat/>
    <w:rsid w:val="00924BB2"/>
    <w:pPr>
      <w:framePr w:wrap="notBeside"/>
      <w:pBdr>
        <w:top w:val="single" w:sz="6" w:space="1" w:color="DC6900" w:themeColor="accent1"/>
        <w:left w:val="single" w:sz="6" w:space="4" w:color="DC6900" w:themeColor="accent1"/>
      </w:pBdr>
    </w:pPr>
    <w:rPr>
      <w:i w:val="0"/>
    </w:rPr>
  </w:style>
  <w:style w:type="paragraph" w:customStyle="1" w:styleId="BlockBulletBurgandy">
    <w:name w:val="Block Bullet Burgandy"/>
    <w:basedOn w:val="BlockText2Position"/>
    <w:qFormat/>
    <w:rsid w:val="00F04AC1"/>
    <w:pPr>
      <w:widowControl w:val="0"/>
      <w:numPr>
        <w:numId w:val="23"/>
      </w:numPr>
      <w:pBdr>
        <w:top w:val="dotted" w:sz="8" w:space="5" w:color="FFB600" w:themeColor="accent2"/>
        <w:left w:val="dotted" w:sz="8" w:space="5" w:color="FFB600" w:themeColor="accent2"/>
        <w:bottom w:val="dotted" w:sz="8" w:space="5" w:color="FFB600" w:themeColor="accent2"/>
        <w:right w:val="dotted" w:sz="8" w:space="5" w:color="FFB600" w:themeColor="accent2"/>
      </w:pBdr>
      <w:shd w:val="clear" w:color="auto" w:fill="auto"/>
      <w:spacing w:after="80"/>
      <w:ind w:right="0"/>
      <w:textAlignment w:val="baseline"/>
    </w:pPr>
    <w:rPr>
      <w:color w:val="FFB600" w:themeColor="accent2"/>
      <w:sz w:val="18"/>
    </w:rPr>
  </w:style>
  <w:style w:type="paragraph" w:customStyle="1" w:styleId="BlockBulletGrey">
    <w:name w:val="Block Bullet Grey"/>
    <w:basedOn w:val="BlockBulletBurgandy"/>
    <w:qFormat/>
    <w:rsid w:val="00F04AC1"/>
    <w:pPr>
      <w:numPr>
        <w:numId w:val="24"/>
      </w:numPr>
      <w:pBdr>
        <w:top w:val="dotted" w:sz="8" w:space="5" w:color="DC6900" w:themeColor="accent1"/>
        <w:left w:val="dotted" w:sz="8" w:space="5" w:color="DC6900" w:themeColor="accent1"/>
        <w:bottom w:val="dotted" w:sz="8" w:space="5" w:color="DC6900" w:themeColor="accent1"/>
        <w:right w:val="dotted" w:sz="8" w:space="5" w:color="DC6900" w:themeColor="accent1"/>
      </w:pBdr>
    </w:pPr>
    <w:rPr>
      <w:color w:val="DC6900" w:themeColor="accent1"/>
    </w:rPr>
  </w:style>
  <w:style w:type="paragraph" w:customStyle="1" w:styleId="BlockBulletOrange">
    <w:name w:val="Block Bullet Orange"/>
    <w:basedOn w:val="BlockBulletBurgandy"/>
    <w:qFormat/>
    <w:rsid w:val="00F04AC1"/>
    <w:pPr>
      <w:numPr>
        <w:numId w:val="25"/>
      </w:numPr>
      <w:pBdr>
        <w:top w:val="dotted" w:sz="8" w:space="5" w:color="DC6900" w:themeColor="text2"/>
        <w:left w:val="dotted" w:sz="8" w:space="5" w:color="DC6900" w:themeColor="text2"/>
        <w:bottom w:val="dotted" w:sz="8" w:space="5" w:color="DC6900" w:themeColor="text2"/>
        <w:right w:val="dotted" w:sz="8" w:space="5" w:color="DC6900" w:themeColor="text2"/>
      </w:pBdr>
    </w:pPr>
    <w:rPr>
      <w:color w:val="DC6900" w:themeColor="text2"/>
    </w:rPr>
  </w:style>
  <w:style w:type="paragraph" w:customStyle="1" w:styleId="BlockText2Burgandy">
    <w:name w:val="Block Text 2 Burgandy"/>
    <w:basedOn w:val="BlockBulletBurgandy"/>
    <w:rsid w:val="00F04AC1"/>
    <w:pPr>
      <w:numPr>
        <w:numId w:val="0"/>
      </w:numPr>
    </w:pPr>
    <w:rPr>
      <w:rFonts w:cs="Times New Roman"/>
    </w:rPr>
  </w:style>
  <w:style w:type="paragraph" w:customStyle="1" w:styleId="Blockquote">
    <w:name w:val="Block quote"/>
    <w:basedOn w:val="BlockText2Burgandy"/>
    <w:qFormat/>
    <w:rsid w:val="00F04AC1"/>
    <w:pPr>
      <w:pBdr>
        <w:top w:val="single" w:sz="4" w:space="5" w:color="FFB600" w:themeColor="accent2"/>
        <w:left w:val="single" w:sz="4" w:space="5" w:color="FFB600" w:themeColor="accent2"/>
        <w:bottom w:val="single" w:sz="4" w:space="5" w:color="FFB600" w:themeColor="accent2"/>
        <w:right w:val="single" w:sz="4" w:space="5" w:color="FFB600" w:themeColor="accent2"/>
      </w:pBdr>
      <w:shd w:val="clear" w:color="auto" w:fill="FFB600" w:themeFill="accent2"/>
      <w:spacing w:after="40"/>
    </w:pPr>
    <w:rPr>
      <w:color w:val="FFFFFF" w:themeColor="background1"/>
    </w:rPr>
  </w:style>
  <w:style w:type="paragraph" w:customStyle="1" w:styleId="BlockQuoteBullet">
    <w:name w:val="Block Quote Bullet"/>
    <w:basedOn w:val="BlockBulletBurgandy"/>
    <w:qFormat/>
    <w:rsid w:val="00F04AC1"/>
    <w:pPr>
      <w:numPr>
        <w:numId w:val="26"/>
      </w:numPr>
      <w:pBdr>
        <w:top w:val="single" w:sz="4" w:space="5" w:color="FFB600" w:themeColor="accent2"/>
        <w:left w:val="single" w:sz="4" w:space="5" w:color="FFB600" w:themeColor="accent2"/>
        <w:bottom w:val="single" w:sz="4" w:space="5" w:color="FFB600" w:themeColor="accent2"/>
        <w:right w:val="single" w:sz="4" w:space="5" w:color="FFB600" w:themeColor="accent2"/>
      </w:pBdr>
      <w:shd w:val="clear" w:color="auto" w:fill="FFB600" w:themeFill="accent2"/>
      <w:spacing w:after="20"/>
    </w:pPr>
    <w:rPr>
      <w:color w:val="FFFFFF" w:themeColor="background1"/>
    </w:rPr>
  </w:style>
  <w:style w:type="paragraph" w:customStyle="1" w:styleId="BlockQuoteheading">
    <w:name w:val="Block Quote heading"/>
    <w:basedOn w:val="Blockquote"/>
    <w:qFormat/>
    <w:rsid w:val="00F04AC1"/>
    <w:rPr>
      <w:b/>
      <w:i/>
    </w:rPr>
  </w:style>
  <w:style w:type="paragraph" w:customStyle="1" w:styleId="BlockText2Grey">
    <w:name w:val="Block Text 2 Grey"/>
    <w:basedOn w:val="BlockText2Burgandy"/>
    <w:qFormat/>
    <w:rsid w:val="00F04AC1"/>
    <w:pPr>
      <w:pBdr>
        <w:top w:val="dotted" w:sz="8" w:space="5" w:color="DC6900" w:themeColor="accent1"/>
        <w:left w:val="dotted" w:sz="8" w:space="5" w:color="DC6900" w:themeColor="accent1"/>
        <w:bottom w:val="dotted" w:sz="8" w:space="5" w:color="DC6900" w:themeColor="accent1"/>
        <w:right w:val="dotted" w:sz="8" w:space="5" w:color="DC6900" w:themeColor="accent1"/>
      </w:pBdr>
    </w:pPr>
    <w:rPr>
      <w:color w:val="DC6900" w:themeColor="accent1"/>
    </w:rPr>
  </w:style>
  <w:style w:type="paragraph" w:customStyle="1" w:styleId="BlockQuoteOrange">
    <w:name w:val="Block Quote Orange"/>
    <w:basedOn w:val="BlockText2Grey"/>
    <w:qFormat/>
    <w:rsid w:val="00F04AC1"/>
    <w:pPr>
      <w:pBdr>
        <w:top w:val="single" w:sz="8" w:space="5" w:color="DC6900" w:themeColor="text2"/>
        <w:left w:val="single" w:sz="8" w:space="5" w:color="DC6900" w:themeColor="text2"/>
        <w:bottom w:val="single" w:sz="8" w:space="5" w:color="DC6900" w:themeColor="text2"/>
        <w:right w:val="single" w:sz="8" w:space="5" w:color="DC6900" w:themeColor="text2"/>
      </w:pBdr>
      <w:shd w:val="clear" w:color="auto" w:fill="DC6900" w:themeFill="text2"/>
    </w:pPr>
    <w:rPr>
      <w:i/>
      <w:color w:val="FFFFFF" w:themeColor="background1"/>
    </w:rPr>
  </w:style>
  <w:style w:type="paragraph" w:customStyle="1" w:styleId="BlockQuoteNameOrange">
    <w:name w:val="Block Quote Name Orange"/>
    <w:basedOn w:val="BlockQuoteOrange"/>
    <w:qFormat/>
    <w:rsid w:val="00F04AC1"/>
    <w:rPr>
      <w:i w:val="0"/>
    </w:rPr>
  </w:style>
  <w:style w:type="paragraph" w:customStyle="1" w:styleId="BlockText2HeadingRose">
    <w:name w:val="Block Text 2 Heading Rose"/>
    <w:basedOn w:val="BlockBulletBurgandy"/>
    <w:rsid w:val="00F04AC1"/>
    <w:pPr>
      <w:numPr>
        <w:numId w:val="0"/>
      </w:numPr>
    </w:pPr>
    <w:rPr>
      <w:rFonts w:eastAsia="Times New Roman" w:cs="Times New Roman"/>
      <w:b/>
      <w:bCs/>
      <w:i/>
      <w:iCs/>
    </w:rPr>
  </w:style>
  <w:style w:type="paragraph" w:customStyle="1" w:styleId="BlockText2HeadingOrange">
    <w:name w:val="Block Text 2 Heading Orange"/>
    <w:basedOn w:val="BlockText2HeadingRose"/>
    <w:qFormat/>
    <w:rsid w:val="00F04AC1"/>
    <w:pPr>
      <w:keepNext/>
      <w:pBdr>
        <w:top w:val="dotted" w:sz="8" w:space="5" w:color="DC6900" w:themeColor="text2"/>
        <w:left w:val="dotted" w:sz="8" w:space="5" w:color="DC6900" w:themeColor="text2"/>
        <w:bottom w:val="dotted" w:sz="8" w:space="5" w:color="DC6900" w:themeColor="text2"/>
        <w:right w:val="dotted" w:sz="8" w:space="5" w:color="DC6900" w:themeColor="text2"/>
      </w:pBdr>
    </w:pPr>
    <w:rPr>
      <w:color w:val="DC6900" w:themeColor="text2"/>
    </w:rPr>
  </w:style>
  <w:style w:type="paragraph" w:customStyle="1" w:styleId="BlockText2Orange">
    <w:name w:val="Block Text 2 Orange"/>
    <w:basedOn w:val="BlockText2Burgandy"/>
    <w:qFormat/>
    <w:rsid w:val="00F04AC1"/>
    <w:pPr>
      <w:pBdr>
        <w:top w:val="dotted" w:sz="8" w:space="5" w:color="DC6900" w:themeColor="text2"/>
        <w:left w:val="dotted" w:sz="8" w:space="5" w:color="DC6900" w:themeColor="text2"/>
        <w:bottom w:val="dotted" w:sz="8" w:space="5" w:color="DC6900" w:themeColor="text2"/>
        <w:right w:val="dotted" w:sz="8" w:space="5" w:color="DC6900" w:themeColor="text2"/>
      </w:pBdr>
    </w:pPr>
    <w:rPr>
      <w:color w:val="DC6900" w:themeColor="text2"/>
    </w:rPr>
  </w:style>
  <w:style w:type="paragraph" w:customStyle="1" w:styleId="BlockTextToB">
    <w:name w:val="Block Text ToB"/>
    <w:basedOn w:val="BlockText2Burgandy"/>
    <w:qFormat/>
    <w:rsid w:val="00F04AC1"/>
    <w:pPr>
      <w:spacing w:after="20"/>
    </w:pPr>
  </w:style>
  <w:style w:type="paragraph" w:customStyle="1" w:styleId="BodySingle">
    <w:name w:val="Body Single"/>
    <w:basedOn w:val="BodyText"/>
    <w:uiPriority w:val="1"/>
    <w:qFormat/>
    <w:rsid w:val="00F04AC1"/>
    <w:pPr>
      <w:kinsoku/>
      <w:overflowPunct/>
      <w:autoSpaceDE/>
      <w:autoSpaceDN/>
      <w:adjustRightInd/>
      <w:snapToGrid/>
      <w:spacing w:after="0" w:line="240" w:lineRule="atLeast"/>
    </w:pPr>
    <w:rPr>
      <w:rFonts w:eastAsiaTheme="minorHAnsi" w:cstheme="minorBidi"/>
      <w:snapToGrid/>
      <w:lang w:val="en-GB"/>
    </w:rPr>
  </w:style>
  <w:style w:type="paragraph" w:customStyle="1" w:styleId="Bullet1-grey">
    <w:name w:val="Bullet 1 - grey"/>
    <w:basedOn w:val="Bullet1"/>
    <w:qFormat/>
    <w:rsid w:val="00F04AC1"/>
    <w:pPr>
      <w:numPr>
        <w:numId w:val="27"/>
      </w:numPr>
    </w:pPr>
    <w:rPr>
      <w:color w:val="DC6900" w:themeColor="accent1"/>
      <w:sz w:val="18"/>
    </w:rPr>
  </w:style>
  <w:style w:type="paragraph" w:customStyle="1" w:styleId="Bullet2-grey">
    <w:name w:val="Bullet 2 - grey"/>
    <w:basedOn w:val="Bullet2"/>
    <w:qFormat/>
    <w:rsid w:val="00F04AC1"/>
    <w:pPr>
      <w:numPr>
        <w:ilvl w:val="0"/>
        <w:numId w:val="28"/>
      </w:numPr>
    </w:pPr>
    <w:rPr>
      <w:color w:val="DC6900" w:themeColor="accent1"/>
      <w:sz w:val="18"/>
    </w:rPr>
  </w:style>
  <w:style w:type="paragraph" w:customStyle="1" w:styleId="Chapternumberlist1-grey">
    <w:name w:val="Chapter number list 1 - grey"/>
    <w:basedOn w:val="ChapterNumberedList1"/>
    <w:qFormat/>
    <w:rsid w:val="00F04AC1"/>
    <w:pPr>
      <w:numPr>
        <w:ilvl w:val="0"/>
        <w:numId w:val="0"/>
      </w:numPr>
      <w:spacing w:after="180"/>
    </w:pPr>
    <w:rPr>
      <w:color w:val="DC6900" w:themeColor="accent1"/>
      <w:sz w:val="18"/>
    </w:rPr>
  </w:style>
  <w:style w:type="paragraph" w:customStyle="1" w:styleId="ChapterNumberedlista-grey">
    <w:name w:val="Chapter Numbered list a - grey"/>
    <w:basedOn w:val="ChapterNumberedList2"/>
    <w:qFormat/>
    <w:rsid w:val="00F04AC1"/>
    <w:pPr>
      <w:numPr>
        <w:ilvl w:val="0"/>
        <w:numId w:val="29"/>
      </w:numPr>
      <w:spacing w:after="180"/>
    </w:pPr>
    <w:rPr>
      <w:color w:val="DC6900" w:themeColor="accent1"/>
      <w:sz w:val="18"/>
    </w:rPr>
  </w:style>
  <w:style w:type="paragraph" w:customStyle="1" w:styleId="Listnumberheading">
    <w:name w:val="List number heading"/>
    <w:basedOn w:val="ListNumber"/>
    <w:qFormat/>
    <w:rsid w:val="00F04AC1"/>
    <w:pPr>
      <w:numPr>
        <w:numId w:val="0"/>
      </w:numPr>
      <w:tabs>
        <w:tab w:val="num" w:pos="567"/>
      </w:tabs>
      <w:ind w:left="567" w:hanging="567"/>
      <w:contextualSpacing w:val="0"/>
    </w:pPr>
    <w:rPr>
      <w:b/>
      <w:i/>
      <w:color w:val="DC6900" w:themeColor="text2"/>
      <w:sz w:val="28"/>
    </w:rPr>
  </w:style>
  <w:style w:type="paragraph" w:customStyle="1" w:styleId="MajorheadingAppendix">
    <w:name w:val="Major heading Appendix"/>
    <w:basedOn w:val="Majorheading"/>
    <w:next w:val="PwCNormal"/>
    <w:qFormat/>
    <w:rsid w:val="00F04AC1"/>
    <w:rPr>
      <w:color w:val="FFB600" w:themeColor="accent2"/>
    </w:rPr>
  </w:style>
  <w:style w:type="numbering" w:customStyle="1" w:styleId="PwCListBullets1">
    <w:name w:val="PwC List Bullets 1"/>
    <w:uiPriority w:val="99"/>
    <w:rsid w:val="00F04AC1"/>
  </w:style>
  <w:style w:type="paragraph" w:customStyle="1" w:styleId="PwCnormal-grey">
    <w:name w:val="PwC normal - grey"/>
    <w:basedOn w:val="PwCNormal"/>
    <w:qFormat/>
    <w:rsid w:val="00F04AC1"/>
    <w:pPr>
      <w:numPr>
        <w:numId w:val="0"/>
      </w:numPr>
      <w:spacing w:after="180"/>
    </w:pPr>
    <w:rPr>
      <w:color w:val="DC6900" w:themeColor="accent1"/>
      <w:sz w:val="18"/>
    </w:rPr>
  </w:style>
  <w:style w:type="paragraph" w:customStyle="1" w:styleId="PwCNormal-greysingle">
    <w:name w:val="PwC Normal - grey single"/>
    <w:basedOn w:val="PwCNormal-Single"/>
    <w:qFormat/>
    <w:rsid w:val="00F04AC1"/>
    <w:rPr>
      <w:color w:val="DC6900" w:themeColor="accent1"/>
      <w:sz w:val="18"/>
    </w:rPr>
  </w:style>
  <w:style w:type="paragraph" w:customStyle="1" w:styleId="PwCNormalPostbullet">
    <w:name w:val="PwC Normal (Post bullet)"/>
    <w:basedOn w:val="PwCNormal"/>
    <w:qFormat/>
    <w:rsid w:val="00F04AC1"/>
    <w:pPr>
      <w:numPr>
        <w:numId w:val="0"/>
      </w:numPr>
      <w:spacing w:before="180" w:after="180"/>
    </w:pPr>
    <w:rPr>
      <w:sz w:val="18"/>
    </w:rPr>
  </w:style>
  <w:style w:type="paragraph" w:customStyle="1" w:styleId="PwCNormalPrebullet">
    <w:name w:val="PwC Normal (Pre bullet)"/>
    <w:basedOn w:val="PwCNormal"/>
    <w:qFormat/>
    <w:rsid w:val="00F04AC1"/>
    <w:pPr>
      <w:numPr>
        <w:numId w:val="0"/>
      </w:numPr>
      <w:spacing w:after="120"/>
    </w:pPr>
    <w:rPr>
      <w:sz w:val="18"/>
    </w:rPr>
  </w:style>
  <w:style w:type="paragraph" w:customStyle="1" w:styleId="Tablerowheading">
    <w:name w:val="Table row heading"/>
    <w:basedOn w:val="TableColumnHeadingNormal"/>
    <w:qFormat/>
    <w:rsid w:val="00F04AC1"/>
    <w:pPr>
      <w:spacing w:before="60" w:after="60"/>
    </w:pPr>
    <w:rPr>
      <w:b w:val="0"/>
      <w:sz w:val="16"/>
    </w:rPr>
  </w:style>
  <w:style w:type="paragraph" w:customStyle="1" w:styleId="Tablerowheadingsmall">
    <w:name w:val="Table row heading small"/>
    <w:basedOn w:val="Tablerowheading"/>
    <w:qFormat/>
    <w:rsid w:val="00F04AC1"/>
    <w:rPr>
      <w:color w:val="DC6900" w:themeColor="accent1"/>
    </w:rPr>
  </w:style>
  <w:style w:type="paragraph" w:customStyle="1" w:styleId="TheirBullet2">
    <w:name w:val="Their Bullet 2"/>
    <w:basedOn w:val="TheirBullet1"/>
    <w:qFormat/>
    <w:rsid w:val="00F04AC1"/>
    <w:pPr>
      <w:numPr>
        <w:ilvl w:val="1"/>
        <w:numId w:val="30"/>
      </w:numPr>
    </w:pPr>
    <w:rPr>
      <w:sz w:val="18"/>
    </w:rPr>
  </w:style>
  <w:style w:type="numbering" w:customStyle="1" w:styleId="Bullets">
    <w:name w:val="Bullets"/>
    <w:uiPriority w:val="99"/>
    <w:rsid w:val="003A1A33"/>
    <w:pPr>
      <w:numPr>
        <w:numId w:val="34"/>
      </w:numPr>
    </w:pPr>
  </w:style>
  <w:style w:type="paragraph" w:customStyle="1" w:styleId="FirstPagePanelFrame-Contents">
    <w:name w:val="First Page Panel Frame - Contents"/>
    <w:basedOn w:val="FirstPagePanelFrame"/>
    <w:rsid w:val="003A1A33"/>
    <w:pPr>
      <w:framePr w:w="7427" w:wrap="notBeside"/>
    </w:pPr>
  </w:style>
  <w:style w:type="numbering" w:customStyle="1" w:styleId="ChapterNumberingList">
    <w:name w:val="Chapter Numbering List"/>
    <w:uiPriority w:val="99"/>
    <w:rsid w:val="003A1A33"/>
    <w:pPr>
      <w:numPr>
        <w:numId w:val="36"/>
      </w:numPr>
    </w:pPr>
  </w:style>
  <w:style w:type="table" w:customStyle="1" w:styleId="Tables-APLines">
    <w:name w:val="Tables - AP Lines"/>
    <w:basedOn w:val="TableNormal"/>
    <w:rsid w:val="001B4053"/>
    <w:tblPr>
      <w:tblStyleRowBandSize w:val="1"/>
      <w:tblStyleColBandSize w:val="1"/>
      <w:tblInd w:w="0" w:type="dxa"/>
      <w:tblBorders>
        <w:insideH w:val="single" w:sz="4" w:space="0" w:color="DC6900" w:themeColor="text2"/>
        <w:insideV w:val="single" w:sz="4" w:space="0" w:color="DC6900" w:themeColor="text2"/>
      </w:tblBorders>
      <w:tblCellMar>
        <w:top w:w="0" w:type="dxa"/>
        <w:left w:w="108" w:type="dxa"/>
        <w:bottom w:w="0" w:type="dxa"/>
        <w:right w:w="108" w:type="dxa"/>
      </w:tblCellMar>
    </w:tblPr>
    <w:tcPr>
      <w:shd w:val="clear" w:color="auto" w:fill="auto"/>
    </w:tcPr>
    <w:tblStylePr w:type="firstRow">
      <w:pPr>
        <w:jc w:val="center"/>
      </w:pPr>
      <w:rPr>
        <w:rFonts w:asciiTheme="minorHAnsi" w:hAnsiTheme="minorHAnsi"/>
        <w:color w:val="auto"/>
      </w:rPr>
      <w:tblPr/>
      <w:tcPr>
        <w:vAlign w:val="bottom"/>
      </w:tcPr>
    </w:tblStylePr>
    <w:tblStylePr w:type="lastRow">
      <w:rPr>
        <w:color w:val="FFFFFF" w:themeColor="background1"/>
      </w:rPr>
    </w:tblStylePr>
    <w:tblStylePr w:type="nwCell">
      <w:pPr>
        <w:jc w:val="left"/>
      </w:pPr>
      <w:tblPr/>
      <w:tcPr>
        <w:vAlign w:val="bottom"/>
      </w:tcPr>
    </w:tblStylePr>
  </w:style>
  <w:style w:type="character" w:customStyle="1" w:styleId="CVTextChar">
    <w:name w:val="CV Text Char"/>
    <w:basedOn w:val="DefaultParagraphFont"/>
    <w:link w:val="CVText"/>
    <w:locked/>
    <w:rsid w:val="001B4053"/>
    <w:rPr>
      <w:rFonts w:ascii="Georgia" w:hAnsi="Georgia" w:cs="Arial"/>
      <w:snapToGrid w:val="0"/>
      <w:sz w:val="20"/>
      <w:szCs w:val="20"/>
      <w:lang w:eastAsia="en-US"/>
    </w:rPr>
  </w:style>
  <w:style w:type="character" w:customStyle="1" w:styleId="CVDetailsChar">
    <w:name w:val="CV Details Char"/>
    <w:basedOn w:val="CVTextChar"/>
    <w:link w:val="CVDetails"/>
    <w:locked/>
    <w:rsid w:val="001B4053"/>
    <w:rPr>
      <w:rFonts w:ascii="Georgia" w:hAnsi="Georgia" w:cs="Arial"/>
      <w:i/>
      <w:snapToGrid w:val="0"/>
      <w:color w:val="DC6900" w:themeColor="text2"/>
      <w:sz w:val="14"/>
      <w:szCs w:val="24"/>
      <w:lang w:eastAsia="en-US"/>
    </w:rPr>
  </w:style>
  <w:style w:type="character" w:customStyle="1" w:styleId="CVHeading1Char">
    <w:name w:val="CV Heading 1 Char"/>
    <w:basedOn w:val="DefaultParagraphFont"/>
    <w:link w:val="CVHeading1"/>
    <w:locked/>
    <w:rsid w:val="001B4053"/>
    <w:rPr>
      <w:rFonts w:ascii="Georgia" w:hAnsi="Georgia" w:cs="Arial"/>
      <w:b/>
      <w:i/>
      <w:snapToGrid w:val="0"/>
      <w:color w:val="DC6900" w:themeColor="text2"/>
      <w:sz w:val="20"/>
      <w:szCs w:val="20"/>
      <w:lang w:eastAsia="en-US"/>
    </w:rPr>
  </w:style>
  <w:style w:type="character" w:customStyle="1" w:styleId="PwCNormal-SingleChar">
    <w:name w:val="PwC Normal - Single Char"/>
    <w:basedOn w:val="DefaultParagraphFont"/>
    <w:link w:val="PwCNormal-Single"/>
    <w:rsid w:val="001B4053"/>
    <w:rPr>
      <w:rFonts w:ascii="Georgia" w:hAnsi="Georgia" w:cs="Arial"/>
      <w:snapToGrid w:val="0"/>
      <w:sz w:val="20"/>
      <w:szCs w:val="20"/>
      <w:lang w:eastAsia="en-US"/>
    </w:rPr>
  </w:style>
  <w:style w:type="table" w:customStyle="1" w:styleId="Tables-APLines1">
    <w:name w:val="Tables - AP Lines1"/>
    <w:basedOn w:val="TableNormal"/>
    <w:rsid w:val="001B4053"/>
    <w:tblPr>
      <w:tblStyleRowBandSize w:val="1"/>
      <w:tblStyleColBandSize w:val="1"/>
      <w:tblInd w:w="0" w:type="dxa"/>
      <w:tblBorders>
        <w:insideH w:val="single" w:sz="4" w:space="0" w:color="A32020"/>
        <w:insideV w:val="single" w:sz="4" w:space="0" w:color="A32020"/>
      </w:tblBorders>
      <w:tblCellMar>
        <w:top w:w="0" w:type="dxa"/>
        <w:left w:w="108" w:type="dxa"/>
        <w:bottom w:w="0" w:type="dxa"/>
        <w:right w:w="108" w:type="dxa"/>
      </w:tblCellMar>
    </w:tblPr>
    <w:tcPr>
      <w:shd w:val="clear" w:color="auto" w:fill="auto"/>
    </w:tcPr>
    <w:tblStylePr w:type="firstRow">
      <w:pPr>
        <w:jc w:val="center"/>
      </w:pPr>
      <w:rPr>
        <w:rFonts w:ascii="Georgia" w:hAnsi="Georgia"/>
        <w:color w:val="auto"/>
      </w:rPr>
      <w:tblPr/>
      <w:tcPr>
        <w:vAlign w:val="bottom"/>
      </w:tcPr>
    </w:tblStylePr>
    <w:tblStylePr w:type="lastRow">
      <w:rPr>
        <w:color w:val="FFFFFF"/>
      </w:rPr>
    </w:tblStylePr>
    <w:tblStylePr w:type="nwCell">
      <w:pPr>
        <w:jc w:val="left"/>
      </w:pPr>
      <w:tblPr/>
      <w:tcPr>
        <w:vAlign w:val="bottom"/>
      </w:tcPr>
    </w:tblStylePr>
  </w:style>
  <w:style w:type="paragraph" w:customStyle="1" w:styleId="CVphonedetails">
    <w:name w:val="CV phone details"/>
    <w:basedOn w:val="Normal"/>
    <w:qFormat/>
    <w:rsid w:val="00701EA9"/>
    <w:pPr>
      <w:pBdr>
        <w:bottom w:val="none" w:sz="0" w:space="0" w:color="00457C"/>
      </w:pBdr>
      <w:spacing w:after="40"/>
    </w:pPr>
    <w:rPr>
      <w:sz w:val="16"/>
      <w:szCs w:val="24"/>
      <w:lang w:val="en-GB"/>
    </w:rPr>
  </w:style>
  <w:style w:type="paragraph" w:customStyle="1" w:styleId="Tablecolumnheadingwhite">
    <w:name w:val="Table column heading white"/>
    <w:basedOn w:val="TableColumnHeadingNormal"/>
    <w:qFormat/>
    <w:rsid w:val="00701EA9"/>
  </w:style>
  <w:style w:type="paragraph" w:customStyle="1" w:styleId="TableTextNormalBold">
    <w:name w:val="Table Text Normal_Bold"/>
    <w:basedOn w:val="TableTextNormal"/>
    <w:qFormat/>
    <w:rsid w:val="004D0E6C"/>
    <w:rPr>
      <w:b/>
      <w:color w:val="DC6900" w:themeColor="text2"/>
    </w:rPr>
  </w:style>
  <w:style w:type="character" w:customStyle="1" w:styleId="FootnoteTextChar">
    <w:name w:val="Footnote Text Char"/>
    <w:basedOn w:val="DefaultParagraphFont"/>
    <w:link w:val="FootnoteText"/>
    <w:uiPriority w:val="99"/>
    <w:rsid w:val="002925CE"/>
    <w:rPr>
      <w:rFonts w:ascii="Georgia" w:hAnsi="Georgia" w:cs="Arial"/>
      <w:snapToGrid w:val="0"/>
      <w:sz w:val="14"/>
      <w:szCs w:val="20"/>
      <w:lang w:eastAsia="en-US"/>
    </w:rPr>
  </w:style>
  <w:style w:type="paragraph" w:customStyle="1" w:styleId="ExhibitHeading1">
    <w:name w:val="Exhibit Heading 1"/>
    <w:basedOn w:val="BodyText"/>
    <w:next w:val="ExhibitHeading2"/>
    <w:qFormat/>
    <w:rsid w:val="005E3796"/>
    <w:pPr>
      <w:keepNext/>
      <w:pageBreakBefore/>
      <w:numPr>
        <w:numId w:val="38"/>
      </w:numPr>
      <w:kinsoku/>
      <w:overflowPunct/>
      <w:autoSpaceDE/>
      <w:autoSpaceDN/>
      <w:adjustRightInd/>
      <w:snapToGrid/>
      <w:spacing w:after="480" w:line="0" w:lineRule="atLeast"/>
    </w:pPr>
    <w:rPr>
      <w:rFonts w:asciiTheme="minorHAnsi" w:eastAsiaTheme="minorEastAsia" w:hAnsiTheme="minorHAnsi" w:cstheme="minorBidi"/>
      <w:b/>
      <w:i/>
      <w:snapToGrid/>
      <w:sz w:val="48"/>
      <w:szCs w:val="22"/>
      <w:lang w:val="en-US"/>
    </w:rPr>
  </w:style>
  <w:style w:type="paragraph" w:customStyle="1" w:styleId="ExhibitHeading2">
    <w:name w:val="Exhibit Heading 2"/>
    <w:basedOn w:val="BodyText"/>
    <w:next w:val="BodyText"/>
    <w:qFormat/>
    <w:rsid w:val="005E3796"/>
    <w:pPr>
      <w:numPr>
        <w:ilvl w:val="1"/>
        <w:numId w:val="38"/>
      </w:numPr>
      <w:kinsoku/>
      <w:overflowPunct/>
      <w:autoSpaceDE/>
      <w:autoSpaceDN/>
      <w:adjustRightInd/>
      <w:snapToGrid/>
      <w:spacing w:after="200" w:line="276" w:lineRule="auto"/>
    </w:pPr>
    <w:rPr>
      <w:rFonts w:asciiTheme="minorHAnsi" w:eastAsiaTheme="minorEastAsia" w:hAnsiTheme="minorHAnsi" w:cstheme="minorBidi"/>
      <w:b/>
      <w:i/>
      <w:snapToGrid/>
      <w:color w:val="DC6900" w:themeColor="text2"/>
      <w:sz w:val="32"/>
      <w:szCs w:val="22"/>
      <w:lang w:val="en-US"/>
    </w:rPr>
  </w:style>
  <w:style w:type="paragraph" w:customStyle="1" w:styleId="ExhibitHeading3">
    <w:name w:val="Exhibit Heading 3"/>
    <w:basedOn w:val="Normal"/>
    <w:next w:val="BodyText"/>
    <w:qFormat/>
    <w:rsid w:val="005E3796"/>
    <w:pPr>
      <w:numPr>
        <w:ilvl w:val="2"/>
        <w:numId w:val="38"/>
      </w:numPr>
      <w:kinsoku/>
      <w:overflowPunct/>
      <w:autoSpaceDE/>
      <w:autoSpaceDN/>
      <w:adjustRightInd/>
      <w:snapToGrid/>
      <w:spacing w:after="200" w:line="276" w:lineRule="auto"/>
    </w:pPr>
    <w:rPr>
      <w:rFonts w:asciiTheme="minorHAnsi" w:eastAsiaTheme="minorEastAsia" w:hAnsiTheme="minorHAnsi" w:cstheme="minorBidi"/>
      <w:b/>
      <w:i/>
      <w:snapToGrid/>
      <w:color w:val="DC6900" w:themeColor="text2"/>
      <w:sz w:val="28"/>
      <w:szCs w:val="22"/>
      <w:lang w:val="en-US"/>
    </w:rPr>
  </w:style>
  <w:style w:type="paragraph" w:customStyle="1" w:styleId="ExhibitHeading4">
    <w:name w:val="Exhibit Heading 4"/>
    <w:basedOn w:val="ExhibitHeading3"/>
    <w:next w:val="BodyText"/>
    <w:qFormat/>
    <w:rsid w:val="005E3796"/>
    <w:pPr>
      <w:numPr>
        <w:ilvl w:val="3"/>
      </w:numPr>
    </w:pPr>
    <w:rPr>
      <w:b w:val="0"/>
    </w:rPr>
  </w:style>
  <w:style w:type="paragraph" w:customStyle="1" w:styleId="ExhibitHeading5">
    <w:name w:val="Exhibit Heading 5"/>
    <w:basedOn w:val="BodyText"/>
    <w:next w:val="BodyText"/>
    <w:qFormat/>
    <w:rsid w:val="005E3796"/>
    <w:pPr>
      <w:numPr>
        <w:ilvl w:val="4"/>
        <w:numId w:val="38"/>
      </w:numPr>
      <w:kinsoku/>
      <w:overflowPunct/>
      <w:autoSpaceDE/>
      <w:autoSpaceDN/>
      <w:adjustRightInd/>
      <w:snapToGrid/>
      <w:spacing w:after="200" w:line="276" w:lineRule="auto"/>
    </w:pPr>
    <w:rPr>
      <w:rFonts w:asciiTheme="minorHAnsi" w:eastAsiaTheme="minorEastAsia" w:hAnsiTheme="minorHAnsi" w:cstheme="minorBidi"/>
      <w:i/>
      <w:snapToGrid/>
      <w:color w:val="DC6900" w:themeColor="text2"/>
      <w:sz w:val="24"/>
      <w:szCs w:val="22"/>
      <w:lang w:val="en-US"/>
    </w:rPr>
  </w:style>
  <w:style w:type="paragraph" w:customStyle="1" w:styleId="PwCNormalItalics">
    <w:name w:val="PwC Normal_Italics"/>
    <w:basedOn w:val="PwCNormal"/>
    <w:qFormat/>
    <w:rsid w:val="000B11C1"/>
    <w:rPr>
      <w:i/>
      <w:color w:val="DC6900" w:themeColor="text2"/>
    </w:rPr>
  </w:style>
  <w:style w:type="paragraph" w:customStyle="1" w:styleId="Fi">
    <w:name w:val="Fi'"/>
    <w:basedOn w:val="Header"/>
    <w:qFormat/>
    <w:rsid w:val="00CE02DA"/>
  </w:style>
  <w:style w:type="paragraph" w:customStyle="1" w:styleId="Her">
    <w:name w:val="Her"/>
    <w:basedOn w:val="FirstPagePanelFrame"/>
    <w:qFormat/>
    <w:rsid w:val="00A104EF"/>
    <w:pPr>
      <w:framePr w:wrap="notBeside"/>
    </w:pPr>
  </w:style>
  <w:style w:type="paragraph" w:customStyle="1" w:styleId="Source">
    <w:name w:val="Source"/>
    <w:basedOn w:val="BodyText"/>
    <w:link w:val="SourceChar"/>
    <w:qFormat/>
    <w:rsid w:val="00D87CA8"/>
    <w:pPr>
      <w:kinsoku/>
      <w:overflowPunct/>
      <w:autoSpaceDE/>
      <w:autoSpaceDN/>
      <w:adjustRightInd/>
      <w:snapToGrid/>
      <w:spacing w:after="0" w:line="240" w:lineRule="atLeast"/>
    </w:pPr>
    <w:rPr>
      <w:rFonts w:eastAsiaTheme="minorEastAsia" w:cstheme="minorBidi"/>
      <w:i/>
      <w:snapToGrid/>
      <w:sz w:val="16"/>
      <w:szCs w:val="22"/>
      <w:lang w:val="en-US"/>
    </w:rPr>
  </w:style>
  <w:style w:type="character" w:customStyle="1" w:styleId="SourceChar">
    <w:name w:val="Source Char"/>
    <w:basedOn w:val="BodyTextChar"/>
    <w:link w:val="Source"/>
    <w:rsid w:val="00D87CA8"/>
    <w:rPr>
      <w:rFonts w:ascii="Georgia" w:eastAsiaTheme="minorEastAsia" w:hAnsi="Georgia" w:cstheme="minorBidi"/>
      <w:i/>
      <w:snapToGrid w:val="0"/>
      <w:sz w:val="16"/>
      <w:szCs w:val="22"/>
      <w:lang w:val="en-US" w:eastAsia="en-US"/>
    </w:rPr>
  </w:style>
  <w:style w:type="paragraph" w:customStyle="1" w:styleId="Bibliography1">
    <w:name w:val="Bibliography1"/>
    <w:basedOn w:val="Normal"/>
    <w:next w:val="Normal"/>
    <w:uiPriority w:val="37"/>
    <w:unhideWhenUsed/>
    <w:rsid w:val="00C133AF"/>
    <w:pPr>
      <w:kinsoku/>
      <w:overflowPunct/>
      <w:autoSpaceDE/>
      <w:autoSpaceDN/>
      <w:adjustRightInd/>
      <w:snapToGrid/>
      <w:spacing w:after="200" w:line="276" w:lineRule="auto"/>
    </w:pPr>
    <w:rPr>
      <w:rFonts w:eastAsia="MS Mincho" w:cs="Times New Roman"/>
      <w:snapToGrid/>
      <w:szCs w:val="22"/>
      <w:lang w:val="en-US"/>
    </w:rPr>
  </w:style>
  <w:style w:type="table" w:customStyle="1" w:styleId="PwCTableText">
    <w:name w:val="PwC Table Text"/>
    <w:basedOn w:val="TableNormal"/>
    <w:uiPriority w:val="99"/>
    <w:qFormat/>
    <w:rsid w:val="00767B1A"/>
    <w:pPr>
      <w:spacing w:before="60" w:after="60"/>
    </w:pPr>
    <w:rPr>
      <w:rFonts w:ascii="Georgia" w:eastAsiaTheme="minorEastAsia" w:hAnsi="Georgia" w:cstheme="minorBidi"/>
      <w:sz w:val="20"/>
      <w:szCs w:val="22"/>
      <w:lang w:val="en-US" w:eastAsia="en-US"/>
    </w:rPr>
    <w:tblPr>
      <w:tblInd w:w="0" w:type="dxa"/>
      <w:tblBorders>
        <w:insideH w:val="dotted" w:sz="6" w:space="0" w:color="DC6900" w:themeColor="accent1"/>
      </w:tblBorders>
      <w:tblCellMar>
        <w:top w:w="0" w:type="dxa"/>
        <w:left w:w="108" w:type="dxa"/>
        <w:bottom w:w="0" w:type="dxa"/>
        <w:right w:w="108" w:type="dxa"/>
      </w:tblCellMar>
    </w:tblPr>
    <w:tblStylePr w:type="firstRow">
      <w:rPr>
        <w:rFonts w:asciiTheme="majorHAnsi" w:hAnsiTheme="majorHAnsi"/>
        <w:b/>
        <w:color w:val="DC6900" w:themeColor="text2"/>
        <w:sz w:val="22"/>
      </w:rPr>
      <w:tblPr/>
      <w:tcPr>
        <w:tcBorders>
          <w:top w:val="single" w:sz="6" w:space="0" w:color="DC6900" w:themeColor="accent1"/>
          <w:left w:val="nil"/>
          <w:bottom w:val="single" w:sz="6" w:space="0" w:color="DC6900" w:themeColor="accent1"/>
          <w:right w:val="nil"/>
          <w:insideH w:val="nil"/>
          <w:insideV w:val="nil"/>
          <w:tl2br w:val="nil"/>
          <w:tr2bl w:val="nil"/>
        </w:tcBorders>
      </w:tcPr>
    </w:tblStylePr>
  </w:style>
  <w:style w:type="paragraph" w:customStyle="1" w:styleId="Pa21">
    <w:name w:val="Pa21"/>
    <w:basedOn w:val="Normal"/>
    <w:next w:val="Normal"/>
    <w:uiPriority w:val="99"/>
    <w:rsid w:val="00767B1A"/>
    <w:pPr>
      <w:kinsoku/>
      <w:overflowPunct/>
      <w:snapToGrid/>
      <w:spacing w:line="161" w:lineRule="atLeast"/>
    </w:pPr>
    <w:rPr>
      <w:rFonts w:ascii="Locator Light" w:eastAsia="MS Mincho" w:hAnsi="Locator Light" w:cs="Times New Roman"/>
      <w:snapToGrid/>
      <w:sz w:val="24"/>
      <w:szCs w:val="24"/>
    </w:rPr>
  </w:style>
  <w:style w:type="paragraph" w:customStyle="1" w:styleId="AppendixHeading1">
    <w:name w:val="Appendix Heading 1"/>
    <w:basedOn w:val="BodyText"/>
    <w:next w:val="AppendixHeading2"/>
    <w:qFormat/>
    <w:rsid w:val="00767B1A"/>
    <w:pPr>
      <w:keepNext/>
      <w:pageBreakBefore/>
      <w:numPr>
        <w:numId w:val="40"/>
      </w:numPr>
      <w:kinsoku/>
      <w:overflowPunct/>
      <w:autoSpaceDE/>
      <w:autoSpaceDN/>
      <w:adjustRightInd/>
      <w:snapToGrid/>
      <w:spacing w:after="480" w:line="0" w:lineRule="atLeast"/>
    </w:pPr>
    <w:rPr>
      <w:rFonts w:asciiTheme="majorHAnsi" w:eastAsiaTheme="minorEastAsia" w:hAnsiTheme="majorHAnsi" w:cstheme="minorBidi"/>
      <w:b/>
      <w:i/>
      <w:snapToGrid/>
      <w:sz w:val="48"/>
      <w:szCs w:val="22"/>
      <w:lang w:val="en-US"/>
    </w:rPr>
  </w:style>
  <w:style w:type="paragraph" w:customStyle="1" w:styleId="AppendixHeading2">
    <w:name w:val="Appendix Heading 2"/>
    <w:basedOn w:val="BodyText"/>
    <w:next w:val="BodyText"/>
    <w:qFormat/>
    <w:rsid w:val="00767B1A"/>
    <w:pPr>
      <w:numPr>
        <w:ilvl w:val="1"/>
        <w:numId w:val="40"/>
      </w:numPr>
      <w:kinsoku/>
      <w:overflowPunct/>
      <w:autoSpaceDE/>
      <w:autoSpaceDN/>
      <w:adjustRightInd/>
      <w:snapToGrid/>
      <w:spacing w:after="200" w:line="276" w:lineRule="auto"/>
    </w:pPr>
    <w:rPr>
      <w:rFonts w:asciiTheme="majorHAnsi" w:eastAsiaTheme="minorEastAsia" w:hAnsiTheme="majorHAnsi" w:cstheme="minorBidi"/>
      <w:b/>
      <w:i/>
      <w:snapToGrid/>
      <w:color w:val="DC6900" w:themeColor="text2"/>
      <w:sz w:val="32"/>
      <w:szCs w:val="22"/>
      <w:lang w:val="en-US"/>
    </w:rPr>
  </w:style>
  <w:style w:type="paragraph" w:customStyle="1" w:styleId="AppendixHeading3">
    <w:name w:val="Appendix Heading 3"/>
    <w:basedOn w:val="BodyText"/>
    <w:next w:val="BodyText"/>
    <w:qFormat/>
    <w:rsid w:val="00767B1A"/>
    <w:pPr>
      <w:numPr>
        <w:ilvl w:val="2"/>
        <w:numId w:val="40"/>
      </w:numPr>
      <w:kinsoku/>
      <w:overflowPunct/>
      <w:autoSpaceDE/>
      <w:autoSpaceDN/>
      <w:adjustRightInd/>
      <w:snapToGrid/>
      <w:spacing w:after="200" w:line="276" w:lineRule="auto"/>
    </w:pPr>
    <w:rPr>
      <w:rFonts w:asciiTheme="majorHAnsi" w:eastAsiaTheme="minorEastAsia" w:hAnsiTheme="majorHAnsi" w:cstheme="minorBidi"/>
      <w:b/>
      <w:i/>
      <w:snapToGrid/>
      <w:color w:val="DC6900" w:themeColor="text2"/>
      <w:sz w:val="28"/>
      <w:szCs w:val="22"/>
      <w:lang w:val="en-US"/>
    </w:rPr>
  </w:style>
  <w:style w:type="paragraph" w:customStyle="1" w:styleId="AppendixHeading4">
    <w:name w:val="Appendix Heading 4"/>
    <w:basedOn w:val="BodyText"/>
    <w:next w:val="BodyText"/>
    <w:qFormat/>
    <w:rsid w:val="00767B1A"/>
    <w:pPr>
      <w:numPr>
        <w:ilvl w:val="3"/>
        <w:numId w:val="40"/>
      </w:numPr>
      <w:kinsoku/>
      <w:overflowPunct/>
      <w:autoSpaceDE/>
      <w:autoSpaceDN/>
      <w:adjustRightInd/>
      <w:snapToGrid/>
      <w:spacing w:after="200" w:line="276" w:lineRule="auto"/>
    </w:pPr>
    <w:rPr>
      <w:rFonts w:asciiTheme="majorHAnsi" w:eastAsiaTheme="minorEastAsia" w:hAnsiTheme="majorHAnsi" w:cstheme="minorBidi"/>
      <w:i/>
      <w:snapToGrid/>
      <w:color w:val="DC6900" w:themeColor="text2"/>
      <w:sz w:val="28"/>
      <w:szCs w:val="22"/>
      <w:lang w:val="en-US"/>
    </w:rPr>
  </w:style>
  <w:style w:type="paragraph" w:customStyle="1" w:styleId="AppendixHeading5">
    <w:name w:val="Appendix Heading 5"/>
    <w:basedOn w:val="BodyText"/>
    <w:next w:val="BodyText"/>
    <w:qFormat/>
    <w:rsid w:val="00767B1A"/>
    <w:pPr>
      <w:numPr>
        <w:ilvl w:val="4"/>
        <w:numId w:val="40"/>
      </w:numPr>
      <w:kinsoku/>
      <w:overflowPunct/>
      <w:autoSpaceDE/>
      <w:autoSpaceDN/>
      <w:adjustRightInd/>
      <w:snapToGrid/>
      <w:spacing w:after="200" w:line="276" w:lineRule="auto"/>
    </w:pPr>
    <w:rPr>
      <w:rFonts w:asciiTheme="majorHAnsi" w:eastAsiaTheme="minorEastAsia" w:hAnsiTheme="majorHAnsi" w:cstheme="minorBidi"/>
      <w:i/>
      <w:snapToGrid/>
      <w:color w:val="DC6900" w:themeColor="text2"/>
      <w:sz w:val="24"/>
      <w:szCs w:val="22"/>
      <w:lang w:val="en-US"/>
    </w:rPr>
  </w:style>
  <w:style w:type="paragraph" w:customStyle="1" w:styleId="Souces">
    <w:name w:val="Souces"/>
    <w:basedOn w:val="Source"/>
    <w:qFormat/>
    <w:rsid w:val="00767B1A"/>
  </w:style>
  <w:style w:type="paragraph" w:customStyle="1" w:styleId="AppendixPanelFrameappendix">
    <w:name w:val="Appendix Panel Frame_appendix"/>
    <w:basedOn w:val="AppendixPanelFrame"/>
    <w:qFormat/>
    <w:rsid w:val="004E4460"/>
    <w:pPr>
      <w:framePr w:w="9181" w:wrap="notBeside"/>
      <w:pBdr>
        <w:top w:val="single" w:sz="6" w:space="1" w:color="968C6D"/>
        <w:left w:val="single" w:sz="6" w:space="4" w:color="968C6D"/>
      </w:pBd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sz w:val="21"/>
        <w:szCs w:val="21"/>
        <w:lang w:val="en-AU" w:eastAsia="en-AU" w:bidi="ar-SA"/>
      </w:rPr>
    </w:rPrDefault>
    <w:pPrDefault/>
  </w:docDefaults>
  <w:latentStyles w:defLockedState="1" w:defUIPriority="0" w:defSemiHidden="0" w:defUnhideWhenUsed="0" w:defQFormat="0" w:count="267">
    <w:lsdException w:name="Normal" w:locked="0" w:qFormat="1"/>
    <w:lsdException w:name="heading 1" w:locked="0" w:qFormat="1"/>
    <w:lsdException w:name="heading 2" w:locked="0" w:qFormat="1"/>
    <w:lsdException w:name="heading 3" w:locked="0" w:qFormat="1"/>
    <w:lsdException w:name="heading 4" w:locked="0" w:qFormat="1"/>
    <w:lsdException w:name="heading 5" w:locked="0" w:qFormat="1"/>
    <w:lsdException w:name="heading 6" w:locked="0" w:qFormat="1"/>
    <w:lsdException w:name="heading 7" w:locked="0" w:qFormat="1"/>
    <w:lsdException w:name="heading 8" w:locked="0" w:qFormat="1"/>
    <w:lsdException w:name="heading 9" w:locked="0" w:qFormat="1"/>
    <w:lsdException w:name="index 1" w:locked="0" w:semiHidden="1"/>
    <w:lsdException w:name="index 2" w:locked="0" w:semiHidden="1"/>
    <w:lsdException w:name="index 3" w:locked="0" w:semiHidden="1"/>
    <w:lsdException w:name="index 4" w:locked="0" w:semiHidden="1"/>
    <w:lsdException w:name="index 5" w:locked="0" w:semiHidden="1"/>
    <w:lsdException w:name="index 6" w:locked="0" w:semiHidden="1"/>
    <w:lsdException w:name="index 7" w:locked="0" w:semiHidden="1"/>
    <w:lsdException w:name="index 8" w:locked="0" w:semiHidden="1"/>
    <w:lsdException w:name="index 9" w:locked="0" w:semiHidden="1"/>
    <w:lsdException w:name="toc 1" w:locked="0" w:uiPriority="39"/>
    <w:lsdException w:name="toc 2" w:locked="0" w:uiPriority="39"/>
    <w:lsdException w:name="toc 3" w:locked="0" w:uiPriority="39"/>
    <w:lsdException w:name="toc 4" w:locked="0" w:uiPriority="39"/>
    <w:lsdException w:name="toc 5" w:locked="0" w:uiPriority="39"/>
    <w:lsdException w:name="toc 6" w:locked="0" w:uiPriority="39"/>
    <w:lsdException w:name="toc 7" w:locked="0" w:uiPriority="39"/>
    <w:lsdException w:name="toc 8" w:locked="0"/>
    <w:lsdException w:name="toc 9" w:locked="0" w:uiPriority="39"/>
    <w:lsdException w:name="Normal Indent" w:locked="0" w:semiHidden="1"/>
    <w:lsdException w:name="footnote text" w:locked="0" w:uiPriority="99"/>
    <w:lsdException w:name="annotation text" w:locked="0" w:semiHidden="1"/>
    <w:lsdException w:name="header" w:locked="0"/>
    <w:lsdException w:name="footer" w:locked="0"/>
    <w:lsdException w:name="index heading" w:locked="0" w:semiHidden="1"/>
    <w:lsdException w:name="caption" w:locked="0" w:qFormat="1"/>
    <w:lsdException w:name="table of figures" w:locked="0" w:semiHidden="1" w:unhideWhenUsed="1"/>
    <w:lsdException w:name="envelope address" w:locked="0" w:semiHidden="1" w:unhideWhenUsed="1"/>
    <w:lsdException w:name="envelope return" w:locked="0" w:semiHidden="1"/>
    <w:lsdException w:name="footnote reference" w:locked="0" w:uiPriority="99"/>
    <w:lsdException w:name="annotation reference" w:locked="0" w:semiHidden="1"/>
    <w:lsdException w:name="line number" w:locked="0" w:semiHidden="1"/>
    <w:lsdException w:name="page number" w:locked="0"/>
    <w:lsdException w:name="endnote reference" w:locked="0"/>
    <w:lsdException w:name="endnote text" w:locked="0"/>
    <w:lsdException w:name="table of authorities" w:locked="0" w:semiHidden="1" w:unhideWhenUsed="1"/>
    <w:lsdException w:name="macro" w:semiHidden="1" w:unhideWhenUsed="1"/>
    <w:lsdException w:name="toa heading" w:locked="0" w:semiHidden="1" w:unhideWhenUsed="1"/>
    <w:lsdException w:name="List" w:semiHidden="1"/>
    <w:lsdException w:name="List Bullet" w:semiHidden="1" w:qFormat="1"/>
    <w:lsdException w:name="List Number" w:semiHidden="1" w:uiPriority="13" w:qFormat="1"/>
    <w:lsdException w:name="List 2" w:semiHidden="1"/>
    <w:lsdException w:name="List 3" w:semiHidden="1"/>
    <w:lsdException w:name="List 4" w:semiHidden="1"/>
    <w:lsdException w:name="List 5" w:semiHidden="1"/>
    <w:lsdException w:name="List Bullet 2" w:qFormat="1"/>
    <w:lsdException w:name="List Bullet 3" w:qFormat="1"/>
    <w:lsdException w:name="List Bullet 5" w:semiHidden="1"/>
    <w:lsdException w:name="List Number 2" w:semiHidden="1" w:uiPriority="13" w:qFormat="1"/>
    <w:lsdException w:name="List Number 3" w:semiHidden="1" w:uiPriority="13" w:qFormat="1"/>
    <w:lsdException w:name="List Number 4" w:semiHidden="1" w:uiPriority="13"/>
    <w:lsdException w:name="List Number 5" w:semiHidden="1" w:uiPriority="13"/>
    <w:lsdException w:name="Title" w:locked="0" w:qFormat="1"/>
    <w:lsdException w:name="Closing" w:locked="0" w:semiHidden="1" w:unhideWhenUsed="1"/>
    <w:lsdException w:name="Signature" w:locked="0" w:semiHidden="1"/>
    <w:lsdException w:name="Default Paragraph Font" w:locked="0" w:uiPriority="1"/>
    <w:lsdException w:name="Body Text" w:semiHidden="1" w:uiPriority="99"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locked="0" w:semiHidden="1"/>
    <w:lsdException w:name="Subtitle" w:locked="0" w:semiHidden="1" w:qFormat="1"/>
    <w:lsdException w:name="Salutation" w:locked="0" w:semiHidden="1" w:unhideWhenUsed="1"/>
    <w:lsdException w:name="Date" w:locked="0"/>
    <w:lsdException w:name="Body Text First Indent" w:semiHidden="1"/>
    <w:lsdException w:name="Body Text First Indent 2" w:semiHidden="1"/>
    <w:lsdException w:name="Note Heading" w:locked="0" w:semiHidden="1" w:unhideWhenUsed="1"/>
    <w:lsdException w:name="Body Text 2" w:semiHidden="1"/>
    <w:lsdException w:name="Body Text 3" w:semiHidden="1"/>
    <w:lsdException w:name="Body Text Indent 2" w:semiHidden="1"/>
    <w:lsdException w:name="Body Text Indent 3" w:semiHidden="1"/>
    <w:lsdException w:name="Block Text" w:semiHidden="1" w:qFormat="1"/>
    <w:lsdException w:name="Hyperlink" w:locked="0" w:semiHidden="1" w:uiPriority="99"/>
    <w:lsdException w:name="FollowedHyperlink" w:locked="0" w:semiHidden="1"/>
    <w:lsdException w:name="Strong" w:locked="0" w:semiHidden="1" w:qFormat="1"/>
    <w:lsdException w:name="Emphasis" w:locked="0" w:semiHidden="1" w:qFormat="1"/>
    <w:lsdException w:name="Document Map" w:locked="0" w:semiHidden="1"/>
    <w:lsdException w:name="Plain Text" w:locked="0" w:semiHidden="1"/>
    <w:lsdException w:name="E-mail Signature" w:semiHidden="1"/>
    <w:lsdException w:name="HTML Top of Form" w:locked="0"/>
    <w:lsdException w:name="HTML Bottom of Form" w:locked="0"/>
    <w:lsdException w:name="Normal (Web)" w:locked="0"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locked="0"/>
    <w:lsdException w:name="annotation subject" w:locked="0" w:semiHidden="1"/>
    <w:lsdException w:name="No List" w:locked="0" w:uiPriority="99"/>
    <w:lsdException w:name="Outline List 1" w:locked="0"/>
    <w:lsdException w:name="Outline List 2" w:locked="0"/>
    <w:lsdException w:name="Outline List 3" w:locked="0"/>
    <w:lsdException w:name="Table Theme" w:locked="0"/>
    <w:lsdException w:name="Placeholder Text" w:locked="0" w:semiHidden="1" w:uiPriority="99"/>
    <w:lsdException w:name="No Spacing" w:locked="0"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semiHidden="1" w:uiPriority="34" w:qFormat="1"/>
    <w:lsdException w:name="Quote" w:locked="0" w:semiHidden="1" w:uiPriority="29" w:qFormat="1"/>
    <w:lsdException w:name="Intense Quote" w:locked="0"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locked="0" w:semiHidden="1" w:uiPriority="21" w:qFormat="1"/>
    <w:lsdException w:name="Subtle Reference" w:semiHidden="1" w:uiPriority="31" w:qFormat="1"/>
    <w:lsdException w:name="Intense Reference" w:locked="0" w:semiHidden="1" w:uiPriority="32" w:qFormat="1"/>
    <w:lsdException w:name="Book Title" w:semiHidden="1" w:uiPriority="33" w:qFormat="1"/>
    <w:lsdException w:name="Bibliography" w:semiHidden="1" w:uiPriority="37"/>
    <w:lsdException w:name="TOC Heading" w:locked="0" w:semiHidden="1" w:uiPriority="39" w:unhideWhenUsed="1" w:qFormat="1"/>
  </w:latentStyles>
  <w:style w:type="paragraph" w:default="1" w:styleId="Normal">
    <w:name w:val="Normal"/>
    <w:qFormat/>
    <w:rsid w:val="009814D6"/>
    <w:pPr>
      <w:kinsoku w:val="0"/>
      <w:overflowPunct w:val="0"/>
      <w:autoSpaceDE w:val="0"/>
      <w:autoSpaceDN w:val="0"/>
      <w:adjustRightInd w:val="0"/>
      <w:snapToGrid w:val="0"/>
    </w:pPr>
    <w:rPr>
      <w:rFonts w:ascii="Georgia" w:hAnsi="Georgia" w:cs="Arial"/>
      <w:snapToGrid w:val="0"/>
      <w:sz w:val="20"/>
      <w:szCs w:val="20"/>
      <w:lang w:eastAsia="en-US"/>
    </w:rPr>
  </w:style>
  <w:style w:type="paragraph" w:styleId="Heading1">
    <w:name w:val="heading 1"/>
    <w:aliases w:val="Chapter Heading (Long)"/>
    <w:basedOn w:val="Normal"/>
    <w:next w:val="PwCNormal"/>
    <w:qFormat/>
    <w:rsid w:val="00924BB2"/>
    <w:pPr>
      <w:spacing w:line="720" w:lineRule="atLeast"/>
      <w:outlineLvl w:val="0"/>
    </w:pPr>
    <w:rPr>
      <w:rFonts w:asciiTheme="majorHAnsi" w:hAnsiTheme="majorHAnsi"/>
      <w:b/>
      <w:bCs/>
      <w:i/>
      <w:color w:val="DC6900" w:themeColor="text2"/>
      <w:sz w:val="56"/>
      <w:szCs w:val="72"/>
    </w:rPr>
  </w:style>
  <w:style w:type="paragraph" w:styleId="Heading2">
    <w:name w:val="heading 2"/>
    <w:aliases w:val="Chapter Heading (Short)"/>
    <w:basedOn w:val="Normal"/>
    <w:next w:val="PwCNormal"/>
    <w:qFormat/>
    <w:rsid w:val="00701EA9"/>
    <w:pPr>
      <w:keepNext/>
      <w:keepLines/>
      <w:numPr>
        <w:ilvl w:val="1"/>
        <w:numId w:val="37"/>
      </w:numPr>
      <w:spacing w:after="240"/>
      <w:outlineLvl w:val="1"/>
    </w:pPr>
    <w:rPr>
      <w:rFonts w:asciiTheme="majorHAnsi" w:hAnsiTheme="majorHAnsi"/>
      <w:b/>
      <w:bCs/>
      <w:i/>
      <w:iCs/>
      <w:color w:val="DC6900" w:themeColor="text2"/>
      <w:sz w:val="56"/>
      <w:szCs w:val="36"/>
    </w:rPr>
  </w:style>
  <w:style w:type="paragraph" w:styleId="Heading3">
    <w:name w:val="heading 3"/>
    <w:aliases w:val="Appendix Heading (Long)"/>
    <w:basedOn w:val="Heading1"/>
    <w:next w:val="PwCNormal"/>
    <w:qFormat/>
    <w:rsid w:val="00924BB2"/>
    <w:pPr>
      <w:outlineLvl w:val="2"/>
    </w:pPr>
    <w:rPr>
      <w:bCs w:val="0"/>
      <w:color w:val="DC6900" w:themeColor="accent1"/>
    </w:rPr>
  </w:style>
  <w:style w:type="paragraph" w:styleId="Heading4">
    <w:name w:val="heading 4"/>
    <w:aliases w:val="Appendix Heading (Short)"/>
    <w:basedOn w:val="Heading2"/>
    <w:next w:val="PwCNormal"/>
    <w:qFormat/>
    <w:rsid w:val="00847199"/>
    <w:pPr>
      <w:numPr>
        <w:ilvl w:val="4"/>
      </w:numPr>
      <w:outlineLvl w:val="3"/>
    </w:pPr>
    <w:rPr>
      <w:bCs w:val="0"/>
      <w:color w:val="968C6D"/>
    </w:rPr>
  </w:style>
  <w:style w:type="paragraph" w:styleId="Heading5">
    <w:name w:val="heading 5"/>
    <w:basedOn w:val="Heading2"/>
    <w:next w:val="PwCNormal"/>
    <w:qFormat/>
    <w:rsid w:val="003A1A33"/>
    <w:pPr>
      <w:numPr>
        <w:ilvl w:val="0"/>
        <w:numId w:val="0"/>
      </w:numPr>
      <w:spacing w:before="360" w:line="380" w:lineRule="atLeast"/>
      <w:outlineLvl w:val="4"/>
    </w:pPr>
    <w:rPr>
      <w:bCs w:val="0"/>
      <w:iCs w:val="0"/>
      <w:sz w:val="32"/>
      <w:szCs w:val="32"/>
    </w:rPr>
  </w:style>
  <w:style w:type="paragraph" w:styleId="Heading6">
    <w:name w:val="heading 6"/>
    <w:basedOn w:val="Heading2"/>
    <w:next w:val="PwCNormal"/>
    <w:qFormat/>
    <w:rsid w:val="00701EA9"/>
    <w:pPr>
      <w:numPr>
        <w:ilvl w:val="2"/>
      </w:numPr>
      <w:ind w:left="851" w:hanging="851"/>
      <w:outlineLvl w:val="5"/>
    </w:pPr>
    <w:rPr>
      <w:bCs w:val="0"/>
      <w:sz w:val="32"/>
    </w:rPr>
  </w:style>
  <w:style w:type="paragraph" w:styleId="Heading7">
    <w:name w:val="heading 7"/>
    <w:basedOn w:val="Heading6"/>
    <w:next w:val="PwCNormal"/>
    <w:qFormat/>
    <w:rsid w:val="00701EA9"/>
    <w:pPr>
      <w:numPr>
        <w:ilvl w:val="3"/>
      </w:numPr>
      <w:ind w:left="851" w:hanging="851"/>
      <w:outlineLvl w:val="6"/>
    </w:pPr>
    <w:rPr>
      <w:b w:val="0"/>
      <w:sz w:val="28"/>
      <w:szCs w:val="28"/>
    </w:rPr>
  </w:style>
  <w:style w:type="paragraph" w:styleId="Heading8">
    <w:name w:val="heading 8"/>
    <w:basedOn w:val="Majorheading"/>
    <w:next w:val="PwCNormal"/>
    <w:qFormat/>
    <w:rsid w:val="00701EA9"/>
    <w:pPr>
      <w:numPr>
        <w:ilvl w:val="6"/>
        <w:numId w:val="37"/>
      </w:numPr>
      <w:spacing w:before="0" w:after="240"/>
      <w:outlineLvl w:val="7"/>
    </w:pPr>
    <w:rPr>
      <w:sz w:val="32"/>
      <w:szCs w:val="21"/>
    </w:rPr>
  </w:style>
  <w:style w:type="paragraph" w:styleId="Heading9">
    <w:name w:val="heading 9"/>
    <w:basedOn w:val="Heading8"/>
    <w:next w:val="PwCNormal"/>
    <w:qFormat/>
    <w:rsid w:val="003A1A33"/>
    <w:pPr>
      <w:numPr>
        <w:ilvl w:val="0"/>
        <w:numId w:val="0"/>
      </w:numPr>
      <w:outlineLvl w:val="8"/>
    </w:pPr>
    <w:rPr>
      <w:b w:val="0"/>
      <w:i w:val="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A1A33"/>
    <w:pPr>
      <w:tabs>
        <w:tab w:val="right" w:pos="7342"/>
      </w:tabs>
      <w:ind w:left="-2523"/>
    </w:pPr>
    <w:rPr>
      <w:rFonts w:ascii="Arial" w:hAnsi="Arial"/>
      <w:color w:val="000000" w:themeColor="text1"/>
      <w:sz w:val="19"/>
      <w:szCs w:val="18"/>
    </w:rPr>
  </w:style>
  <w:style w:type="paragraph" w:styleId="Footer">
    <w:name w:val="footer"/>
    <w:basedOn w:val="Normal"/>
    <w:link w:val="FooterChar"/>
    <w:rsid w:val="00924BB2"/>
    <w:pPr>
      <w:tabs>
        <w:tab w:val="right" w:pos="9072"/>
      </w:tabs>
      <w:spacing w:line="0" w:lineRule="atLeast"/>
    </w:pPr>
    <w:rPr>
      <w:rFonts w:asciiTheme="minorHAnsi" w:hAnsiTheme="minorHAnsi"/>
      <w:color w:val="000000" w:themeColor="text1"/>
      <w:sz w:val="19"/>
      <w:szCs w:val="18"/>
    </w:rPr>
  </w:style>
  <w:style w:type="paragraph" w:customStyle="1" w:styleId="TOCtitle">
    <w:name w:val="TOC title"/>
    <w:basedOn w:val="Heading2"/>
    <w:next w:val="PwCNormal"/>
    <w:unhideWhenUsed/>
    <w:rsid w:val="003A1A33"/>
    <w:pPr>
      <w:numPr>
        <w:ilvl w:val="0"/>
        <w:numId w:val="0"/>
      </w:numPr>
      <w:spacing w:after="600"/>
    </w:pPr>
  </w:style>
  <w:style w:type="paragraph" w:customStyle="1" w:styleId="Covertitle">
    <w:name w:val="Cover title"/>
    <w:basedOn w:val="KeySentenceInside"/>
    <w:next w:val="Coversubtitle"/>
    <w:rsid w:val="003A1A33"/>
    <w:pPr>
      <w:framePr w:w="2154" w:wrap="notBeside" w:vAnchor="page" w:hAnchor="page" w:x="928" w:y="8427"/>
      <w:spacing w:before="200"/>
      <w:ind w:left="113"/>
    </w:pPr>
    <w:rPr>
      <w:rFonts w:asciiTheme="majorHAnsi" w:hAnsiTheme="majorHAnsi"/>
      <w:color w:val="auto"/>
      <w:sz w:val="19"/>
      <w:lang w:val="en-GB"/>
    </w:rPr>
  </w:style>
  <w:style w:type="paragraph" w:customStyle="1" w:styleId="Coversubtitle">
    <w:name w:val="Cover subtitle"/>
    <w:basedOn w:val="Covertitle"/>
    <w:rsid w:val="003A1A33"/>
    <w:pPr>
      <w:framePr w:wrap="notBeside"/>
      <w:spacing w:before="180"/>
    </w:pPr>
    <w:rPr>
      <w:bCs/>
      <w:szCs w:val="64"/>
    </w:rPr>
  </w:style>
  <w:style w:type="paragraph" w:customStyle="1" w:styleId="AppendixNumberLong">
    <w:name w:val="Appendix Number (Long)"/>
    <w:basedOn w:val="Heading3"/>
    <w:next w:val="Heading3"/>
    <w:rsid w:val="003A1A33"/>
    <w:pPr>
      <w:keepNext/>
      <w:keepLines/>
      <w:pageBreakBefore/>
      <w:numPr>
        <w:ilvl w:val="5"/>
        <w:numId w:val="37"/>
      </w:numPr>
    </w:pPr>
    <w:rPr>
      <w:color w:val="000000" w:themeColor="text1"/>
    </w:rPr>
  </w:style>
  <w:style w:type="paragraph" w:customStyle="1" w:styleId="ChapterNumberLong">
    <w:name w:val="Chapter Number (Long)"/>
    <w:basedOn w:val="Heading1"/>
    <w:next w:val="Heading1"/>
    <w:rsid w:val="003A1A33"/>
    <w:pPr>
      <w:pageBreakBefore/>
      <w:numPr>
        <w:numId w:val="37"/>
      </w:numPr>
    </w:pPr>
  </w:style>
  <w:style w:type="paragraph" w:customStyle="1" w:styleId="Footer-Even">
    <w:name w:val="Footer - Even"/>
    <w:basedOn w:val="Footer"/>
    <w:rsid w:val="003A1A33"/>
  </w:style>
  <w:style w:type="paragraph" w:customStyle="1" w:styleId="URL">
    <w:name w:val="URL"/>
    <w:basedOn w:val="PwCNormal"/>
    <w:next w:val="PwCNormal"/>
    <w:rsid w:val="0020235D"/>
    <w:pPr>
      <w:framePr w:wrap="around" w:vAnchor="page" w:hAnchor="page" w:x="1022" w:y="568"/>
      <w:spacing w:after="0"/>
    </w:pPr>
    <w:rPr>
      <w:rFonts w:eastAsia="+mn-ea"/>
      <w:b/>
      <w:i/>
      <w:snapToGrid/>
      <w:color w:val="DC6900" w:themeColor="text2"/>
      <w:sz w:val="36"/>
    </w:rPr>
  </w:style>
  <w:style w:type="paragraph" w:customStyle="1" w:styleId="Indent1">
    <w:name w:val="Indent 1"/>
    <w:basedOn w:val="Normal"/>
    <w:rsid w:val="003A1A33"/>
    <w:pPr>
      <w:numPr>
        <w:ilvl w:val="1"/>
        <w:numId w:val="8"/>
      </w:numPr>
      <w:spacing w:before="100" w:after="100"/>
    </w:pPr>
    <w:rPr>
      <w:rFonts w:cs="Times New Roman"/>
    </w:rPr>
  </w:style>
  <w:style w:type="paragraph" w:customStyle="1" w:styleId="Indent2">
    <w:name w:val="Indent 2"/>
    <w:basedOn w:val="Indent1"/>
    <w:rsid w:val="003A1A33"/>
    <w:pPr>
      <w:numPr>
        <w:ilvl w:val="2"/>
      </w:numPr>
    </w:pPr>
  </w:style>
  <w:style w:type="paragraph" w:customStyle="1" w:styleId="Indent3">
    <w:name w:val="Indent 3"/>
    <w:basedOn w:val="Indent2"/>
    <w:rsid w:val="003A1A33"/>
    <w:pPr>
      <w:numPr>
        <w:ilvl w:val="3"/>
      </w:numPr>
    </w:pPr>
  </w:style>
  <w:style w:type="paragraph" w:customStyle="1" w:styleId="Indent5">
    <w:name w:val="Indent 5"/>
    <w:basedOn w:val="Indent4"/>
    <w:rsid w:val="003A1A33"/>
    <w:pPr>
      <w:numPr>
        <w:ilvl w:val="5"/>
      </w:numPr>
    </w:pPr>
  </w:style>
  <w:style w:type="paragraph" w:customStyle="1" w:styleId="Indent6">
    <w:name w:val="Indent 6"/>
    <w:basedOn w:val="Indent5"/>
    <w:rsid w:val="003A1A33"/>
    <w:pPr>
      <w:numPr>
        <w:ilvl w:val="6"/>
      </w:numPr>
    </w:pPr>
  </w:style>
  <w:style w:type="paragraph" w:customStyle="1" w:styleId="Indent7">
    <w:name w:val="Indent 7"/>
    <w:basedOn w:val="Indent6"/>
    <w:rsid w:val="003A1A33"/>
    <w:pPr>
      <w:numPr>
        <w:ilvl w:val="7"/>
      </w:numPr>
    </w:pPr>
  </w:style>
  <w:style w:type="numbering" w:customStyle="1" w:styleId="Indents">
    <w:name w:val="Indents"/>
    <w:rsid w:val="003A1A33"/>
    <w:pPr>
      <w:numPr>
        <w:numId w:val="2"/>
      </w:numPr>
    </w:pPr>
  </w:style>
  <w:style w:type="paragraph" w:customStyle="1" w:styleId="Copyright">
    <w:name w:val="Copyright"/>
    <w:basedOn w:val="Normal"/>
    <w:rsid w:val="0020235D"/>
    <w:pPr>
      <w:framePr w:w="7938" w:wrap="around" w:vAnchor="page" w:hAnchor="page" w:x="1022" w:y="15196"/>
      <w:spacing w:before="150" w:after="150" w:line="150" w:lineRule="atLeast"/>
      <w:ind w:right="816"/>
    </w:pPr>
    <w:rPr>
      <w:rFonts w:asciiTheme="minorHAnsi" w:hAnsiTheme="minorHAnsi"/>
      <w:color w:val="DC6900" w:themeColor="text2"/>
      <w:sz w:val="16"/>
      <w:lang w:val="en-US"/>
    </w:rPr>
  </w:style>
  <w:style w:type="paragraph" w:customStyle="1" w:styleId="Header-Even">
    <w:name w:val="Header - Even"/>
    <w:basedOn w:val="Header"/>
    <w:rsid w:val="003A1A33"/>
  </w:style>
  <w:style w:type="paragraph" w:customStyle="1" w:styleId="PleaseNote">
    <w:name w:val="Please Note"/>
    <w:basedOn w:val="PrefaceTitle"/>
    <w:next w:val="PwCNormal"/>
    <w:rsid w:val="003A1A33"/>
    <w:rPr>
      <w:iCs w:val="0"/>
    </w:rPr>
  </w:style>
  <w:style w:type="paragraph" w:customStyle="1" w:styleId="Indent4">
    <w:name w:val="Indent 4"/>
    <w:basedOn w:val="Indent3"/>
    <w:rsid w:val="003A1A33"/>
    <w:pPr>
      <w:numPr>
        <w:ilvl w:val="4"/>
      </w:numPr>
    </w:pPr>
  </w:style>
  <w:style w:type="paragraph" w:styleId="TOC2">
    <w:name w:val="toc 2"/>
    <w:basedOn w:val="TOC1"/>
    <w:next w:val="PwCNormal"/>
    <w:uiPriority w:val="39"/>
    <w:rsid w:val="003A1A33"/>
    <w:pPr>
      <w:tabs>
        <w:tab w:val="left" w:pos="567"/>
      </w:tabs>
      <w:ind w:left="567" w:hanging="567"/>
    </w:pPr>
  </w:style>
  <w:style w:type="paragraph" w:styleId="TOC4">
    <w:name w:val="toc 4"/>
    <w:basedOn w:val="TOC2"/>
    <w:next w:val="PwCNormal"/>
    <w:uiPriority w:val="39"/>
    <w:rsid w:val="00A464B3"/>
    <w:pPr>
      <w:tabs>
        <w:tab w:val="clear" w:pos="567"/>
        <w:tab w:val="left" w:pos="1276"/>
      </w:tabs>
      <w:ind w:left="1276" w:hanging="1276"/>
    </w:pPr>
  </w:style>
  <w:style w:type="paragraph" w:styleId="TOC7">
    <w:name w:val="toc 7"/>
    <w:basedOn w:val="TOC6"/>
    <w:next w:val="PwCNormal"/>
    <w:uiPriority w:val="39"/>
    <w:rsid w:val="003A1A33"/>
    <w:pPr>
      <w:tabs>
        <w:tab w:val="clear" w:pos="1134"/>
        <w:tab w:val="left" w:pos="1985"/>
      </w:tabs>
      <w:ind w:left="1985" w:hanging="851"/>
    </w:pPr>
  </w:style>
  <w:style w:type="paragraph" w:customStyle="1" w:styleId="KeySentenceInside">
    <w:name w:val="Key Sentence Inside"/>
    <w:basedOn w:val="KeySentence"/>
    <w:rsid w:val="003A1A33"/>
    <w:pPr>
      <w:framePr w:w="2296" w:wrap="notBeside" w:vAnchor="text" w:hAnchor="margin" w:x="-2521" w:y="1" w:anchorLock="1"/>
    </w:pPr>
  </w:style>
  <w:style w:type="paragraph" w:customStyle="1" w:styleId="ChapterNumberedList1">
    <w:name w:val="Chapter Numbered List 1"/>
    <w:basedOn w:val="PwCNormal"/>
    <w:rsid w:val="003A1A33"/>
    <w:pPr>
      <w:numPr>
        <w:ilvl w:val="7"/>
        <w:numId w:val="37"/>
      </w:numPr>
    </w:pPr>
  </w:style>
  <w:style w:type="paragraph" w:customStyle="1" w:styleId="ChapterNumberedList2">
    <w:name w:val="Chapter Numbered List 2"/>
    <w:basedOn w:val="ChapterNumberedList1"/>
    <w:rsid w:val="003A1A33"/>
    <w:pPr>
      <w:numPr>
        <w:ilvl w:val="8"/>
      </w:numPr>
    </w:pPr>
  </w:style>
  <w:style w:type="paragraph" w:customStyle="1" w:styleId="ChapterNumberedList3">
    <w:name w:val="Chapter Numbered List 3"/>
    <w:basedOn w:val="ChapterNumberedList2"/>
    <w:rsid w:val="001C6E2E"/>
    <w:pPr>
      <w:numPr>
        <w:ilvl w:val="0"/>
        <w:numId w:val="0"/>
      </w:numPr>
    </w:pPr>
  </w:style>
  <w:style w:type="paragraph" w:styleId="TOC6">
    <w:name w:val="toc 6"/>
    <w:basedOn w:val="TOC2"/>
    <w:next w:val="PwCNormal"/>
    <w:uiPriority w:val="39"/>
    <w:rsid w:val="003A1A33"/>
    <w:pPr>
      <w:tabs>
        <w:tab w:val="clear" w:pos="567"/>
        <w:tab w:val="left" w:pos="1134"/>
      </w:tabs>
      <w:ind w:left="1134"/>
    </w:pPr>
  </w:style>
  <w:style w:type="paragraph" w:customStyle="1" w:styleId="PwCNormal">
    <w:name w:val="PwC Normal"/>
    <w:basedOn w:val="Normal"/>
    <w:link w:val="PwCNormalChar"/>
    <w:rsid w:val="003A1A33"/>
    <w:pPr>
      <w:numPr>
        <w:numId w:val="8"/>
      </w:numPr>
      <w:spacing w:after="240"/>
    </w:pPr>
  </w:style>
  <w:style w:type="paragraph" w:customStyle="1" w:styleId="CoverDate">
    <w:name w:val="Cover Date"/>
    <w:basedOn w:val="Coversubtitle"/>
    <w:rsid w:val="003A1A33"/>
    <w:pPr>
      <w:framePr w:wrap="notBeside"/>
    </w:pPr>
  </w:style>
  <w:style w:type="paragraph" w:customStyle="1" w:styleId="KeySentenceOutside">
    <w:name w:val="Key Sentence Outside"/>
    <w:basedOn w:val="KeySentence"/>
    <w:rsid w:val="003A1A33"/>
    <w:pPr>
      <w:framePr w:w="2410" w:wrap="around" w:vAnchor="text" w:hAnchor="margin" w:x="7909" w:y="1" w:anchorLock="1"/>
    </w:pPr>
  </w:style>
  <w:style w:type="character" w:customStyle="1" w:styleId="PwCNormalChar">
    <w:name w:val="PwC Normal Char"/>
    <w:basedOn w:val="DefaultParagraphFont"/>
    <w:link w:val="PwCNormal"/>
    <w:rsid w:val="003A1A33"/>
    <w:rPr>
      <w:rFonts w:ascii="Georgia" w:hAnsi="Georgia" w:cs="Arial"/>
      <w:snapToGrid w:val="0"/>
      <w:sz w:val="20"/>
      <w:szCs w:val="20"/>
      <w:lang w:eastAsia="en-US"/>
    </w:rPr>
  </w:style>
  <w:style w:type="paragraph" w:styleId="TOC1">
    <w:name w:val="toc 1"/>
    <w:basedOn w:val="Normal"/>
    <w:next w:val="PwCNormal"/>
    <w:uiPriority w:val="39"/>
    <w:rsid w:val="005075FD"/>
    <w:pPr>
      <w:tabs>
        <w:tab w:val="right" w:pos="4536"/>
        <w:tab w:val="right" w:pos="7342"/>
      </w:tabs>
      <w:spacing w:before="240" w:after="240" w:line="240" w:lineRule="atLeast"/>
      <w:ind w:right="851"/>
    </w:pPr>
    <w:rPr>
      <w:noProof/>
    </w:rPr>
  </w:style>
  <w:style w:type="paragraph" w:customStyle="1" w:styleId="CREATISID">
    <w:name w:val="CREATISID"/>
    <w:basedOn w:val="PwCNormal"/>
    <w:unhideWhenUsed/>
    <w:rsid w:val="003A1A33"/>
    <w:pPr>
      <w:framePr w:w="227" w:h="539" w:wrap="notBeside" w:vAnchor="page" w:hAnchor="page" w:x="511" w:y="15594"/>
      <w:numPr>
        <w:numId w:val="0"/>
      </w:numPr>
      <w:spacing w:after="0"/>
      <w:textDirection w:val="btLr"/>
    </w:pPr>
    <w:rPr>
      <w:rFonts w:eastAsia="MS Mincho"/>
      <w:sz w:val="10"/>
      <w:szCs w:val="12"/>
      <w:lang w:eastAsia="ja-JP"/>
    </w:rPr>
  </w:style>
  <w:style w:type="numbering" w:customStyle="1" w:styleId="BulletList">
    <w:name w:val="Bullet List"/>
    <w:rsid w:val="003A1A33"/>
    <w:pPr>
      <w:numPr>
        <w:numId w:val="1"/>
      </w:numPr>
    </w:pPr>
  </w:style>
  <w:style w:type="paragraph" w:customStyle="1" w:styleId="Footer-Landscape">
    <w:name w:val="Footer - Landscape"/>
    <w:basedOn w:val="Footer"/>
    <w:rsid w:val="00120CBC"/>
    <w:pPr>
      <w:tabs>
        <w:tab w:val="clear" w:pos="9072"/>
        <w:tab w:val="right" w:pos="14587"/>
      </w:tabs>
    </w:pPr>
  </w:style>
  <w:style w:type="paragraph" w:customStyle="1" w:styleId="TableBullet1Normal">
    <w:name w:val="Table Bullet 1 Normal"/>
    <w:basedOn w:val="TableTextNormal"/>
    <w:rsid w:val="003A1A33"/>
    <w:pPr>
      <w:numPr>
        <w:numId w:val="31"/>
      </w:numPr>
      <w:spacing w:before="40" w:after="40"/>
    </w:pPr>
  </w:style>
  <w:style w:type="paragraph" w:customStyle="1" w:styleId="TableTextNormal">
    <w:name w:val="Table Text Normal"/>
    <w:basedOn w:val="Normal"/>
    <w:rsid w:val="003A1A33"/>
    <w:pPr>
      <w:spacing w:before="80" w:after="80"/>
    </w:pPr>
  </w:style>
  <w:style w:type="paragraph" w:customStyle="1" w:styleId="TableBullet1Small">
    <w:name w:val="Table Bullet 1 Small"/>
    <w:basedOn w:val="TableTextSmall"/>
    <w:rsid w:val="003A1A33"/>
    <w:pPr>
      <w:numPr>
        <w:numId w:val="32"/>
      </w:numPr>
      <w:spacing w:before="20" w:after="20"/>
    </w:pPr>
  </w:style>
  <w:style w:type="paragraph" w:customStyle="1" w:styleId="TableTextSmall">
    <w:name w:val="Table Text Small"/>
    <w:basedOn w:val="Normal"/>
    <w:rsid w:val="003A1A33"/>
    <w:pPr>
      <w:spacing w:before="40" w:after="40"/>
    </w:pPr>
    <w:rPr>
      <w:rFonts w:ascii="Arial" w:hAnsi="Arial"/>
      <w:sz w:val="16"/>
      <w:szCs w:val="18"/>
    </w:rPr>
  </w:style>
  <w:style w:type="paragraph" w:customStyle="1" w:styleId="TableBullet3Normal">
    <w:name w:val="Table Bullet 3 Normal"/>
    <w:basedOn w:val="TableBullet2Normal"/>
    <w:rsid w:val="003A1A33"/>
    <w:pPr>
      <w:numPr>
        <w:ilvl w:val="2"/>
      </w:numPr>
    </w:pPr>
  </w:style>
  <w:style w:type="paragraph" w:customStyle="1" w:styleId="TableBullet3Small">
    <w:name w:val="Table Bullet 3 Small"/>
    <w:basedOn w:val="TableBullet2Small"/>
    <w:rsid w:val="003A1A33"/>
    <w:pPr>
      <w:numPr>
        <w:ilvl w:val="2"/>
      </w:numPr>
    </w:pPr>
    <w:rPr>
      <w:szCs w:val="16"/>
    </w:rPr>
  </w:style>
  <w:style w:type="paragraph" w:customStyle="1" w:styleId="Bullet1">
    <w:name w:val="Bullet 1"/>
    <w:basedOn w:val="PwCNormal"/>
    <w:rsid w:val="003A1A33"/>
    <w:pPr>
      <w:numPr>
        <w:numId w:val="34"/>
      </w:numPr>
      <w:spacing w:after="80"/>
    </w:pPr>
  </w:style>
  <w:style w:type="paragraph" w:customStyle="1" w:styleId="Bullet2">
    <w:name w:val="Bullet 2"/>
    <w:basedOn w:val="Bullet1"/>
    <w:rsid w:val="003A1A33"/>
    <w:pPr>
      <w:numPr>
        <w:ilvl w:val="1"/>
      </w:numPr>
    </w:pPr>
  </w:style>
  <w:style w:type="paragraph" w:customStyle="1" w:styleId="Bullet4">
    <w:name w:val="Bullet 4"/>
    <w:basedOn w:val="Bullet3"/>
    <w:rsid w:val="003A1A33"/>
    <w:pPr>
      <w:numPr>
        <w:ilvl w:val="3"/>
      </w:numPr>
    </w:pPr>
  </w:style>
  <w:style w:type="paragraph" w:styleId="Caption">
    <w:name w:val="caption"/>
    <w:aliases w:val="Text Caption"/>
    <w:basedOn w:val="Normal"/>
    <w:next w:val="Normal"/>
    <w:unhideWhenUsed/>
    <w:qFormat/>
    <w:rsid w:val="003A1A33"/>
    <w:pPr>
      <w:keepNext/>
      <w:keepLines/>
      <w:tabs>
        <w:tab w:val="left" w:pos="992"/>
      </w:tabs>
      <w:spacing w:before="240" w:after="120"/>
      <w:ind w:left="992" w:hanging="992"/>
    </w:pPr>
    <w:rPr>
      <w:rFonts w:asciiTheme="majorHAnsi" w:hAnsiTheme="majorHAnsi"/>
      <w:b/>
      <w:bCs/>
      <w:color w:val="DC6900" w:themeColor="text2"/>
      <w:szCs w:val="18"/>
    </w:rPr>
  </w:style>
  <w:style w:type="paragraph" w:customStyle="1" w:styleId="Majorheading">
    <w:name w:val="Major heading"/>
    <w:basedOn w:val="Normal"/>
    <w:next w:val="PwCNormal"/>
    <w:rsid w:val="003A1A33"/>
    <w:pPr>
      <w:keepNext/>
      <w:keepLines/>
      <w:spacing w:before="240" w:after="40"/>
    </w:pPr>
    <w:rPr>
      <w:rFonts w:asciiTheme="majorHAnsi" w:hAnsiTheme="majorHAnsi"/>
      <w:b/>
      <w:i/>
      <w:color w:val="DC6900" w:themeColor="text2"/>
      <w:sz w:val="28"/>
      <w:szCs w:val="24"/>
    </w:rPr>
  </w:style>
  <w:style w:type="numbering" w:customStyle="1" w:styleId="TableBulletNormalList">
    <w:name w:val="Table Bullet Normal List"/>
    <w:rsid w:val="003A1A33"/>
    <w:pPr>
      <w:numPr>
        <w:numId w:val="5"/>
      </w:numPr>
    </w:pPr>
  </w:style>
  <w:style w:type="paragraph" w:customStyle="1" w:styleId="Disclaimer">
    <w:name w:val="Disclaimer"/>
    <w:basedOn w:val="Normal"/>
    <w:link w:val="DisclaimerChar"/>
    <w:unhideWhenUsed/>
    <w:rsid w:val="003A1A33"/>
    <w:pPr>
      <w:spacing w:after="140"/>
    </w:pPr>
    <w:rPr>
      <w:rFonts w:ascii="Arial" w:hAnsi="Arial"/>
      <w:sz w:val="15"/>
    </w:rPr>
  </w:style>
  <w:style w:type="paragraph" w:customStyle="1" w:styleId="Footer-LandscapeEven">
    <w:name w:val="Footer - Landscape Even"/>
    <w:basedOn w:val="Footer-Landscape"/>
    <w:rsid w:val="003A1A33"/>
  </w:style>
  <w:style w:type="paragraph" w:customStyle="1" w:styleId="PwCNormal-Single">
    <w:name w:val="PwC Normal - Single"/>
    <w:basedOn w:val="PwCNormal"/>
    <w:link w:val="PwCNormal-SingleChar"/>
    <w:rsid w:val="003A1A33"/>
    <w:pPr>
      <w:numPr>
        <w:numId w:val="0"/>
      </w:numPr>
      <w:spacing w:after="0"/>
    </w:pPr>
  </w:style>
  <w:style w:type="paragraph" w:customStyle="1" w:styleId="TableNumberedListNormal">
    <w:name w:val="Table Numbered List Normal"/>
    <w:basedOn w:val="TableTextNormal"/>
    <w:rsid w:val="00A13B58"/>
    <w:pPr>
      <w:tabs>
        <w:tab w:val="left" w:pos="227"/>
      </w:tabs>
      <w:spacing w:before="40" w:after="40"/>
      <w:ind w:left="227" w:hanging="227"/>
    </w:pPr>
    <w:rPr>
      <w:color w:val="000000"/>
    </w:rPr>
  </w:style>
  <w:style w:type="paragraph" w:customStyle="1" w:styleId="TableNumberedListSmall">
    <w:name w:val="Table Numbered List Small"/>
    <w:basedOn w:val="TableTextSmall"/>
    <w:rsid w:val="008D4477"/>
    <w:pPr>
      <w:tabs>
        <w:tab w:val="num" w:pos="567"/>
      </w:tabs>
      <w:spacing w:before="20" w:after="20"/>
      <w:ind w:left="567" w:hanging="567"/>
    </w:pPr>
  </w:style>
  <w:style w:type="paragraph" w:customStyle="1" w:styleId="TableIndent2Normal">
    <w:name w:val="Table Indent 2 Normal"/>
    <w:basedOn w:val="TableIndent1Normal"/>
    <w:rsid w:val="003A1A33"/>
    <w:pPr>
      <w:ind w:left="567"/>
    </w:pPr>
  </w:style>
  <w:style w:type="paragraph" w:customStyle="1" w:styleId="TableIndent2Small">
    <w:name w:val="Table Indent 2 Small"/>
    <w:basedOn w:val="TableIndent1Small"/>
    <w:rsid w:val="003A1A33"/>
    <w:pPr>
      <w:ind w:left="567"/>
    </w:pPr>
    <w:rPr>
      <w:szCs w:val="16"/>
    </w:rPr>
  </w:style>
  <w:style w:type="paragraph" w:customStyle="1" w:styleId="KeySentence">
    <w:name w:val="Key Sentence"/>
    <w:basedOn w:val="Normal"/>
    <w:rsid w:val="003A1A33"/>
    <w:pPr>
      <w:spacing w:after="160" w:line="260" w:lineRule="atLeast"/>
    </w:pPr>
    <w:rPr>
      <w:i/>
      <w:color w:val="DC6900" w:themeColor="text2"/>
      <w:sz w:val="16"/>
      <w:szCs w:val="18"/>
    </w:rPr>
  </w:style>
  <w:style w:type="numbering" w:customStyle="1" w:styleId="TableNumberedListS">
    <w:name w:val="Table Numbered List S"/>
    <w:rsid w:val="003A1A33"/>
  </w:style>
  <w:style w:type="paragraph" w:customStyle="1" w:styleId="PrefaceTitle">
    <w:name w:val="Preface Title"/>
    <w:basedOn w:val="Heading2"/>
    <w:next w:val="PwCNormal"/>
    <w:rsid w:val="003A1A33"/>
    <w:pPr>
      <w:numPr>
        <w:ilvl w:val="0"/>
        <w:numId w:val="0"/>
      </w:numPr>
    </w:pPr>
  </w:style>
  <w:style w:type="paragraph" w:customStyle="1" w:styleId="Sources">
    <w:name w:val="Sources"/>
    <w:basedOn w:val="Normal"/>
    <w:next w:val="PwCNormal"/>
    <w:rsid w:val="003A1A33"/>
    <w:pPr>
      <w:spacing w:before="80" w:after="240" w:line="180" w:lineRule="atLeast"/>
    </w:pPr>
    <w:rPr>
      <w:color w:val="DC6900" w:themeColor="text2"/>
      <w:sz w:val="16"/>
    </w:rPr>
  </w:style>
  <w:style w:type="paragraph" w:customStyle="1" w:styleId="Minorheading">
    <w:name w:val="Minor heading"/>
    <w:basedOn w:val="Majorheading"/>
    <w:next w:val="PwCNormal"/>
    <w:rsid w:val="003A1A33"/>
    <w:pPr>
      <w:spacing w:line="180" w:lineRule="atLeast"/>
    </w:pPr>
    <w:rPr>
      <w:b w:val="0"/>
      <w:sz w:val="26"/>
    </w:rPr>
  </w:style>
  <w:style w:type="paragraph" w:customStyle="1" w:styleId="Minorheading2">
    <w:name w:val="Minor heading 2"/>
    <w:basedOn w:val="Minorheading"/>
    <w:next w:val="PwCNormal"/>
    <w:rsid w:val="003A1A33"/>
    <w:pPr>
      <w:spacing w:line="240" w:lineRule="atLeast"/>
    </w:pPr>
    <w:rPr>
      <w:b/>
      <w:i w:val="0"/>
      <w:sz w:val="20"/>
    </w:rPr>
  </w:style>
  <w:style w:type="paragraph" w:customStyle="1" w:styleId="Minorheading3">
    <w:name w:val="Minor heading 3"/>
    <w:basedOn w:val="Minorheading2"/>
    <w:rsid w:val="003A1A33"/>
    <w:rPr>
      <w:b w:val="0"/>
      <w:i/>
    </w:rPr>
  </w:style>
  <w:style w:type="paragraph" w:customStyle="1" w:styleId="Bullet3">
    <w:name w:val="Bullet 3"/>
    <w:basedOn w:val="Bullet2"/>
    <w:rsid w:val="003A1A33"/>
    <w:pPr>
      <w:numPr>
        <w:ilvl w:val="2"/>
      </w:numPr>
    </w:pPr>
  </w:style>
  <w:style w:type="paragraph" w:customStyle="1" w:styleId="TableBullet2Normal">
    <w:name w:val="Table Bullet 2 Normal"/>
    <w:basedOn w:val="TableBullet1Normal"/>
    <w:rsid w:val="003A1A33"/>
    <w:pPr>
      <w:numPr>
        <w:ilvl w:val="1"/>
      </w:numPr>
    </w:pPr>
  </w:style>
  <w:style w:type="paragraph" w:customStyle="1" w:styleId="TableBullet2Small">
    <w:name w:val="Table Bullet 2 Small"/>
    <w:basedOn w:val="TableBullet1Small"/>
    <w:rsid w:val="003A1A33"/>
    <w:pPr>
      <w:numPr>
        <w:ilvl w:val="1"/>
      </w:numPr>
    </w:pPr>
  </w:style>
  <w:style w:type="paragraph" w:customStyle="1" w:styleId="TableIndent1Normal">
    <w:name w:val="Table Indent 1 Normal"/>
    <w:basedOn w:val="TableBullet1Normal"/>
    <w:rsid w:val="003A1A33"/>
    <w:pPr>
      <w:numPr>
        <w:numId w:val="0"/>
      </w:numPr>
      <w:ind w:left="284"/>
    </w:pPr>
  </w:style>
  <w:style w:type="paragraph" w:customStyle="1" w:styleId="TableIndent1Small">
    <w:name w:val="Table Indent 1 Small"/>
    <w:basedOn w:val="TableBullet1Small"/>
    <w:rsid w:val="003A1A33"/>
    <w:pPr>
      <w:numPr>
        <w:numId w:val="0"/>
      </w:numPr>
      <w:ind w:left="284"/>
    </w:pPr>
  </w:style>
  <w:style w:type="paragraph" w:customStyle="1" w:styleId="KeySentenceheading">
    <w:name w:val="Key Sentence heading"/>
    <w:basedOn w:val="KeySentence"/>
    <w:next w:val="KeySentence"/>
    <w:rsid w:val="00931257"/>
    <w:pPr>
      <w:keepNext/>
      <w:keepLines/>
    </w:pPr>
    <w:rPr>
      <w:rFonts w:asciiTheme="majorHAnsi" w:hAnsiTheme="majorHAnsi"/>
      <w:b/>
      <w:sz w:val="20"/>
    </w:rPr>
  </w:style>
  <w:style w:type="character" w:customStyle="1" w:styleId="Bright">
    <w:name w:val="Bright"/>
    <w:rsid w:val="0073770A"/>
    <w:rPr>
      <w:color w:val="DC6900" w:themeColor="accent1"/>
    </w:rPr>
  </w:style>
  <w:style w:type="character" w:customStyle="1" w:styleId="Base">
    <w:name w:val="Base"/>
    <w:rsid w:val="00701EA9"/>
    <w:rPr>
      <w:b/>
      <w:i/>
      <w:color w:val="DC6900" w:themeColor="text2"/>
    </w:rPr>
  </w:style>
  <w:style w:type="paragraph" w:customStyle="1" w:styleId="Sectiontitle">
    <w:name w:val="Section title"/>
    <w:basedOn w:val="Normal"/>
    <w:next w:val="PwCNormal"/>
    <w:rsid w:val="00317710"/>
    <w:pPr>
      <w:spacing w:line="720" w:lineRule="atLeast"/>
      <w:ind w:right="2636"/>
    </w:pPr>
    <w:rPr>
      <w:rFonts w:asciiTheme="majorHAnsi" w:hAnsiTheme="majorHAnsi"/>
      <w:color w:val="DC6900" w:themeColor="text2"/>
      <w:sz w:val="72"/>
    </w:rPr>
  </w:style>
  <w:style w:type="paragraph" w:customStyle="1" w:styleId="Sectionstatement">
    <w:name w:val="Section statement"/>
    <w:basedOn w:val="Normal"/>
    <w:rsid w:val="00317710"/>
    <w:pPr>
      <w:spacing w:line="720" w:lineRule="atLeast"/>
      <w:ind w:right="2636"/>
    </w:pPr>
    <w:rPr>
      <w:rFonts w:asciiTheme="majorHAnsi" w:hAnsiTheme="majorHAnsi"/>
      <w:color w:val="602320" w:themeColor="accent3"/>
      <w:sz w:val="72"/>
      <w:szCs w:val="72"/>
    </w:rPr>
  </w:style>
  <w:style w:type="paragraph" w:customStyle="1" w:styleId="KeySentenceOutsideheading">
    <w:name w:val="Key Sentence Outside heading"/>
    <w:basedOn w:val="KeySentenceOutside"/>
    <w:next w:val="KeySentenceOutside"/>
    <w:rsid w:val="008C6722"/>
    <w:pPr>
      <w:keepNext/>
      <w:keepLines/>
      <w:framePr w:wrap="around"/>
      <w:spacing w:after="0"/>
    </w:pPr>
    <w:rPr>
      <w:rFonts w:asciiTheme="majorHAnsi" w:hAnsiTheme="majorHAnsi"/>
      <w:b/>
      <w:sz w:val="20"/>
    </w:rPr>
  </w:style>
  <w:style w:type="paragraph" w:styleId="FootnoteText">
    <w:name w:val="footnote text"/>
    <w:basedOn w:val="Normal"/>
    <w:link w:val="FootnoteTextChar"/>
    <w:uiPriority w:val="99"/>
    <w:rsid w:val="003A1A33"/>
    <w:pPr>
      <w:tabs>
        <w:tab w:val="left" w:pos="284"/>
      </w:tabs>
      <w:spacing w:before="80" w:after="80"/>
      <w:ind w:left="227" w:hanging="227"/>
    </w:pPr>
    <w:rPr>
      <w:sz w:val="14"/>
    </w:rPr>
  </w:style>
  <w:style w:type="character" w:styleId="FootnoteReference">
    <w:name w:val="footnote reference"/>
    <w:basedOn w:val="DefaultParagraphFont"/>
    <w:uiPriority w:val="99"/>
    <w:rsid w:val="00BA43D6"/>
    <w:rPr>
      <w:rFonts w:asciiTheme="minorHAnsi" w:hAnsiTheme="minorHAnsi" w:cs="Arial"/>
      <w:sz w:val="21"/>
      <w:vertAlign w:val="superscript"/>
    </w:rPr>
  </w:style>
  <w:style w:type="character" w:styleId="EndnoteReference">
    <w:name w:val="endnote reference"/>
    <w:basedOn w:val="DefaultParagraphFont"/>
    <w:semiHidden/>
    <w:unhideWhenUsed/>
    <w:rsid w:val="003A1A33"/>
    <w:rPr>
      <w:rFonts w:ascii="Arial" w:hAnsi="Arial" w:cs="Arial"/>
      <w:sz w:val="21"/>
      <w:vertAlign w:val="superscript"/>
    </w:rPr>
  </w:style>
  <w:style w:type="paragraph" w:styleId="EndnoteText">
    <w:name w:val="endnote text"/>
    <w:basedOn w:val="FootnoteText"/>
    <w:semiHidden/>
    <w:unhideWhenUsed/>
    <w:rsid w:val="003A1A33"/>
  </w:style>
  <w:style w:type="paragraph" w:customStyle="1" w:styleId="Address">
    <w:name w:val="Address"/>
    <w:basedOn w:val="Normal"/>
    <w:qFormat/>
    <w:rsid w:val="003A1A33"/>
    <w:pPr>
      <w:kinsoku/>
      <w:overflowPunct/>
      <w:autoSpaceDE/>
      <w:autoSpaceDN/>
      <w:adjustRightInd/>
      <w:snapToGrid/>
      <w:spacing w:line="200" w:lineRule="atLeast"/>
    </w:pPr>
    <w:rPr>
      <w:rFonts w:eastAsiaTheme="minorHAnsi" w:cstheme="minorBidi"/>
      <w:i/>
      <w:noProof/>
      <w:snapToGrid/>
      <w:sz w:val="18"/>
      <w:szCs w:val="22"/>
      <w:lang w:val="en-GB" w:eastAsia="en-GB"/>
    </w:rPr>
  </w:style>
  <w:style w:type="table" w:styleId="TableGrid">
    <w:name w:val="Table Grid"/>
    <w:basedOn w:val="TableNormal"/>
    <w:locked/>
    <w:rsid w:val="003A1A33"/>
    <w:pPr>
      <w:kinsoku w:val="0"/>
      <w:overflowPunct w:val="0"/>
      <w:autoSpaceDE w:val="0"/>
      <w:autoSpaceDN w:val="0"/>
      <w:adjustRightInd w:val="0"/>
      <w:snapToGrid w:val="0"/>
    </w:pPr>
    <w:rPr>
      <w:rFonts w:ascii="Georgia" w:hAnsi="Georg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eySentenceInsideheading">
    <w:name w:val="Key Sentence Inside heading"/>
    <w:basedOn w:val="KeySentenceInside"/>
    <w:next w:val="KeySentenceInside"/>
    <w:rsid w:val="00A84ADF"/>
    <w:pPr>
      <w:keepNext/>
      <w:keepLines/>
      <w:framePr w:wrap="notBeside"/>
      <w:spacing w:after="0"/>
      <w:ind w:left="-11"/>
    </w:pPr>
    <w:rPr>
      <w:rFonts w:asciiTheme="majorHAnsi" w:hAnsiTheme="majorHAnsi"/>
      <w:b/>
      <w:sz w:val="20"/>
    </w:rPr>
  </w:style>
  <w:style w:type="paragraph" w:styleId="TOC3">
    <w:name w:val="toc 3"/>
    <w:basedOn w:val="TOC1"/>
    <w:next w:val="PwCNormal"/>
    <w:uiPriority w:val="39"/>
    <w:rsid w:val="003A1A33"/>
    <w:pPr>
      <w:numPr>
        <w:ilvl w:val="2"/>
        <w:numId w:val="35"/>
      </w:numPr>
    </w:pPr>
  </w:style>
  <w:style w:type="paragraph" w:styleId="TOC5">
    <w:name w:val="toc 5"/>
    <w:basedOn w:val="TOC2"/>
    <w:next w:val="PwCNormal"/>
    <w:uiPriority w:val="39"/>
    <w:rsid w:val="00C25FEF"/>
    <w:pPr>
      <w:spacing w:before="640"/>
    </w:pPr>
    <w:rPr>
      <w:b/>
    </w:rPr>
  </w:style>
  <w:style w:type="paragraph" w:styleId="TOC8">
    <w:name w:val="toc 8"/>
    <w:basedOn w:val="TOC7"/>
    <w:next w:val="PwCNormal"/>
    <w:rsid w:val="003A1A33"/>
    <w:pPr>
      <w:tabs>
        <w:tab w:val="clear" w:pos="1985"/>
        <w:tab w:val="left" w:pos="3402"/>
      </w:tabs>
      <w:ind w:left="3403"/>
    </w:pPr>
  </w:style>
  <w:style w:type="paragraph" w:styleId="TOC9">
    <w:name w:val="toc 9"/>
    <w:basedOn w:val="TOC8"/>
    <w:next w:val="PwCNormal"/>
    <w:uiPriority w:val="39"/>
    <w:rsid w:val="003A1A33"/>
    <w:pPr>
      <w:tabs>
        <w:tab w:val="clear" w:pos="3402"/>
        <w:tab w:val="left" w:pos="4253"/>
      </w:tabs>
      <w:ind w:left="4253"/>
    </w:pPr>
  </w:style>
  <w:style w:type="paragraph" w:customStyle="1" w:styleId="Separator">
    <w:name w:val="Separator"/>
    <w:basedOn w:val="Normal"/>
    <w:semiHidden/>
    <w:rsid w:val="003A1A33"/>
    <w:pPr>
      <w:spacing w:before="240" w:after="120"/>
    </w:pPr>
    <w:rPr>
      <w:sz w:val="16"/>
    </w:rPr>
  </w:style>
  <w:style w:type="numbering" w:customStyle="1" w:styleId="TableNumberedListN">
    <w:name w:val="Table Numbered List N"/>
    <w:rsid w:val="003A1A33"/>
  </w:style>
  <w:style w:type="paragraph" w:customStyle="1" w:styleId="TableColumnHeadingNormal">
    <w:name w:val="Table Column Heading Normal"/>
    <w:basedOn w:val="TableTextNormal"/>
    <w:rsid w:val="00AA3ADB"/>
    <w:pPr>
      <w:keepNext/>
      <w:keepLines/>
    </w:pPr>
    <w:rPr>
      <w:b/>
      <w:color w:val="FFFFFF" w:themeColor="background1"/>
    </w:rPr>
  </w:style>
  <w:style w:type="paragraph" w:customStyle="1" w:styleId="TableColumnHeadingSmall">
    <w:name w:val="Table Column Heading Small"/>
    <w:basedOn w:val="TableTextSmall"/>
    <w:next w:val="TableTextSmall"/>
    <w:rsid w:val="003A1A33"/>
    <w:pPr>
      <w:keepNext/>
      <w:keepLines/>
    </w:pPr>
    <w:rPr>
      <w:b/>
      <w:color w:val="DC6900" w:themeColor="text2"/>
      <w:szCs w:val="16"/>
    </w:rPr>
  </w:style>
  <w:style w:type="numbering" w:customStyle="1" w:styleId="TableBulletSmallList">
    <w:name w:val="Table Bullet Small List"/>
    <w:rsid w:val="003A1A33"/>
    <w:pPr>
      <w:numPr>
        <w:numId w:val="3"/>
      </w:numPr>
    </w:pPr>
  </w:style>
  <w:style w:type="paragraph" w:customStyle="1" w:styleId="Header-Landscape">
    <w:name w:val="Header - Landscape"/>
    <w:basedOn w:val="Header"/>
    <w:rsid w:val="003A1A33"/>
  </w:style>
  <w:style w:type="character" w:styleId="PageNumber">
    <w:name w:val="page number"/>
    <w:semiHidden/>
    <w:unhideWhenUsed/>
    <w:rsid w:val="003A1A33"/>
  </w:style>
  <w:style w:type="paragraph" w:styleId="Date">
    <w:name w:val="Date"/>
    <w:basedOn w:val="Normal"/>
    <w:next w:val="PwCNormal"/>
    <w:semiHidden/>
    <w:rsid w:val="003A1A33"/>
  </w:style>
  <w:style w:type="paragraph" w:customStyle="1" w:styleId="Indent8">
    <w:name w:val="Indent 8"/>
    <w:basedOn w:val="Indent7"/>
    <w:rsid w:val="003A1A33"/>
    <w:pPr>
      <w:numPr>
        <w:ilvl w:val="8"/>
      </w:numPr>
    </w:pPr>
  </w:style>
  <w:style w:type="paragraph" w:customStyle="1" w:styleId="Header-LandscapeEven">
    <w:name w:val="Header - Landscape Even"/>
    <w:basedOn w:val="Header-Landscape"/>
    <w:rsid w:val="003A1A33"/>
    <w:pPr>
      <w:tabs>
        <w:tab w:val="right" w:pos="14661"/>
      </w:tabs>
    </w:pPr>
  </w:style>
  <w:style w:type="paragraph" w:customStyle="1" w:styleId="Footer-ToC">
    <w:name w:val="Footer - ToC"/>
    <w:basedOn w:val="Footer"/>
    <w:rsid w:val="003A1A33"/>
  </w:style>
  <w:style w:type="paragraph" w:customStyle="1" w:styleId="Footer-ToCEven">
    <w:name w:val="Footer - ToC Even"/>
    <w:basedOn w:val="Footer-ToC"/>
    <w:rsid w:val="003A1A33"/>
  </w:style>
  <w:style w:type="table" w:customStyle="1" w:styleId="PwCTableStyle1">
    <w:name w:val="PwC Table Style 1"/>
    <w:basedOn w:val="TableNormal"/>
    <w:uiPriority w:val="99"/>
    <w:qFormat/>
    <w:rsid w:val="00207254"/>
    <w:tblPr>
      <w:tblInd w:w="0" w:type="dxa"/>
      <w:tblBorders>
        <w:top w:val="single" w:sz="4" w:space="0" w:color="DC6900" w:themeColor="text2"/>
        <w:bottom w:val="single" w:sz="6" w:space="0" w:color="DC6900" w:themeColor="text2"/>
        <w:insideH w:val="single" w:sz="6" w:space="0" w:color="DC6900" w:themeColor="text2"/>
      </w:tblBorders>
      <w:tblCellMar>
        <w:top w:w="28" w:type="dxa"/>
        <w:left w:w="108" w:type="dxa"/>
        <w:bottom w:w="28" w:type="dxa"/>
        <w:right w:w="108" w:type="dxa"/>
      </w:tblCellMar>
    </w:tblPr>
    <w:tblStylePr w:type="firstRow">
      <w:rPr>
        <w:b w:val="0"/>
        <w:i w:val="0"/>
        <w:color w:val="DC6900" w:themeColor="text2"/>
      </w:rPr>
      <w:tblPr/>
      <w:trPr>
        <w:tblHeader/>
      </w:trPr>
      <w:tcPr>
        <w:tcBorders>
          <w:top w:val="single" w:sz="8" w:space="0" w:color="DC6900" w:themeColor="text2"/>
          <w:insideV w:val="single" w:sz="6" w:space="0" w:color="FFFFFF" w:themeColor="background1"/>
        </w:tcBorders>
      </w:tcPr>
    </w:tblStylePr>
    <w:tblStylePr w:type="lastRow">
      <w:rPr>
        <w:b w:val="0"/>
      </w:rPr>
      <w:tblPr/>
      <w:tcPr>
        <w:tcBorders>
          <w:top w:val="single" w:sz="8" w:space="0" w:color="DC6900" w:themeColor="text2"/>
          <w:bottom w:val="single" w:sz="8" w:space="0" w:color="DC6900" w:themeColor="text2"/>
        </w:tcBorders>
      </w:tcPr>
    </w:tblStylePr>
    <w:tblStylePr w:type="firstCol">
      <w:rPr>
        <w:color w:val="auto"/>
      </w:rPr>
    </w:tblStylePr>
  </w:style>
  <w:style w:type="paragraph" w:customStyle="1" w:styleId="CVRoleTitle">
    <w:name w:val="CV Role Title"/>
    <w:basedOn w:val="CVText"/>
    <w:rsid w:val="003A1A33"/>
    <w:pPr>
      <w:pBdr>
        <w:bottom w:val="none" w:sz="0" w:space="0" w:color="00457C"/>
      </w:pBdr>
    </w:pPr>
    <w:rPr>
      <w:i/>
      <w:color w:val="DC6900" w:themeColor="text2"/>
      <w:sz w:val="24"/>
      <w:szCs w:val="24"/>
    </w:rPr>
  </w:style>
  <w:style w:type="paragraph" w:customStyle="1" w:styleId="ListBullet1">
    <w:name w:val="List Bullet 1"/>
    <w:basedOn w:val="Normal"/>
    <w:semiHidden/>
    <w:locked/>
    <w:rsid w:val="003A1A33"/>
    <w:pPr>
      <w:tabs>
        <w:tab w:val="num" w:pos="720"/>
      </w:tabs>
      <w:spacing w:before="100" w:after="100"/>
      <w:ind w:left="720" w:hanging="720"/>
    </w:pPr>
  </w:style>
  <w:style w:type="paragraph" w:styleId="ListBullet2">
    <w:name w:val="List Bullet 2"/>
    <w:basedOn w:val="ListBullet1"/>
    <w:qFormat/>
    <w:locked/>
    <w:rsid w:val="003A1A33"/>
    <w:pPr>
      <w:numPr>
        <w:ilvl w:val="1"/>
        <w:numId w:val="6"/>
      </w:numPr>
      <w:spacing w:before="0" w:after="240"/>
    </w:pPr>
  </w:style>
  <w:style w:type="paragraph" w:styleId="ListBullet4">
    <w:name w:val="List Bullet 4"/>
    <w:basedOn w:val="ListBullet3"/>
    <w:unhideWhenUsed/>
    <w:locked/>
    <w:rsid w:val="003A1A33"/>
    <w:pPr>
      <w:numPr>
        <w:ilvl w:val="3"/>
      </w:numPr>
    </w:pPr>
  </w:style>
  <w:style w:type="paragraph" w:customStyle="1" w:styleId="CVBullet1">
    <w:name w:val="CV Bullet 1"/>
    <w:basedOn w:val="CVText"/>
    <w:link w:val="CVBullet1Char"/>
    <w:rsid w:val="003A1A33"/>
    <w:pPr>
      <w:numPr>
        <w:numId w:val="10"/>
      </w:numPr>
      <w:spacing w:before="40" w:after="40"/>
    </w:pPr>
  </w:style>
  <w:style w:type="paragraph" w:customStyle="1" w:styleId="CVDetails">
    <w:name w:val="CV Details"/>
    <w:basedOn w:val="CVRoleTitle"/>
    <w:link w:val="CVDetailsChar"/>
    <w:rsid w:val="003A1A33"/>
    <w:pPr>
      <w:spacing w:before="120" w:after="40"/>
    </w:pPr>
    <w:rPr>
      <w:sz w:val="14"/>
    </w:rPr>
  </w:style>
  <w:style w:type="paragraph" w:customStyle="1" w:styleId="CVHeading2">
    <w:name w:val="CV Heading 2"/>
    <w:basedOn w:val="CVHeading1"/>
    <w:next w:val="CVText"/>
    <w:rsid w:val="003A1A33"/>
    <w:pPr>
      <w:pBdr>
        <w:bottom w:val="none" w:sz="0" w:space="0" w:color="00457C"/>
      </w:pBdr>
    </w:pPr>
    <w:rPr>
      <w:b w:val="0"/>
      <w:sz w:val="18"/>
      <w:szCs w:val="24"/>
    </w:rPr>
  </w:style>
  <w:style w:type="paragraph" w:styleId="ListBullet3">
    <w:name w:val="List Bullet 3"/>
    <w:basedOn w:val="ListBullet2"/>
    <w:qFormat/>
    <w:locked/>
    <w:rsid w:val="003A1A33"/>
    <w:pPr>
      <w:numPr>
        <w:ilvl w:val="2"/>
      </w:numPr>
    </w:pPr>
  </w:style>
  <w:style w:type="paragraph" w:customStyle="1" w:styleId="CVHeading1">
    <w:name w:val="CV Heading 1"/>
    <w:basedOn w:val="CVText"/>
    <w:next w:val="CVText"/>
    <w:link w:val="CVHeading1Char"/>
    <w:rsid w:val="003A1A33"/>
    <w:pPr>
      <w:keepNext/>
      <w:keepLines/>
      <w:spacing w:before="120"/>
    </w:pPr>
    <w:rPr>
      <w:b/>
      <w:i/>
      <w:color w:val="DC6900" w:themeColor="text2"/>
    </w:rPr>
  </w:style>
  <w:style w:type="paragraph" w:customStyle="1" w:styleId="CVPhoto">
    <w:name w:val="CV Photo"/>
    <w:basedOn w:val="CVHeading2"/>
    <w:rsid w:val="003A1A33"/>
    <w:rPr>
      <w:sz w:val="21"/>
    </w:rPr>
  </w:style>
  <w:style w:type="paragraph" w:customStyle="1" w:styleId="CVText">
    <w:name w:val="CV Text"/>
    <w:basedOn w:val="PwCNormal"/>
    <w:link w:val="CVTextChar"/>
    <w:qFormat/>
    <w:rsid w:val="003A1A33"/>
    <w:pPr>
      <w:numPr>
        <w:numId w:val="0"/>
      </w:numPr>
      <w:spacing w:before="80" w:after="80"/>
    </w:pPr>
  </w:style>
  <w:style w:type="paragraph" w:customStyle="1" w:styleId="CVNamelarge">
    <w:name w:val="CV Name large"/>
    <w:basedOn w:val="CVText"/>
    <w:next w:val="CVRoleTitle"/>
    <w:rsid w:val="003A1A33"/>
    <w:pPr>
      <w:spacing w:before="0"/>
    </w:pPr>
    <w:rPr>
      <w:b/>
      <w:i/>
      <w:color w:val="DC6900" w:themeColor="text2"/>
      <w:sz w:val="36"/>
      <w:szCs w:val="24"/>
    </w:rPr>
  </w:style>
  <w:style w:type="paragraph" w:customStyle="1" w:styleId="CVBullet2">
    <w:name w:val="CV Bullet 2"/>
    <w:basedOn w:val="CVBullet1"/>
    <w:rsid w:val="003A1A33"/>
    <w:pPr>
      <w:numPr>
        <w:ilvl w:val="1"/>
      </w:numPr>
    </w:pPr>
  </w:style>
  <w:style w:type="paragraph" w:styleId="Title">
    <w:name w:val="Title"/>
    <w:basedOn w:val="Normal"/>
    <w:semiHidden/>
    <w:qFormat/>
    <w:rsid w:val="003A1A33"/>
    <w:pPr>
      <w:spacing w:before="240" w:after="60"/>
      <w:jc w:val="center"/>
      <w:outlineLvl w:val="0"/>
    </w:pPr>
    <w:rPr>
      <w:b/>
      <w:bCs/>
      <w:color w:val="DC6900" w:themeColor="text2"/>
      <w:kern w:val="28"/>
      <w:sz w:val="32"/>
      <w:szCs w:val="32"/>
    </w:rPr>
  </w:style>
  <w:style w:type="paragraph" w:styleId="BalloonText">
    <w:name w:val="Balloon Text"/>
    <w:basedOn w:val="Normal"/>
    <w:semiHidden/>
    <w:locked/>
    <w:rsid w:val="003A1A33"/>
    <w:rPr>
      <w:rFonts w:ascii="Tahoma" w:hAnsi="Tahoma"/>
      <w:sz w:val="16"/>
      <w:szCs w:val="16"/>
    </w:rPr>
  </w:style>
  <w:style w:type="numbering" w:customStyle="1" w:styleId="LongTOC">
    <w:name w:val="LongTOC"/>
    <w:uiPriority w:val="99"/>
    <w:rsid w:val="001C6E2E"/>
    <w:pPr>
      <w:numPr>
        <w:numId w:val="4"/>
      </w:numPr>
    </w:pPr>
  </w:style>
  <w:style w:type="numbering" w:customStyle="1" w:styleId="IndentList">
    <w:name w:val="IndentList"/>
    <w:basedOn w:val="NoList"/>
    <w:rsid w:val="003A1A33"/>
  </w:style>
  <w:style w:type="paragraph" w:customStyle="1" w:styleId="VersionControl">
    <w:name w:val="Version Control"/>
    <w:basedOn w:val="TOCtitle"/>
    <w:unhideWhenUsed/>
    <w:rsid w:val="003A1A33"/>
    <w:pPr>
      <w:framePr w:w="9923" w:wrap="around" w:vAnchor="text" w:hAnchor="page" w:x="1498" w:y="1"/>
      <w:spacing w:before="360" w:after="240"/>
    </w:pPr>
    <w:rPr>
      <w:sz w:val="28"/>
    </w:rPr>
  </w:style>
  <w:style w:type="paragraph" w:customStyle="1" w:styleId="VersionTableHeading">
    <w:name w:val="Version Table Heading"/>
    <w:basedOn w:val="VersionTableText"/>
    <w:unhideWhenUsed/>
    <w:rsid w:val="003A1A33"/>
    <w:pPr>
      <w:framePr w:wrap="around"/>
    </w:pPr>
  </w:style>
  <w:style w:type="paragraph" w:customStyle="1" w:styleId="VersionTableText">
    <w:name w:val="Version Table Text"/>
    <w:basedOn w:val="VersionControl"/>
    <w:unhideWhenUsed/>
    <w:rsid w:val="003A1A33"/>
    <w:pPr>
      <w:framePr w:wrap="around"/>
      <w:spacing w:before="80" w:after="80"/>
      <w:outlineLvl w:val="9"/>
    </w:pPr>
    <w:rPr>
      <w:rFonts w:ascii="Georgia" w:hAnsi="Georgia"/>
      <w:sz w:val="21"/>
      <w:szCs w:val="20"/>
    </w:rPr>
  </w:style>
  <w:style w:type="table" w:customStyle="1" w:styleId="PwCTableStyleBold1">
    <w:name w:val="PwC Table Style Bold 1"/>
    <w:basedOn w:val="TableNormal"/>
    <w:uiPriority w:val="99"/>
    <w:qFormat/>
    <w:rsid w:val="00FB380F"/>
    <w:rPr>
      <w:color w:val="FFFFFF" w:themeColor="background1"/>
    </w:rPr>
    <w:tblPr>
      <w:tblInd w:w="0" w:type="dxa"/>
      <w:tblBorders>
        <w:insideH w:val="single" w:sz="12" w:space="0" w:color="FFFFFF" w:themeColor="background1"/>
        <w:insideV w:val="single" w:sz="12" w:space="0" w:color="FFFFFF" w:themeColor="background1"/>
      </w:tblBorders>
      <w:tblCellMar>
        <w:top w:w="57" w:type="dxa"/>
        <w:left w:w="108" w:type="dxa"/>
        <w:bottom w:w="57" w:type="dxa"/>
        <w:right w:w="108" w:type="dxa"/>
      </w:tblCellMar>
    </w:tblPr>
    <w:tcPr>
      <w:shd w:val="clear" w:color="auto" w:fill="FFA351" w:themeFill="accent1" w:themeFillTint="99"/>
    </w:tcPr>
    <w:tblStylePr w:type="firstRow">
      <w:pPr>
        <w:jc w:val="left"/>
      </w:pPr>
      <w:rPr>
        <w:b/>
      </w:rPr>
      <w:tblPr/>
      <w:tcPr>
        <w:shd w:val="clear" w:color="auto" w:fill="DC6900" w:themeFill="text2"/>
      </w:tcPr>
    </w:tblStylePr>
    <w:tblStylePr w:type="lastRow">
      <w:rPr>
        <w:b/>
      </w:rPr>
    </w:tblStylePr>
    <w:tblStylePr w:type="firstCol">
      <w:tblPr/>
      <w:tcPr>
        <w:shd w:val="clear" w:color="auto" w:fill="DC6900" w:themeFill="accent1"/>
      </w:tcPr>
    </w:tblStylePr>
  </w:style>
  <w:style w:type="paragraph" w:customStyle="1" w:styleId="SectionSummary">
    <w:name w:val="Section Summary"/>
    <w:basedOn w:val="Normal"/>
    <w:next w:val="PwCNormal"/>
    <w:rsid w:val="00317710"/>
    <w:pPr>
      <w:spacing w:after="240"/>
    </w:pPr>
    <w:rPr>
      <w:rFonts w:asciiTheme="majorHAnsi" w:hAnsiTheme="majorHAnsi"/>
      <w:color w:val="602320" w:themeColor="accent3"/>
      <w:sz w:val="24"/>
    </w:rPr>
  </w:style>
  <w:style w:type="character" w:customStyle="1" w:styleId="HeaderChar">
    <w:name w:val="Header Char"/>
    <w:basedOn w:val="DefaultParagraphFont"/>
    <w:link w:val="Header"/>
    <w:locked/>
    <w:rsid w:val="003A1A33"/>
    <w:rPr>
      <w:rFonts w:cs="Arial"/>
      <w:snapToGrid w:val="0"/>
      <w:color w:val="000000" w:themeColor="text1"/>
      <w:sz w:val="19"/>
      <w:szCs w:val="18"/>
      <w:lang w:eastAsia="en-US"/>
    </w:rPr>
  </w:style>
  <w:style w:type="character" w:customStyle="1" w:styleId="FooterChar">
    <w:name w:val="Footer Char"/>
    <w:basedOn w:val="DefaultParagraphFont"/>
    <w:link w:val="Footer"/>
    <w:locked/>
    <w:rsid w:val="00924BB2"/>
    <w:rPr>
      <w:rFonts w:asciiTheme="minorHAnsi" w:hAnsiTheme="minorHAnsi" w:cs="Arial"/>
      <w:snapToGrid w:val="0"/>
      <w:color w:val="000000" w:themeColor="text1"/>
      <w:sz w:val="19"/>
      <w:szCs w:val="18"/>
      <w:lang w:eastAsia="en-US"/>
    </w:rPr>
  </w:style>
  <w:style w:type="paragraph" w:customStyle="1" w:styleId="Header-FirstPage">
    <w:name w:val="Header - First Page"/>
    <w:basedOn w:val="Header"/>
    <w:rsid w:val="003A1A33"/>
  </w:style>
  <w:style w:type="paragraph" w:customStyle="1" w:styleId="Appendicestitle">
    <w:name w:val="Appendices title"/>
    <w:basedOn w:val="TOCtitle"/>
    <w:qFormat/>
    <w:rsid w:val="00847199"/>
    <w:pPr>
      <w:numPr>
        <w:ilvl w:val="1"/>
        <w:numId w:val="35"/>
      </w:numPr>
    </w:pPr>
    <w:rPr>
      <w:color w:val="968C6D"/>
    </w:rPr>
  </w:style>
  <w:style w:type="numbering" w:customStyle="1" w:styleId="CVBullets">
    <w:name w:val="CV Bullets"/>
    <w:uiPriority w:val="99"/>
    <w:rsid w:val="003A1A33"/>
    <w:pPr>
      <w:numPr>
        <w:numId w:val="7"/>
      </w:numPr>
    </w:pPr>
  </w:style>
  <w:style w:type="paragraph" w:styleId="DocumentMap">
    <w:name w:val="Document Map"/>
    <w:basedOn w:val="Normal"/>
    <w:link w:val="DocumentMapChar"/>
    <w:semiHidden/>
    <w:rsid w:val="003A1A33"/>
    <w:rPr>
      <w:rFonts w:ascii="Tahoma" w:hAnsi="Tahoma" w:cs="Tahoma"/>
      <w:sz w:val="16"/>
      <w:szCs w:val="16"/>
    </w:rPr>
  </w:style>
  <w:style w:type="character" w:customStyle="1" w:styleId="DocumentMapChar">
    <w:name w:val="Document Map Char"/>
    <w:basedOn w:val="DefaultParagraphFont"/>
    <w:link w:val="DocumentMap"/>
    <w:semiHidden/>
    <w:rsid w:val="003A1A33"/>
    <w:rPr>
      <w:rFonts w:ascii="Tahoma" w:hAnsi="Tahoma" w:cs="Tahoma"/>
      <w:snapToGrid w:val="0"/>
      <w:sz w:val="16"/>
      <w:szCs w:val="16"/>
      <w:lang w:eastAsia="en-US"/>
    </w:rPr>
  </w:style>
  <w:style w:type="table" w:customStyle="1" w:styleId="ColorfulGrid1">
    <w:name w:val="Colorful Grid1"/>
    <w:basedOn w:val="TableNormal"/>
    <w:uiPriority w:val="73"/>
    <w:semiHidden/>
    <w:locked/>
    <w:rsid w:val="001C6E2E"/>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locked/>
    <w:rsid w:val="001C6E2E"/>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FE0C5" w:themeFill="accent1" w:themeFillTint="33"/>
    </w:tcPr>
    <w:tblStylePr w:type="firstRow">
      <w:rPr>
        <w:b/>
        <w:bCs/>
      </w:rPr>
      <w:tblPr/>
      <w:tcPr>
        <w:shd w:val="clear" w:color="auto" w:fill="FFC28B" w:themeFill="accent1" w:themeFillTint="66"/>
      </w:tcPr>
    </w:tblStylePr>
    <w:tblStylePr w:type="lastRow">
      <w:rPr>
        <w:b/>
        <w:bCs/>
        <w:color w:val="000000" w:themeColor="text1"/>
      </w:rPr>
      <w:tblPr/>
      <w:tcPr>
        <w:shd w:val="clear" w:color="auto" w:fill="FFC28B" w:themeFill="accent1" w:themeFillTint="66"/>
      </w:tcPr>
    </w:tblStylePr>
    <w:tblStylePr w:type="firstCol">
      <w:rPr>
        <w:color w:val="FFFFFF" w:themeColor="background1"/>
      </w:rPr>
      <w:tblPr/>
      <w:tcPr>
        <w:shd w:val="clear" w:color="auto" w:fill="A44E00" w:themeFill="accent1" w:themeFillShade="BF"/>
      </w:tcPr>
    </w:tblStylePr>
    <w:tblStylePr w:type="lastCol">
      <w:rPr>
        <w:color w:val="FFFFFF" w:themeColor="background1"/>
      </w:rPr>
      <w:tblPr/>
      <w:tcPr>
        <w:shd w:val="clear" w:color="auto" w:fill="A44E00" w:themeFill="accent1" w:themeFillShade="BF"/>
      </w:tcPr>
    </w:tblStylePr>
    <w:tblStylePr w:type="band1Vert">
      <w:tblPr/>
      <w:tcPr>
        <w:shd w:val="clear" w:color="auto" w:fill="FFB26E" w:themeFill="accent1" w:themeFillTint="7F"/>
      </w:tcPr>
    </w:tblStylePr>
    <w:tblStylePr w:type="band1Horz">
      <w:tblPr/>
      <w:tcPr>
        <w:shd w:val="clear" w:color="auto" w:fill="FFB26E" w:themeFill="accent1" w:themeFillTint="7F"/>
      </w:tcPr>
    </w:tblStylePr>
  </w:style>
  <w:style w:type="table" w:styleId="ColorfulGrid-Accent2">
    <w:name w:val="Colorful Grid Accent 2"/>
    <w:basedOn w:val="TableNormal"/>
    <w:uiPriority w:val="73"/>
    <w:semiHidden/>
    <w:locked/>
    <w:rsid w:val="001C6E2E"/>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FF0CC" w:themeFill="accent2" w:themeFillTint="33"/>
    </w:tcPr>
    <w:tblStylePr w:type="firstRow">
      <w:rPr>
        <w:b/>
        <w:bCs/>
      </w:rPr>
      <w:tblPr/>
      <w:tcPr>
        <w:shd w:val="clear" w:color="auto" w:fill="FFE199" w:themeFill="accent2" w:themeFillTint="66"/>
      </w:tcPr>
    </w:tblStylePr>
    <w:tblStylePr w:type="lastRow">
      <w:rPr>
        <w:b/>
        <w:bCs/>
        <w:color w:val="000000" w:themeColor="text1"/>
      </w:rPr>
      <w:tblPr/>
      <w:tcPr>
        <w:shd w:val="clear" w:color="auto" w:fill="FFE199" w:themeFill="accent2" w:themeFillTint="66"/>
      </w:tcPr>
    </w:tblStylePr>
    <w:tblStylePr w:type="firstCol">
      <w:rPr>
        <w:color w:val="FFFFFF" w:themeColor="background1"/>
      </w:rPr>
      <w:tblPr/>
      <w:tcPr>
        <w:shd w:val="clear" w:color="auto" w:fill="BF8800" w:themeFill="accent2" w:themeFillShade="BF"/>
      </w:tcPr>
    </w:tblStylePr>
    <w:tblStylePr w:type="lastCol">
      <w:rPr>
        <w:color w:val="FFFFFF" w:themeColor="background1"/>
      </w:rPr>
      <w:tblPr/>
      <w:tcPr>
        <w:shd w:val="clear" w:color="auto" w:fill="BF8800" w:themeFill="accent2" w:themeFillShade="BF"/>
      </w:tcPr>
    </w:tblStylePr>
    <w:tblStylePr w:type="band1Vert">
      <w:tblPr/>
      <w:tcPr>
        <w:shd w:val="clear" w:color="auto" w:fill="FFDA80" w:themeFill="accent2" w:themeFillTint="7F"/>
      </w:tcPr>
    </w:tblStylePr>
    <w:tblStylePr w:type="band1Horz">
      <w:tblPr/>
      <w:tcPr>
        <w:shd w:val="clear" w:color="auto" w:fill="FFDA80" w:themeFill="accent2" w:themeFillTint="7F"/>
      </w:tcPr>
    </w:tblStylePr>
  </w:style>
  <w:style w:type="table" w:styleId="ColorfulGrid-Accent3">
    <w:name w:val="Colorful Grid Accent 3"/>
    <w:basedOn w:val="TableNormal"/>
    <w:uiPriority w:val="73"/>
    <w:semiHidden/>
    <w:locked/>
    <w:rsid w:val="001C6E2E"/>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BC7C5" w:themeFill="accent3" w:themeFillTint="33"/>
    </w:tcPr>
    <w:tblStylePr w:type="firstRow">
      <w:rPr>
        <w:b/>
        <w:bCs/>
      </w:rPr>
      <w:tblPr/>
      <w:tcPr>
        <w:shd w:val="clear" w:color="auto" w:fill="D88F8C" w:themeFill="accent3" w:themeFillTint="66"/>
      </w:tcPr>
    </w:tblStylePr>
    <w:tblStylePr w:type="lastRow">
      <w:rPr>
        <w:b/>
        <w:bCs/>
        <w:color w:val="000000" w:themeColor="text1"/>
      </w:rPr>
      <w:tblPr/>
      <w:tcPr>
        <w:shd w:val="clear" w:color="auto" w:fill="D88F8C" w:themeFill="accent3" w:themeFillTint="66"/>
      </w:tcPr>
    </w:tblStylePr>
    <w:tblStylePr w:type="firstCol">
      <w:rPr>
        <w:color w:val="FFFFFF" w:themeColor="background1"/>
      </w:rPr>
      <w:tblPr/>
      <w:tcPr>
        <w:shd w:val="clear" w:color="auto" w:fill="471A18" w:themeFill="accent3" w:themeFillShade="BF"/>
      </w:tcPr>
    </w:tblStylePr>
    <w:tblStylePr w:type="lastCol">
      <w:rPr>
        <w:color w:val="FFFFFF" w:themeColor="background1"/>
      </w:rPr>
      <w:tblPr/>
      <w:tcPr>
        <w:shd w:val="clear" w:color="auto" w:fill="471A18" w:themeFill="accent3" w:themeFillShade="BF"/>
      </w:tcPr>
    </w:tblStylePr>
    <w:tblStylePr w:type="band1Vert">
      <w:tblPr/>
      <w:tcPr>
        <w:shd w:val="clear" w:color="auto" w:fill="CF7470" w:themeFill="accent3" w:themeFillTint="7F"/>
      </w:tcPr>
    </w:tblStylePr>
    <w:tblStylePr w:type="band1Horz">
      <w:tblPr/>
      <w:tcPr>
        <w:shd w:val="clear" w:color="auto" w:fill="CF7470" w:themeFill="accent3" w:themeFillTint="7F"/>
      </w:tcPr>
    </w:tblStylePr>
  </w:style>
  <w:style w:type="table" w:styleId="ColorfulGrid-Accent4">
    <w:name w:val="Colorful Grid Accent 4"/>
    <w:basedOn w:val="TableNormal"/>
    <w:uiPriority w:val="73"/>
    <w:semiHidden/>
    <w:locked/>
    <w:rsid w:val="001C6E2E"/>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7DCE1" w:themeFill="accent4" w:themeFillTint="33"/>
    </w:tcPr>
    <w:tblStylePr w:type="firstRow">
      <w:rPr>
        <w:b/>
        <w:bCs/>
      </w:rPr>
      <w:tblPr/>
      <w:tcPr>
        <w:shd w:val="clear" w:color="auto" w:fill="F0BAC3" w:themeFill="accent4" w:themeFillTint="66"/>
      </w:tcPr>
    </w:tblStylePr>
    <w:tblStylePr w:type="lastRow">
      <w:rPr>
        <w:b/>
        <w:bCs/>
        <w:color w:val="000000" w:themeColor="text1"/>
      </w:rPr>
      <w:tblPr/>
      <w:tcPr>
        <w:shd w:val="clear" w:color="auto" w:fill="F0BAC3" w:themeFill="accent4" w:themeFillTint="66"/>
      </w:tcPr>
    </w:tblStylePr>
    <w:tblStylePr w:type="firstCol">
      <w:rPr>
        <w:color w:val="FFFFFF" w:themeColor="background1"/>
      </w:rPr>
      <w:tblPr/>
      <w:tcPr>
        <w:shd w:val="clear" w:color="auto" w:fill="BA2740" w:themeFill="accent4" w:themeFillShade="BF"/>
      </w:tcPr>
    </w:tblStylePr>
    <w:tblStylePr w:type="lastCol">
      <w:rPr>
        <w:color w:val="FFFFFF" w:themeColor="background1"/>
      </w:rPr>
      <w:tblPr/>
      <w:tcPr>
        <w:shd w:val="clear" w:color="auto" w:fill="BA2740" w:themeFill="accent4" w:themeFillShade="BF"/>
      </w:tcPr>
    </w:tblStylePr>
    <w:tblStylePr w:type="band1Vert">
      <w:tblPr/>
      <w:tcPr>
        <w:shd w:val="clear" w:color="auto" w:fill="EDA9B4" w:themeFill="accent4" w:themeFillTint="7F"/>
      </w:tcPr>
    </w:tblStylePr>
    <w:tblStylePr w:type="band1Horz">
      <w:tblPr/>
      <w:tcPr>
        <w:shd w:val="clear" w:color="auto" w:fill="EDA9B4" w:themeFill="accent4" w:themeFillTint="7F"/>
      </w:tcPr>
    </w:tblStylePr>
  </w:style>
  <w:style w:type="table" w:styleId="ColorfulGrid-Accent5">
    <w:name w:val="Colorful Grid Accent 5"/>
    <w:basedOn w:val="TableNormal"/>
    <w:uiPriority w:val="73"/>
    <w:semiHidden/>
    <w:locked/>
    <w:rsid w:val="001C6E2E"/>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4CACA" w:themeFill="accent5" w:themeFillTint="33"/>
    </w:tcPr>
    <w:tblStylePr w:type="firstRow">
      <w:rPr>
        <w:b/>
        <w:bCs/>
      </w:rPr>
      <w:tblPr/>
      <w:tcPr>
        <w:shd w:val="clear" w:color="auto" w:fill="EA9595" w:themeFill="accent5" w:themeFillTint="66"/>
      </w:tcPr>
    </w:tblStylePr>
    <w:tblStylePr w:type="lastRow">
      <w:rPr>
        <w:b/>
        <w:bCs/>
        <w:color w:val="000000" w:themeColor="text1"/>
      </w:rPr>
      <w:tblPr/>
      <w:tcPr>
        <w:shd w:val="clear" w:color="auto" w:fill="EA9595" w:themeFill="accent5" w:themeFillTint="66"/>
      </w:tcPr>
    </w:tblStylePr>
    <w:tblStylePr w:type="firstCol">
      <w:rPr>
        <w:color w:val="FFFFFF" w:themeColor="background1"/>
      </w:rPr>
      <w:tblPr/>
      <w:tcPr>
        <w:shd w:val="clear" w:color="auto" w:fill="7A1818" w:themeFill="accent5" w:themeFillShade="BF"/>
      </w:tcPr>
    </w:tblStylePr>
    <w:tblStylePr w:type="lastCol">
      <w:rPr>
        <w:color w:val="FFFFFF" w:themeColor="background1"/>
      </w:rPr>
      <w:tblPr/>
      <w:tcPr>
        <w:shd w:val="clear" w:color="auto" w:fill="7A1818" w:themeFill="accent5" w:themeFillShade="BF"/>
      </w:tcPr>
    </w:tblStylePr>
    <w:tblStylePr w:type="band1Vert">
      <w:tblPr/>
      <w:tcPr>
        <w:shd w:val="clear" w:color="auto" w:fill="E57B7B" w:themeFill="accent5" w:themeFillTint="7F"/>
      </w:tcPr>
    </w:tblStylePr>
    <w:tblStylePr w:type="band1Horz">
      <w:tblPr/>
      <w:tcPr>
        <w:shd w:val="clear" w:color="auto" w:fill="E57B7B" w:themeFill="accent5" w:themeFillTint="7F"/>
      </w:tcPr>
    </w:tblStylePr>
  </w:style>
  <w:style w:type="table" w:styleId="ColorfulGrid-Accent6">
    <w:name w:val="Colorful Grid Accent 6"/>
    <w:basedOn w:val="TableNormal"/>
    <w:uiPriority w:val="73"/>
    <w:semiHidden/>
    <w:locked/>
    <w:rsid w:val="001C6E2E"/>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9D5D1" w:themeFill="accent6" w:themeFillTint="33"/>
    </w:tcPr>
    <w:tblStylePr w:type="firstRow">
      <w:rPr>
        <w:b/>
        <w:bCs/>
      </w:rPr>
      <w:tblPr/>
      <w:tcPr>
        <w:shd w:val="clear" w:color="auto" w:fill="F3ABA4" w:themeFill="accent6" w:themeFillTint="66"/>
      </w:tcPr>
    </w:tblStylePr>
    <w:tblStylePr w:type="lastRow">
      <w:rPr>
        <w:b/>
        <w:bCs/>
        <w:color w:val="000000" w:themeColor="text1"/>
      </w:rPr>
      <w:tblPr/>
      <w:tcPr>
        <w:shd w:val="clear" w:color="auto" w:fill="F3ABA4" w:themeFill="accent6" w:themeFillTint="66"/>
      </w:tcPr>
    </w:tblStylePr>
    <w:tblStylePr w:type="firstCol">
      <w:rPr>
        <w:color w:val="FFFFFF" w:themeColor="background1"/>
      </w:rPr>
      <w:tblPr/>
      <w:tcPr>
        <w:shd w:val="clear" w:color="auto" w:fill="A72316" w:themeFill="accent6" w:themeFillShade="BF"/>
      </w:tcPr>
    </w:tblStylePr>
    <w:tblStylePr w:type="lastCol">
      <w:rPr>
        <w:color w:val="FFFFFF" w:themeColor="background1"/>
      </w:rPr>
      <w:tblPr/>
      <w:tcPr>
        <w:shd w:val="clear" w:color="auto" w:fill="A72316" w:themeFill="accent6" w:themeFillShade="BF"/>
      </w:tcPr>
    </w:tblStylePr>
    <w:tblStylePr w:type="band1Vert">
      <w:tblPr/>
      <w:tcPr>
        <w:shd w:val="clear" w:color="auto" w:fill="F0978E" w:themeFill="accent6" w:themeFillTint="7F"/>
      </w:tcPr>
    </w:tblStylePr>
    <w:tblStylePr w:type="band1Horz">
      <w:tblPr/>
      <w:tcPr>
        <w:shd w:val="clear" w:color="auto" w:fill="F0978E" w:themeFill="accent6" w:themeFillTint="7F"/>
      </w:tcPr>
    </w:tblStylePr>
  </w:style>
  <w:style w:type="table" w:customStyle="1" w:styleId="ColorfulList1">
    <w:name w:val="Colorful List1"/>
    <w:basedOn w:val="TableNormal"/>
    <w:uiPriority w:val="72"/>
    <w:semiHidden/>
    <w:locked/>
    <w:rsid w:val="001C6E2E"/>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9100" w:themeFill="accent2" w:themeFillShade="CC"/>
      </w:tcPr>
    </w:tblStylePr>
    <w:tblStylePr w:type="lastRow">
      <w:rPr>
        <w:b/>
        <w:bCs/>
        <w:color w:val="CC91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locked/>
    <w:rsid w:val="001C6E2E"/>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EFE2" w:themeFill="accent1" w:themeFillTint="19"/>
    </w:tcPr>
    <w:tblStylePr w:type="firstRow">
      <w:rPr>
        <w:b/>
        <w:bCs/>
        <w:color w:val="FFFFFF" w:themeColor="background1"/>
      </w:rPr>
      <w:tblPr/>
      <w:tcPr>
        <w:tcBorders>
          <w:bottom w:val="single" w:sz="12" w:space="0" w:color="FFFFFF" w:themeColor="background1"/>
        </w:tcBorders>
        <w:shd w:val="clear" w:color="auto" w:fill="CC9100" w:themeFill="accent2" w:themeFillShade="CC"/>
      </w:tcPr>
    </w:tblStylePr>
    <w:tblStylePr w:type="lastRow">
      <w:rPr>
        <w:b/>
        <w:bCs/>
        <w:color w:val="CC91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9B7" w:themeFill="accent1" w:themeFillTint="3F"/>
      </w:tcPr>
    </w:tblStylePr>
    <w:tblStylePr w:type="band1Horz">
      <w:tblPr/>
      <w:tcPr>
        <w:shd w:val="clear" w:color="auto" w:fill="FFE0C5" w:themeFill="accent1" w:themeFillTint="33"/>
      </w:tcPr>
    </w:tblStylePr>
  </w:style>
  <w:style w:type="table" w:styleId="ColorfulList-Accent2">
    <w:name w:val="Colorful List Accent 2"/>
    <w:basedOn w:val="TableNormal"/>
    <w:uiPriority w:val="72"/>
    <w:semiHidden/>
    <w:locked/>
    <w:rsid w:val="001C6E2E"/>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F7E6" w:themeFill="accent2" w:themeFillTint="19"/>
    </w:tcPr>
    <w:tblStylePr w:type="firstRow">
      <w:rPr>
        <w:b/>
        <w:bCs/>
        <w:color w:val="FFFFFF" w:themeColor="background1"/>
      </w:rPr>
      <w:tblPr/>
      <w:tcPr>
        <w:tcBorders>
          <w:bottom w:val="single" w:sz="12" w:space="0" w:color="FFFFFF" w:themeColor="background1"/>
        </w:tcBorders>
        <w:shd w:val="clear" w:color="auto" w:fill="CC9100" w:themeFill="accent2" w:themeFillShade="CC"/>
      </w:tcPr>
    </w:tblStylePr>
    <w:tblStylePr w:type="lastRow">
      <w:rPr>
        <w:b/>
        <w:bCs/>
        <w:color w:val="CC91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CC0" w:themeFill="accent2" w:themeFillTint="3F"/>
      </w:tcPr>
    </w:tblStylePr>
    <w:tblStylePr w:type="band1Horz">
      <w:tblPr/>
      <w:tcPr>
        <w:shd w:val="clear" w:color="auto" w:fill="FFF0CC" w:themeFill="accent2" w:themeFillTint="33"/>
      </w:tcPr>
    </w:tblStylePr>
  </w:style>
  <w:style w:type="table" w:styleId="ColorfulList-Accent3">
    <w:name w:val="Colorful List Accent 3"/>
    <w:basedOn w:val="TableNormal"/>
    <w:uiPriority w:val="72"/>
    <w:semiHidden/>
    <w:locked/>
    <w:rsid w:val="001C6E2E"/>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E3E2" w:themeFill="accent3" w:themeFillTint="19"/>
    </w:tcPr>
    <w:tblStylePr w:type="firstRow">
      <w:rPr>
        <w:b/>
        <w:bCs/>
        <w:color w:val="FFFFFF" w:themeColor="background1"/>
      </w:rPr>
      <w:tblPr/>
      <w:tcPr>
        <w:tcBorders>
          <w:bottom w:val="single" w:sz="12" w:space="0" w:color="FFFFFF" w:themeColor="background1"/>
        </w:tcBorders>
        <w:shd w:val="clear" w:color="auto" w:fill="C72944" w:themeFill="accent4" w:themeFillShade="CC"/>
      </w:tcPr>
    </w:tblStylePr>
    <w:tblStylePr w:type="lastRow">
      <w:rPr>
        <w:b/>
        <w:bCs/>
        <w:color w:val="C72944"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BAB8" w:themeFill="accent3" w:themeFillTint="3F"/>
      </w:tcPr>
    </w:tblStylePr>
    <w:tblStylePr w:type="band1Horz">
      <w:tblPr/>
      <w:tcPr>
        <w:shd w:val="clear" w:color="auto" w:fill="EBC7C5" w:themeFill="accent3" w:themeFillTint="33"/>
      </w:tcPr>
    </w:tblStylePr>
  </w:style>
  <w:style w:type="table" w:styleId="ColorfulList-Accent4">
    <w:name w:val="Colorful List Accent 4"/>
    <w:basedOn w:val="TableNormal"/>
    <w:uiPriority w:val="72"/>
    <w:semiHidden/>
    <w:locked/>
    <w:rsid w:val="001C6E2E"/>
    <w:rPr>
      <w:color w:val="000000" w:themeColor="text1"/>
    </w:rPr>
    <w:tblPr>
      <w:tblStyleRowBandSize w:val="1"/>
      <w:tblStyleColBandSize w:val="1"/>
      <w:tblInd w:w="0" w:type="dxa"/>
      <w:tblCellMar>
        <w:top w:w="0" w:type="dxa"/>
        <w:left w:w="108" w:type="dxa"/>
        <w:bottom w:w="0" w:type="dxa"/>
        <w:right w:w="108" w:type="dxa"/>
      </w:tblCellMar>
    </w:tblPr>
    <w:tcPr>
      <w:shd w:val="clear" w:color="auto" w:fill="FBEDF0" w:themeFill="accent4" w:themeFillTint="19"/>
    </w:tcPr>
    <w:tblStylePr w:type="firstRow">
      <w:rPr>
        <w:b/>
        <w:bCs/>
        <w:color w:val="FFFFFF" w:themeColor="background1"/>
      </w:rPr>
      <w:tblPr/>
      <w:tcPr>
        <w:tcBorders>
          <w:bottom w:val="single" w:sz="12" w:space="0" w:color="FFFFFF" w:themeColor="background1"/>
        </w:tcBorders>
        <w:shd w:val="clear" w:color="auto" w:fill="4C1B19" w:themeFill="accent3" w:themeFillShade="CC"/>
      </w:tcPr>
    </w:tblStylePr>
    <w:tblStylePr w:type="lastRow">
      <w:rPr>
        <w:b/>
        <w:bCs/>
        <w:color w:val="4C1B19"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4D9" w:themeFill="accent4" w:themeFillTint="3F"/>
      </w:tcPr>
    </w:tblStylePr>
    <w:tblStylePr w:type="band1Horz">
      <w:tblPr/>
      <w:tcPr>
        <w:shd w:val="clear" w:color="auto" w:fill="F7DCE1" w:themeFill="accent4" w:themeFillTint="33"/>
      </w:tcPr>
    </w:tblStylePr>
  </w:style>
  <w:style w:type="table" w:styleId="ColorfulList-Accent5">
    <w:name w:val="Colorful List Accent 5"/>
    <w:basedOn w:val="TableNormal"/>
    <w:uiPriority w:val="72"/>
    <w:semiHidden/>
    <w:locked/>
    <w:rsid w:val="001C6E2E"/>
    <w:rPr>
      <w:color w:val="000000" w:themeColor="text1"/>
    </w:rPr>
    <w:tblPr>
      <w:tblStyleRowBandSize w:val="1"/>
      <w:tblStyleColBandSize w:val="1"/>
      <w:tblInd w:w="0" w:type="dxa"/>
      <w:tblCellMar>
        <w:top w:w="0" w:type="dxa"/>
        <w:left w:w="108" w:type="dxa"/>
        <w:bottom w:w="0" w:type="dxa"/>
        <w:right w:w="108" w:type="dxa"/>
      </w:tblCellMar>
    </w:tblPr>
    <w:tcPr>
      <w:shd w:val="clear" w:color="auto" w:fill="FAE5E5" w:themeFill="accent5" w:themeFillTint="19"/>
    </w:tcPr>
    <w:tblStylePr w:type="firstRow">
      <w:rPr>
        <w:b/>
        <w:bCs/>
        <w:color w:val="FFFFFF" w:themeColor="background1"/>
      </w:rPr>
      <w:tblPr/>
      <w:tcPr>
        <w:tcBorders>
          <w:bottom w:val="single" w:sz="12" w:space="0" w:color="FFFFFF" w:themeColor="background1"/>
        </w:tcBorders>
        <w:shd w:val="clear" w:color="auto" w:fill="B22618" w:themeFill="accent6" w:themeFillShade="CC"/>
      </w:tcPr>
    </w:tblStylePr>
    <w:tblStylePr w:type="lastRow">
      <w:rPr>
        <w:b/>
        <w:bCs/>
        <w:color w:val="B2261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BDBD" w:themeFill="accent5" w:themeFillTint="3F"/>
      </w:tcPr>
    </w:tblStylePr>
    <w:tblStylePr w:type="band1Horz">
      <w:tblPr/>
      <w:tcPr>
        <w:shd w:val="clear" w:color="auto" w:fill="F4CACA" w:themeFill="accent5" w:themeFillTint="33"/>
      </w:tcPr>
    </w:tblStylePr>
  </w:style>
  <w:style w:type="table" w:styleId="ColorfulList-Accent6">
    <w:name w:val="Colorful List Accent 6"/>
    <w:basedOn w:val="TableNormal"/>
    <w:uiPriority w:val="72"/>
    <w:semiHidden/>
    <w:locked/>
    <w:rsid w:val="001C6E2E"/>
    <w:rPr>
      <w:color w:val="000000" w:themeColor="text1"/>
    </w:rPr>
    <w:tblPr>
      <w:tblStyleRowBandSize w:val="1"/>
      <w:tblStyleColBandSize w:val="1"/>
      <w:tblInd w:w="0" w:type="dxa"/>
      <w:tblCellMar>
        <w:top w:w="0" w:type="dxa"/>
        <w:left w:w="108" w:type="dxa"/>
        <w:bottom w:w="0" w:type="dxa"/>
        <w:right w:w="108" w:type="dxa"/>
      </w:tblCellMar>
    </w:tblPr>
    <w:tcPr>
      <w:shd w:val="clear" w:color="auto" w:fill="FCEAE8" w:themeFill="accent6" w:themeFillTint="19"/>
    </w:tcPr>
    <w:tblStylePr w:type="firstRow">
      <w:rPr>
        <w:b/>
        <w:bCs/>
        <w:color w:val="FFFFFF" w:themeColor="background1"/>
      </w:rPr>
      <w:tblPr/>
      <w:tcPr>
        <w:tcBorders>
          <w:bottom w:val="single" w:sz="12" w:space="0" w:color="FFFFFF" w:themeColor="background1"/>
        </w:tcBorders>
        <w:shd w:val="clear" w:color="auto" w:fill="821919" w:themeFill="accent5" w:themeFillShade="CC"/>
      </w:tcPr>
    </w:tblStylePr>
    <w:tblStylePr w:type="lastRow">
      <w:rPr>
        <w:b/>
        <w:bCs/>
        <w:color w:val="821919"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CBC7" w:themeFill="accent6" w:themeFillTint="3F"/>
      </w:tcPr>
    </w:tblStylePr>
    <w:tblStylePr w:type="band1Horz">
      <w:tblPr/>
      <w:tcPr>
        <w:shd w:val="clear" w:color="auto" w:fill="F9D5D1" w:themeFill="accent6" w:themeFillTint="33"/>
      </w:tcPr>
    </w:tblStylePr>
  </w:style>
  <w:style w:type="table" w:customStyle="1" w:styleId="ColorfulShading1">
    <w:name w:val="Colorful Shading1"/>
    <w:basedOn w:val="TableNormal"/>
    <w:uiPriority w:val="71"/>
    <w:semiHidden/>
    <w:locked/>
    <w:rsid w:val="001C6E2E"/>
    <w:rPr>
      <w:color w:val="000000" w:themeColor="text1"/>
    </w:rPr>
    <w:tblPr>
      <w:tblStyleRowBandSize w:val="1"/>
      <w:tblStyleColBandSize w:val="1"/>
      <w:tblInd w:w="0" w:type="dxa"/>
      <w:tblBorders>
        <w:top w:val="single" w:sz="24" w:space="0" w:color="FFB6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FFB6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locked/>
    <w:rsid w:val="001C6E2E"/>
    <w:rPr>
      <w:color w:val="000000" w:themeColor="text1"/>
    </w:rPr>
    <w:tblPr>
      <w:tblStyleRowBandSize w:val="1"/>
      <w:tblStyleColBandSize w:val="1"/>
      <w:tblInd w:w="0" w:type="dxa"/>
      <w:tblBorders>
        <w:top w:val="single" w:sz="24" w:space="0" w:color="FFB600" w:themeColor="accent2"/>
        <w:left w:val="single" w:sz="4" w:space="0" w:color="DC6900" w:themeColor="accent1"/>
        <w:bottom w:val="single" w:sz="4" w:space="0" w:color="DC6900" w:themeColor="accent1"/>
        <w:right w:val="single" w:sz="4" w:space="0" w:color="DC6900"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EFE2" w:themeFill="accent1" w:themeFillTint="19"/>
    </w:tcPr>
    <w:tblStylePr w:type="firstRow">
      <w:rPr>
        <w:b/>
        <w:bCs/>
      </w:rPr>
      <w:tblPr/>
      <w:tcPr>
        <w:tcBorders>
          <w:top w:val="nil"/>
          <w:left w:val="nil"/>
          <w:bottom w:val="single" w:sz="24" w:space="0" w:color="FFB6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43E00" w:themeFill="accent1" w:themeFillShade="99"/>
      </w:tcPr>
    </w:tblStylePr>
    <w:tblStylePr w:type="firstCol">
      <w:rPr>
        <w:color w:val="FFFFFF" w:themeColor="background1"/>
      </w:rPr>
      <w:tblPr/>
      <w:tcPr>
        <w:tcBorders>
          <w:top w:val="nil"/>
          <w:left w:val="nil"/>
          <w:bottom w:val="nil"/>
          <w:right w:val="nil"/>
          <w:insideH w:val="single" w:sz="4" w:space="0" w:color="843E00" w:themeColor="accent1" w:themeShade="99"/>
          <w:insideV w:val="nil"/>
        </w:tcBorders>
        <w:shd w:val="clear" w:color="auto" w:fill="843E0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843E00" w:themeFill="accent1" w:themeFillShade="99"/>
      </w:tcPr>
    </w:tblStylePr>
    <w:tblStylePr w:type="band1Vert">
      <w:tblPr/>
      <w:tcPr>
        <w:shd w:val="clear" w:color="auto" w:fill="FFC28B" w:themeFill="accent1" w:themeFillTint="66"/>
      </w:tcPr>
    </w:tblStylePr>
    <w:tblStylePr w:type="band1Horz">
      <w:tblPr/>
      <w:tcPr>
        <w:shd w:val="clear" w:color="auto" w:fill="FFB26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locked/>
    <w:rsid w:val="001C6E2E"/>
    <w:rPr>
      <w:color w:val="000000" w:themeColor="text1"/>
    </w:rPr>
    <w:tblPr>
      <w:tblStyleRowBandSize w:val="1"/>
      <w:tblStyleColBandSize w:val="1"/>
      <w:tblInd w:w="0" w:type="dxa"/>
      <w:tblBorders>
        <w:top w:val="single" w:sz="24" w:space="0" w:color="FFB600" w:themeColor="accent2"/>
        <w:left w:val="single" w:sz="4" w:space="0" w:color="FFB600" w:themeColor="accent2"/>
        <w:bottom w:val="single" w:sz="4" w:space="0" w:color="FFB600" w:themeColor="accent2"/>
        <w:right w:val="single" w:sz="4" w:space="0" w:color="FFB600"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7E6" w:themeFill="accent2" w:themeFillTint="19"/>
    </w:tcPr>
    <w:tblStylePr w:type="firstRow">
      <w:rPr>
        <w:b/>
        <w:bCs/>
      </w:rPr>
      <w:tblPr/>
      <w:tcPr>
        <w:tcBorders>
          <w:top w:val="nil"/>
          <w:left w:val="nil"/>
          <w:bottom w:val="single" w:sz="24" w:space="0" w:color="FFB6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6D00" w:themeFill="accent2" w:themeFillShade="99"/>
      </w:tcPr>
    </w:tblStylePr>
    <w:tblStylePr w:type="firstCol">
      <w:rPr>
        <w:color w:val="FFFFFF" w:themeColor="background1"/>
      </w:rPr>
      <w:tblPr/>
      <w:tcPr>
        <w:tcBorders>
          <w:top w:val="nil"/>
          <w:left w:val="nil"/>
          <w:bottom w:val="nil"/>
          <w:right w:val="nil"/>
          <w:insideH w:val="single" w:sz="4" w:space="0" w:color="996D00" w:themeColor="accent2" w:themeShade="99"/>
          <w:insideV w:val="nil"/>
        </w:tcBorders>
        <w:shd w:val="clear" w:color="auto" w:fill="996D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6D00" w:themeFill="accent2" w:themeFillShade="99"/>
      </w:tcPr>
    </w:tblStylePr>
    <w:tblStylePr w:type="band1Vert">
      <w:tblPr/>
      <w:tcPr>
        <w:shd w:val="clear" w:color="auto" w:fill="FFE199" w:themeFill="accent2" w:themeFillTint="66"/>
      </w:tcPr>
    </w:tblStylePr>
    <w:tblStylePr w:type="band1Horz">
      <w:tblPr/>
      <w:tcPr>
        <w:shd w:val="clear" w:color="auto" w:fill="FFDA8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locked/>
    <w:rsid w:val="001C6E2E"/>
    <w:rPr>
      <w:color w:val="000000" w:themeColor="text1"/>
    </w:rPr>
    <w:tblPr>
      <w:tblStyleRowBandSize w:val="1"/>
      <w:tblStyleColBandSize w:val="1"/>
      <w:tblInd w:w="0" w:type="dxa"/>
      <w:tblBorders>
        <w:top w:val="single" w:sz="24" w:space="0" w:color="DB536A" w:themeColor="accent4"/>
        <w:left w:val="single" w:sz="4" w:space="0" w:color="602320" w:themeColor="accent3"/>
        <w:bottom w:val="single" w:sz="4" w:space="0" w:color="602320" w:themeColor="accent3"/>
        <w:right w:val="single" w:sz="4" w:space="0" w:color="602320"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E3E2" w:themeFill="accent3" w:themeFillTint="19"/>
    </w:tcPr>
    <w:tblStylePr w:type="firstRow">
      <w:rPr>
        <w:b/>
        <w:bCs/>
      </w:rPr>
      <w:tblPr/>
      <w:tcPr>
        <w:tcBorders>
          <w:top w:val="nil"/>
          <w:left w:val="nil"/>
          <w:bottom w:val="single" w:sz="24" w:space="0" w:color="DB536A"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1413" w:themeFill="accent3" w:themeFillShade="99"/>
      </w:tcPr>
    </w:tblStylePr>
    <w:tblStylePr w:type="firstCol">
      <w:rPr>
        <w:color w:val="FFFFFF" w:themeColor="background1"/>
      </w:rPr>
      <w:tblPr/>
      <w:tcPr>
        <w:tcBorders>
          <w:top w:val="nil"/>
          <w:left w:val="nil"/>
          <w:bottom w:val="nil"/>
          <w:right w:val="nil"/>
          <w:insideH w:val="single" w:sz="4" w:space="0" w:color="391413" w:themeColor="accent3" w:themeShade="99"/>
          <w:insideV w:val="nil"/>
        </w:tcBorders>
        <w:shd w:val="clear" w:color="auto" w:fill="39141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91413" w:themeFill="accent3" w:themeFillShade="99"/>
      </w:tcPr>
    </w:tblStylePr>
    <w:tblStylePr w:type="band1Vert">
      <w:tblPr/>
      <w:tcPr>
        <w:shd w:val="clear" w:color="auto" w:fill="D88F8C" w:themeFill="accent3" w:themeFillTint="66"/>
      </w:tcPr>
    </w:tblStylePr>
    <w:tblStylePr w:type="band1Horz">
      <w:tblPr/>
      <w:tcPr>
        <w:shd w:val="clear" w:color="auto" w:fill="CF7470" w:themeFill="accent3" w:themeFillTint="7F"/>
      </w:tcPr>
    </w:tblStylePr>
  </w:style>
  <w:style w:type="table" w:styleId="ColorfulShading-Accent4">
    <w:name w:val="Colorful Shading Accent 4"/>
    <w:basedOn w:val="TableNormal"/>
    <w:uiPriority w:val="71"/>
    <w:semiHidden/>
    <w:locked/>
    <w:rsid w:val="001C6E2E"/>
    <w:rPr>
      <w:color w:val="000000" w:themeColor="text1"/>
    </w:rPr>
    <w:tblPr>
      <w:tblStyleRowBandSize w:val="1"/>
      <w:tblStyleColBandSize w:val="1"/>
      <w:tblInd w:w="0" w:type="dxa"/>
      <w:tblBorders>
        <w:top w:val="single" w:sz="24" w:space="0" w:color="602320" w:themeColor="accent3"/>
        <w:left w:val="single" w:sz="4" w:space="0" w:color="DB536A" w:themeColor="accent4"/>
        <w:bottom w:val="single" w:sz="4" w:space="0" w:color="DB536A" w:themeColor="accent4"/>
        <w:right w:val="single" w:sz="4" w:space="0" w:color="DB536A"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DF0" w:themeFill="accent4" w:themeFillTint="19"/>
    </w:tcPr>
    <w:tblStylePr w:type="firstRow">
      <w:rPr>
        <w:b/>
        <w:bCs/>
      </w:rPr>
      <w:tblPr/>
      <w:tcPr>
        <w:tcBorders>
          <w:top w:val="nil"/>
          <w:left w:val="nil"/>
          <w:bottom w:val="single" w:sz="24" w:space="0" w:color="60232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1F33" w:themeFill="accent4" w:themeFillShade="99"/>
      </w:tcPr>
    </w:tblStylePr>
    <w:tblStylePr w:type="firstCol">
      <w:rPr>
        <w:color w:val="FFFFFF" w:themeColor="background1"/>
      </w:rPr>
      <w:tblPr/>
      <w:tcPr>
        <w:tcBorders>
          <w:top w:val="nil"/>
          <w:left w:val="nil"/>
          <w:bottom w:val="nil"/>
          <w:right w:val="nil"/>
          <w:insideH w:val="single" w:sz="4" w:space="0" w:color="951F33" w:themeColor="accent4" w:themeShade="99"/>
          <w:insideV w:val="nil"/>
        </w:tcBorders>
        <w:shd w:val="clear" w:color="auto" w:fill="951F33"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51F33" w:themeFill="accent4" w:themeFillShade="99"/>
      </w:tcPr>
    </w:tblStylePr>
    <w:tblStylePr w:type="band1Vert">
      <w:tblPr/>
      <w:tcPr>
        <w:shd w:val="clear" w:color="auto" w:fill="F0BAC3" w:themeFill="accent4" w:themeFillTint="66"/>
      </w:tcPr>
    </w:tblStylePr>
    <w:tblStylePr w:type="band1Horz">
      <w:tblPr/>
      <w:tcPr>
        <w:shd w:val="clear" w:color="auto" w:fill="EDA9B4"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locked/>
    <w:rsid w:val="001C6E2E"/>
    <w:rPr>
      <w:color w:val="000000" w:themeColor="text1"/>
    </w:rPr>
    <w:tblPr>
      <w:tblStyleRowBandSize w:val="1"/>
      <w:tblStyleColBandSize w:val="1"/>
      <w:tblInd w:w="0" w:type="dxa"/>
      <w:tblBorders>
        <w:top w:val="single" w:sz="24" w:space="0" w:color="E0301E" w:themeColor="accent6"/>
        <w:left w:val="single" w:sz="4" w:space="0" w:color="A32020" w:themeColor="accent5"/>
        <w:bottom w:val="single" w:sz="4" w:space="0" w:color="A32020" w:themeColor="accent5"/>
        <w:right w:val="single" w:sz="4" w:space="0" w:color="A32020"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AE5E5" w:themeFill="accent5" w:themeFillTint="19"/>
    </w:tcPr>
    <w:tblStylePr w:type="firstRow">
      <w:rPr>
        <w:b/>
        <w:bCs/>
      </w:rPr>
      <w:tblPr/>
      <w:tcPr>
        <w:tcBorders>
          <w:top w:val="nil"/>
          <w:left w:val="nil"/>
          <w:bottom w:val="single" w:sz="24" w:space="0" w:color="E0301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11313" w:themeFill="accent5" w:themeFillShade="99"/>
      </w:tcPr>
    </w:tblStylePr>
    <w:tblStylePr w:type="firstCol">
      <w:rPr>
        <w:color w:val="FFFFFF" w:themeColor="background1"/>
      </w:rPr>
      <w:tblPr/>
      <w:tcPr>
        <w:tcBorders>
          <w:top w:val="nil"/>
          <w:left w:val="nil"/>
          <w:bottom w:val="nil"/>
          <w:right w:val="nil"/>
          <w:insideH w:val="single" w:sz="4" w:space="0" w:color="611313" w:themeColor="accent5" w:themeShade="99"/>
          <w:insideV w:val="nil"/>
        </w:tcBorders>
        <w:shd w:val="clear" w:color="auto" w:fill="611313"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611313" w:themeFill="accent5" w:themeFillShade="99"/>
      </w:tcPr>
    </w:tblStylePr>
    <w:tblStylePr w:type="band1Vert">
      <w:tblPr/>
      <w:tcPr>
        <w:shd w:val="clear" w:color="auto" w:fill="EA9595" w:themeFill="accent5" w:themeFillTint="66"/>
      </w:tcPr>
    </w:tblStylePr>
    <w:tblStylePr w:type="band1Horz">
      <w:tblPr/>
      <w:tcPr>
        <w:shd w:val="clear" w:color="auto" w:fill="E57B7B"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locked/>
    <w:rsid w:val="001C6E2E"/>
    <w:rPr>
      <w:color w:val="000000" w:themeColor="text1"/>
    </w:rPr>
    <w:tblPr>
      <w:tblStyleRowBandSize w:val="1"/>
      <w:tblStyleColBandSize w:val="1"/>
      <w:tblInd w:w="0" w:type="dxa"/>
      <w:tblBorders>
        <w:top w:val="single" w:sz="24" w:space="0" w:color="A32020" w:themeColor="accent5"/>
        <w:left w:val="single" w:sz="4" w:space="0" w:color="E0301E" w:themeColor="accent6"/>
        <w:bottom w:val="single" w:sz="4" w:space="0" w:color="E0301E" w:themeColor="accent6"/>
        <w:right w:val="single" w:sz="4" w:space="0" w:color="E0301E"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CEAE8" w:themeFill="accent6" w:themeFillTint="19"/>
    </w:tcPr>
    <w:tblStylePr w:type="firstRow">
      <w:rPr>
        <w:b/>
        <w:bCs/>
      </w:rPr>
      <w:tblPr/>
      <w:tcPr>
        <w:tcBorders>
          <w:top w:val="nil"/>
          <w:left w:val="nil"/>
          <w:bottom w:val="single" w:sz="24" w:space="0" w:color="A3202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61C12" w:themeFill="accent6" w:themeFillShade="99"/>
      </w:tcPr>
    </w:tblStylePr>
    <w:tblStylePr w:type="firstCol">
      <w:rPr>
        <w:color w:val="FFFFFF" w:themeColor="background1"/>
      </w:rPr>
      <w:tblPr/>
      <w:tcPr>
        <w:tcBorders>
          <w:top w:val="nil"/>
          <w:left w:val="nil"/>
          <w:bottom w:val="nil"/>
          <w:right w:val="nil"/>
          <w:insideH w:val="single" w:sz="4" w:space="0" w:color="861C12" w:themeColor="accent6" w:themeShade="99"/>
          <w:insideV w:val="nil"/>
        </w:tcBorders>
        <w:shd w:val="clear" w:color="auto" w:fill="861C12"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861C12" w:themeFill="accent6" w:themeFillShade="99"/>
      </w:tcPr>
    </w:tblStylePr>
    <w:tblStylePr w:type="band1Vert">
      <w:tblPr/>
      <w:tcPr>
        <w:shd w:val="clear" w:color="auto" w:fill="F3ABA4" w:themeFill="accent6" w:themeFillTint="66"/>
      </w:tcPr>
    </w:tblStylePr>
    <w:tblStylePr w:type="band1Horz">
      <w:tblPr/>
      <w:tcPr>
        <w:shd w:val="clear" w:color="auto" w:fill="F0978E" w:themeFill="accent6" w:themeFillTint="7F"/>
      </w:tcPr>
    </w:tblStylePr>
    <w:tblStylePr w:type="neCell">
      <w:rPr>
        <w:color w:val="000000" w:themeColor="text1"/>
      </w:rPr>
    </w:tblStylePr>
    <w:tblStylePr w:type="nwCell">
      <w:rPr>
        <w:color w:val="000000" w:themeColor="text1"/>
      </w:rPr>
    </w:tblStylePr>
  </w:style>
  <w:style w:type="table" w:customStyle="1" w:styleId="DarkList1">
    <w:name w:val="Dark List1"/>
    <w:basedOn w:val="TableNormal"/>
    <w:uiPriority w:val="70"/>
    <w:semiHidden/>
    <w:locked/>
    <w:rsid w:val="001C6E2E"/>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locked/>
    <w:rsid w:val="001C6E2E"/>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DC6900"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D330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A44E0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A44E00" w:themeFill="accent1" w:themeFillShade="BF"/>
      </w:tcPr>
    </w:tblStylePr>
    <w:tblStylePr w:type="band1Vert">
      <w:tblPr/>
      <w:tcPr>
        <w:tcBorders>
          <w:top w:val="nil"/>
          <w:left w:val="nil"/>
          <w:bottom w:val="nil"/>
          <w:right w:val="nil"/>
          <w:insideH w:val="nil"/>
          <w:insideV w:val="nil"/>
        </w:tcBorders>
        <w:shd w:val="clear" w:color="auto" w:fill="A44E00" w:themeFill="accent1" w:themeFillShade="BF"/>
      </w:tcPr>
    </w:tblStylePr>
    <w:tblStylePr w:type="band1Horz">
      <w:tblPr/>
      <w:tcPr>
        <w:tcBorders>
          <w:top w:val="nil"/>
          <w:left w:val="nil"/>
          <w:bottom w:val="nil"/>
          <w:right w:val="nil"/>
          <w:insideH w:val="nil"/>
          <w:insideV w:val="nil"/>
        </w:tcBorders>
        <w:shd w:val="clear" w:color="auto" w:fill="A44E00" w:themeFill="accent1" w:themeFillShade="BF"/>
      </w:tcPr>
    </w:tblStylePr>
  </w:style>
  <w:style w:type="table" w:styleId="DarkList-Accent2">
    <w:name w:val="Dark List Accent 2"/>
    <w:basedOn w:val="TableNormal"/>
    <w:uiPriority w:val="70"/>
    <w:semiHidden/>
    <w:locked/>
    <w:rsid w:val="001C6E2E"/>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FB6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A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88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8800" w:themeFill="accent2" w:themeFillShade="BF"/>
      </w:tcPr>
    </w:tblStylePr>
    <w:tblStylePr w:type="band1Vert">
      <w:tblPr/>
      <w:tcPr>
        <w:tcBorders>
          <w:top w:val="nil"/>
          <w:left w:val="nil"/>
          <w:bottom w:val="nil"/>
          <w:right w:val="nil"/>
          <w:insideH w:val="nil"/>
          <w:insideV w:val="nil"/>
        </w:tcBorders>
        <w:shd w:val="clear" w:color="auto" w:fill="BF8800" w:themeFill="accent2" w:themeFillShade="BF"/>
      </w:tcPr>
    </w:tblStylePr>
    <w:tblStylePr w:type="band1Horz">
      <w:tblPr/>
      <w:tcPr>
        <w:tcBorders>
          <w:top w:val="nil"/>
          <w:left w:val="nil"/>
          <w:bottom w:val="nil"/>
          <w:right w:val="nil"/>
          <w:insideH w:val="nil"/>
          <w:insideV w:val="nil"/>
        </w:tcBorders>
        <w:shd w:val="clear" w:color="auto" w:fill="BF8800" w:themeFill="accent2" w:themeFillShade="BF"/>
      </w:tcPr>
    </w:tblStylePr>
  </w:style>
  <w:style w:type="table" w:styleId="DarkList-Accent3">
    <w:name w:val="Dark List Accent 3"/>
    <w:basedOn w:val="TableNormal"/>
    <w:uiPriority w:val="70"/>
    <w:semiHidden/>
    <w:locked/>
    <w:rsid w:val="001C6E2E"/>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60232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111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71A1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71A18" w:themeFill="accent3" w:themeFillShade="BF"/>
      </w:tcPr>
    </w:tblStylePr>
    <w:tblStylePr w:type="band1Vert">
      <w:tblPr/>
      <w:tcPr>
        <w:tcBorders>
          <w:top w:val="nil"/>
          <w:left w:val="nil"/>
          <w:bottom w:val="nil"/>
          <w:right w:val="nil"/>
          <w:insideH w:val="nil"/>
          <w:insideV w:val="nil"/>
        </w:tcBorders>
        <w:shd w:val="clear" w:color="auto" w:fill="471A18" w:themeFill="accent3" w:themeFillShade="BF"/>
      </w:tcPr>
    </w:tblStylePr>
    <w:tblStylePr w:type="band1Horz">
      <w:tblPr/>
      <w:tcPr>
        <w:tcBorders>
          <w:top w:val="nil"/>
          <w:left w:val="nil"/>
          <w:bottom w:val="nil"/>
          <w:right w:val="nil"/>
          <w:insideH w:val="nil"/>
          <w:insideV w:val="nil"/>
        </w:tcBorders>
        <w:shd w:val="clear" w:color="auto" w:fill="471A18" w:themeFill="accent3" w:themeFillShade="BF"/>
      </w:tcPr>
    </w:tblStylePr>
  </w:style>
  <w:style w:type="table" w:styleId="DarkList-Accent4">
    <w:name w:val="Dark List Accent 4"/>
    <w:basedOn w:val="TableNormal"/>
    <w:uiPriority w:val="70"/>
    <w:semiHidden/>
    <w:locked/>
    <w:rsid w:val="001C6E2E"/>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DB536A"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C1A2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A274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A2740" w:themeFill="accent4" w:themeFillShade="BF"/>
      </w:tcPr>
    </w:tblStylePr>
    <w:tblStylePr w:type="band1Vert">
      <w:tblPr/>
      <w:tcPr>
        <w:tcBorders>
          <w:top w:val="nil"/>
          <w:left w:val="nil"/>
          <w:bottom w:val="nil"/>
          <w:right w:val="nil"/>
          <w:insideH w:val="nil"/>
          <w:insideV w:val="nil"/>
        </w:tcBorders>
        <w:shd w:val="clear" w:color="auto" w:fill="BA2740" w:themeFill="accent4" w:themeFillShade="BF"/>
      </w:tcPr>
    </w:tblStylePr>
    <w:tblStylePr w:type="band1Horz">
      <w:tblPr/>
      <w:tcPr>
        <w:tcBorders>
          <w:top w:val="nil"/>
          <w:left w:val="nil"/>
          <w:bottom w:val="nil"/>
          <w:right w:val="nil"/>
          <w:insideH w:val="nil"/>
          <w:insideV w:val="nil"/>
        </w:tcBorders>
        <w:shd w:val="clear" w:color="auto" w:fill="BA2740" w:themeFill="accent4" w:themeFillShade="BF"/>
      </w:tcPr>
    </w:tblStylePr>
  </w:style>
  <w:style w:type="table" w:styleId="DarkList-Accent5">
    <w:name w:val="Dark List Accent 5"/>
    <w:basedOn w:val="TableNormal"/>
    <w:uiPriority w:val="70"/>
    <w:semiHidden/>
    <w:locked/>
    <w:rsid w:val="001C6E2E"/>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A3202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1101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A181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A1818" w:themeFill="accent5" w:themeFillShade="BF"/>
      </w:tcPr>
    </w:tblStylePr>
    <w:tblStylePr w:type="band1Vert">
      <w:tblPr/>
      <w:tcPr>
        <w:tcBorders>
          <w:top w:val="nil"/>
          <w:left w:val="nil"/>
          <w:bottom w:val="nil"/>
          <w:right w:val="nil"/>
          <w:insideH w:val="nil"/>
          <w:insideV w:val="nil"/>
        </w:tcBorders>
        <w:shd w:val="clear" w:color="auto" w:fill="7A1818" w:themeFill="accent5" w:themeFillShade="BF"/>
      </w:tcPr>
    </w:tblStylePr>
    <w:tblStylePr w:type="band1Horz">
      <w:tblPr/>
      <w:tcPr>
        <w:tcBorders>
          <w:top w:val="nil"/>
          <w:left w:val="nil"/>
          <w:bottom w:val="nil"/>
          <w:right w:val="nil"/>
          <w:insideH w:val="nil"/>
          <w:insideV w:val="nil"/>
        </w:tcBorders>
        <w:shd w:val="clear" w:color="auto" w:fill="7A1818" w:themeFill="accent5" w:themeFillShade="BF"/>
      </w:tcPr>
    </w:tblStylePr>
  </w:style>
  <w:style w:type="table" w:styleId="DarkList-Accent6">
    <w:name w:val="Dark List Accent 6"/>
    <w:basedOn w:val="TableNormal"/>
    <w:uiPriority w:val="70"/>
    <w:semiHidden/>
    <w:locked/>
    <w:rsid w:val="001C6E2E"/>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0301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F170F"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A72316"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A72316" w:themeFill="accent6" w:themeFillShade="BF"/>
      </w:tcPr>
    </w:tblStylePr>
    <w:tblStylePr w:type="band1Vert">
      <w:tblPr/>
      <w:tcPr>
        <w:tcBorders>
          <w:top w:val="nil"/>
          <w:left w:val="nil"/>
          <w:bottom w:val="nil"/>
          <w:right w:val="nil"/>
          <w:insideH w:val="nil"/>
          <w:insideV w:val="nil"/>
        </w:tcBorders>
        <w:shd w:val="clear" w:color="auto" w:fill="A72316" w:themeFill="accent6" w:themeFillShade="BF"/>
      </w:tcPr>
    </w:tblStylePr>
    <w:tblStylePr w:type="band1Horz">
      <w:tblPr/>
      <w:tcPr>
        <w:tcBorders>
          <w:top w:val="nil"/>
          <w:left w:val="nil"/>
          <w:bottom w:val="nil"/>
          <w:right w:val="nil"/>
          <w:insideH w:val="nil"/>
          <w:insideV w:val="nil"/>
        </w:tcBorders>
        <w:shd w:val="clear" w:color="auto" w:fill="A72316" w:themeFill="accent6" w:themeFillShade="BF"/>
      </w:tcPr>
    </w:tblStylePr>
  </w:style>
  <w:style w:type="table" w:customStyle="1" w:styleId="LightGrid1">
    <w:name w:val="Light Grid1"/>
    <w:basedOn w:val="TableNormal"/>
    <w:uiPriority w:val="62"/>
    <w:semiHidden/>
    <w:locked/>
    <w:rsid w:val="001C6E2E"/>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TableNormal"/>
    <w:uiPriority w:val="62"/>
    <w:semiHidden/>
    <w:locked/>
    <w:rsid w:val="001C6E2E"/>
    <w:tblPr>
      <w:tblStyleRowBandSize w:val="1"/>
      <w:tblStyleColBandSize w:val="1"/>
      <w:tblInd w:w="0" w:type="dxa"/>
      <w:tblBorders>
        <w:top w:val="single" w:sz="8" w:space="0" w:color="DC6900" w:themeColor="accent1"/>
        <w:left w:val="single" w:sz="8" w:space="0" w:color="DC6900" w:themeColor="accent1"/>
        <w:bottom w:val="single" w:sz="8" w:space="0" w:color="DC6900" w:themeColor="accent1"/>
        <w:right w:val="single" w:sz="8" w:space="0" w:color="DC6900" w:themeColor="accent1"/>
        <w:insideH w:val="single" w:sz="8" w:space="0" w:color="DC6900" w:themeColor="accent1"/>
        <w:insideV w:val="single" w:sz="8" w:space="0" w:color="DC6900"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DC6900" w:themeColor="accent1"/>
          <w:left w:val="single" w:sz="8" w:space="0" w:color="DC6900" w:themeColor="accent1"/>
          <w:bottom w:val="single" w:sz="18" w:space="0" w:color="DC6900" w:themeColor="accent1"/>
          <w:right w:val="single" w:sz="8" w:space="0" w:color="DC6900" w:themeColor="accent1"/>
          <w:insideH w:val="nil"/>
          <w:insideV w:val="single" w:sz="8" w:space="0" w:color="DC690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C6900" w:themeColor="accent1"/>
          <w:left w:val="single" w:sz="8" w:space="0" w:color="DC6900" w:themeColor="accent1"/>
          <w:bottom w:val="single" w:sz="8" w:space="0" w:color="DC6900" w:themeColor="accent1"/>
          <w:right w:val="single" w:sz="8" w:space="0" w:color="DC6900" w:themeColor="accent1"/>
          <w:insideH w:val="nil"/>
          <w:insideV w:val="single" w:sz="8" w:space="0" w:color="DC690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tblStylePr w:type="band1Vert">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shd w:val="clear" w:color="auto" w:fill="FFD9B7" w:themeFill="accent1" w:themeFillTint="3F"/>
      </w:tcPr>
    </w:tblStylePr>
    <w:tblStylePr w:type="band1Horz">
      <w:tblPr/>
      <w:tcPr>
        <w:tcBorders>
          <w:top w:val="single" w:sz="8" w:space="0" w:color="DC6900" w:themeColor="accent1"/>
          <w:left w:val="single" w:sz="8" w:space="0" w:color="DC6900" w:themeColor="accent1"/>
          <w:bottom w:val="single" w:sz="8" w:space="0" w:color="DC6900" w:themeColor="accent1"/>
          <w:right w:val="single" w:sz="8" w:space="0" w:color="DC6900" w:themeColor="accent1"/>
          <w:insideV w:val="single" w:sz="8" w:space="0" w:color="DC6900" w:themeColor="accent1"/>
        </w:tcBorders>
        <w:shd w:val="clear" w:color="auto" w:fill="FFD9B7" w:themeFill="accent1" w:themeFillTint="3F"/>
      </w:tcPr>
    </w:tblStylePr>
    <w:tblStylePr w:type="band2Horz">
      <w:tblPr/>
      <w:tcPr>
        <w:tcBorders>
          <w:top w:val="single" w:sz="8" w:space="0" w:color="DC6900" w:themeColor="accent1"/>
          <w:left w:val="single" w:sz="8" w:space="0" w:color="DC6900" w:themeColor="accent1"/>
          <w:bottom w:val="single" w:sz="8" w:space="0" w:color="DC6900" w:themeColor="accent1"/>
          <w:right w:val="single" w:sz="8" w:space="0" w:color="DC6900" w:themeColor="accent1"/>
          <w:insideV w:val="single" w:sz="8" w:space="0" w:color="DC6900" w:themeColor="accent1"/>
        </w:tcBorders>
      </w:tcPr>
    </w:tblStylePr>
  </w:style>
  <w:style w:type="table" w:styleId="LightGrid-Accent2">
    <w:name w:val="Light Grid Accent 2"/>
    <w:basedOn w:val="TableNormal"/>
    <w:uiPriority w:val="62"/>
    <w:semiHidden/>
    <w:locked/>
    <w:rsid w:val="001C6E2E"/>
    <w:tblPr>
      <w:tblStyleRowBandSize w:val="1"/>
      <w:tblStyleColBandSize w:val="1"/>
      <w:tblInd w:w="0" w:type="dxa"/>
      <w:tblBorders>
        <w:top w:val="single" w:sz="8" w:space="0" w:color="FFB600" w:themeColor="accent2"/>
        <w:left w:val="single" w:sz="8" w:space="0" w:color="FFB600" w:themeColor="accent2"/>
        <w:bottom w:val="single" w:sz="8" w:space="0" w:color="FFB600" w:themeColor="accent2"/>
        <w:right w:val="single" w:sz="8" w:space="0" w:color="FFB600" w:themeColor="accent2"/>
        <w:insideH w:val="single" w:sz="8" w:space="0" w:color="FFB600" w:themeColor="accent2"/>
        <w:insideV w:val="single" w:sz="8" w:space="0" w:color="FFB6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FB600" w:themeColor="accent2"/>
          <w:left w:val="single" w:sz="8" w:space="0" w:color="FFB600" w:themeColor="accent2"/>
          <w:bottom w:val="single" w:sz="18" w:space="0" w:color="FFB600" w:themeColor="accent2"/>
          <w:right w:val="single" w:sz="8" w:space="0" w:color="FFB600" w:themeColor="accent2"/>
          <w:insideH w:val="nil"/>
          <w:insideV w:val="single" w:sz="8" w:space="0" w:color="FFB6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B600" w:themeColor="accent2"/>
          <w:left w:val="single" w:sz="8" w:space="0" w:color="FFB600" w:themeColor="accent2"/>
          <w:bottom w:val="single" w:sz="8" w:space="0" w:color="FFB600" w:themeColor="accent2"/>
          <w:right w:val="single" w:sz="8" w:space="0" w:color="FFB600" w:themeColor="accent2"/>
          <w:insideH w:val="nil"/>
          <w:insideV w:val="single" w:sz="8" w:space="0" w:color="FFB6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B600" w:themeColor="accent2"/>
          <w:left w:val="single" w:sz="8" w:space="0" w:color="FFB600" w:themeColor="accent2"/>
          <w:bottom w:val="single" w:sz="8" w:space="0" w:color="FFB600" w:themeColor="accent2"/>
          <w:right w:val="single" w:sz="8" w:space="0" w:color="FFB600" w:themeColor="accent2"/>
        </w:tcBorders>
      </w:tcPr>
    </w:tblStylePr>
    <w:tblStylePr w:type="band1Vert">
      <w:tblPr/>
      <w:tcPr>
        <w:tcBorders>
          <w:top w:val="single" w:sz="8" w:space="0" w:color="FFB600" w:themeColor="accent2"/>
          <w:left w:val="single" w:sz="8" w:space="0" w:color="FFB600" w:themeColor="accent2"/>
          <w:bottom w:val="single" w:sz="8" w:space="0" w:color="FFB600" w:themeColor="accent2"/>
          <w:right w:val="single" w:sz="8" w:space="0" w:color="FFB600" w:themeColor="accent2"/>
        </w:tcBorders>
        <w:shd w:val="clear" w:color="auto" w:fill="FFECC0" w:themeFill="accent2" w:themeFillTint="3F"/>
      </w:tcPr>
    </w:tblStylePr>
    <w:tblStylePr w:type="band1Horz">
      <w:tblPr/>
      <w:tcPr>
        <w:tcBorders>
          <w:top w:val="single" w:sz="8" w:space="0" w:color="FFB600" w:themeColor="accent2"/>
          <w:left w:val="single" w:sz="8" w:space="0" w:color="FFB600" w:themeColor="accent2"/>
          <w:bottom w:val="single" w:sz="8" w:space="0" w:color="FFB600" w:themeColor="accent2"/>
          <w:right w:val="single" w:sz="8" w:space="0" w:color="FFB600" w:themeColor="accent2"/>
          <w:insideV w:val="single" w:sz="8" w:space="0" w:color="FFB600" w:themeColor="accent2"/>
        </w:tcBorders>
        <w:shd w:val="clear" w:color="auto" w:fill="FFECC0" w:themeFill="accent2" w:themeFillTint="3F"/>
      </w:tcPr>
    </w:tblStylePr>
    <w:tblStylePr w:type="band2Horz">
      <w:tblPr/>
      <w:tcPr>
        <w:tcBorders>
          <w:top w:val="single" w:sz="8" w:space="0" w:color="FFB600" w:themeColor="accent2"/>
          <w:left w:val="single" w:sz="8" w:space="0" w:color="FFB600" w:themeColor="accent2"/>
          <w:bottom w:val="single" w:sz="8" w:space="0" w:color="FFB600" w:themeColor="accent2"/>
          <w:right w:val="single" w:sz="8" w:space="0" w:color="FFB600" w:themeColor="accent2"/>
          <w:insideV w:val="single" w:sz="8" w:space="0" w:color="FFB600" w:themeColor="accent2"/>
        </w:tcBorders>
      </w:tcPr>
    </w:tblStylePr>
  </w:style>
  <w:style w:type="table" w:styleId="LightGrid-Accent3">
    <w:name w:val="Light Grid Accent 3"/>
    <w:basedOn w:val="TableNormal"/>
    <w:uiPriority w:val="62"/>
    <w:semiHidden/>
    <w:locked/>
    <w:rsid w:val="001C6E2E"/>
    <w:tblPr>
      <w:tblStyleRowBandSize w:val="1"/>
      <w:tblStyleColBandSize w:val="1"/>
      <w:tblInd w:w="0" w:type="dxa"/>
      <w:tblBorders>
        <w:top w:val="single" w:sz="8" w:space="0" w:color="602320" w:themeColor="accent3"/>
        <w:left w:val="single" w:sz="8" w:space="0" w:color="602320" w:themeColor="accent3"/>
        <w:bottom w:val="single" w:sz="8" w:space="0" w:color="602320" w:themeColor="accent3"/>
        <w:right w:val="single" w:sz="8" w:space="0" w:color="602320" w:themeColor="accent3"/>
        <w:insideH w:val="single" w:sz="8" w:space="0" w:color="602320" w:themeColor="accent3"/>
        <w:insideV w:val="single" w:sz="8" w:space="0" w:color="602320"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602320" w:themeColor="accent3"/>
          <w:left w:val="single" w:sz="8" w:space="0" w:color="602320" w:themeColor="accent3"/>
          <w:bottom w:val="single" w:sz="18" w:space="0" w:color="602320" w:themeColor="accent3"/>
          <w:right w:val="single" w:sz="8" w:space="0" w:color="602320" w:themeColor="accent3"/>
          <w:insideH w:val="nil"/>
          <w:insideV w:val="single" w:sz="8" w:space="0" w:color="60232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02320" w:themeColor="accent3"/>
          <w:left w:val="single" w:sz="8" w:space="0" w:color="602320" w:themeColor="accent3"/>
          <w:bottom w:val="single" w:sz="8" w:space="0" w:color="602320" w:themeColor="accent3"/>
          <w:right w:val="single" w:sz="8" w:space="0" w:color="602320" w:themeColor="accent3"/>
          <w:insideH w:val="nil"/>
          <w:insideV w:val="single" w:sz="8" w:space="0" w:color="60232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02320" w:themeColor="accent3"/>
          <w:left w:val="single" w:sz="8" w:space="0" w:color="602320" w:themeColor="accent3"/>
          <w:bottom w:val="single" w:sz="8" w:space="0" w:color="602320" w:themeColor="accent3"/>
          <w:right w:val="single" w:sz="8" w:space="0" w:color="602320" w:themeColor="accent3"/>
        </w:tcBorders>
      </w:tcPr>
    </w:tblStylePr>
    <w:tblStylePr w:type="band1Vert">
      <w:tblPr/>
      <w:tcPr>
        <w:tcBorders>
          <w:top w:val="single" w:sz="8" w:space="0" w:color="602320" w:themeColor="accent3"/>
          <w:left w:val="single" w:sz="8" w:space="0" w:color="602320" w:themeColor="accent3"/>
          <w:bottom w:val="single" w:sz="8" w:space="0" w:color="602320" w:themeColor="accent3"/>
          <w:right w:val="single" w:sz="8" w:space="0" w:color="602320" w:themeColor="accent3"/>
        </w:tcBorders>
        <w:shd w:val="clear" w:color="auto" w:fill="E7BAB8" w:themeFill="accent3" w:themeFillTint="3F"/>
      </w:tcPr>
    </w:tblStylePr>
    <w:tblStylePr w:type="band1Horz">
      <w:tblPr/>
      <w:tcPr>
        <w:tcBorders>
          <w:top w:val="single" w:sz="8" w:space="0" w:color="602320" w:themeColor="accent3"/>
          <w:left w:val="single" w:sz="8" w:space="0" w:color="602320" w:themeColor="accent3"/>
          <w:bottom w:val="single" w:sz="8" w:space="0" w:color="602320" w:themeColor="accent3"/>
          <w:right w:val="single" w:sz="8" w:space="0" w:color="602320" w:themeColor="accent3"/>
          <w:insideV w:val="single" w:sz="8" w:space="0" w:color="602320" w:themeColor="accent3"/>
        </w:tcBorders>
        <w:shd w:val="clear" w:color="auto" w:fill="E7BAB8" w:themeFill="accent3" w:themeFillTint="3F"/>
      </w:tcPr>
    </w:tblStylePr>
    <w:tblStylePr w:type="band2Horz">
      <w:tblPr/>
      <w:tcPr>
        <w:tcBorders>
          <w:top w:val="single" w:sz="8" w:space="0" w:color="602320" w:themeColor="accent3"/>
          <w:left w:val="single" w:sz="8" w:space="0" w:color="602320" w:themeColor="accent3"/>
          <w:bottom w:val="single" w:sz="8" w:space="0" w:color="602320" w:themeColor="accent3"/>
          <w:right w:val="single" w:sz="8" w:space="0" w:color="602320" w:themeColor="accent3"/>
          <w:insideV w:val="single" w:sz="8" w:space="0" w:color="602320" w:themeColor="accent3"/>
        </w:tcBorders>
      </w:tcPr>
    </w:tblStylePr>
  </w:style>
  <w:style w:type="table" w:styleId="LightGrid-Accent4">
    <w:name w:val="Light Grid Accent 4"/>
    <w:basedOn w:val="TableNormal"/>
    <w:uiPriority w:val="62"/>
    <w:semiHidden/>
    <w:locked/>
    <w:rsid w:val="001C6E2E"/>
    <w:tblPr>
      <w:tblStyleRowBandSize w:val="1"/>
      <w:tblStyleColBandSize w:val="1"/>
      <w:tblInd w:w="0" w:type="dxa"/>
      <w:tblBorders>
        <w:top w:val="single" w:sz="8" w:space="0" w:color="DB536A" w:themeColor="accent4"/>
        <w:left w:val="single" w:sz="8" w:space="0" w:color="DB536A" w:themeColor="accent4"/>
        <w:bottom w:val="single" w:sz="8" w:space="0" w:color="DB536A" w:themeColor="accent4"/>
        <w:right w:val="single" w:sz="8" w:space="0" w:color="DB536A" w:themeColor="accent4"/>
        <w:insideH w:val="single" w:sz="8" w:space="0" w:color="DB536A" w:themeColor="accent4"/>
        <w:insideV w:val="single" w:sz="8" w:space="0" w:color="DB536A"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DB536A" w:themeColor="accent4"/>
          <w:left w:val="single" w:sz="8" w:space="0" w:color="DB536A" w:themeColor="accent4"/>
          <w:bottom w:val="single" w:sz="18" w:space="0" w:color="DB536A" w:themeColor="accent4"/>
          <w:right w:val="single" w:sz="8" w:space="0" w:color="DB536A" w:themeColor="accent4"/>
          <w:insideH w:val="nil"/>
          <w:insideV w:val="single" w:sz="8" w:space="0" w:color="DB536A"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B536A" w:themeColor="accent4"/>
          <w:left w:val="single" w:sz="8" w:space="0" w:color="DB536A" w:themeColor="accent4"/>
          <w:bottom w:val="single" w:sz="8" w:space="0" w:color="DB536A" w:themeColor="accent4"/>
          <w:right w:val="single" w:sz="8" w:space="0" w:color="DB536A" w:themeColor="accent4"/>
          <w:insideH w:val="nil"/>
          <w:insideV w:val="single" w:sz="8" w:space="0" w:color="DB536A"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B536A" w:themeColor="accent4"/>
          <w:left w:val="single" w:sz="8" w:space="0" w:color="DB536A" w:themeColor="accent4"/>
          <w:bottom w:val="single" w:sz="8" w:space="0" w:color="DB536A" w:themeColor="accent4"/>
          <w:right w:val="single" w:sz="8" w:space="0" w:color="DB536A" w:themeColor="accent4"/>
        </w:tcBorders>
      </w:tcPr>
    </w:tblStylePr>
    <w:tblStylePr w:type="band1Vert">
      <w:tblPr/>
      <w:tcPr>
        <w:tcBorders>
          <w:top w:val="single" w:sz="8" w:space="0" w:color="DB536A" w:themeColor="accent4"/>
          <w:left w:val="single" w:sz="8" w:space="0" w:color="DB536A" w:themeColor="accent4"/>
          <w:bottom w:val="single" w:sz="8" w:space="0" w:color="DB536A" w:themeColor="accent4"/>
          <w:right w:val="single" w:sz="8" w:space="0" w:color="DB536A" w:themeColor="accent4"/>
        </w:tcBorders>
        <w:shd w:val="clear" w:color="auto" w:fill="F6D4D9" w:themeFill="accent4" w:themeFillTint="3F"/>
      </w:tcPr>
    </w:tblStylePr>
    <w:tblStylePr w:type="band1Horz">
      <w:tblPr/>
      <w:tcPr>
        <w:tcBorders>
          <w:top w:val="single" w:sz="8" w:space="0" w:color="DB536A" w:themeColor="accent4"/>
          <w:left w:val="single" w:sz="8" w:space="0" w:color="DB536A" w:themeColor="accent4"/>
          <w:bottom w:val="single" w:sz="8" w:space="0" w:color="DB536A" w:themeColor="accent4"/>
          <w:right w:val="single" w:sz="8" w:space="0" w:color="DB536A" w:themeColor="accent4"/>
          <w:insideV w:val="single" w:sz="8" w:space="0" w:color="DB536A" w:themeColor="accent4"/>
        </w:tcBorders>
        <w:shd w:val="clear" w:color="auto" w:fill="F6D4D9" w:themeFill="accent4" w:themeFillTint="3F"/>
      </w:tcPr>
    </w:tblStylePr>
    <w:tblStylePr w:type="band2Horz">
      <w:tblPr/>
      <w:tcPr>
        <w:tcBorders>
          <w:top w:val="single" w:sz="8" w:space="0" w:color="DB536A" w:themeColor="accent4"/>
          <w:left w:val="single" w:sz="8" w:space="0" w:color="DB536A" w:themeColor="accent4"/>
          <w:bottom w:val="single" w:sz="8" w:space="0" w:color="DB536A" w:themeColor="accent4"/>
          <w:right w:val="single" w:sz="8" w:space="0" w:color="DB536A" w:themeColor="accent4"/>
          <w:insideV w:val="single" w:sz="8" w:space="0" w:color="DB536A" w:themeColor="accent4"/>
        </w:tcBorders>
      </w:tcPr>
    </w:tblStylePr>
  </w:style>
  <w:style w:type="table" w:styleId="LightGrid-Accent5">
    <w:name w:val="Light Grid Accent 5"/>
    <w:basedOn w:val="TableNormal"/>
    <w:uiPriority w:val="62"/>
    <w:semiHidden/>
    <w:locked/>
    <w:rsid w:val="001C6E2E"/>
    <w:tblPr>
      <w:tblStyleRowBandSize w:val="1"/>
      <w:tblStyleColBandSize w:val="1"/>
      <w:tblInd w:w="0" w:type="dxa"/>
      <w:tblBorders>
        <w:top w:val="single" w:sz="8" w:space="0" w:color="A32020" w:themeColor="accent5"/>
        <w:left w:val="single" w:sz="8" w:space="0" w:color="A32020" w:themeColor="accent5"/>
        <w:bottom w:val="single" w:sz="8" w:space="0" w:color="A32020" w:themeColor="accent5"/>
        <w:right w:val="single" w:sz="8" w:space="0" w:color="A32020" w:themeColor="accent5"/>
        <w:insideH w:val="single" w:sz="8" w:space="0" w:color="A32020" w:themeColor="accent5"/>
        <w:insideV w:val="single" w:sz="8" w:space="0" w:color="A32020"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A32020" w:themeColor="accent5"/>
          <w:left w:val="single" w:sz="8" w:space="0" w:color="A32020" w:themeColor="accent5"/>
          <w:bottom w:val="single" w:sz="18" w:space="0" w:color="A32020" w:themeColor="accent5"/>
          <w:right w:val="single" w:sz="8" w:space="0" w:color="A32020" w:themeColor="accent5"/>
          <w:insideH w:val="nil"/>
          <w:insideV w:val="single" w:sz="8" w:space="0" w:color="A3202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32020" w:themeColor="accent5"/>
          <w:left w:val="single" w:sz="8" w:space="0" w:color="A32020" w:themeColor="accent5"/>
          <w:bottom w:val="single" w:sz="8" w:space="0" w:color="A32020" w:themeColor="accent5"/>
          <w:right w:val="single" w:sz="8" w:space="0" w:color="A32020" w:themeColor="accent5"/>
          <w:insideH w:val="nil"/>
          <w:insideV w:val="single" w:sz="8" w:space="0" w:color="A3202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32020" w:themeColor="accent5"/>
          <w:left w:val="single" w:sz="8" w:space="0" w:color="A32020" w:themeColor="accent5"/>
          <w:bottom w:val="single" w:sz="8" w:space="0" w:color="A32020" w:themeColor="accent5"/>
          <w:right w:val="single" w:sz="8" w:space="0" w:color="A32020" w:themeColor="accent5"/>
        </w:tcBorders>
      </w:tcPr>
    </w:tblStylePr>
    <w:tblStylePr w:type="band1Vert">
      <w:tblPr/>
      <w:tcPr>
        <w:tcBorders>
          <w:top w:val="single" w:sz="8" w:space="0" w:color="A32020" w:themeColor="accent5"/>
          <w:left w:val="single" w:sz="8" w:space="0" w:color="A32020" w:themeColor="accent5"/>
          <w:bottom w:val="single" w:sz="8" w:space="0" w:color="A32020" w:themeColor="accent5"/>
          <w:right w:val="single" w:sz="8" w:space="0" w:color="A32020" w:themeColor="accent5"/>
        </w:tcBorders>
        <w:shd w:val="clear" w:color="auto" w:fill="F2BDBD" w:themeFill="accent5" w:themeFillTint="3F"/>
      </w:tcPr>
    </w:tblStylePr>
    <w:tblStylePr w:type="band1Horz">
      <w:tblPr/>
      <w:tcPr>
        <w:tcBorders>
          <w:top w:val="single" w:sz="8" w:space="0" w:color="A32020" w:themeColor="accent5"/>
          <w:left w:val="single" w:sz="8" w:space="0" w:color="A32020" w:themeColor="accent5"/>
          <w:bottom w:val="single" w:sz="8" w:space="0" w:color="A32020" w:themeColor="accent5"/>
          <w:right w:val="single" w:sz="8" w:space="0" w:color="A32020" w:themeColor="accent5"/>
          <w:insideV w:val="single" w:sz="8" w:space="0" w:color="A32020" w:themeColor="accent5"/>
        </w:tcBorders>
        <w:shd w:val="clear" w:color="auto" w:fill="F2BDBD" w:themeFill="accent5" w:themeFillTint="3F"/>
      </w:tcPr>
    </w:tblStylePr>
    <w:tblStylePr w:type="band2Horz">
      <w:tblPr/>
      <w:tcPr>
        <w:tcBorders>
          <w:top w:val="single" w:sz="8" w:space="0" w:color="A32020" w:themeColor="accent5"/>
          <w:left w:val="single" w:sz="8" w:space="0" w:color="A32020" w:themeColor="accent5"/>
          <w:bottom w:val="single" w:sz="8" w:space="0" w:color="A32020" w:themeColor="accent5"/>
          <w:right w:val="single" w:sz="8" w:space="0" w:color="A32020" w:themeColor="accent5"/>
          <w:insideV w:val="single" w:sz="8" w:space="0" w:color="A32020" w:themeColor="accent5"/>
        </w:tcBorders>
      </w:tcPr>
    </w:tblStylePr>
  </w:style>
  <w:style w:type="table" w:styleId="LightGrid-Accent6">
    <w:name w:val="Light Grid Accent 6"/>
    <w:basedOn w:val="TableNormal"/>
    <w:uiPriority w:val="62"/>
    <w:semiHidden/>
    <w:locked/>
    <w:rsid w:val="001C6E2E"/>
    <w:tblPr>
      <w:tblStyleRowBandSize w:val="1"/>
      <w:tblStyleColBandSize w:val="1"/>
      <w:tblInd w:w="0" w:type="dxa"/>
      <w:tblBorders>
        <w:top w:val="single" w:sz="8" w:space="0" w:color="E0301E" w:themeColor="accent6"/>
        <w:left w:val="single" w:sz="8" w:space="0" w:color="E0301E" w:themeColor="accent6"/>
        <w:bottom w:val="single" w:sz="8" w:space="0" w:color="E0301E" w:themeColor="accent6"/>
        <w:right w:val="single" w:sz="8" w:space="0" w:color="E0301E" w:themeColor="accent6"/>
        <w:insideH w:val="single" w:sz="8" w:space="0" w:color="E0301E" w:themeColor="accent6"/>
        <w:insideV w:val="single" w:sz="8" w:space="0" w:color="E0301E"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E0301E" w:themeColor="accent6"/>
          <w:left w:val="single" w:sz="8" w:space="0" w:color="E0301E" w:themeColor="accent6"/>
          <w:bottom w:val="single" w:sz="18" w:space="0" w:color="E0301E" w:themeColor="accent6"/>
          <w:right w:val="single" w:sz="8" w:space="0" w:color="E0301E" w:themeColor="accent6"/>
          <w:insideH w:val="nil"/>
          <w:insideV w:val="single" w:sz="8" w:space="0" w:color="E0301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0301E" w:themeColor="accent6"/>
          <w:left w:val="single" w:sz="8" w:space="0" w:color="E0301E" w:themeColor="accent6"/>
          <w:bottom w:val="single" w:sz="8" w:space="0" w:color="E0301E" w:themeColor="accent6"/>
          <w:right w:val="single" w:sz="8" w:space="0" w:color="E0301E" w:themeColor="accent6"/>
          <w:insideH w:val="nil"/>
          <w:insideV w:val="single" w:sz="8" w:space="0" w:color="E0301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tblStylePr w:type="band1Vert">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shd w:val="clear" w:color="auto" w:fill="F7CBC7" w:themeFill="accent6" w:themeFillTint="3F"/>
      </w:tcPr>
    </w:tblStylePr>
    <w:tblStylePr w:type="band1Horz">
      <w:tblPr/>
      <w:tcPr>
        <w:tcBorders>
          <w:top w:val="single" w:sz="8" w:space="0" w:color="E0301E" w:themeColor="accent6"/>
          <w:left w:val="single" w:sz="8" w:space="0" w:color="E0301E" w:themeColor="accent6"/>
          <w:bottom w:val="single" w:sz="8" w:space="0" w:color="E0301E" w:themeColor="accent6"/>
          <w:right w:val="single" w:sz="8" w:space="0" w:color="E0301E" w:themeColor="accent6"/>
          <w:insideV w:val="single" w:sz="8" w:space="0" w:color="E0301E" w:themeColor="accent6"/>
        </w:tcBorders>
        <w:shd w:val="clear" w:color="auto" w:fill="F7CBC7" w:themeFill="accent6" w:themeFillTint="3F"/>
      </w:tcPr>
    </w:tblStylePr>
    <w:tblStylePr w:type="band2Horz">
      <w:tblPr/>
      <w:tcPr>
        <w:tcBorders>
          <w:top w:val="single" w:sz="8" w:space="0" w:color="E0301E" w:themeColor="accent6"/>
          <w:left w:val="single" w:sz="8" w:space="0" w:color="E0301E" w:themeColor="accent6"/>
          <w:bottom w:val="single" w:sz="8" w:space="0" w:color="E0301E" w:themeColor="accent6"/>
          <w:right w:val="single" w:sz="8" w:space="0" w:color="E0301E" w:themeColor="accent6"/>
          <w:insideV w:val="single" w:sz="8" w:space="0" w:color="E0301E" w:themeColor="accent6"/>
        </w:tcBorders>
      </w:tcPr>
    </w:tblStylePr>
  </w:style>
  <w:style w:type="table" w:customStyle="1" w:styleId="LightList1">
    <w:name w:val="Light List1"/>
    <w:basedOn w:val="TableNormal"/>
    <w:uiPriority w:val="61"/>
    <w:semiHidden/>
    <w:locked/>
    <w:rsid w:val="001C6E2E"/>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uiPriority w:val="61"/>
    <w:semiHidden/>
    <w:locked/>
    <w:rsid w:val="001C6E2E"/>
    <w:tblPr>
      <w:tblStyleRowBandSize w:val="1"/>
      <w:tblStyleColBandSize w:val="1"/>
      <w:tblInd w:w="0" w:type="dxa"/>
      <w:tblBorders>
        <w:top w:val="single" w:sz="8" w:space="0" w:color="DC6900" w:themeColor="accent1"/>
        <w:left w:val="single" w:sz="8" w:space="0" w:color="DC6900" w:themeColor="accent1"/>
        <w:bottom w:val="single" w:sz="8" w:space="0" w:color="DC6900" w:themeColor="accent1"/>
        <w:right w:val="single" w:sz="8" w:space="0" w:color="DC6900"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DC6900" w:themeFill="accent1"/>
      </w:tcPr>
    </w:tblStylePr>
    <w:tblStylePr w:type="lastRow">
      <w:pPr>
        <w:spacing w:before="0" w:after="0" w:line="240" w:lineRule="auto"/>
      </w:pPr>
      <w:rPr>
        <w:b/>
        <w:bCs/>
      </w:rPr>
      <w:tblPr/>
      <w:tcPr>
        <w:tcBorders>
          <w:top w:val="double" w:sz="6" w:space="0" w:color="DC6900" w:themeColor="accent1"/>
          <w:left w:val="single" w:sz="8" w:space="0" w:color="DC6900" w:themeColor="accent1"/>
          <w:bottom w:val="single" w:sz="8" w:space="0" w:color="DC6900" w:themeColor="accent1"/>
          <w:right w:val="single" w:sz="8" w:space="0" w:color="DC6900" w:themeColor="accent1"/>
        </w:tcBorders>
      </w:tcPr>
    </w:tblStylePr>
    <w:tblStylePr w:type="firstCol">
      <w:rPr>
        <w:b/>
        <w:bCs/>
      </w:rPr>
    </w:tblStylePr>
    <w:tblStylePr w:type="lastCol">
      <w:rPr>
        <w:b/>
        <w:bCs/>
      </w:rPr>
    </w:tblStylePr>
    <w:tblStylePr w:type="band1Vert">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tblStylePr w:type="band1Horz">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style>
  <w:style w:type="table" w:styleId="LightList-Accent2">
    <w:name w:val="Light List Accent 2"/>
    <w:basedOn w:val="TableNormal"/>
    <w:uiPriority w:val="61"/>
    <w:semiHidden/>
    <w:locked/>
    <w:rsid w:val="001C6E2E"/>
    <w:tblPr>
      <w:tblStyleRowBandSize w:val="1"/>
      <w:tblStyleColBandSize w:val="1"/>
      <w:tblInd w:w="0" w:type="dxa"/>
      <w:tblBorders>
        <w:top w:val="single" w:sz="8" w:space="0" w:color="FFB600" w:themeColor="accent2"/>
        <w:left w:val="single" w:sz="8" w:space="0" w:color="FFB600" w:themeColor="accent2"/>
        <w:bottom w:val="single" w:sz="8" w:space="0" w:color="FFB600" w:themeColor="accent2"/>
        <w:right w:val="single" w:sz="8" w:space="0" w:color="FFB600"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FB600" w:themeFill="accent2"/>
      </w:tcPr>
    </w:tblStylePr>
    <w:tblStylePr w:type="lastRow">
      <w:pPr>
        <w:spacing w:before="0" w:after="0" w:line="240" w:lineRule="auto"/>
      </w:pPr>
      <w:rPr>
        <w:b/>
        <w:bCs/>
      </w:rPr>
      <w:tblPr/>
      <w:tcPr>
        <w:tcBorders>
          <w:top w:val="double" w:sz="6" w:space="0" w:color="FFB600" w:themeColor="accent2"/>
          <w:left w:val="single" w:sz="8" w:space="0" w:color="FFB600" w:themeColor="accent2"/>
          <w:bottom w:val="single" w:sz="8" w:space="0" w:color="FFB600" w:themeColor="accent2"/>
          <w:right w:val="single" w:sz="8" w:space="0" w:color="FFB600" w:themeColor="accent2"/>
        </w:tcBorders>
      </w:tcPr>
    </w:tblStylePr>
    <w:tblStylePr w:type="firstCol">
      <w:rPr>
        <w:b/>
        <w:bCs/>
      </w:rPr>
    </w:tblStylePr>
    <w:tblStylePr w:type="lastCol">
      <w:rPr>
        <w:b/>
        <w:bCs/>
      </w:rPr>
    </w:tblStylePr>
    <w:tblStylePr w:type="band1Vert">
      <w:tblPr/>
      <w:tcPr>
        <w:tcBorders>
          <w:top w:val="single" w:sz="8" w:space="0" w:color="FFB600" w:themeColor="accent2"/>
          <w:left w:val="single" w:sz="8" w:space="0" w:color="FFB600" w:themeColor="accent2"/>
          <w:bottom w:val="single" w:sz="8" w:space="0" w:color="FFB600" w:themeColor="accent2"/>
          <w:right w:val="single" w:sz="8" w:space="0" w:color="FFB600" w:themeColor="accent2"/>
        </w:tcBorders>
      </w:tcPr>
    </w:tblStylePr>
    <w:tblStylePr w:type="band1Horz">
      <w:tblPr/>
      <w:tcPr>
        <w:tcBorders>
          <w:top w:val="single" w:sz="8" w:space="0" w:color="FFB600" w:themeColor="accent2"/>
          <w:left w:val="single" w:sz="8" w:space="0" w:color="FFB600" w:themeColor="accent2"/>
          <w:bottom w:val="single" w:sz="8" w:space="0" w:color="FFB600" w:themeColor="accent2"/>
          <w:right w:val="single" w:sz="8" w:space="0" w:color="FFB600" w:themeColor="accent2"/>
        </w:tcBorders>
      </w:tcPr>
    </w:tblStylePr>
  </w:style>
  <w:style w:type="table" w:styleId="LightList-Accent3">
    <w:name w:val="Light List Accent 3"/>
    <w:basedOn w:val="TableNormal"/>
    <w:uiPriority w:val="61"/>
    <w:semiHidden/>
    <w:locked/>
    <w:rsid w:val="001C6E2E"/>
    <w:tblPr>
      <w:tblStyleRowBandSize w:val="1"/>
      <w:tblStyleColBandSize w:val="1"/>
      <w:tblInd w:w="0" w:type="dxa"/>
      <w:tblBorders>
        <w:top w:val="single" w:sz="8" w:space="0" w:color="602320" w:themeColor="accent3"/>
        <w:left w:val="single" w:sz="8" w:space="0" w:color="602320" w:themeColor="accent3"/>
        <w:bottom w:val="single" w:sz="8" w:space="0" w:color="602320" w:themeColor="accent3"/>
        <w:right w:val="single" w:sz="8" w:space="0" w:color="602320"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602320" w:themeFill="accent3"/>
      </w:tcPr>
    </w:tblStylePr>
    <w:tblStylePr w:type="lastRow">
      <w:pPr>
        <w:spacing w:before="0" w:after="0" w:line="240" w:lineRule="auto"/>
      </w:pPr>
      <w:rPr>
        <w:b/>
        <w:bCs/>
      </w:rPr>
      <w:tblPr/>
      <w:tcPr>
        <w:tcBorders>
          <w:top w:val="double" w:sz="6" w:space="0" w:color="602320" w:themeColor="accent3"/>
          <w:left w:val="single" w:sz="8" w:space="0" w:color="602320" w:themeColor="accent3"/>
          <w:bottom w:val="single" w:sz="8" w:space="0" w:color="602320" w:themeColor="accent3"/>
          <w:right w:val="single" w:sz="8" w:space="0" w:color="602320" w:themeColor="accent3"/>
        </w:tcBorders>
      </w:tcPr>
    </w:tblStylePr>
    <w:tblStylePr w:type="firstCol">
      <w:rPr>
        <w:b/>
        <w:bCs/>
      </w:rPr>
    </w:tblStylePr>
    <w:tblStylePr w:type="lastCol">
      <w:rPr>
        <w:b/>
        <w:bCs/>
      </w:rPr>
    </w:tblStylePr>
    <w:tblStylePr w:type="band1Vert">
      <w:tblPr/>
      <w:tcPr>
        <w:tcBorders>
          <w:top w:val="single" w:sz="8" w:space="0" w:color="602320" w:themeColor="accent3"/>
          <w:left w:val="single" w:sz="8" w:space="0" w:color="602320" w:themeColor="accent3"/>
          <w:bottom w:val="single" w:sz="8" w:space="0" w:color="602320" w:themeColor="accent3"/>
          <w:right w:val="single" w:sz="8" w:space="0" w:color="602320" w:themeColor="accent3"/>
        </w:tcBorders>
      </w:tcPr>
    </w:tblStylePr>
    <w:tblStylePr w:type="band1Horz">
      <w:tblPr/>
      <w:tcPr>
        <w:tcBorders>
          <w:top w:val="single" w:sz="8" w:space="0" w:color="602320" w:themeColor="accent3"/>
          <w:left w:val="single" w:sz="8" w:space="0" w:color="602320" w:themeColor="accent3"/>
          <w:bottom w:val="single" w:sz="8" w:space="0" w:color="602320" w:themeColor="accent3"/>
          <w:right w:val="single" w:sz="8" w:space="0" w:color="602320" w:themeColor="accent3"/>
        </w:tcBorders>
      </w:tcPr>
    </w:tblStylePr>
  </w:style>
  <w:style w:type="table" w:styleId="LightList-Accent4">
    <w:name w:val="Light List Accent 4"/>
    <w:basedOn w:val="TableNormal"/>
    <w:uiPriority w:val="61"/>
    <w:semiHidden/>
    <w:locked/>
    <w:rsid w:val="001C6E2E"/>
    <w:tblPr>
      <w:tblStyleRowBandSize w:val="1"/>
      <w:tblStyleColBandSize w:val="1"/>
      <w:tblInd w:w="0" w:type="dxa"/>
      <w:tblBorders>
        <w:top w:val="single" w:sz="8" w:space="0" w:color="DB536A" w:themeColor="accent4"/>
        <w:left w:val="single" w:sz="8" w:space="0" w:color="DB536A" w:themeColor="accent4"/>
        <w:bottom w:val="single" w:sz="8" w:space="0" w:color="DB536A" w:themeColor="accent4"/>
        <w:right w:val="single" w:sz="8" w:space="0" w:color="DB536A"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DB536A" w:themeFill="accent4"/>
      </w:tcPr>
    </w:tblStylePr>
    <w:tblStylePr w:type="lastRow">
      <w:pPr>
        <w:spacing w:before="0" w:after="0" w:line="240" w:lineRule="auto"/>
      </w:pPr>
      <w:rPr>
        <w:b/>
        <w:bCs/>
      </w:rPr>
      <w:tblPr/>
      <w:tcPr>
        <w:tcBorders>
          <w:top w:val="double" w:sz="6" w:space="0" w:color="DB536A" w:themeColor="accent4"/>
          <w:left w:val="single" w:sz="8" w:space="0" w:color="DB536A" w:themeColor="accent4"/>
          <w:bottom w:val="single" w:sz="8" w:space="0" w:color="DB536A" w:themeColor="accent4"/>
          <w:right w:val="single" w:sz="8" w:space="0" w:color="DB536A" w:themeColor="accent4"/>
        </w:tcBorders>
      </w:tcPr>
    </w:tblStylePr>
    <w:tblStylePr w:type="firstCol">
      <w:rPr>
        <w:b/>
        <w:bCs/>
      </w:rPr>
    </w:tblStylePr>
    <w:tblStylePr w:type="lastCol">
      <w:rPr>
        <w:b/>
        <w:bCs/>
      </w:rPr>
    </w:tblStylePr>
    <w:tblStylePr w:type="band1Vert">
      <w:tblPr/>
      <w:tcPr>
        <w:tcBorders>
          <w:top w:val="single" w:sz="8" w:space="0" w:color="DB536A" w:themeColor="accent4"/>
          <w:left w:val="single" w:sz="8" w:space="0" w:color="DB536A" w:themeColor="accent4"/>
          <w:bottom w:val="single" w:sz="8" w:space="0" w:color="DB536A" w:themeColor="accent4"/>
          <w:right w:val="single" w:sz="8" w:space="0" w:color="DB536A" w:themeColor="accent4"/>
        </w:tcBorders>
      </w:tcPr>
    </w:tblStylePr>
    <w:tblStylePr w:type="band1Horz">
      <w:tblPr/>
      <w:tcPr>
        <w:tcBorders>
          <w:top w:val="single" w:sz="8" w:space="0" w:color="DB536A" w:themeColor="accent4"/>
          <w:left w:val="single" w:sz="8" w:space="0" w:color="DB536A" w:themeColor="accent4"/>
          <w:bottom w:val="single" w:sz="8" w:space="0" w:color="DB536A" w:themeColor="accent4"/>
          <w:right w:val="single" w:sz="8" w:space="0" w:color="DB536A" w:themeColor="accent4"/>
        </w:tcBorders>
      </w:tcPr>
    </w:tblStylePr>
  </w:style>
  <w:style w:type="table" w:styleId="LightList-Accent5">
    <w:name w:val="Light List Accent 5"/>
    <w:basedOn w:val="TableNormal"/>
    <w:uiPriority w:val="61"/>
    <w:semiHidden/>
    <w:locked/>
    <w:rsid w:val="001C6E2E"/>
    <w:tblPr>
      <w:tblStyleRowBandSize w:val="1"/>
      <w:tblStyleColBandSize w:val="1"/>
      <w:tblInd w:w="0" w:type="dxa"/>
      <w:tblBorders>
        <w:top w:val="single" w:sz="8" w:space="0" w:color="A32020" w:themeColor="accent5"/>
        <w:left w:val="single" w:sz="8" w:space="0" w:color="A32020" w:themeColor="accent5"/>
        <w:bottom w:val="single" w:sz="8" w:space="0" w:color="A32020" w:themeColor="accent5"/>
        <w:right w:val="single" w:sz="8" w:space="0" w:color="A32020"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32020" w:themeFill="accent5"/>
      </w:tcPr>
    </w:tblStylePr>
    <w:tblStylePr w:type="lastRow">
      <w:pPr>
        <w:spacing w:before="0" w:after="0" w:line="240" w:lineRule="auto"/>
      </w:pPr>
      <w:rPr>
        <w:b/>
        <w:bCs/>
      </w:rPr>
      <w:tblPr/>
      <w:tcPr>
        <w:tcBorders>
          <w:top w:val="double" w:sz="6" w:space="0" w:color="A32020" w:themeColor="accent5"/>
          <w:left w:val="single" w:sz="8" w:space="0" w:color="A32020" w:themeColor="accent5"/>
          <w:bottom w:val="single" w:sz="8" w:space="0" w:color="A32020" w:themeColor="accent5"/>
          <w:right w:val="single" w:sz="8" w:space="0" w:color="A32020" w:themeColor="accent5"/>
        </w:tcBorders>
      </w:tcPr>
    </w:tblStylePr>
    <w:tblStylePr w:type="firstCol">
      <w:rPr>
        <w:b/>
        <w:bCs/>
      </w:rPr>
    </w:tblStylePr>
    <w:tblStylePr w:type="lastCol">
      <w:rPr>
        <w:b/>
        <w:bCs/>
      </w:rPr>
    </w:tblStylePr>
    <w:tblStylePr w:type="band1Vert">
      <w:tblPr/>
      <w:tcPr>
        <w:tcBorders>
          <w:top w:val="single" w:sz="8" w:space="0" w:color="A32020" w:themeColor="accent5"/>
          <w:left w:val="single" w:sz="8" w:space="0" w:color="A32020" w:themeColor="accent5"/>
          <w:bottom w:val="single" w:sz="8" w:space="0" w:color="A32020" w:themeColor="accent5"/>
          <w:right w:val="single" w:sz="8" w:space="0" w:color="A32020" w:themeColor="accent5"/>
        </w:tcBorders>
      </w:tcPr>
    </w:tblStylePr>
    <w:tblStylePr w:type="band1Horz">
      <w:tblPr/>
      <w:tcPr>
        <w:tcBorders>
          <w:top w:val="single" w:sz="8" w:space="0" w:color="A32020" w:themeColor="accent5"/>
          <w:left w:val="single" w:sz="8" w:space="0" w:color="A32020" w:themeColor="accent5"/>
          <w:bottom w:val="single" w:sz="8" w:space="0" w:color="A32020" w:themeColor="accent5"/>
          <w:right w:val="single" w:sz="8" w:space="0" w:color="A32020" w:themeColor="accent5"/>
        </w:tcBorders>
      </w:tcPr>
    </w:tblStylePr>
  </w:style>
  <w:style w:type="table" w:styleId="LightList-Accent6">
    <w:name w:val="Light List Accent 6"/>
    <w:basedOn w:val="TableNormal"/>
    <w:uiPriority w:val="61"/>
    <w:semiHidden/>
    <w:locked/>
    <w:rsid w:val="001C6E2E"/>
    <w:tblPr>
      <w:tblStyleRowBandSize w:val="1"/>
      <w:tblStyleColBandSize w:val="1"/>
      <w:tblInd w:w="0" w:type="dxa"/>
      <w:tblBorders>
        <w:top w:val="single" w:sz="8" w:space="0" w:color="E0301E" w:themeColor="accent6"/>
        <w:left w:val="single" w:sz="8" w:space="0" w:color="E0301E" w:themeColor="accent6"/>
        <w:bottom w:val="single" w:sz="8" w:space="0" w:color="E0301E" w:themeColor="accent6"/>
        <w:right w:val="single" w:sz="8" w:space="0" w:color="E0301E"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E0301E" w:themeFill="accent6"/>
      </w:tcPr>
    </w:tblStylePr>
    <w:tblStylePr w:type="lastRow">
      <w:pPr>
        <w:spacing w:before="0" w:after="0" w:line="240" w:lineRule="auto"/>
      </w:pPr>
      <w:rPr>
        <w:b/>
        <w:bCs/>
      </w:rPr>
      <w:tblPr/>
      <w:tcPr>
        <w:tcBorders>
          <w:top w:val="double" w:sz="6" w:space="0" w:color="E0301E" w:themeColor="accent6"/>
          <w:left w:val="single" w:sz="8" w:space="0" w:color="E0301E" w:themeColor="accent6"/>
          <w:bottom w:val="single" w:sz="8" w:space="0" w:color="E0301E" w:themeColor="accent6"/>
          <w:right w:val="single" w:sz="8" w:space="0" w:color="E0301E" w:themeColor="accent6"/>
        </w:tcBorders>
      </w:tcPr>
    </w:tblStylePr>
    <w:tblStylePr w:type="firstCol">
      <w:rPr>
        <w:b/>
        <w:bCs/>
      </w:rPr>
    </w:tblStylePr>
    <w:tblStylePr w:type="lastCol">
      <w:rPr>
        <w:b/>
        <w:bCs/>
      </w:rPr>
    </w:tblStylePr>
    <w:tblStylePr w:type="band1Vert">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tblStylePr w:type="band1Horz">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style>
  <w:style w:type="table" w:customStyle="1" w:styleId="LightShading1">
    <w:name w:val="Light Shading1"/>
    <w:basedOn w:val="TableNormal"/>
    <w:uiPriority w:val="60"/>
    <w:semiHidden/>
    <w:locked/>
    <w:rsid w:val="001C6E2E"/>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semiHidden/>
    <w:locked/>
    <w:rsid w:val="001C6E2E"/>
    <w:rPr>
      <w:color w:val="A44E00" w:themeColor="accent1" w:themeShade="BF"/>
    </w:rPr>
    <w:tblPr>
      <w:tblStyleRowBandSize w:val="1"/>
      <w:tblStyleColBandSize w:val="1"/>
      <w:tblInd w:w="0" w:type="dxa"/>
      <w:tblBorders>
        <w:top w:val="single" w:sz="8" w:space="0" w:color="DC6900" w:themeColor="accent1"/>
        <w:bottom w:val="single" w:sz="8" w:space="0" w:color="DC6900"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DC6900" w:themeColor="accent1"/>
          <w:left w:val="nil"/>
          <w:bottom w:val="single" w:sz="8" w:space="0" w:color="DC6900" w:themeColor="accent1"/>
          <w:right w:val="nil"/>
          <w:insideH w:val="nil"/>
          <w:insideV w:val="nil"/>
        </w:tcBorders>
      </w:tcPr>
    </w:tblStylePr>
    <w:tblStylePr w:type="lastRow">
      <w:pPr>
        <w:spacing w:before="0" w:after="0" w:line="240" w:lineRule="auto"/>
      </w:pPr>
      <w:rPr>
        <w:b/>
        <w:bCs/>
      </w:rPr>
      <w:tblPr/>
      <w:tcPr>
        <w:tcBorders>
          <w:top w:val="single" w:sz="8" w:space="0" w:color="DC6900" w:themeColor="accent1"/>
          <w:left w:val="nil"/>
          <w:bottom w:val="single" w:sz="8" w:space="0" w:color="DC690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9B7" w:themeFill="accent1" w:themeFillTint="3F"/>
      </w:tcPr>
    </w:tblStylePr>
    <w:tblStylePr w:type="band1Horz">
      <w:tblPr/>
      <w:tcPr>
        <w:tcBorders>
          <w:left w:val="nil"/>
          <w:right w:val="nil"/>
          <w:insideH w:val="nil"/>
          <w:insideV w:val="nil"/>
        </w:tcBorders>
        <w:shd w:val="clear" w:color="auto" w:fill="FFD9B7" w:themeFill="accent1" w:themeFillTint="3F"/>
      </w:tcPr>
    </w:tblStylePr>
  </w:style>
  <w:style w:type="table" w:styleId="LightShading-Accent2">
    <w:name w:val="Light Shading Accent 2"/>
    <w:basedOn w:val="TableNormal"/>
    <w:uiPriority w:val="60"/>
    <w:semiHidden/>
    <w:locked/>
    <w:rsid w:val="001C6E2E"/>
    <w:rPr>
      <w:color w:val="BF8800" w:themeColor="accent2" w:themeShade="BF"/>
    </w:rPr>
    <w:tblPr>
      <w:tblStyleRowBandSize w:val="1"/>
      <w:tblStyleColBandSize w:val="1"/>
      <w:tblInd w:w="0" w:type="dxa"/>
      <w:tblBorders>
        <w:top w:val="single" w:sz="8" w:space="0" w:color="FFB600" w:themeColor="accent2"/>
        <w:bottom w:val="single" w:sz="8" w:space="0" w:color="FFB6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B600" w:themeColor="accent2"/>
          <w:left w:val="nil"/>
          <w:bottom w:val="single" w:sz="8" w:space="0" w:color="FFB600" w:themeColor="accent2"/>
          <w:right w:val="nil"/>
          <w:insideH w:val="nil"/>
          <w:insideV w:val="nil"/>
        </w:tcBorders>
      </w:tcPr>
    </w:tblStylePr>
    <w:tblStylePr w:type="lastRow">
      <w:pPr>
        <w:spacing w:before="0" w:after="0" w:line="240" w:lineRule="auto"/>
      </w:pPr>
      <w:rPr>
        <w:b/>
        <w:bCs/>
      </w:rPr>
      <w:tblPr/>
      <w:tcPr>
        <w:tcBorders>
          <w:top w:val="single" w:sz="8" w:space="0" w:color="FFB600" w:themeColor="accent2"/>
          <w:left w:val="nil"/>
          <w:bottom w:val="single" w:sz="8" w:space="0" w:color="FFB6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hemeFill="accent2" w:themeFillTint="3F"/>
      </w:tcPr>
    </w:tblStylePr>
    <w:tblStylePr w:type="band1Horz">
      <w:tblPr/>
      <w:tcPr>
        <w:tcBorders>
          <w:left w:val="nil"/>
          <w:right w:val="nil"/>
          <w:insideH w:val="nil"/>
          <w:insideV w:val="nil"/>
        </w:tcBorders>
        <w:shd w:val="clear" w:color="auto" w:fill="FFECC0" w:themeFill="accent2" w:themeFillTint="3F"/>
      </w:tcPr>
    </w:tblStylePr>
  </w:style>
  <w:style w:type="table" w:styleId="LightShading-Accent3">
    <w:name w:val="Light Shading Accent 3"/>
    <w:basedOn w:val="TableNormal"/>
    <w:uiPriority w:val="60"/>
    <w:semiHidden/>
    <w:locked/>
    <w:rsid w:val="001C6E2E"/>
    <w:rPr>
      <w:color w:val="471A18" w:themeColor="accent3" w:themeShade="BF"/>
    </w:rPr>
    <w:tblPr>
      <w:tblStyleRowBandSize w:val="1"/>
      <w:tblStyleColBandSize w:val="1"/>
      <w:tblInd w:w="0" w:type="dxa"/>
      <w:tblBorders>
        <w:top w:val="single" w:sz="8" w:space="0" w:color="602320" w:themeColor="accent3"/>
        <w:bottom w:val="single" w:sz="8" w:space="0" w:color="602320"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602320" w:themeColor="accent3"/>
          <w:left w:val="nil"/>
          <w:bottom w:val="single" w:sz="8" w:space="0" w:color="602320" w:themeColor="accent3"/>
          <w:right w:val="nil"/>
          <w:insideH w:val="nil"/>
          <w:insideV w:val="nil"/>
        </w:tcBorders>
      </w:tcPr>
    </w:tblStylePr>
    <w:tblStylePr w:type="lastRow">
      <w:pPr>
        <w:spacing w:before="0" w:after="0" w:line="240" w:lineRule="auto"/>
      </w:pPr>
      <w:rPr>
        <w:b/>
        <w:bCs/>
      </w:rPr>
      <w:tblPr/>
      <w:tcPr>
        <w:tcBorders>
          <w:top w:val="single" w:sz="8" w:space="0" w:color="602320" w:themeColor="accent3"/>
          <w:left w:val="nil"/>
          <w:bottom w:val="single" w:sz="8" w:space="0" w:color="60232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BAB8" w:themeFill="accent3" w:themeFillTint="3F"/>
      </w:tcPr>
    </w:tblStylePr>
    <w:tblStylePr w:type="band1Horz">
      <w:tblPr/>
      <w:tcPr>
        <w:tcBorders>
          <w:left w:val="nil"/>
          <w:right w:val="nil"/>
          <w:insideH w:val="nil"/>
          <w:insideV w:val="nil"/>
        </w:tcBorders>
        <w:shd w:val="clear" w:color="auto" w:fill="E7BAB8" w:themeFill="accent3" w:themeFillTint="3F"/>
      </w:tcPr>
    </w:tblStylePr>
  </w:style>
  <w:style w:type="table" w:styleId="LightShading-Accent4">
    <w:name w:val="Light Shading Accent 4"/>
    <w:basedOn w:val="TableNormal"/>
    <w:uiPriority w:val="60"/>
    <w:semiHidden/>
    <w:locked/>
    <w:rsid w:val="001C6E2E"/>
    <w:rPr>
      <w:color w:val="BA2740" w:themeColor="accent4" w:themeShade="BF"/>
    </w:rPr>
    <w:tblPr>
      <w:tblStyleRowBandSize w:val="1"/>
      <w:tblStyleColBandSize w:val="1"/>
      <w:tblInd w:w="0" w:type="dxa"/>
      <w:tblBorders>
        <w:top w:val="single" w:sz="8" w:space="0" w:color="DB536A" w:themeColor="accent4"/>
        <w:bottom w:val="single" w:sz="8" w:space="0" w:color="DB536A"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DB536A" w:themeColor="accent4"/>
          <w:left w:val="nil"/>
          <w:bottom w:val="single" w:sz="8" w:space="0" w:color="DB536A" w:themeColor="accent4"/>
          <w:right w:val="nil"/>
          <w:insideH w:val="nil"/>
          <w:insideV w:val="nil"/>
        </w:tcBorders>
      </w:tcPr>
    </w:tblStylePr>
    <w:tblStylePr w:type="lastRow">
      <w:pPr>
        <w:spacing w:before="0" w:after="0" w:line="240" w:lineRule="auto"/>
      </w:pPr>
      <w:rPr>
        <w:b/>
        <w:bCs/>
      </w:rPr>
      <w:tblPr/>
      <w:tcPr>
        <w:tcBorders>
          <w:top w:val="single" w:sz="8" w:space="0" w:color="DB536A" w:themeColor="accent4"/>
          <w:left w:val="nil"/>
          <w:bottom w:val="single" w:sz="8" w:space="0" w:color="DB536A"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4D9" w:themeFill="accent4" w:themeFillTint="3F"/>
      </w:tcPr>
    </w:tblStylePr>
    <w:tblStylePr w:type="band1Horz">
      <w:tblPr/>
      <w:tcPr>
        <w:tcBorders>
          <w:left w:val="nil"/>
          <w:right w:val="nil"/>
          <w:insideH w:val="nil"/>
          <w:insideV w:val="nil"/>
        </w:tcBorders>
        <w:shd w:val="clear" w:color="auto" w:fill="F6D4D9" w:themeFill="accent4" w:themeFillTint="3F"/>
      </w:tcPr>
    </w:tblStylePr>
  </w:style>
  <w:style w:type="table" w:styleId="LightShading-Accent5">
    <w:name w:val="Light Shading Accent 5"/>
    <w:basedOn w:val="TableNormal"/>
    <w:uiPriority w:val="60"/>
    <w:semiHidden/>
    <w:locked/>
    <w:rsid w:val="001C6E2E"/>
    <w:rPr>
      <w:color w:val="7A1818" w:themeColor="accent5" w:themeShade="BF"/>
    </w:rPr>
    <w:tblPr>
      <w:tblStyleRowBandSize w:val="1"/>
      <w:tblStyleColBandSize w:val="1"/>
      <w:tblInd w:w="0" w:type="dxa"/>
      <w:tblBorders>
        <w:top w:val="single" w:sz="8" w:space="0" w:color="A32020" w:themeColor="accent5"/>
        <w:bottom w:val="single" w:sz="8" w:space="0" w:color="A32020"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32020" w:themeColor="accent5"/>
          <w:left w:val="nil"/>
          <w:bottom w:val="single" w:sz="8" w:space="0" w:color="A32020" w:themeColor="accent5"/>
          <w:right w:val="nil"/>
          <w:insideH w:val="nil"/>
          <w:insideV w:val="nil"/>
        </w:tcBorders>
      </w:tcPr>
    </w:tblStylePr>
    <w:tblStylePr w:type="lastRow">
      <w:pPr>
        <w:spacing w:before="0" w:after="0" w:line="240" w:lineRule="auto"/>
      </w:pPr>
      <w:rPr>
        <w:b/>
        <w:bCs/>
      </w:rPr>
      <w:tblPr/>
      <w:tcPr>
        <w:tcBorders>
          <w:top w:val="single" w:sz="8" w:space="0" w:color="A32020" w:themeColor="accent5"/>
          <w:left w:val="nil"/>
          <w:bottom w:val="single" w:sz="8" w:space="0" w:color="A3202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BDBD" w:themeFill="accent5" w:themeFillTint="3F"/>
      </w:tcPr>
    </w:tblStylePr>
    <w:tblStylePr w:type="band1Horz">
      <w:tblPr/>
      <w:tcPr>
        <w:tcBorders>
          <w:left w:val="nil"/>
          <w:right w:val="nil"/>
          <w:insideH w:val="nil"/>
          <w:insideV w:val="nil"/>
        </w:tcBorders>
        <w:shd w:val="clear" w:color="auto" w:fill="F2BDBD" w:themeFill="accent5" w:themeFillTint="3F"/>
      </w:tcPr>
    </w:tblStylePr>
  </w:style>
  <w:style w:type="table" w:styleId="LightShading-Accent6">
    <w:name w:val="Light Shading Accent 6"/>
    <w:basedOn w:val="TableNormal"/>
    <w:uiPriority w:val="60"/>
    <w:semiHidden/>
    <w:locked/>
    <w:rsid w:val="001C6E2E"/>
    <w:rPr>
      <w:color w:val="A72316" w:themeColor="accent6" w:themeShade="BF"/>
    </w:rPr>
    <w:tblPr>
      <w:tblStyleRowBandSize w:val="1"/>
      <w:tblStyleColBandSize w:val="1"/>
      <w:tblInd w:w="0" w:type="dxa"/>
      <w:tblBorders>
        <w:top w:val="single" w:sz="8" w:space="0" w:color="E0301E" w:themeColor="accent6"/>
        <w:bottom w:val="single" w:sz="8" w:space="0" w:color="E0301E"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0301E" w:themeColor="accent6"/>
          <w:left w:val="nil"/>
          <w:bottom w:val="single" w:sz="8" w:space="0" w:color="E0301E" w:themeColor="accent6"/>
          <w:right w:val="nil"/>
          <w:insideH w:val="nil"/>
          <w:insideV w:val="nil"/>
        </w:tcBorders>
      </w:tcPr>
    </w:tblStylePr>
    <w:tblStylePr w:type="lastRow">
      <w:pPr>
        <w:spacing w:before="0" w:after="0" w:line="240" w:lineRule="auto"/>
      </w:pPr>
      <w:rPr>
        <w:b/>
        <w:bCs/>
      </w:rPr>
      <w:tblPr/>
      <w:tcPr>
        <w:tcBorders>
          <w:top w:val="single" w:sz="8" w:space="0" w:color="E0301E" w:themeColor="accent6"/>
          <w:left w:val="nil"/>
          <w:bottom w:val="single" w:sz="8" w:space="0" w:color="E0301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CBC7" w:themeFill="accent6" w:themeFillTint="3F"/>
      </w:tcPr>
    </w:tblStylePr>
    <w:tblStylePr w:type="band1Horz">
      <w:tblPr/>
      <w:tcPr>
        <w:tcBorders>
          <w:left w:val="nil"/>
          <w:right w:val="nil"/>
          <w:insideH w:val="nil"/>
          <w:insideV w:val="nil"/>
        </w:tcBorders>
        <w:shd w:val="clear" w:color="auto" w:fill="F7CBC7" w:themeFill="accent6" w:themeFillTint="3F"/>
      </w:tcPr>
    </w:tblStylePr>
  </w:style>
  <w:style w:type="table" w:customStyle="1" w:styleId="MediumGrid11">
    <w:name w:val="Medium Grid 11"/>
    <w:basedOn w:val="TableNormal"/>
    <w:uiPriority w:val="67"/>
    <w:semiHidden/>
    <w:locked/>
    <w:rsid w:val="001C6E2E"/>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locked/>
    <w:rsid w:val="001C6E2E"/>
    <w:tblPr>
      <w:tblStyleRowBandSize w:val="1"/>
      <w:tblStyleColBandSize w:val="1"/>
      <w:tblInd w:w="0" w:type="dxa"/>
      <w:tbl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single" w:sz="8" w:space="0" w:color="FF8C25" w:themeColor="accent1" w:themeTint="BF"/>
        <w:insideV w:val="single" w:sz="8" w:space="0" w:color="FF8C25" w:themeColor="accent1" w:themeTint="BF"/>
      </w:tblBorders>
      <w:tblCellMar>
        <w:top w:w="0" w:type="dxa"/>
        <w:left w:w="108" w:type="dxa"/>
        <w:bottom w:w="0" w:type="dxa"/>
        <w:right w:w="108" w:type="dxa"/>
      </w:tblCellMar>
    </w:tblPr>
    <w:tcPr>
      <w:shd w:val="clear" w:color="auto" w:fill="FFD9B7" w:themeFill="accent1" w:themeFillTint="3F"/>
    </w:tcPr>
    <w:tblStylePr w:type="firstRow">
      <w:rPr>
        <w:b/>
        <w:bCs/>
      </w:rPr>
    </w:tblStylePr>
    <w:tblStylePr w:type="lastRow">
      <w:rPr>
        <w:b/>
        <w:bCs/>
      </w:rPr>
      <w:tblPr/>
      <w:tcPr>
        <w:tcBorders>
          <w:top w:val="single" w:sz="18" w:space="0" w:color="FF8C25" w:themeColor="accent1" w:themeTint="BF"/>
        </w:tcBorders>
      </w:tcPr>
    </w:tblStylePr>
    <w:tblStylePr w:type="firstCol">
      <w:rPr>
        <w:b/>
        <w:bCs/>
      </w:rPr>
    </w:tblStylePr>
    <w:tblStylePr w:type="lastCol">
      <w:rPr>
        <w:b/>
        <w:bCs/>
      </w:rPr>
    </w:tblStylePr>
    <w:tblStylePr w:type="band1Vert">
      <w:tblPr/>
      <w:tcPr>
        <w:shd w:val="clear" w:color="auto" w:fill="FFB26E" w:themeFill="accent1" w:themeFillTint="7F"/>
      </w:tcPr>
    </w:tblStylePr>
    <w:tblStylePr w:type="band1Horz">
      <w:tblPr/>
      <w:tcPr>
        <w:shd w:val="clear" w:color="auto" w:fill="FFB26E" w:themeFill="accent1" w:themeFillTint="7F"/>
      </w:tcPr>
    </w:tblStylePr>
  </w:style>
  <w:style w:type="table" w:styleId="MediumGrid1-Accent2">
    <w:name w:val="Medium Grid 1 Accent 2"/>
    <w:basedOn w:val="TableNormal"/>
    <w:uiPriority w:val="67"/>
    <w:semiHidden/>
    <w:locked/>
    <w:rsid w:val="001C6E2E"/>
    <w:tblPr>
      <w:tblStyleRowBandSize w:val="1"/>
      <w:tblStyleColBandSize w:val="1"/>
      <w:tblInd w:w="0" w:type="dxa"/>
      <w:tblBorders>
        <w:top w:val="single" w:sz="8" w:space="0" w:color="FFC840" w:themeColor="accent2" w:themeTint="BF"/>
        <w:left w:val="single" w:sz="8" w:space="0" w:color="FFC840" w:themeColor="accent2" w:themeTint="BF"/>
        <w:bottom w:val="single" w:sz="8" w:space="0" w:color="FFC840" w:themeColor="accent2" w:themeTint="BF"/>
        <w:right w:val="single" w:sz="8" w:space="0" w:color="FFC840" w:themeColor="accent2" w:themeTint="BF"/>
        <w:insideH w:val="single" w:sz="8" w:space="0" w:color="FFC840" w:themeColor="accent2" w:themeTint="BF"/>
        <w:insideV w:val="single" w:sz="8" w:space="0" w:color="FFC840" w:themeColor="accent2" w:themeTint="BF"/>
      </w:tblBorders>
      <w:tblCellMar>
        <w:top w:w="0" w:type="dxa"/>
        <w:left w:w="108" w:type="dxa"/>
        <w:bottom w:w="0" w:type="dxa"/>
        <w:right w:w="108" w:type="dxa"/>
      </w:tblCellMar>
    </w:tblPr>
    <w:tcPr>
      <w:shd w:val="clear" w:color="auto" w:fill="FFECC0" w:themeFill="accent2" w:themeFillTint="3F"/>
    </w:tcPr>
    <w:tblStylePr w:type="firstRow">
      <w:rPr>
        <w:b/>
        <w:bCs/>
      </w:rPr>
    </w:tblStylePr>
    <w:tblStylePr w:type="lastRow">
      <w:rPr>
        <w:b/>
        <w:bCs/>
      </w:rPr>
      <w:tblPr/>
      <w:tcPr>
        <w:tcBorders>
          <w:top w:val="single" w:sz="18" w:space="0" w:color="FFC840" w:themeColor="accent2" w:themeTint="BF"/>
        </w:tcBorders>
      </w:tcPr>
    </w:tblStylePr>
    <w:tblStylePr w:type="firstCol">
      <w:rPr>
        <w:b/>
        <w:bCs/>
      </w:rPr>
    </w:tblStylePr>
    <w:tblStylePr w:type="lastCol">
      <w:rPr>
        <w:b/>
        <w:bCs/>
      </w:rPr>
    </w:tblStylePr>
    <w:tblStylePr w:type="band1Vert">
      <w:tblPr/>
      <w:tcPr>
        <w:shd w:val="clear" w:color="auto" w:fill="FFDA80" w:themeFill="accent2" w:themeFillTint="7F"/>
      </w:tcPr>
    </w:tblStylePr>
    <w:tblStylePr w:type="band1Horz">
      <w:tblPr/>
      <w:tcPr>
        <w:shd w:val="clear" w:color="auto" w:fill="FFDA80" w:themeFill="accent2" w:themeFillTint="7F"/>
      </w:tcPr>
    </w:tblStylePr>
  </w:style>
  <w:style w:type="table" w:styleId="MediumGrid1-Accent3">
    <w:name w:val="Medium Grid 1 Accent 3"/>
    <w:basedOn w:val="TableNormal"/>
    <w:uiPriority w:val="67"/>
    <w:semiHidden/>
    <w:locked/>
    <w:rsid w:val="001C6E2E"/>
    <w:tblPr>
      <w:tblStyleRowBandSize w:val="1"/>
      <w:tblStyleColBandSize w:val="1"/>
      <w:tblInd w:w="0" w:type="dxa"/>
      <w:tblBorders>
        <w:top w:val="single" w:sz="8" w:space="0" w:color="A73C38" w:themeColor="accent3" w:themeTint="BF"/>
        <w:left w:val="single" w:sz="8" w:space="0" w:color="A73C38" w:themeColor="accent3" w:themeTint="BF"/>
        <w:bottom w:val="single" w:sz="8" w:space="0" w:color="A73C38" w:themeColor="accent3" w:themeTint="BF"/>
        <w:right w:val="single" w:sz="8" w:space="0" w:color="A73C38" w:themeColor="accent3" w:themeTint="BF"/>
        <w:insideH w:val="single" w:sz="8" w:space="0" w:color="A73C38" w:themeColor="accent3" w:themeTint="BF"/>
        <w:insideV w:val="single" w:sz="8" w:space="0" w:color="A73C38" w:themeColor="accent3" w:themeTint="BF"/>
      </w:tblBorders>
      <w:tblCellMar>
        <w:top w:w="0" w:type="dxa"/>
        <w:left w:w="108" w:type="dxa"/>
        <w:bottom w:w="0" w:type="dxa"/>
        <w:right w:w="108" w:type="dxa"/>
      </w:tblCellMar>
    </w:tblPr>
    <w:tcPr>
      <w:shd w:val="clear" w:color="auto" w:fill="E7BAB8" w:themeFill="accent3" w:themeFillTint="3F"/>
    </w:tcPr>
    <w:tblStylePr w:type="firstRow">
      <w:rPr>
        <w:b/>
        <w:bCs/>
      </w:rPr>
    </w:tblStylePr>
    <w:tblStylePr w:type="lastRow">
      <w:rPr>
        <w:b/>
        <w:bCs/>
      </w:rPr>
      <w:tblPr/>
      <w:tcPr>
        <w:tcBorders>
          <w:top w:val="single" w:sz="18" w:space="0" w:color="A73C38" w:themeColor="accent3" w:themeTint="BF"/>
        </w:tcBorders>
      </w:tcPr>
    </w:tblStylePr>
    <w:tblStylePr w:type="firstCol">
      <w:rPr>
        <w:b/>
        <w:bCs/>
      </w:rPr>
    </w:tblStylePr>
    <w:tblStylePr w:type="lastCol">
      <w:rPr>
        <w:b/>
        <w:bCs/>
      </w:rPr>
    </w:tblStylePr>
    <w:tblStylePr w:type="band1Vert">
      <w:tblPr/>
      <w:tcPr>
        <w:shd w:val="clear" w:color="auto" w:fill="CF7470" w:themeFill="accent3" w:themeFillTint="7F"/>
      </w:tcPr>
    </w:tblStylePr>
    <w:tblStylePr w:type="band1Horz">
      <w:tblPr/>
      <w:tcPr>
        <w:shd w:val="clear" w:color="auto" w:fill="CF7470" w:themeFill="accent3" w:themeFillTint="7F"/>
      </w:tcPr>
    </w:tblStylePr>
  </w:style>
  <w:style w:type="table" w:styleId="MediumGrid1-Accent4">
    <w:name w:val="Medium Grid 1 Accent 4"/>
    <w:basedOn w:val="TableNormal"/>
    <w:uiPriority w:val="67"/>
    <w:semiHidden/>
    <w:locked/>
    <w:rsid w:val="001C6E2E"/>
    <w:tblPr>
      <w:tblStyleRowBandSize w:val="1"/>
      <w:tblStyleColBandSize w:val="1"/>
      <w:tblInd w:w="0" w:type="dxa"/>
      <w:tblBorders>
        <w:top w:val="single" w:sz="8" w:space="0" w:color="E47E8F" w:themeColor="accent4" w:themeTint="BF"/>
        <w:left w:val="single" w:sz="8" w:space="0" w:color="E47E8F" w:themeColor="accent4" w:themeTint="BF"/>
        <w:bottom w:val="single" w:sz="8" w:space="0" w:color="E47E8F" w:themeColor="accent4" w:themeTint="BF"/>
        <w:right w:val="single" w:sz="8" w:space="0" w:color="E47E8F" w:themeColor="accent4" w:themeTint="BF"/>
        <w:insideH w:val="single" w:sz="8" w:space="0" w:color="E47E8F" w:themeColor="accent4" w:themeTint="BF"/>
        <w:insideV w:val="single" w:sz="8" w:space="0" w:color="E47E8F" w:themeColor="accent4" w:themeTint="BF"/>
      </w:tblBorders>
      <w:tblCellMar>
        <w:top w:w="0" w:type="dxa"/>
        <w:left w:w="108" w:type="dxa"/>
        <w:bottom w:w="0" w:type="dxa"/>
        <w:right w:w="108" w:type="dxa"/>
      </w:tblCellMar>
    </w:tblPr>
    <w:tcPr>
      <w:shd w:val="clear" w:color="auto" w:fill="F6D4D9" w:themeFill="accent4" w:themeFillTint="3F"/>
    </w:tcPr>
    <w:tblStylePr w:type="firstRow">
      <w:rPr>
        <w:b/>
        <w:bCs/>
      </w:rPr>
    </w:tblStylePr>
    <w:tblStylePr w:type="lastRow">
      <w:rPr>
        <w:b/>
        <w:bCs/>
      </w:rPr>
      <w:tblPr/>
      <w:tcPr>
        <w:tcBorders>
          <w:top w:val="single" w:sz="18" w:space="0" w:color="E47E8F" w:themeColor="accent4" w:themeTint="BF"/>
        </w:tcBorders>
      </w:tcPr>
    </w:tblStylePr>
    <w:tblStylePr w:type="firstCol">
      <w:rPr>
        <w:b/>
        <w:bCs/>
      </w:rPr>
    </w:tblStylePr>
    <w:tblStylePr w:type="lastCol">
      <w:rPr>
        <w:b/>
        <w:bCs/>
      </w:rPr>
    </w:tblStylePr>
    <w:tblStylePr w:type="band1Vert">
      <w:tblPr/>
      <w:tcPr>
        <w:shd w:val="clear" w:color="auto" w:fill="EDA9B4" w:themeFill="accent4" w:themeFillTint="7F"/>
      </w:tcPr>
    </w:tblStylePr>
    <w:tblStylePr w:type="band1Horz">
      <w:tblPr/>
      <w:tcPr>
        <w:shd w:val="clear" w:color="auto" w:fill="EDA9B4" w:themeFill="accent4" w:themeFillTint="7F"/>
      </w:tcPr>
    </w:tblStylePr>
  </w:style>
  <w:style w:type="table" w:styleId="MediumGrid1-Accent5">
    <w:name w:val="Medium Grid 1 Accent 5"/>
    <w:basedOn w:val="TableNormal"/>
    <w:uiPriority w:val="67"/>
    <w:semiHidden/>
    <w:locked/>
    <w:rsid w:val="001C6E2E"/>
    <w:tblPr>
      <w:tblStyleRowBandSize w:val="1"/>
      <w:tblStyleColBandSize w:val="1"/>
      <w:tblInd w:w="0" w:type="dxa"/>
      <w:tblBorders>
        <w:top w:val="single" w:sz="8" w:space="0" w:color="D83939" w:themeColor="accent5" w:themeTint="BF"/>
        <w:left w:val="single" w:sz="8" w:space="0" w:color="D83939" w:themeColor="accent5" w:themeTint="BF"/>
        <w:bottom w:val="single" w:sz="8" w:space="0" w:color="D83939" w:themeColor="accent5" w:themeTint="BF"/>
        <w:right w:val="single" w:sz="8" w:space="0" w:color="D83939" w:themeColor="accent5" w:themeTint="BF"/>
        <w:insideH w:val="single" w:sz="8" w:space="0" w:color="D83939" w:themeColor="accent5" w:themeTint="BF"/>
        <w:insideV w:val="single" w:sz="8" w:space="0" w:color="D83939" w:themeColor="accent5" w:themeTint="BF"/>
      </w:tblBorders>
      <w:tblCellMar>
        <w:top w:w="0" w:type="dxa"/>
        <w:left w:w="108" w:type="dxa"/>
        <w:bottom w:w="0" w:type="dxa"/>
        <w:right w:w="108" w:type="dxa"/>
      </w:tblCellMar>
    </w:tblPr>
    <w:tcPr>
      <w:shd w:val="clear" w:color="auto" w:fill="F2BDBD" w:themeFill="accent5" w:themeFillTint="3F"/>
    </w:tcPr>
    <w:tblStylePr w:type="firstRow">
      <w:rPr>
        <w:b/>
        <w:bCs/>
      </w:rPr>
    </w:tblStylePr>
    <w:tblStylePr w:type="lastRow">
      <w:rPr>
        <w:b/>
        <w:bCs/>
      </w:rPr>
      <w:tblPr/>
      <w:tcPr>
        <w:tcBorders>
          <w:top w:val="single" w:sz="18" w:space="0" w:color="D83939" w:themeColor="accent5" w:themeTint="BF"/>
        </w:tcBorders>
      </w:tcPr>
    </w:tblStylePr>
    <w:tblStylePr w:type="firstCol">
      <w:rPr>
        <w:b/>
        <w:bCs/>
      </w:rPr>
    </w:tblStylePr>
    <w:tblStylePr w:type="lastCol">
      <w:rPr>
        <w:b/>
        <w:bCs/>
      </w:rPr>
    </w:tblStylePr>
    <w:tblStylePr w:type="band1Vert">
      <w:tblPr/>
      <w:tcPr>
        <w:shd w:val="clear" w:color="auto" w:fill="E57B7B" w:themeFill="accent5" w:themeFillTint="7F"/>
      </w:tcPr>
    </w:tblStylePr>
    <w:tblStylePr w:type="band1Horz">
      <w:tblPr/>
      <w:tcPr>
        <w:shd w:val="clear" w:color="auto" w:fill="E57B7B" w:themeFill="accent5" w:themeFillTint="7F"/>
      </w:tcPr>
    </w:tblStylePr>
  </w:style>
  <w:style w:type="table" w:styleId="MediumGrid1-Accent6">
    <w:name w:val="Medium Grid 1 Accent 6"/>
    <w:basedOn w:val="TableNormal"/>
    <w:uiPriority w:val="67"/>
    <w:semiHidden/>
    <w:locked/>
    <w:rsid w:val="001C6E2E"/>
    <w:tblPr>
      <w:tblStyleRowBandSize w:val="1"/>
      <w:tblStyleColBandSize w:val="1"/>
      <w:tblInd w:w="0" w:type="dxa"/>
      <w:tblBorders>
        <w:top w:val="single" w:sz="8" w:space="0" w:color="E86255" w:themeColor="accent6" w:themeTint="BF"/>
        <w:left w:val="single" w:sz="8" w:space="0" w:color="E86255" w:themeColor="accent6" w:themeTint="BF"/>
        <w:bottom w:val="single" w:sz="8" w:space="0" w:color="E86255" w:themeColor="accent6" w:themeTint="BF"/>
        <w:right w:val="single" w:sz="8" w:space="0" w:color="E86255" w:themeColor="accent6" w:themeTint="BF"/>
        <w:insideH w:val="single" w:sz="8" w:space="0" w:color="E86255" w:themeColor="accent6" w:themeTint="BF"/>
        <w:insideV w:val="single" w:sz="8" w:space="0" w:color="E86255" w:themeColor="accent6" w:themeTint="BF"/>
      </w:tblBorders>
      <w:tblCellMar>
        <w:top w:w="0" w:type="dxa"/>
        <w:left w:w="108" w:type="dxa"/>
        <w:bottom w:w="0" w:type="dxa"/>
        <w:right w:w="108" w:type="dxa"/>
      </w:tblCellMar>
    </w:tblPr>
    <w:tcPr>
      <w:shd w:val="clear" w:color="auto" w:fill="F7CBC7" w:themeFill="accent6" w:themeFillTint="3F"/>
    </w:tcPr>
    <w:tblStylePr w:type="firstRow">
      <w:rPr>
        <w:b/>
        <w:bCs/>
      </w:rPr>
    </w:tblStylePr>
    <w:tblStylePr w:type="lastRow">
      <w:rPr>
        <w:b/>
        <w:bCs/>
      </w:rPr>
      <w:tblPr/>
      <w:tcPr>
        <w:tcBorders>
          <w:top w:val="single" w:sz="18" w:space="0" w:color="E86255" w:themeColor="accent6" w:themeTint="BF"/>
        </w:tcBorders>
      </w:tcPr>
    </w:tblStylePr>
    <w:tblStylePr w:type="firstCol">
      <w:rPr>
        <w:b/>
        <w:bCs/>
      </w:rPr>
    </w:tblStylePr>
    <w:tblStylePr w:type="lastCol">
      <w:rPr>
        <w:b/>
        <w:bCs/>
      </w:rPr>
    </w:tblStylePr>
    <w:tblStylePr w:type="band1Vert">
      <w:tblPr/>
      <w:tcPr>
        <w:shd w:val="clear" w:color="auto" w:fill="F0978E" w:themeFill="accent6" w:themeFillTint="7F"/>
      </w:tcPr>
    </w:tblStylePr>
    <w:tblStylePr w:type="band1Horz">
      <w:tblPr/>
      <w:tcPr>
        <w:shd w:val="clear" w:color="auto" w:fill="F0978E" w:themeFill="accent6" w:themeFillTint="7F"/>
      </w:tcPr>
    </w:tblStylePr>
  </w:style>
  <w:style w:type="table" w:customStyle="1" w:styleId="MediumGrid21">
    <w:name w:val="Medium Grid 21"/>
    <w:basedOn w:val="TableNormal"/>
    <w:uiPriority w:val="68"/>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DC6900" w:themeColor="accent1"/>
        <w:left w:val="single" w:sz="8" w:space="0" w:color="DC6900" w:themeColor="accent1"/>
        <w:bottom w:val="single" w:sz="8" w:space="0" w:color="DC6900" w:themeColor="accent1"/>
        <w:right w:val="single" w:sz="8" w:space="0" w:color="DC6900" w:themeColor="accent1"/>
        <w:insideH w:val="single" w:sz="8" w:space="0" w:color="DC6900" w:themeColor="accent1"/>
        <w:insideV w:val="single" w:sz="8" w:space="0" w:color="DC6900" w:themeColor="accent1"/>
      </w:tblBorders>
      <w:tblCellMar>
        <w:top w:w="0" w:type="dxa"/>
        <w:left w:w="108" w:type="dxa"/>
        <w:bottom w:w="0" w:type="dxa"/>
        <w:right w:w="108" w:type="dxa"/>
      </w:tblCellMar>
    </w:tblPr>
    <w:tcPr>
      <w:shd w:val="clear" w:color="auto" w:fill="FFD9B7" w:themeFill="accent1" w:themeFillTint="3F"/>
    </w:tcPr>
    <w:tblStylePr w:type="firstRow">
      <w:rPr>
        <w:b/>
        <w:bCs/>
        <w:color w:val="000000" w:themeColor="text1"/>
      </w:rPr>
      <w:tblPr/>
      <w:tcPr>
        <w:shd w:val="clear" w:color="auto" w:fill="FFEFE2"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0C5" w:themeFill="accent1" w:themeFillTint="33"/>
      </w:tcPr>
    </w:tblStylePr>
    <w:tblStylePr w:type="band1Vert">
      <w:tblPr/>
      <w:tcPr>
        <w:shd w:val="clear" w:color="auto" w:fill="FFB26E" w:themeFill="accent1" w:themeFillTint="7F"/>
      </w:tcPr>
    </w:tblStylePr>
    <w:tblStylePr w:type="band1Horz">
      <w:tblPr/>
      <w:tcPr>
        <w:tcBorders>
          <w:insideH w:val="single" w:sz="6" w:space="0" w:color="DC6900" w:themeColor="accent1"/>
          <w:insideV w:val="single" w:sz="6" w:space="0" w:color="DC6900" w:themeColor="accent1"/>
        </w:tcBorders>
        <w:shd w:val="clear" w:color="auto" w:fill="FFB26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FFB600" w:themeColor="accent2"/>
        <w:left w:val="single" w:sz="8" w:space="0" w:color="FFB600" w:themeColor="accent2"/>
        <w:bottom w:val="single" w:sz="8" w:space="0" w:color="FFB600" w:themeColor="accent2"/>
        <w:right w:val="single" w:sz="8" w:space="0" w:color="FFB600" w:themeColor="accent2"/>
        <w:insideH w:val="single" w:sz="8" w:space="0" w:color="FFB600" w:themeColor="accent2"/>
        <w:insideV w:val="single" w:sz="8" w:space="0" w:color="FFB600" w:themeColor="accent2"/>
      </w:tblBorders>
      <w:tblCellMar>
        <w:top w:w="0" w:type="dxa"/>
        <w:left w:w="108" w:type="dxa"/>
        <w:bottom w:w="0" w:type="dxa"/>
        <w:right w:w="108" w:type="dxa"/>
      </w:tblCellMar>
    </w:tblPr>
    <w:tcPr>
      <w:shd w:val="clear" w:color="auto" w:fill="FFECC0" w:themeFill="accent2" w:themeFillTint="3F"/>
    </w:tcPr>
    <w:tblStylePr w:type="firstRow">
      <w:rPr>
        <w:b/>
        <w:bCs/>
        <w:color w:val="000000" w:themeColor="text1"/>
      </w:rPr>
      <w:tblPr/>
      <w:tcPr>
        <w:shd w:val="clear" w:color="auto" w:fill="FFF7E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0CC" w:themeFill="accent2" w:themeFillTint="33"/>
      </w:tcPr>
    </w:tblStylePr>
    <w:tblStylePr w:type="band1Vert">
      <w:tblPr/>
      <w:tcPr>
        <w:shd w:val="clear" w:color="auto" w:fill="FFDA80" w:themeFill="accent2" w:themeFillTint="7F"/>
      </w:tcPr>
    </w:tblStylePr>
    <w:tblStylePr w:type="band1Horz">
      <w:tblPr/>
      <w:tcPr>
        <w:tcBorders>
          <w:insideH w:val="single" w:sz="6" w:space="0" w:color="FFB600" w:themeColor="accent2"/>
          <w:insideV w:val="single" w:sz="6" w:space="0" w:color="FFB600" w:themeColor="accent2"/>
        </w:tcBorders>
        <w:shd w:val="clear" w:color="auto" w:fill="FFDA8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602320" w:themeColor="accent3"/>
        <w:left w:val="single" w:sz="8" w:space="0" w:color="602320" w:themeColor="accent3"/>
        <w:bottom w:val="single" w:sz="8" w:space="0" w:color="602320" w:themeColor="accent3"/>
        <w:right w:val="single" w:sz="8" w:space="0" w:color="602320" w:themeColor="accent3"/>
        <w:insideH w:val="single" w:sz="8" w:space="0" w:color="602320" w:themeColor="accent3"/>
        <w:insideV w:val="single" w:sz="8" w:space="0" w:color="602320" w:themeColor="accent3"/>
      </w:tblBorders>
      <w:tblCellMar>
        <w:top w:w="0" w:type="dxa"/>
        <w:left w:w="108" w:type="dxa"/>
        <w:bottom w:w="0" w:type="dxa"/>
        <w:right w:w="108" w:type="dxa"/>
      </w:tblCellMar>
    </w:tblPr>
    <w:tcPr>
      <w:shd w:val="clear" w:color="auto" w:fill="E7BAB8" w:themeFill="accent3" w:themeFillTint="3F"/>
    </w:tcPr>
    <w:tblStylePr w:type="firstRow">
      <w:rPr>
        <w:b/>
        <w:bCs/>
        <w:color w:val="000000" w:themeColor="text1"/>
      </w:rPr>
      <w:tblPr/>
      <w:tcPr>
        <w:shd w:val="clear" w:color="auto" w:fill="F5E3E2"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C7C5" w:themeFill="accent3" w:themeFillTint="33"/>
      </w:tcPr>
    </w:tblStylePr>
    <w:tblStylePr w:type="band1Vert">
      <w:tblPr/>
      <w:tcPr>
        <w:shd w:val="clear" w:color="auto" w:fill="CF7470" w:themeFill="accent3" w:themeFillTint="7F"/>
      </w:tcPr>
    </w:tblStylePr>
    <w:tblStylePr w:type="band1Horz">
      <w:tblPr/>
      <w:tcPr>
        <w:tcBorders>
          <w:insideH w:val="single" w:sz="6" w:space="0" w:color="602320" w:themeColor="accent3"/>
          <w:insideV w:val="single" w:sz="6" w:space="0" w:color="602320" w:themeColor="accent3"/>
        </w:tcBorders>
        <w:shd w:val="clear" w:color="auto" w:fill="CF7470"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DB536A" w:themeColor="accent4"/>
        <w:left w:val="single" w:sz="8" w:space="0" w:color="DB536A" w:themeColor="accent4"/>
        <w:bottom w:val="single" w:sz="8" w:space="0" w:color="DB536A" w:themeColor="accent4"/>
        <w:right w:val="single" w:sz="8" w:space="0" w:color="DB536A" w:themeColor="accent4"/>
        <w:insideH w:val="single" w:sz="8" w:space="0" w:color="DB536A" w:themeColor="accent4"/>
        <w:insideV w:val="single" w:sz="8" w:space="0" w:color="DB536A" w:themeColor="accent4"/>
      </w:tblBorders>
      <w:tblCellMar>
        <w:top w:w="0" w:type="dxa"/>
        <w:left w:w="108" w:type="dxa"/>
        <w:bottom w:w="0" w:type="dxa"/>
        <w:right w:w="108" w:type="dxa"/>
      </w:tblCellMar>
    </w:tblPr>
    <w:tcPr>
      <w:shd w:val="clear" w:color="auto" w:fill="F6D4D9" w:themeFill="accent4" w:themeFillTint="3F"/>
    </w:tcPr>
    <w:tblStylePr w:type="firstRow">
      <w:rPr>
        <w:b/>
        <w:bCs/>
        <w:color w:val="000000" w:themeColor="text1"/>
      </w:rPr>
      <w:tblPr/>
      <w:tcPr>
        <w:shd w:val="clear" w:color="auto" w:fill="FBEDF0"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DCE1" w:themeFill="accent4" w:themeFillTint="33"/>
      </w:tcPr>
    </w:tblStylePr>
    <w:tblStylePr w:type="band1Vert">
      <w:tblPr/>
      <w:tcPr>
        <w:shd w:val="clear" w:color="auto" w:fill="EDA9B4" w:themeFill="accent4" w:themeFillTint="7F"/>
      </w:tcPr>
    </w:tblStylePr>
    <w:tblStylePr w:type="band1Horz">
      <w:tblPr/>
      <w:tcPr>
        <w:tcBorders>
          <w:insideH w:val="single" w:sz="6" w:space="0" w:color="DB536A" w:themeColor="accent4"/>
          <w:insideV w:val="single" w:sz="6" w:space="0" w:color="DB536A" w:themeColor="accent4"/>
        </w:tcBorders>
        <w:shd w:val="clear" w:color="auto" w:fill="EDA9B4"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A32020" w:themeColor="accent5"/>
        <w:left w:val="single" w:sz="8" w:space="0" w:color="A32020" w:themeColor="accent5"/>
        <w:bottom w:val="single" w:sz="8" w:space="0" w:color="A32020" w:themeColor="accent5"/>
        <w:right w:val="single" w:sz="8" w:space="0" w:color="A32020" w:themeColor="accent5"/>
        <w:insideH w:val="single" w:sz="8" w:space="0" w:color="A32020" w:themeColor="accent5"/>
        <w:insideV w:val="single" w:sz="8" w:space="0" w:color="A32020" w:themeColor="accent5"/>
      </w:tblBorders>
      <w:tblCellMar>
        <w:top w:w="0" w:type="dxa"/>
        <w:left w:w="108" w:type="dxa"/>
        <w:bottom w:w="0" w:type="dxa"/>
        <w:right w:w="108" w:type="dxa"/>
      </w:tblCellMar>
    </w:tblPr>
    <w:tcPr>
      <w:shd w:val="clear" w:color="auto" w:fill="F2BDBD" w:themeFill="accent5" w:themeFillTint="3F"/>
    </w:tcPr>
    <w:tblStylePr w:type="firstRow">
      <w:rPr>
        <w:b/>
        <w:bCs/>
        <w:color w:val="000000" w:themeColor="text1"/>
      </w:rPr>
      <w:tblPr/>
      <w:tcPr>
        <w:shd w:val="clear" w:color="auto" w:fill="FAE5E5"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CACA" w:themeFill="accent5" w:themeFillTint="33"/>
      </w:tcPr>
    </w:tblStylePr>
    <w:tblStylePr w:type="band1Vert">
      <w:tblPr/>
      <w:tcPr>
        <w:shd w:val="clear" w:color="auto" w:fill="E57B7B" w:themeFill="accent5" w:themeFillTint="7F"/>
      </w:tcPr>
    </w:tblStylePr>
    <w:tblStylePr w:type="band1Horz">
      <w:tblPr/>
      <w:tcPr>
        <w:tcBorders>
          <w:insideH w:val="single" w:sz="6" w:space="0" w:color="A32020" w:themeColor="accent5"/>
          <w:insideV w:val="single" w:sz="6" w:space="0" w:color="A32020" w:themeColor="accent5"/>
        </w:tcBorders>
        <w:shd w:val="clear" w:color="auto" w:fill="E57B7B"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E0301E" w:themeColor="accent6"/>
        <w:left w:val="single" w:sz="8" w:space="0" w:color="E0301E" w:themeColor="accent6"/>
        <w:bottom w:val="single" w:sz="8" w:space="0" w:color="E0301E" w:themeColor="accent6"/>
        <w:right w:val="single" w:sz="8" w:space="0" w:color="E0301E" w:themeColor="accent6"/>
        <w:insideH w:val="single" w:sz="8" w:space="0" w:color="E0301E" w:themeColor="accent6"/>
        <w:insideV w:val="single" w:sz="8" w:space="0" w:color="E0301E" w:themeColor="accent6"/>
      </w:tblBorders>
      <w:tblCellMar>
        <w:top w:w="0" w:type="dxa"/>
        <w:left w:w="108" w:type="dxa"/>
        <w:bottom w:w="0" w:type="dxa"/>
        <w:right w:w="108" w:type="dxa"/>
      </w:tblCellMar>
    </w:tblPr>
    <w:tcPr>
      <w:shd w:val="clear" w:color="auto" w:fill="F7CBC7" w:themeFill="accent6" w:themeFillTint="3F"/>
    </w:tcPr>
    <w:tblStylePr w:type="firstRow">
      <w:rPr>
        <w:b/>
        <w:bCs/>
        <w:color w:val="000000" w:themeColor="text1"/>
      </w:rPr>
      <w:tblPr/>
      <w:tcPr>
        <w:shd w:val="clear" w:color="auto" w:fill="FCEA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9D5D1" w:themeFill="accent6" w:themeFillTint="33"/>
      </w:tcPr>
    </w:tblStylePr>
    <w:tblStylePr w:type="band1Vert">
      <w:tblPr/>
      <w:tcPr>
        <w:shd w:val="clear" w:color="auto" w:fill="F0978E" w:themeFill="accent6" w:themeFillTint="7F"/>
      </w:tcPr>
    </w:tblStylePr>
    <w:tblStylePr w:type="band1Horz">
      <w:tblPr/>
      <w:tcPr>
        <w:tcBorders>
          <w:insideH w:val="single" w:sz="6" w:space="0" w:color="E0301E" w:themeColor="accent6"/>
          <w:insideV w:val="single" w:sz="6" w:space="0" w:color="E0301E" w:themeColor="accent6"/>
        </w:tcBorders>
        <w:shd w:val="clear" w:color="auto" w:fill="F0978E" w:themeFill="accent6" w:themeFillTint="7F"/>
      </w:tcPr>
    </w:tblStylePr>
    <w:tblStylePr w:type="nwCell">
      <w:tblPr/>
      <w:tcPr>
        <w:shd w:val="clear" w:color="auto" w:fill="FFFFFF" w:themeFill="background1"/>
      </w:tcPr>
    </w:tblStylePr>
  </w:style>
  <w:style w:type="table" w:customStyle="1" w:styleId="MediumGrid31">
    <w:name w:val="Medium Grid 31"/>
    <w:basedOn w:val="TableNormal"/>
    <w:uiPriority w:val="69"/>
    <w:semiHidden/>
    <w:locked/>
    <w:rsid w:val="001C6E2E"/>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locked/>
    <w:rsid w:val="001C6E2E"/>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D9B7"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C690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C690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C690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C690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B26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B26E" w:themeFill="accent1" w:themeFillTint="7F"/>
      </w:tcPr>
    </w:tblStylePr>
  </w:style>
  <w:style w:type="table" w:styleId="MediumGrid3-Accent2">
    <w:name w:val="Medium Grid 3 Accent 2"/>
    <w:basedOn w:val="TableNormal"/>
    <w:uiPriority w:val="69"/>
    <w:semiHidden/>
    <w:locked/>
    <w:rsid w:val="001C6E2E"/>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ECC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B6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B6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B6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B6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A8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A80" w:themeFill="accent2" w:themeFillTint="7F"/>
      </w:tcPr>
    </w:tblStylePr>
  </w:style>
  <w:style w:type="table" w:styleId="MediumGrid3-Accent3">
    <w:name w:val="Medium Grid 3 Accent 3"/>
    <w:basedOn w:val="TableNormal"/>
    <w:uiPriority w:val="69"/>
    <w:semiHidden/>
    <w:locked/>
    <w:rsid w:val="001C6E2E"/>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7BAB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0232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0232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0232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0232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7470"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7470" w:themeFill="accent3" w:themeFillTint="7F"/>
      </w:tcPr>
    </w:tblStylePr>
  </w:style>
  <w:style w:type="table" w:styleId="MediumGrid3-Accent4">
    <w:name w:val="Medium Grid 3 Accent 4"/>
    <w:basedOn w:val="TableNormal"/>
    <w:uiPriority w:val="69"/>
    <w:semiHidden/>
    <w:locked/>
    <w:rsid w:val="001C6E2E"/>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6D4D9"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B536A"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B536A"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B536A"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B536A"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DA9B4"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DA9B4" w:themeFill="accent4" w:themeFillTint="7F"/>
      </w:tcPr>
    </w:tblStylePr>
  </w:style>
  <w:style w:type="table" w:styleId="MediumGrid3-Accent5">
    <w:name w:val="Medium Grid 3 Accent 5"/>
    <w:basedOn w:val="TableNormal"/>
    <w:uiPriority w:val="69"/>
    <w:semiHidden/>
    <w:locked/>
    <w:rsid w:val="001C6E2E"/>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2BDB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3202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3202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3202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3202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7B7B"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7B7B" w:themeFill="accent5" w:themeFillTint="7F"/>
      </w:tcPr>
    </w:tblStylePr>
  </w:style>
  <w:style w:type="table" w:styleId="MediumGrid3-Accent6">
    <w:name w:val="Medium Grid 3 Accent 6"/>
    <w:basedOn w:val="TableNormal"/>
    <w:uiPriority w:val="69"/>
    <w:semiHidden/>
    <w:locked/>
    <w:rsid w:val="001C6E2E"/>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7CBC7"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0301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0301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0301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0301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0978E"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0978E" w:themeFill="accent6" w:themeFillTint="7F"/>
      </w:tcPr>
    </w:tblStylePr>
  </w:style>
  <w:style w:type="table" w:customStyle="1" w:styleId="MediumList11">
    <w:name w:val="Medium List 11"/>
    <w:basedOn w:val="TableNormal"/>
    <w:uiPriority w:val="65"/>
    <w:semiHidden/>
    <w:locked/>
    <w:rsid w:val="001C6E2E"/>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DC69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TableNormal"/>
    <w:uiPriority w:val="65"/>
    <w:semiHidden/>
    <w:locked/>
    <w:rsid w:val="001C6E2E"/>
    <w:rPr>
      <w:color w:val="000000" w:themeColor="text1"/>
    </w:rPr>
    <w:tblPr>
      <w:tblStyleRowBandSize w:val="1"/>
      <w:tblStyleColBandSize w:val="1"/>
      <w:tblInd w:w="0" w:type="dxa"/>
      <w:tblBorders>
        <w:top w:val="single" w:sz="8" w:space="0" w:color="DC6900" w:themeColor="accent1"/>
        <w:bottom w:val="single" w:sz="8" w:space="0" w:color="DC6900"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DC6900" w:themeColor="accent1"/>
        </w:tcBorders>
      </w:tcPr>
    </w:tblStylePr>
    <w:tblStylePr w:type="lastRow">
      <w:rPr>
        <w:b/>
        <w:bCs/>
        <w:color w:val="DC6900" w:themeColor="text2"/>
      </w:rPr>
      <w:tblPr/>
      <w:tcPr>
        <w:tcBorders>
          <w:top w:val="single" w:sz="8" w:space="0" w:color="DC6900" w:themeColor="accent1"/>
          <w:bottom w:val="single" w:sz="8" w:space="0" w:color="DC6900" w:themeColor="accent1"/>
        </w:tcBorders>
      </w:tcPr>
    </w:tblStylePr>
    <w:tblStylePr w:type="firstCol">
      <w:rPr>
        <w:b/>
        <w:bCs/>
      </w:rPr>
    </w:tblStylePr>
    <w:tblStylePr w:type="lastCol">
      <w:rPr>
        <w:b/>
        <w:bCs/>
      </w:rPr>
      <w:tblPr/>
      <w:tcPr>
        <w:tcBorders>
          <w:top w:val="single" w:sz="8" w:space="0" w:color="DC6900" w:themeColor="accent1"/>
          <w:bottom w:val="single" w:sz="8" w:space="0" w:color="DC6900" w:themeColor="accent1"/>
        </w:tcBorders>
      </w:tcPr>
    </w:tblStylePr>
    <w:tblStylePr w:type="band1Vert">
      <w:tblPr/>
      <w:tcPr>
        <w:shd w:val="clear" w:color="auto" w:fill="FFD9B7" w:themeFill="accent1" w:themeFillTint="3F"/>
      </w:tcPr>
    </w:tblStylePr>
    <w:tblStylePr w:type="band1Horz">
      <w:tblPr/>
      <w:tcPr>
        <w:shd w:val="clear" w:color="auto" w:fill="FFD9B7" w:themeFill="accent1" w:themeFillTint="3F"/>
      </w:tcPr>
    </w:tblStylePr>
  </w:style>
  <w:style w:type="table" w:styleId="MediumList1-Accent2">
    <w:name w:val="Medium List 1 Accent 2"/>
    <w:basedOn w:val="TableNormal"/>
    <w:uiPriority w:val="65"/>
    <w:semiHidden/>
    <w:locked/>
    <w:rsid w:val="001C6E2E"/>
    <w:rPr>
      <w:color w:val="000000" w:themeColor="text1"/>
    </w:rPr>
    <w:tblPr>
      <w:tblStyleRowBandSize w:val="1"/>
      <w:tblStyleColBandSize w:val="1"/>
      <w:tblInd w:w="0" w:type="dxa"/>
      <w:tblBorders>
        <w:top w:val="single" w:sz="8" w:space="0" w:color="FFB600" w:themeColor="accent2"/>
        <w:bottom w:val="single" w:sz="8" w:space="0" w:color="FFB6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FB600" w:themeColor="accent2"/>
        </w:tcBorders>
      </w:tcPr>
    </w:tblStylePr>
    <w:tblStylePr w:type="lastRow">
      <w:rPr>
        <w:b/>
        <w:bCs/>
        <w:color w:val="DC6900" w:themeColor="text2"/>
      </w:rPr>
      <w:tblPr/>
      <w:tcPr>
        <w:tcBorders>
          <w:top w:val="single" w:sz="8" w:space="0" w:color="FFB600" w:themeColor="accent2"/>
          <w:bottom w:val="single" w:sz="8" w:space="0" w:color="FFB600" w:themeColor="accent2"/>
        </w:tcBorders>
      </w:tcPr>
    </w:tblStylePr>
    <w:tblStylePr w:type="firstCol">
      <w:rPr>
        <w:b/>
        <w:bCs/>
      </w:rPr>
    </w:tblStylePr>
    <w:tblStylePr w:type="lastCol">
      <w:rPr>
        <w:b/>
        <w:bCs/>
      </w:rPr>
      <w:tblPr/>
      <w:tcPr>
        <w:tcBorders>
          <w:top w:val="single" w:sz="8" w:space="0" w:color="FFB600" w:themeColor="accent2"/>
          <w:bottom w:val="single" w:sz="8" w:space="0" w:color="FFB600" w:themeColor="accent2"/>
        </w:tcBorders>
      </w:tcPr>
    </w:tblStylePr>
    <w:tblStylePr w:type="band1Vert">
      <w:tblPr/>
      <w:tcPr>
        <w:shd w:val="clear" w:color="auto" w:fill="FFECC0" w:themeFill="accent2" w:themeFillTint="3F"/>
      </w:tcPr>
    </w:tblStylePr>
    <w:tblStylePr w:type="band1Horz">
      <w:tblPr/>
      <w:tcPr>
        <w:shd w:val="clear" w:color="auto" w:fill="FFECC0" w:themeFill="accent2" w:themeFillTint="3F"/>
      </w:tcPr>
    </w:tblStylePr>
  </w:style>
  <w:style w:type="table" w:styleId="MediumList1-Accent3">
    <w:name w:val="Medium List 1 Accent 3"/>
    <w:basedOn w:val="TableNormal"/>
    <w:uiPriority w:val="65"/>
    <w:semiHidden/>
    <w:locked/>
    <w:rsid w:val="001C6E2E"/>
    <w:rPr>
      <w:color w:val="000000" w:themeColor="text1"/>
    </w:rPr>
    <w:tblPr>
      <w:tblStyleRowBandSize w:val="1"/>
      <w:tblStyleColBandSize w:val="1"/>
      <w:tblInd w:w="0" w:type="dxa"/>
      <w:tblBorders>
        <w:top w:val="single" w:sz="8" w:space="0" w:color="602320" w:themeColor="accent3"/>
        <w:bottom w:val="single" w:sz="8" w:space="0" w:color="602320"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602320" w:themeColor="accent3"/>
        </w:tcBorders>
      </w:tcPr>
    </w:tblStylePr>
    <w:tblStylePr w:type="lastRow">
      <w:rPr>
        <w:b/>
        <w:bCs/>
        <w:color w:val="DC6900" w:themeColor="text2"/>
      </w:rPr>
      <w:tblPr/>
      <w:tcPr>
        <w:tcBorders>
          <w:top w:val="single" w:sz="8" w:space="0" w:color="602320" w:themeColor="accent3"/>
          <w:bottom w:val="single" w:sz="8" w:space="0" w:color="602320" w:themeColor="accent3"/>
        </w:tcBorders>
      </w:tcPr>
    </w:tblStylePr>
    <w:tblStylePr w:type="firstCol">
      <w:rPr>
        <w:b/>
        <w:bCs/>
      </w:rPr>
    </w:tblStylePr>
    <w:tblStylePr w:type="lastCol">
      <w:rPr>
        <w:b/>
        <w:bCs/>
      </w:rPr>
      <w:tblPr/>
      <w:tcPr>
        <w:tcBorders>
          <w:top w:val="single" w:sz="8" w:space="0" w:color="602320" w:themeColor="accent3"/>
          <w:bottom w:val="single" w:sz="8" w:space="0" w:color="602320" w:themeColor="accent3"/>
        </w:tcBorders>
      </w:tcPr>
    </w:tblStylePr>
    <w:tblStylePr w:type="band1Vert">
      <w:tblPr/>
      <w:tcPr>
        <w:shd w:val="clear" w:color="auto" w:fill="E7BAB8" w:themeFill="accent3" w:themeFillTint="3F"/>
      </w:tcPr>
    </w:tblStylePr>
    <w:tblStylePr w:type="band1Horz">
      <w:tblPr/>
      <w:tcPr>
        <w:shd w:val="clear" w:color="auto" w:fill="E7BAB8" w:themeFill="accent3" w:themeFillTint="3F"/>
      </w:tcPr>
    </w:tblStylePr>
  </w:style>
  <w:style w:type="table" w:styleId="MediumList1-Accent4">
    <w:name w:val="Medium List 1 Accent 4"/>
    <w:basedOn w:val="TableNormal"/>
    <w:uiPriority w:val="65"/>
    <w:semiHidden/>
    <w:locked/>
    <w:rsid w:val="001C6E2E"/>
    <w:rPr>
      <w:color w:val="000000" w:themeColor="text1"/>
    </w:rPr>
    <w:tblPr>
      <w:tblStyleRowBandSize w:val="1"/>
      <w:tblStyleColBandSize w:val="1"/>
      <w:tblInd w:w="0" w:type="dxa"/>
      <w:tblBorders>
        <w:top w:val="single" w:sz="8" w:space="0" w:color="DB536A" w:themeColor="accent4"/>
        <w:bottom w:val="single" w:sz="8" w:space="0" w:color="DB536A"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DB536A" w:themeColor="accent4"/>
        </w:tcBorders>
      </w:tcPr>
    </w:tblStylePr>
    <w:tblStylePr w:type="lastRow">
      <w:rPr>
        <w:b/>
        <w:bCs/>
        <w:color w:val="DC6900" w:themeColor="text2"/>
      </w:rPr>
      <w:tblPr/>
      <w:tcPr>
        <w:tcBorders>
          <w:top w:val="single" w:sz="8" w:space="0" w:color="DB536A" w:themeColor="accent4"/>
          <w:bottom w:val="single" w:sz="8" w:space="0" w:color="DB536A" w:themeColor="accent4"/>
        </w:tcBorders>
      </w:tcPr>
    </w:tblStylePr>
    <w:tblStylePr w:type="firstCol">
      <w:rPr>
        <w:b/>
        <w:bCs/>
      </w:rPr>
    </w:tblStylePr>
    <w:tblStylePr w:type="lastCol">
      <w:rPr>
        <w:b/>
        <w:bCs/>
      </w:rPr>
      <w:tblPr/>
      <w:tcPr>
        <w:tcBorders>
          <w:top w:val="single" w:sz="8" w:space="0" w:color="DB536A" w:themeColor="accent4"/>
          <w:bottom w:val="single" w:sz="8" w:space="0" w:color="DB536A" w:themeColor="accent4"/>
        </w:tcBorders>
      </w:tcPr>
    </w:tblStylePr>
    <w:tblStylePr w:type="band1Vert">
      <w:tblPr/>
      <w:tcPr>
        <w:shd w:val="clear" w:color="auto" w:fill="F6D4D9" w:themeFill="accent4" w:themeFillTint="3F"/>
      </w:tcPr>
    </w:tblStylePr>
    <w:tblStylePr w:type="band1Horz">
      <w:tblPr/>
      <w:tcPr>
        <w:shd w:val="clear" w:color="auto" w:fill="F6D4D9" w:themeFill="accent4" w:themeFillTint="3F"/>
      </w:tcPr>
    </w:tblStylePr>
  </w:style>
  <w:style w:type="table" w:styleId="MediumList1-Accent5">
    <w:name w:val="Medium List 1 Accent 5"/>
    <w:basedOn w:val="TableNormal"/>
    <w:uiPriority w:val="65"/>
    <w:semiHidden/>
    <w:locked/>
    <w:rsid w:val="001C6E2E"/>
    <w:rPr>
      <w:color w:val="000000" w:themeColor="text1"/>
    </w:rPr>
    <w:tblPr>
      <w:tblStyleRowBandSize w:val="1"/>
      <w:tblStyleColBandSize w:val="1"/>
      <w:tblInd w:w="0" w:type="dxa"/>
      <w:tblBorders>
        <w:top w:val="single" w:sz="8" w:space="0" w:color="A32020" w:themeColor="accent5"/>
        <w:bottom w:val="single" w:sz="8" w:space="0" w:color="A32020"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A32020" w:themeColor="accent5"/>
        </w:tcBorders>
      </w:tcPr>
    </w:tblStylePr>
    <w:tblStylePr w:type="lastRow">
      <w:rPr>
        <w:b/>
        <w:bCs/>
        <w:color w:val="DC6900" w:themeColor="text2"/>
      </w:rPr>
      <w:tblPr/>
      <w:tcPr>
        <w:tcBorders>
          <w:top w:val="single" w:sz="8" w:space="0" w:color="A32020" w:themeColor="accent5"/>
          <w:bottom w:val="single" w:sz="8" w:space="0" w:color="A32020" w:themeColor="accent5"/>
        </w:tcBorders>
      </w:tcPr>
    </w:tblStylePr>
    <w:tblStylePr w:type="firstCol">
      <w:rPr>
        <w:b/>
        <w:bCs/>
      </w:rPr>
    </w:tblStylePr>
    <w:tblStylePr w:type="lastCol">
      <w:rPr>
        <w:b/>
        <w:bCs/>
      </w:rPr>
      <w:tblPr/>
      <w:tcPr>
        <w:tcBorders>
          <w:top w:val="single" w:sz="8" w:space="0" w:color="A32020" w:themeColor="accent5"/>
          <w:bottom w:val="single" w:sz="8" w:space="0" w:color="A32020" w:themeColor="accent5"/>
        </w:tcBorders>
      </w:tcPr>
    </w:tblStylePr>
    <w:tblStylePr w:type="band1Vert">
      <w:tblPr/>
      <w:tcPr>
        <w:shd w:val="clear" w:color="auto" w:fill="F2BDBD" w:themeFill="accent5" w:themeFillTint="3F"/>
      </w:tcPr>
    </w:tblStylePr>
    <w:tblStylePr w:type="band1Horz">
      <w:tblPr/>
      <w:tcPr>
        <w:shd w:val="clear" w:color="auto" w:fill="F2BDBD" w:themeFill="accent5" w:themeFillTint="3F"/>
      </w:tcPr>
    </w:tblStylePr>
  </w:style>
  <w:style w:type="table" w:styleId="MediumList1-Accent6">
    <w:name w:val="Medium List 1 Accent 6"/>
    <w:basedOn w:val="TableNormal"/>
    <w:uiPriority w:val="65"/>
    <w:semiHidden/>
    <w:locked/>
    <w:rsid w:val="001C6E2E"/>
    <w:rPr>
      <w:color w:val="000000" w:themeColor="text1"/>
    </w:rPr>
    <w:tblPr>
      <w:tblStyleRowBandSize w:val="1"/>
      <w:tblStyleColBandSize w:val="1"/>
      <w:tblInd w:w="0" w:type="dxa"/>
      <w:tblBorders>
        <w:top w:val="single" w:sz="8" w:space="0" w:color="E0301E" w:themeColor="accent6"/>
        <w:bottom w:val="single" w:sz="8" w:space="0" w:color="E0301E"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E0301E" w:themeColor="accent6"/>
        </w:tcBorders>
      </w:tcPr>
    </w:tblStylePr>
    <w:tblStylePr w:type="lastRow">
      <w:rPr>
        <w:b/>
        <w:bCs/>
        <w:color w:val="DC6900" w:themeColor="text2"/>
      </w:rPr>
      <w:tblPr/>
      <w:tcPr>
        <w:tcBorders>
          <w:top w:val="single" w:sz="8" w:space="0" w:color="E0301E" w:themeColor="accent6"/>
          <w:bottom w:val="single" w:sz="8" w:space="0" w:color="E0301E" w:themeColor="accent6"/>
        </w:tcBorders>
      </w:tcPr>
    </w:tblStylePr>
    <w:tblStylePr w:type="firstCol">
      <w:rPr>
        <w:b/>
        <w:bCs/>
      </w:rPr>
    </w:tblStylePr>
    <w:tblStylePr w:type="lastCol">
      <w:rPr>
        <w:b/>
        <w:bCs/>
      </w:rPr>
      <w:tblPr/>
      <w:tcPr>
        <w:tcBorders>
          <w:top w:val="single" w:sz="8" w:space="0" w:color="E0301E" w:themeColor="accent6"/>
          <w:bottom w:val="single" w:sz="8" w:space="0" w:color="E0301E" w:themeColor="accent6"/>
        </w:tcBorders>
      </w:tcPr>
    </w:tblStylePr>
    <w:tblStylePr w:type="band1Vert">
      <w:tblPr/>
      <w:tcPr>
        <w:shd w:val="clear" w:color="auto" w:fill="F7CBC7" w:themeFill="accent6" w:themeFillTint="3F"/>
      </w:tcPr>
    </w:tblStylePr>
    <w:tblStylePr w:type="band1Horz">
      <w:tblPr/>
      <w:tcPr>
        <w:shd w:val="clear" w:color="auto" w:fill="F7CBC7" w:themeFill="accent6" w:themeFillTint="3F"/>
      </w:tcPr>
    </w:tblStylePr>
  </w:style>
  <w:style w:type="table" w:customStyle="1" w:styleId="MediumList21">
    <w:name w:val="Medium List 21"/>
    <w:basedOn w:val="TableNormal"/>
    <w:uiPriority w:val="66"/>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DC6900" w:themeColor="accent1"/>
        <w:left w:val="single" w:sz="8" w:space="0" w:color="DC6900" w:themeColor="accent1"/>
        <w:bottom w:val="single" w:sz="8" w:space="0" w:color="DC6900" w:themeColor="accent1"/>
        <w:right w:val="single" w:sz="8" w:space="0" w:color="DC6900"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DC6900" w:themeColor="accent1"/>
          <w:right w:val="nil"/>
          <w:insideH w:val="nil"/>
          <w:insideV w:val="nil"/>
        </w:tcBorders>
        <w:shd w:val="clear" w:color="auto" w:fill="FFFFFF" w:themeFill="background1"/>
      </w:tcPr>
    </w:tblStylePr>
    <w:tblStylePr w:type="lastRow">
      <w:tblPr/>
      <w:tcPr>
        <w:tcBorders>
          <w:top w:val="single" w:sz="8" w:space="0" w:color="DC6900"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C6900" w:themeColor="accent1"/>
          <w:insideH w:val="nil"/>
          <w:insideV w:val="nil"/>
        </w:tcBorders>
        <w:shd w:val="clear" w:color="auto" w:fill="FFFFFF" w:themeFill="background1"/>
      </w:tcPr>
    </w:tblStylePr>
    <w:tblStylePr w:type="lastCol">
      <w:tblPr/>
      <w:tcPr>
        <w:tcBorders>
          <w:top w:val="nil"/>
          <w:left w:val="single" w:sz="8" w:space="0" w:color="DC690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9B7" w:themeFill="accent1" w:themeFillTint="3F"/>
      </w:tcPr>
    </w:tblStylePr>
    <w:tblStylePr w:type="band1Horz">
      <w:tblPr/>
      <w:tcPr>
        <w:tcBorders>
          <w:top w:val="nil"/>
          <w:bottom w:val="nil"/>
          <w:insideH w:val="nil"/>
          <w:insideV w:val="nil"/>
        </w:tcBorders>
        <w:shd w:val="clear" w:color="auto" w:fill="FFD9B7"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FFB600" w:themeColor="accent2"/>
        <w:left w:val="single" w:sz="8" w:space="0" w:color="FFB600" w:themeColor="accent2"/>
        <w:bottom w:val="single" w:sz="8" w:space="0" w:color="FFB600" w:themeColor="accent2"/>
        <w:right w:val="single" w:sz="8" w:space="0" w:color="FFB6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FFB600" w:themeColor="accent2"/>
          <w:right w:val="nil"/>
          <w:insideH w:val="nil"/>
          <w:insideV w:val="nil"/>
        </w:tcBorders>
        <w:shd w:val="clear" w:color="auto" w:fill="FFFFFF" w:themeFill="background1"/>
      </w:tcPr>
    </w:tblStylePr>
    <w:tblStylePr w:type="lastRow">
      <w:tblPr/>
      <w:tcPr>
        <w:tcBorders>
          <w:top w:val="single" w:sz="8" w:space="0" w:color="FFB6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B600" w:themeColor="accent2"/>
          <w:insideH w:val="nil"/>
          <w:insideV w:val="nil"/>
        </w:tcBorders>
        <w:shd w:val="clear" w:color="auto" w:fill="FFFFFF" w:themeFill="background1"/>
      </w:tcPr>
    </w:tblStylePr>
    <w:tblStylePr w:type="lastCol">
      <w:tblPr/>
      <w:tcPr>
        <w:tcBorders>
          <w:top w:val="nil"/>
          <w:left w:val="single" w:sz="8" w:space="0" w:color="FFB6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CC0" w:themeFill="accent2" w:themeFillTint="3F"/>
      </w:tcPr>
    </w:tblStylePr>
    <w:tblStylePr w:type="band1Horz">
      <w:tblPr/>
      <w:tcPr>
        <w:tcBorders>
          <w:top w:val="nil"/>
          <w:bottom w:val="nil"/>
          <w:insideH w:val="nil"/>
          <w:insideV w:val="nil"/>
        </w:tcBorders>
        <w:shd w:val="clear" w:color="auto" w:fill="FFECC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602320" w:themeColor="accent3"/>
        <w:left w:val="single" w:sz="8" w:space="0" w:color="602320" w:themeColor="accent3"/>
        <w:bottom w:val="single" w:sz="8" w:space="0" w:color="602320" w:themeColor="accent3"/>
        <w:right w:val="single" w:sz="8" w:space="0" w:color="602320"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602320" w:themeColor="accent3"/>
          <w:right w:val="nil"/>
          <w:insideH w:val="nil"/>
          <w:insideV w:val="nil"/>
        </w:tcBorders>
        <w:shd w:val="clear" w:color="auto" w:fill="FFFFFF" w:themeFill="background1"/>
      </w:tcPr>
    </w:tblStylePr>
    <w:tblStylePr w:type="lastRow">
      <w:tblPr/>
      <w:tcPr>
        <w:tcBorders>
          <w:top w:val="single" w:sz="8" w:space="0" w:color="60232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02320" w:themeColor="accent3"/>
          <w:insideH w:val="nil"/>
          <w:insideV w:val="nil"/>
        </w:tcBorders>
        <w:shd w:val="clear" w:color="auto" w:fill="FFFFFF" w:themeFill="background1"/>
      </w:tcPr>
    </w:tblStylePr>
    <w:tblStylePr w:type="lastCol">
      <w:tblPr/>
      <w:tcPr>
        <w:tcBorders>
          <w:top w:val="nil"/>
          <w:left w:val="single" w:sz="8" w:space="0" w:color="60232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BAB8" w:themeFill="accent3" w:themeFillTint="3F"/>
      </w:tcPr>
    </w:tblStylePr>
    <w:tblStylePr w:type="band1Horz">
      <w:tblPr/>
      <w:tcPr>
        <w:tcBorders>
          <w:top w:val="nil"/>
          <w:bottom w:val="nil"/>
          <w:insideH w:val="nil"/>
          <w:insideV w:val="nil"/>
        </w:tcBorders>
        <w:shd w:val="clear" w:color="auto" w:fill="E7BAB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DB536A" w:themeColor="accent4"/>
        <w:left w:val="single" w:sz="8" w:space="0" w:color="DB536A" w:themeColor="accent4"/>
        <w:bottom w:val="single" w:sz="8" w:space="0" w:color="DB536A" w:themeColor="accent4"/>
        <w:right w:val="single" w:sz="8" w:space="0" w:color="DB536A"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DB536A" w:themeColor="accent4"/>
          <w:right w:val="nil"/>
          <w:insideH w:val="nil"/>
          <w:insideV w:val="nil"/>
        </w:tcBorders>
        <w:shd w:val="clear" w:color="auto" w:fill="FFFFFF" w:themeFill="background1"/>
      </w:tcPr>
    </w:tblStylePr>
    <w:tblStylePr w:type="lastRow">
      <w:tblPr/>
      <w:tcPr>
        <w:tcBorders>
          <w:top w:val="single" w:sz="8" w:space="0" w:color="DB536A"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B536A" w:themeColor="accent4"/>
          <w:insideH w:val="nil"/>
          <w:insideV w:val="nil"/>
        </w:tcBorders>
        <w:shd w:val="clear" w:color="auto" w:fill="FFFFFF" w:themeFill="background1"/>
      </w:tcPr>
    </w:tblStylePr>
    <w:tblStylePr w:type="lastCol">
      <w:tblPr/>
      <w:tcPr>
        <w:tcBorders>
          <w:top w:val="nil"/>
          <w:left w:val="single" w:sz="8" w:space="0" w:color="DB536A"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4D9" w:themeFill="accent4" w:themeFillTint="3F"/>
      </w:tcPr>
    </w:tblStylePr>
    <w:tblStylePr w:type="band1Horz">
      <w:tblPr/>
      <w:tcPr>
        <w:tcBorders>
          <w:top w:val="nil"/>
          <w:bottom w:val="nil"/>
          <w:insideH w:val="nil"/>
          <w:insideV w:val="nil"/>
        </w:tcBorders>
        <w:shd w:val="clear" w:color="auto" w:fill="F6D4D9"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A32020" w:themeColor="accent5"/>
        <w:left w:val="single" w:sz="8" w:space="0" w:color="A32020" w:themeColor="accent5"/>
        <w:bottom w:val="single" w:sz="8" w:space="0" w:color="A32020" w:themeColor="accent5"/>
        <w:right w:val="single" w:sz="8" w:space="0" w:color="A32020"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A32020" w:themeColor="accent5"/>
          <w:right w:val="nil"/>
          <w:insideH w:val="nil"/>
          <w:insideV w:val="nil"/>
        </w:tcBorders>
        <w:shd w:val="clear" w:color="auto" w:fill="FFFFFF" w:themeFill="background1"/>
      </w:tcPr>
    </w:tblStylePr>
    <w:tblStylePr w:type="lastRow">
      <w:tblPr/>
      <w:tcPr>
        <w:tcBorders>
          <w:top w:val="single" w:sz="8" w:space="0" w:color="A32020"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32020" w:themeColor="accent5"/>
          <w:insideH w:val="nil"/>
          <w:insideV w:val="nil"/>
        </w:tcBorders>
        <w:shd w:val="clear" w:color="auto" w:fill="FFFFFF" w:themeFill="background1"/>
      </w:tcPr>
    </w:tblStylePr>
    <w:tblStylePr w:type="lastCol">
      <w:tblPr/>
      <w:tcPr>
        <w:tcBorders>
          <w:top w:val="nil"/>
          <w:left w:val="single" w:sz="8" w:space="0" w:color="A3202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BDBD" w:themeFill="accent5" w:themeFillTint="3F"/>
      </w:tcPr>
    </w:tblStylePr>
    <w:tblStylePr w:type="band1Horz">
      <w:tblPr/>
      <w:tcPr>
        <w:tcBorders>
          <w:top w:val="nil"/>
          <w:bottom w:val="nil"/>
          <w:insideH w:val="nil"/>
          <w:insideV w:val="nil"/>
        </w:tcBorders>
        <w:shd w:val="clear" w:color="auto" w:fill="F2BDB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locked/>
    <w:rsid w:val="001C6E2E"/>
    <w:rPr>
      <w:rFonts w:asciiTheme="majorHAnsi" w:eastAsiaTheme="majorEastAsia" w:hAnsiTheme="majorHAnsi" w:cstheme="majorBidi"/>
      <w:color w:val="000000" w:themeColor="text1"/>
    </w:rPr>
    <w:tblPr>
      <w:tblStyleRowBandSize w:val="1"/>
      <w:tblStyleColBandSize w:val="1"/>
      <w:tblInd w:w="0" w:type="dxa"/>
      <w:tblBorders>
        <w:top w:val="single" w:sz="8" w:space="0" w:color="E0301E" w:themeColor="accent6"/>
        <w:left w:val="single" w:sz="8" w:space="0" w:color="E0301E" w:themeColor="accent6"/>
        <w:bottom w:val="single" w:sz="8" w:space="0" w:color="E0301E" w:themeColor="accent6"/>
        <w:right w:val="single" w:sz="8" w:space="0" w:color="E0301E"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E0301E" w:themeColor="accent6"/>
          <w:right w:val="nil"/>
          <w:insideH w:val="nil"/>
          <w:insideV w:val="nil"/>
        </w:tcBorders>
        <w:shd w:val="clear" w:color="auto" w:fill="FFFFFF" w:themeFill="background1"/>
      </w:tcPr>
    </w:tblStylePr>
    <w:tblStylePr w:type="lastRow">
      <w:tblPr/>
      <w:tcPr>
        <w:tcBorders>
          <w:top w:val="single" w:sz="8" w:space="0" w:color="E0301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0301E" w:themeColor="accent6"/>
          <w:insideH w:val="nil"/>
          <w:insideV w:val="nil"/>
        </w:tcBorders>
        <w:shd w:val="clear" w:color="auto" w:fill="FFFFFF" w:themeFill="background1"/>
      </w:tcPr>
    </w:tblStylePr>
    <w:tblStylePr w:type="lastCol">
      <w:tblPr/>
      <w:tcPr>
        <w:tcBorders>
          <w:top w:val="nil"/>
          <w:left w:val="single" w:sz="8" w:space="0" w:color="E0301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CBC7" w:themeFill="accent6" w:themeFillTint="3F"/>
      </w:tcPr>
    </w:tblStylePr>
    <w:tblStylePr w:type="band1Horz">
      <w:tblPr/>
      <w:tcPr>
        <w:tcBorders>
          <w:top w:val="nil"/>
          <w:bottom w:val="nil"/>
          <w:insideH w:val="nil"/>
          <w:insideV w:val="nil"/>
        </w:tcBorders>
        <w:shd w:val="clear" w:color="auto" w:fill="F7CBC7"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Shading11">
    <w:name w:val="Medium Shading 11"/>
    <w:basedOn w:val="TableNormal"/>
    <w:uiPriority w:val="63"/>
    <w:semiHidden/>
    <w:locked/>
    <w:rsid w:val="001C6E2E"/>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63"/>
    <w:semiHidden/>
    <w:locked/>
    <w:rsid w:val="001C6E2E"/>
    <w:tblPr>
      <w:tblStyleRowBandSize w:val="1"/>
      <w:tblStyleColBandSize w:val="1"/>
      <w:tblInd w:w="0" w:type="dxa"/>
      <w:tbl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single" w:sz="8" w:space="0" w:color="FF8C25"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nil"/>
          <w:insideV w:val="nil"/>
        </w:tcBorders>
        <w:shd w:val="clear" w:color="auto" w:fill="DC6900" w:themeFill="accent1"/>
      </w:tcPr>
    </w:tblStylePr>
    <w:tblStylePr w:type="lastRow">
      <w:pPr>
        <w:spacing w:before="0" w:after="0" w:line="240" w:lineRule="auto"/>
      </w:pPr>
      <w:rPr>
        <w:b/>
        <w:bCs/>
      </w:rPr>
      <w:tblPr/>
      <w:tcPr>
        <w:tcBorders>
          <w:top w:val="double" w:sz="6"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nil"/>
          <w:insideV w:val="nil"/>
        </w:tcBorders>
      </w:tcPr>
    </w:tblStylePr>
    <w:tblStylePr w:type="firstCol">
      <w:rPr>
        <w:b/>
        <w:bCs/>
      </w:rPr>
    </w:tblStylePr>
    <w:tblStylePr w:type="lastCol">
      <w:rPr>
        <w:b/>
        <w:bCs/>
      </w:rPr>
    </w:tblStylePr>
    <w:tblStylePr w:type="band1Vert">
      <w:tblPr/>
      <w:tcPr>
        <w:shd w:val="clear" w:color="auto" w:fill="FFD9B7" w:themeFill="accent1" w:themeFillTint="3F"/>
      </w:tcPr>
    </w:tblStylePr>
    <w:tblStylePr w:type="band1Horz">
      <w:tblPr/>
      <w:tcPr>
        <w:tcBorders>
          <w:insideH w:val="nil"/>
          <w:insideV w:val="nil"/>
        </w:tcBorders>
        <w:shd w:val="clear" w:color="auto" w:fill="FFD9B7"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locked/>
    <w:rsid w:val="001C6E2E"/>
    <w:tblPr>
      <w:tblStyleRowBandSize w:val="1"/>
      <w:tblStyleColBandSize w:val="1"/>
      <w:tblInd w:w="0" w:type="dxa"/>
      <w:tblBorders>
        <w:top w:val="single" w:sz="8" w:space="0" w:color="FFC840" w:themeColor="accent2" w:themeTint="BF"/>
        <w:left w:val="single" w:sz="8" w:space="0" w:color="FFC840" w:themeColor="accent2" w:themeTint="BF"/>
        <w:bottom w:val="single" w:sz="8" w:space="0" w:color="FFC840" w:themeColor="accent2" w:themeTint="BF"/>
        <w:right w:val="single" w:sz="8" w:space="0" w:color="FFC840" w:themeColor="accent2" w:themeTint="BF"/>
        <w:insideH w:val="single" w:sz="8" w:space="0" w:color="FFC840"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FC840" w:themeColor="accent2" w:themeTint="BF"/>
          <w:left w:val="single" w:sz="8" w:space="0" w:color="FFC840" w:themeColor="accent2" w:themeTint="BF"/>
          <w:bottom w:val="single" w:sz="8" w:space="0" w:color="FFC840" w:themeColor="accent2" w:themeTint="BF"/>
          <w:right w:val="single" w:sz="8" w:space="0" w:color="FFC840" w:themeColor="accent2" w:themeTint="BF"/>
          <w:insideH w:val="nil"/>
          <w:insideV w:val="nil"/>
        </w:tcBorders>
        <w:shd w:val="clear" w:color="auto" w:fill="FFB600" w:themeFill="accent2"/>
      </w:tcPr>
    </w:tblStylePr>
    <w:tblStylePr w:type="lastRow">
      <w:pPr>
        <w:spacing w:before="0" w:after="0" w:line="240" w:lineRule="auto"/>
      </w:pPr>
      <w:rPr>
        <w:b/>
        <w:bCs/>
      </w:rPr>
      <w:tblPr/>
      <w:tcPr>
        <w:tcBorders>
          <w:top w:val="double" w:sz="6" w:space="0" w:color="FFC840" w:themeColor="accent2" w:themeTint="BF"/>
          <w:left w:val="single" w:sz="8" w:space="0" w:color="FFC840" w:themeColor="accent2" w:themeTint="BF"/>
          <w:bottom w:val="single" w:sz="8" w:space="0" w:color="FFC840" w:themeColor="accent2" w:themeTint="BF"/>
          <w:right w:val="single" w:sz="8" w:space="0" w:color="FFC84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ECC0" w:themeFill="accent2" w:themeFillTint="3F"/>
      </w:tcPr>
    </w:tblStylePr>
    <w:tblStylePr w:type="band1Horz">
      <w:tblPr/>
      <w:tcPr>
        <w:tcBorders>
          <w:insideH w:val="nil"/>
          <w:insideV w:val="nil"/>
        </w:tcBorders>
        <w:shd w:val="clear" w:color="auto" w:fill="FFECC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locked/>
    <w:rsid w:val="001C6E2E"/>
    <w:tblPr>
      <w:tblStyleRowBandSize w:val="1"/>
      <w:tblStyleColBandSize w:val="1"/>
      <w:tblInd w:w="0" w:type="dxa"/>
      <w:tblBorders>
        <w:top w:val="single" w:sz="8" w:space="0" w:color="A73C38" w:themeColor="accent3" w:themeTint="BF"/>
        <w:left w:val="single" w:sz="8" w:space="0" w:color="A73C38" w:themeColor="accent3" w:themeTint="BF"/>
        <w:bottom w:val="single" w:sz="8" w:space="0" w:color="A73C38" w:themeColor="accent3" w:themeTint="BF"/>
        <w:right w:val="single" w:sz="8" w:space="0" w:color="A73C38" w:themeColor="accent3" w:themeTint="BF"/>
        <w:insideH w:val="single" w:sz="8" w:space="0" w:color="A73C38"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A73C38" w:themeColor="accent3" w:themeTint="BF"/>
          <w:left w:val="single" w:sz="8" w:space="0" w:color="A73C38" w:themeColor="accent3" w:themeTint="BF"/>
          <w:bottom w:val="single" w:sz="8" w:space="0" w:color="A73C38" w:themeColor="accent3" w:themeTint="BF"/>
          <w:right w:val="single" w:sz="8" w:space="0" w:color="A73C38" w:themeColor="accent3" w:themeTint="BF"/>
          <w:insideH w:val="nil"/>
          <w:insideV w:val="nil"/>
        </w:tcBorders>
        <w:shd w:val="clear" w:color="auto" w:fill="602320" w:themeFill="accent3"/>
      </w:tcPr>
    </w:tblStylePr>
    <w:tblStylePr w:type="lastRow">
      <w:pPr>
        <w:spacing w:before="0" w:after="0" w:line="240" w:lineRule="auto"/>
      </w:pPr>
      <w:rPr>
        <w:b/>
        <w:bCs/>
      </w:rPr>
      <w:tblPr/>
      <w:tcPr>
        <w:tcBorders>
          <w:top w:val="double" w:sz="6" w:space="0" w:color="A73C38" w:themeColor="accent3" w:themeTint="BF"/>
          <w:left w:val="single" w:sz="8" w:space="0" w:color="A73C38" w:themeColor="accent3" w:themeTint="BF"/>
          <w:bottom w:val="single" w:sz="8" w:space="0" w:color="A73C38" w:themeColor="accent3" w:themeTint="BF"/>
          <w:right w:val="single" w:sz="8" w:space="0" w:color="A73C38" w:themeColor="accent3" w:themeTint="BF"/>
          <w:insideH w:val="nil"/>
          <w:insideV w:val="nil"/>
        </w:tcBorders>
      </w:tcPr>
    </w:tblStylePr>
    <w:tblStylePr w:type="firstCol">
      <w:rPr>
        <w:b/>
        <w:bCs/>
      </w:rPr>
    </w:tblStylePr>
    <w:tblStylePr w:type="lastCol">
      <w:rPr>
        <w:b/>
        <w:bCs/>
      </w:rPr>
    </w:tblStylePr>
    <w:tblStylePr w:type="band1Vert">
      <w:tblPr/>
      <w:tcPr>
        <w:shd w:val="clear" w:color="auto" w:fill="E7BAB8" w:themeFill="accent3" w:themeFillTint="3F"/>
      </w:tcPr>
    </w:tblStylePr>
    <w:tblStylePr w:type="band1Horz">
      <w:tblPr/>
      <w:tcPr>
        <w:tcBorders>
          <w:insideH w:val="nil"/>
          <w:insideV w:val="nil"/>
        </w:tcBorders>
        <w:shd w:val="clear" w:color="auto" w:fill="E7BAB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locked/>
    <w:rsid w:val="001C6E2E"/>
    <w:tblPr>
      <w:tblStyleRowBandSize w:val="1"/>
      <w:tblStyleColBandSize w:val="1"/>
      <w:tblInd w:w="0" w:type="dxa"/>
      <w:tblBorders>
        <w:top w:val="single" w:sz="8" w:space="0" w:color="E47E8F" w:themeColor="accent4" w:themeTint="BF"/>
        <w:left w:val="single" w:sz="8" w:space="0" w:color="E47E8F" w:themeColor="accent4" w:themeTint="BF"/>
        <w:bottom w:val="single" w:sz="8" w:space="0" w:color="E47E8F" w:themeColor="accent4" w:themeTint="BF"/>
        <w:right w:val="single" w:sz="8" w:space="0" w:color="E47E8F" w:themeColor="accent4" w:themeTint="BF"/>
        <w:insideH w:val="single" w:sz="8" w:space="0" w:color="E47E8F"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E47E8F" w:themeColor="accent4" w:themeTint="BF"/>
          <w:left w:val="single" w:sz="8" w:space="0" w:color="E47E8F" w:themeColor="accent4" w:themeTint="BF"/>
          <w:bottom w:val="single" w:sz="8" w:space="0" w:color="E47E8F" w:themeColor="accent4" w:themeTint="BF"/>
          <w:right w:val="single" w:sz="8" w:space="0" w:color="E47E8F" w:themeColor="accent4" w:themeTint="BF"/>
          <w:insideH w:val="nil"/>
          <w:insideV w:val="nil"/>
        </w:tcBorders>
        <w:shd w:val="clear" w:color="auto" w:fill="DB536A" w:themeFill="accent4"/>
      </w:tcPr>
    </w:tblStylePr>
    <w:tblStylePr w:type="lastRow">
      <w:pPr>
        <w:spacing w:before="0" w:after="0" w:line="240" w:lineRule="auto"/>
      </w:pPr>
      <w:rPr>
        <w:b/>
        <w:bCs/>
      </w:rPr>
      <w:tblPr/>
      <w:tcPr>
        <w:tcBorders>
          <w:top w:val="double" w:sz="6" w:space="0" w:color="E47E8F" w:themeColor="accent4" w:themeTint="BF"/>
          <w:left w:val="single" w:sz="8" w:space="0" w:color="E47E8F" w:themeColor="accent4" w:themeTint="BF"/>
          <w:bottom w:val="single" w:sz="8" w:space="0" w:color="E47E8F" w:themeColor="accent4" w:themeTint="BF"/>
          <w:right w:val="single" w:sz="8" w:space="0" w:color="E47E8F" w:themeColor="accent4" w:themeTint="BF"/>
          <w:insideH w:val="nil"/>
          <w:insideV w:val="nil"/>
        </w:tcBorders>
      </w:tcPr>
    </w:tblStylePr>
    <w:tblStylePr w:type="firstCol">
      <w:rPr>
        <w:b/>
        <w:bCs/>
      </w:rPr>
    </w:tblStylePr>
    <w:tblStylePr w:type="lastCol">
      <w:rPr>
        <w:b/>
        <w:bCs/>
      </w:rPr>
    </w:tblStylePr>
    <w:tblStylePr w:type="band1Vert">
      <w:tblPr/>
      <w:tcPr>
        <w:shd w:val="clear" w:color="auto" w:fill="F6D4D9" w:themeFill="accent4" w:themeFillTint="3F"/>
      </w:tcPr>
    </w:tblStylePr>
    <w:tblStylePr w:type="band1Horz">
      <w:tblPr/>
      <w:tcPr>
        <w:tcBorders>
          <w:insideH w:val="nil"/>
          <w:insideV w:val="nil"/>
        </w:tcBorders>
        <w:shd w:val="clear" w:color="auto" w:fill="F6D4D9"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locked/>
    <w:rsid w:val="001C6E2E"/>
    <w:tblPr>
      <w:tblStyleRowBandSize w:val="1"/>
      <w:tblStyleColBandSize w:val="1"/>
      <w:tblInd w:w="0" w:type="dxa"/>
      <w:tblBorders>
        <w:top w:val="single" w:sz="8" w:space="0" w:color="D83939" w:themeColor="accent5" w:themeTint="BF"/>
        <w:left w:val="single" w:sz="8" w:space="0" w:color="D83939" w:themeColor="accent5" w:themeTint="BF"/>
        <w:bottom w:val="single" w:sz="8" w:space="0" w:color="D83939" w:themeColor="accent5" w:themeTint="BF"/>
        <w:right w:val="single" w:sz="8" w:space="0" w:color="D83939" w:themeColor="accent5" w:themeTint="BF"/>
        <w:insideH w:val="single" w:sz="8" w:space="0" w:color="D83939"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D83939" w:themeColor="accent5" w:themeTint="BF"/>
          <w:left w:val="single" w:sz="8" w:space="0" w:color="D83939" w:themeColor="accent5" w:themeTint="BF"/>
          <w:bottom w:val="single" w:sz="8" w:space="0" w:color="D83939" w:themeColor="accent5" w:themeTint="BF"/>
          <w:right w:val="single" w:sz="8" w:space="0" w:color="D83939" w:themeColor="accent5" w:themeTint="BF"/>
          <w:insideH w:val="nil"/>
          <w:insideV w:val="nil"/>
        </w:tcBorders>
        <w:shd w:val="clear" w:color="auto" w:fill="A32020" w:themeFill="accent5"/>
      </w:tcPr>
    </w:tblStylePr>
    <w:tblStylePr w:type="lastRow">
      <w:pPr>
        <w:spacing w:before="0" w:after="0" w:line="240" w:lineRule="auto"/>
      </w:pPr>
      <w:rPr>
        <w:b/>
        <w:bCs/>
      </w:rPr>
      <w:tblPr/>
      <w:tcPr>
        <w:tcBorders>
          <w:top w:val="double" w:sz="6" w:space="0" w:color="D83939" w:themeColor="accent5" w:themeTint="BF"/>
          <w:left w:val="single" w:sz="8" w:space="0" w:color="D83939" w:themeColor="accent5" w:themeTint="BF"/>
          <w:bottom w:val="single" w:sz="8" w:space="0" w:color="D83939" w:themeColor="accent5" w:themeTint="BF"/>
          <w:right w:val="single" w:sz="8" w:space="0" w:color="D83939" w:themeColor="accent5" w:themeTint="BF"/>
          <w:insideH w:val="nil"/>
          <w:insideV w:val="nil"/>
        </w:tcBorders>
      </w:tcPr>
    </w:tblStylePr>
    <w:tblStylePr w:type="firstCol">
      <w:rPr>
        <w:b/>
        <w:bCs/>
      </w:rPr>
    </w:tblStylePr>
    <w:tblStylePr w:type="lastCol">
      <w:rPr>
        <w:b/>
        <w:bCs/>
      </w:rPr>
    </w:tblStylePr>
    <w:tblStylePr w:type="band1Vert">
      <w:tblPr/>
      <w:tcPr>
        <w:shd w:val="clear" w:color="auto" w:fill="F2BDBD" w:themeFill="accent5" w:themeFillTint="3F"/>
      </w:tcPr>
    </w:tblStylePr>
    <w:tblStylePr w:type="band1Horz">
      <w:tblPr/>
      <w:tcPr>
        <w:tcBorders>
          <w:insideH w:val="nil"/>
          <w:insideV w:val="nil"/>
        </w:tcBorders>
        <w:shd w:val="clear" w:color="auto" w:fill="F2BDB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locked/>
    <w:rsid w:val="001C6E2E"/>
    <w:tblPr>
      <w:tblStyleRowBandSize w:val="1"/>
      <w:tblStyleColBandSize w:val="1"/>
      <w:tblInd w:w="0" w:type="dxa"/>
      <w:tblBorders>
        <w:top w:val="single" w:sz="8" w:space="0" w:color="E86255" w:themeColor="accent6" w:themeTint="BF"/>
        <w:left w:val="single" w:sz="8" w:space="0" w:color="E86255" w:themeColor="accent6" w:themeTint="BF"/>
        <w:bottom w:val="single" w:sz="8" w:space="0" w:color="E86255" w:themeColor="accent6" w:themeTint="BF"/>
        <w:right w:val="single" w:sz="8" w:space="0" w:color="E86255" w:themeColor="accent6" w:themeTint="BF"/>
        <w:insideH w:val="single" w:sz="8" w:space="0" w:color="E86255"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E86255" w:themeColor="accent6" w:themeTint="BF"/>
          <w:left w:val="single" w:sz="8" w:space="0" w:color="E86255" w:themeColor="accent6" w:themeTint="BF"/>
          <w:bottom w:val="single" w:sz="8" w:space="0" w:color="E86255" w:themeColor="accent6" w:themeTint="BF"/>
          <w:right w:val="single" w:sz="8" w:space="0" w:color="E86255" w:themeColor="accent6" w:themeTint="BF"/>
          <w:insideH w:val="nil"/>
          <w:insideV w:val="nil"/>
        </w:tcBorders>
        <w:shd w:val="clear" w:color="auto" w:fill="E0301E" w:themeFill="accent6"/>
      </w:tcPr>
    </w:tblStylePr>
    <w:tblStylePr w:type="lastRow">
      <w:pPr>
        <w:spacing w:before="0" w:after="0" w:line="240" w:lineRule="auto"/>
      </w:pPr>
      <w:rPr>
        <w:b/>
        <w:bCs/>
      </w:rPr>
      <w:tblPr/>
      <w:tcPr>
        <w:tcBorders>
          <w:top w:val="double" w:sz="6" w:space="0" w:color="E86255" w:themeColor="accent6" w:themeTint="BF"/>
          <w:left w:val="single" w:sz="8" w:space="0" w:color="E86255" w:themeColor="accent6" w:themeTint="BF"/>
          <w:bottom w:val="single" w:sz="8" w:space="0" w:color="E86255" w:themeColor="accent6" w:themeTint="BF"/>
          <w:right w:val="single" w:sz="8" w:space="0" w:color="E86255" w:themeColor="accent6" w:themeTint="BF"/>
          <w:insideH w:val="nil"/>
          <w:insideV w:val="nil"/>
        </w:tcBorders>
      </w:tcPr>
    </w:tblStylePr>
    <w:tblStylePr w:type="firstCol">
      <w:rPr>
        <w:b/>
        <w:bCs/>
      </w:rPr>
    </w:tblStylePr>
    <w:tblStylePr w:type="lastCol">
      <w:rPr>
        <w:b/>
        <w:bCs/>
      </w:rPr>
    </w:tblStylePr>
    <w:tblStylePr w:type="band1Vert">
      <w:tblPr/>
      <w:tcPr>
        <w:shd w:val="clear" w:color="auto" w:fill="F7CBC7" w:themeFill="accent6" w:themeFillTint="3F"/>
      </w:tcPr>
    </w:tblStylePr>
    <w:tblStylePr w:type="band1Horz">
      <w:tblPr/>
      <w:tcPr>
        <w:tcBorders>
          <w:insideH w:val="nil"/>
          <w:insideV w:val="nil"/>
        </w:tcBorders>
        <w:shd w:val="clear" w:color="auto" w:fill="F7CBC7" w:themeFill="accent6" w:themeFillTint="3F"/>
      </w:tcPr>
    </w:tblStylePr>
    <w:tblStylePr w:type="band2Horz">
      <w:tblPr/>
      <w:tcPr>
        <w:tcBorders>
          <w:insideH w:val="nil"/>
          <w:insideV w:val="nil"/>
        </w:tcBorders>
      </w:tcPr>
    </w:tblStylePr>
  </w:style>
  <w:style w:type="table" w:customStyle="1" w:styleId="MediumShading21">
    <w:name w:val="Medium Shading 21"/>
    <w:basedOn w:val="TableNormal"/>
    <w:uiPriority w:val="64"/>
    <w:semiHidden/>
    <w:locked/>
    <w:rsid w:val="001C6E2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semiHidden/>
    <w:locked/>
    <w:rsid w:val="001C6E2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C690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DC6900" w:themeFill="accent1"/>
      </w:tcPr>
    </w:tblStylePr>
    <w:tblStylePr w:type="lastCol">
      <w:rPr>
        <w:b/>
        <w:bCs/>
        <w:color w:val="FFFFFF" w:themeColor="background1"/>
      </w:rPr>
      <w:tblPr/>
      <w:tcPr>
        <w:tcBorders>
          <w:left w:val="nil"/>
          <w:right w:val="nil"/>
          <w:insideH w:val="nil"/>
          <w:insideV w:val="nil"/>
        </w:tcBorders>
        <w:shd w:val="clear" w:color="auto" w:fill="DC690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locked/>
    <w:rsid w:val="001C6E2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B6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B600" w:themeFill="accent2"/>
      </w:tcPr>
    </w:tblStylePr>
    <w:tblStylePr w:type="lastCol">
      <w:rPr>
        <w:b/>
        <w:bCs/>
        <w:color w:val="FFFFFF" w:themeColor="background1"/>
      </w:rPr>
      <w:tblPr/>
      <w:tcPr>
        <w:tcBorders>
          <w:left w:val="nil"/>
          <w:right w:val="nil"/>
          <w:insideH w:val="nil"/>
          <w:insideV w:val="nil"/>
        </w:tcBorders>
        <w:shd w:val="clear" w:color="auto" w:fill="FFB6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locked/>
    <w:rsid w:val="001C6E2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0232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02320" w:themeFill="accent3"/>
      </w:tcPr>
    </w:tblStylePr>
    <w:tblStylePr w:type="lastCol">
      <w:rPr>
        <w:b/>
        <w:bCs/>
        <w:color w:val="FFFFFF" w:themeColor="background1"/>
      </w:rPr>
      <w:tblPr/>
      <w:tcPr>
        <w:tcBorders>
          <w:left w:val="nil"/>
          <w:right w:val="nil"/>
          <w:insideH w:val="nil"/>
          <w:insideV w:val="nil"/>
        </w:tcBorders>
        <w:shd w:val="clear" w:color="auto" w:fill="60232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locked/>
    <w:rsid w:val="001C6E2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B536A"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DB536A" w:themeFill="accent4"/>
      </w:tcPr>
    </w:tblStylePr>
    <w:tblStylePr w:type="lastCol">
      <w:rPr>
        <w:b/>
        <w:bCs/>
        <w:color w:val="FFFFFF" w:themeColor="background1"/>
      </w:rPr>
      <w:tblPr/>
      <w:tcPr>
        <w:tcBorders>
          <w:left w:val="nil"/>
          <w:right w:val="nil"/>
          <w:insideH w:val="nil"/>
          <w:insideV w:val="nil"/>
        </w:tcBorders>
        <w:shd w:val="clear" w:color="auto" w:fill="DB536A"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locked/>
    <w:rsid w:val="001C6E2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3202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32020" w:themeFill="accent5"/>
      </w:tcPr>
    </w:tblStylePr>
    <w:tblStylePr w:type="lastCol">
      <w:rPr>
        <w:b/>
        <w:bCs/>
        <w:color w:val="FFFFFF" w:themeColor="background1"/>
      </w:rPr>
      <w:tblPr/>
      <w:tcPr>
        <w:tcBorders>
          <w:left w:val="nil"/>
          <w:right w:val="nil"/>
          <w:insideH w:val="nil"/>
          <w:insideV w:val="nil"/>
        </w:tcBorders>
        <w:shd w:val="clear" w:color="auto" w:fill="A3202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locked/>
    <w:rsid w:val="001C6E2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0301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0301E" w:themeFill="accent6"/>
      </w:tcPr>
    </w:tblStylePr>
    <w:tblStylePr w:type="lastCol">
      <w:rPr>
        <w:b/>
        <w:bCs/>
        <w:color w:val="FFFFFF" w:themeColor="background1"/>
      </w:rPr>
      <w:tblPr/>
      <w:tcPr>
        <w:tcBorders>
          <w:left w:val="nil"/>
          <w:right w:val="nil"/>
          <w:insideH w:val="nil"/>
          <w:insideV w:val="nil"/>
        </w:tcBorders>
        <w:shd w:val="clear" w:color="auto" w:fill="E0301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PwCTableStyle2">
    <w:name w:val="PwC Table Style 2"/>
    <w:basedOn w:val="PwCTableStyle1"/>
    <w:uiPriority w:val="99"/>
    <w:qFormat/>
    <w:rsid w:val="00FB380F"/>
    <w:tblPr>
      <w:tblInd w:w="0" w:type="dxa"/>
      <w:tblBorders>
        <w:bottom w:val="dotted" w:sz="8" w:space="0" w:color="DC6900" w:themeColor="accent1"/>
        <w:insideH w:val="single" w:sz="6" w:space="0" w:color="DC6900" w:themeColor="accent1"/>
      </w:tblBorders>
      <w:tblCellMar>
        <w:top w:w="28" w:type="dxa"/>
        <w:left w:w="108" w:type="dxa"/>
        <w:bottom w:w="28" w:type="dxa"/>
        <w:right w:w="108" w:type="dxa"/>
      </w:tblCellMar>
    </w:tblPr>
    <w:tcPr>
      <w:shd w:val="clear" w:color="auto" w:fill="auto"/>
    </w:tcPr>
    <w:tblStylePr w:type="firstRow">
      <w:rPr>
        <w:b/>
        <w:i/>
        <w:color w:val="DC6900" w:themeColor="accent1"/>
      </w:rPr>
      <w:tblPr/>
      <w:trPr>
        <w:tblHeader/>
      </w:trPr>
      <w:tcPr>
        <w:tcBorders>
          <w:top w:val="single" w:sz="8" w:space="0" w:color="DC6900" w:themeColor="accent1"/>
          <w:insideV w:val="single" w:sz="6" w:space="0" w:color="FFFFFF" w:themeColor="background1"/>
        </w:tcBorders>
        <w:shd w:val="clear" w:color="auto" w:fill="auto"/>
      </w:tcPr>
    </w:tblStylePr>
    <w:tblStylePr w:type="lastRow">
      <w:rPr>
        <w:b/>
      </w:rPr>
      <w:tblPr/>
      <w:tcPr>
        <w:tcBorders>
          <w:top w:val="single" w:sz="8" w:space="0" w:color="DC6900" w:themeColor="accent1"/>
          <w:bottom w:val="single" w:sz="8" w:space="0" w:color="DC6900" w:themeColor="accent1"/>
        </w:tcBorders>
        <w:shd w:val="clear" w:color="auto" w:fill="auto"/>
      </w:tcPr>
    </w:tblStylePr>
    <w:tblStylePr w:type="firstCol">
      <w:rPr>
        <w:color w:val="DC6900" w:themeColor="accent1"/>
      </w:rPr>
    </w:tblStylePr>
  </w:style>
  <w:style w:type="table" w:styleId="Table3Deffects2">
    <w:name w:val="Table 3D effects 2"/>
    <w:basedOn w:val="TableNormal"/>
    <w:semiHidden/>
    <w:locked/>
    <w:rsid w:val="001C6E2E"/>
    <w:pPr>
      <w:kinsoku w:val="0"/>
      <w:overflowPunct w:val="0"/>
      <w:autoSpaceDE w:val="0"/>
      <w:autoSpaceDN w:val="0"/>
      <w:adjustRightInd w:val="0"/>
      <w:snapToGrid w:val="0"/>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locked/>
    <w:rsid w:val="001C6E2E"/>
    <w:pPr>
      <w:kinsoku w:val="0"/>
      <w:overflowPunct w:val="0"/>
      <w:autoSpaceDE w:val="0"/>
      <w:autoSpaceDN w:val="0"/>
      <w:adjustRightInd w:val="0"/>
      <w:snapToGrid w:val="0"/>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locked/>
    <w:rsid w:val="001C6E2E"/>
    <w:pPr>
      <w:kinsoku w:val="0"/>
      <w:overflowPunct w:val="0"/>
      <w:autoSpaceDE w:val="0"/>
      <w:autoSpaceDN w:val="0"/>
      <w:adjustRightInd w:val="0"/>
      <w:snapToGrid w:val="0"/>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locked/>
    <w:rsid w:val="001C6E2E"/>
    <w:pPr>
      <w:kinsoku w:val="0"/>
      <w:overflowPunct w:val="0"/>
      <w:autoSpaceDE w:val="0"/>
      <w:autoSpaceDN w:val="0"/>
      <w:adjustRightInd w:val="0"/>
      <w:snapToGrid w:val="0"/>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locked/>
    <w:rsid w:val="001C6E2E"/>
    <w:pPr>
      <w:kinsoku w:val="0"/>
      <w:overflowPunct w:val="0"/>
      <w:autoSpaceDE w:val="0"/>
      <w:autoSpaceDN w:val="0"/>
      <w:adjustRightInd w:val="0"/>
      <w:snapToGrid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locked/>
    <w:rsid w:val="001C6E2E"/>
    <w:pPr>
      <w:kinsoku w:val="0"/>
      <w:overflowPunct w:val="0"/>
      <w:autoSpaceDE w:val="0"/>
      <w:autoSpaceDN w:val="0"/>
      <w:adjustRightInd w:val="0"/>
      <w:snapToGrid w:val="0"/>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locked/>
    <w:rsid w:val="001C6E2E"/>
    <w:pPr>
      <w:kinsoku w:val="0"/>
      <w:overflowPunct w:val="0"/>
      <w:autoSpaceDE w:val="0"/>
      <w:autoSpaceDN w:val="0"/>
      <w:adjustRightInd w:val="0"/>
      <w:snapToGrid w:val="0"/>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locked/>
    <w:rsid w:val="001C6E2E"/>
    <w:pPr>
      <w:kinsoku w:val="0"/>
      <w:overflowPunct w:val="0"/>
      <w:autoSpaceDE w:val="0"/>
      <w:autoSpaceDN w:val="0"/>
      <w:adjustRightInd w:val="0"/>
      <w:snapToGrid w:val="0"/>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locked/>
    <w:rsid w:val="001C6E2E"/>
    <w:pPr>
      <w:kinsoku w:val="0"/>
      <w:overflowPunct w:val="0"/>
      <w:autoSpaceDE w:val="0"/>
      <w:autoSpaceDN w:val="0"/>
      <w:adjustRightInd w:val="0"/>
      <w:snapToGrid w:val="0"/>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locked/>
    <w:rsid w:val="001C6E2E"/>
    <w:pPr>
      <w:kinsoku w:val="0"/>
      <w:overflowPunct w:val="0"/>
      <w:autoSpaceDE w:val="0"/>
      <w:autoSpaceDN w:val="0"/>
      <w:adjustRightInd w:val="0"/>
      <w:snapToGrid w:val="0"/>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locked/>
    <w:rsid w:val="001C6E2E"/>
    <w:pPr>
      <w:kinsoku w:val="0"/>
      <w:overflowPunct w:val="0"/>
      <w:autoSpaceDE w:val="0"/>
      <w:autoSpaceDN w:val="0"/>
      <w:adjustRightInd w:val="0"/>
      <w:snapToGrid w:val="0"/>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locked/>
    <w:rsid w:val="001C6E2E"/>
    <w:pPr>
      <w:kinsoku w:val="0"/>
      <w:overflowPunct w:val="0"/>
      <w:autoSpaceDE w:val="0"/>
      <w:autoSpaceDN w:val="0"/>
      <w:adjustRightInd w:val="0"/>
      <w:snapToGrid w:val="0"/>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locked/>
    <w:rsid w:val="001C6E2E"/>
    <w:pPr>
      <w:kinsoku w:val="0"/>
      <w:overflowPunct w:val="0"/>
      <w:autoSpaceDE w:val="0"/>
      <w:autoSpaceDN w:val="0"/>
      <w:adjustRightInd w:val="0"/>
      <w:snapToGrid w:val="0"/>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locked/>
    <w:rsid w:val="001C6E2E"/>
    <w:pPr>
      <w:kinsoku w:val="0"/>
      <w:overflowPunct w:val="0"/>
      <w:autoSpaceDE w:val="0"/>
      <w:autoSpaceDN w:val="0"/>
      <w:adjustRightInd w:val="0"/>
      <w:snapToGrid w:val="0"/>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locked/>
    <w:rsid w:val="001C6E2E"/>
    <w:pPr>
      <w:kinsoku w:val="0"/>
      <w:overflowPunct w:val="0"/>
      <w:autoSpaceDE w:val="0"/>
      <w:autoSpaceDN w:val="0"/>
      <w:adjustRightInd w:val="0"/>
      <w:snapToGrid w:val="0"/>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locked/>
    <w:rsid w:val="001C6E2E"/>
    <w:pPr>
      <w:kinsoku w:val="0"/>
      <w:overflowPunct w:val="0"/>
      <w:autoSpaceDE w:val="0"/>
      <w:autoSpaceDN w:val="0"/>
      <w:adjustRightInd w:val="0"/>
      <w:snapToGrid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locked/>
    <w:rsid w:val="003A1A33"/>
    <w:pPr>
      <w:kinsoku w:val="0"/>
      <w:overflowPunct w:val="0"/>
      <w:autoSpaceDE w:val="0"/>
      <w:autoSpaceDN w:val="0"/>
      <w:adjustRightInd w:val="0"/>
      <w:snapToGrid w:val="0"/>
    </w:pPr>
    <w:rPr>
      <w:rFonts w:ascii="Georgia" w:hAnsi="Georgia"/>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locked/>
    <w:rsid w:val="003A1A33"/>
    <w:pPr>
      <w:kinsoku w:val="0"/>
      <w:overflowPunct w:val="0"/>
      <w:autoSpaceDE w:val="0"/>
      <w:autoSpaceDN w:val="0"/>
      <w:adjustRightInd w:val="0"/>
      <w:snapToGrid w:val="0"/>
    </w:pPr>
    <w:rPr>
      <w:rFonts w:ascii="Georgia" w:hAnsi="Georgia"/>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locked/>
    <w:rsid w:val="003A1A33"/>
    <w:pPr>
      <w:kinsoku w:val="0"/>
      <w:overflowPunct w:val="0"/>
      <w:autoSpaceDE w:val="0"/>
      <w:autoSpaceDN w:val="0"/>
      <w:adjustRightInd w:val="0"/>
      <w:snapToGrid w:val="0"/>
    </w:pPr>
    <w:rPr>
      <w:rFonts w:ascii="Georgia" w:hAnsi="Georgia"/>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locked/>
    <w:rsid w:val="003A1A33"/>
    <w:pPr>
      <w:kinsoku w:val="0"/>
      <w:overflowPunct w:val="0"/>
      <w:autoSpaceDE w:val="0"/>
      <w:autoSpaceDN w:val="0"/>
      <w:adjustRightInd w:val="0"/>
      <w:snapToGrid w:val="0"/>
    </w:pPr>
    <w:rPr>
      <w:rFonts w:ascii="Georgia" w:hAnsi="Georgia"/>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locked/>
    <w:rsid w:val="003A1A33"/>
    <w:pPr>
      <w:kinsoku w:val="0"/>
      <w:overflowPunct w:val="0"/>
      <w:autoSpaceDE w:val="0"/>
      <w:autoSpaceDN w:val="0"/>
      <w:adjustRightInd w:val="0"/>
      <w:snapToGrid w:val="0"/>
    </w:pPr>
    <w:rPr>
      <w:rFonts w:ascii="Georgia" w:hAnsi="Georgia"/>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locked/>
    <w:rsid w:val="003A1A33"/>
    <w:pPr>
      <w:kinsoku w:val="0"/>
      <w:overflowPunct w:val="0"/>
      <w:autoSpaceDE w:val="0"/>
      <w:autoSpaceDN w:val="0"/>
      <w:adjustRightInd w:val="0"/>
      <w:snapToGrid w:val="0"/>
    </w:pPr>
    <w:rPr>
      <w:rFonts w:ascii="Georgia" w:hAnsi="Georgia"/>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locked/>
    <w:rsid w:val="003A1A33"/>
    <w:pPr>
      <w:kinsoku w:val="0"/>
      <w:overflowPunct w:val="0"/>
      <w:autoSpaceDE w:val="0"/>
      <w:autoSpaceDN w:val="0"/>
      <w:adjustRightInd w:val="0"/>
      <w:snapToGrid w:val="0"/>
    </w:pPr>
    <w:rPr>
      <w:rFonts w:ascii="Georgia" w:hAnsi="Georgia"/>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locked/>
    <w:rsid w:val="003A1A33"/>
    <w:pPr>
      <w:kinsoku w:val="0"/>
      <w:overflowPunct w:val="0"/>
      <w:autoSpaceDE w:val="0"/>
      <w:autoSpaceDN w:val="0"/>
      <w:adjustRightInd w:val="0"/>
      <w:snapToGrid w:val="0"/>
    </w:pPr>
    <w:rPr>
      <w:rFonts w:ascii="Georgia" w:hAnsi="Georgia"/>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locked/>
    <w:rsid w:val="001C6E2E"/>
    <w:pPr>
      <w:kinsoku w:val="0"/>
      <w:overflowPunct w:val="0"/>
      <w:autoSpaceDE w:val="0"/>
      <w:autoSpaceDN w:val="0"/>
      <w:adjustRightInd w:val="0"/>
      <w:snapToGrid w:val="0"/>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locked/>
    <w:rsid w:val="001C6E2E"/>
    <w:pPr>
      <w:kinsoku w:val="0"/>
      <w:overflowPunct w:val="0"/>
      <w:autoSpaceDE w:val="0"/>
      <w:autoSpaceDN w:val="0"/>
      <w:adjustRightInd w:val="0"/>
      <w:snapToGrid w:val="0"/>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locked/>
    <w:rsid w:val="001C6E2E"/>
    <w:pPr>
      <w:kinsoku w:val="0"/>
      <w:overflowPunct w:val="0"/>
      <w:autoSpaceDE w:val="0"/>
      <w:autoSpaceDN w:val="0"/>
      <w:adjustRightInd w:val="0"/>
      <w:snapToGrid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locked/>
    <w:rsid w:val="001C6E2E"/>
    <w:pPr>
      <w:kinsoku w:val="0"/>
      <w:overflowPunct w:val="0"/>
      <w:autoSpaceDE w:val="0"/>
      <w:autoSpaceDN w:val="0"/>
      <w:adjustRightInd w:val="0"/>
      <w:snapToGrid w:val="0"/>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locked/>
    <w:rsid w:val="001C6E2E"/>
    <w:pPr>
      <w:kinsoku w:val="0"/>
      <w:overflowPunct w:val="0"/>
      <w:autoSpaceDE w:val="0"/>
      <w:autoSpaceDN w:val="0"/>
      <w:adjustRightInd w:val="0"/>
      <w:snapToGrid w:val="0"/>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locked/>
    <w:rsid w:val="001C6E2E"/>
    <w:pPr>
      <w:kinsoku w:val="0"/>
      <w:overflowPunct w:val="0"/>
      <w:autoSpaceDE w:val="0"/>
      <w:autoSpaceDN w:val="0"/>
      <w:adjustRightInd w:val="0"/>
      <w:snapToGrid w:val="0"/>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locked/>
    <w:rsid w:val="001C6E2E"/>
    <w:pPr>
      <w:kinsoku w:val="0"/>
      <w:overflowPunct w:val="0"/>
      <w:autoSpaceDE w:val="0"/>
      <w:autoSpaceDN w:val="0"/>
      <w:adjustRightInd w:val="0"/>
      <w:snapToGrid w:val="0"/>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locked/>
    <w:rsid w:val="001C6E2E"/>
    <w:pPr>
      <w:kinsoku w:val="0"/>
      <w:overflowPunct w:val="0"/>
      <w:autoSpaceDE w:val="0"/>
      <w:autoSpaceDN w:val="0"/>
      <w:adjustRightInd w:val="0"/>
      <w:snapToGrid w:val="0"/>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locked/>
    <w:rsid w:val="001C6E2E"/>
    <w:pPr>
      <w:kinsoku w:val="0"/>
      <w:overflowPunct w:val="0"/>
      <w:autoSpaceDE w:val="0"/>
      <w:autoSpaceDN w:val="0"/>
      <w:adjustRightInd w:val="0"/>
      <w:snapToGrid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locked/>
    <w:rsid w:val="001C6E2E"/>
    <w:pPr>
      <w:kinsoku w:val="0"/>
      <w:overflowPunct w:val="0"/>
      <w:autoSpaceDE w:val="0"/>
      <w:autoSpaceDN w:val="0"/>
      <w:adjustRightInd w:val="0"/>
      <w:snapToGrid w:val="0"/>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locked/>
    <w:rsid w:val="001C6E2E"/>
    <w:pPr>
      <w:kinsoku w:val="0"/>
      <w:overflowPunct w:val="0"/>
      <w:autoSpaceDE w:val="0"/>
      <w:autoSpaceDN w:val="0"/>
      <w:adjustRightInd w:val="0"/>
      <w:snapToGrid w:val="0"/>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locked/>
    <w:rsid w:val="001C6E2E"/>
    <w:pPr>
      <w:kinsoku w:val="0"/>
      <w:overflowPunct w:val="0"/>
      <w:autoSpaceDE w:val="0"/>
      <w:autoSpaceDN w:val="0"/>
      <w:adjustRightInd w:val="0"/>
      <w:snapToGrid w:val="0"/>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locked/>
    <w:rsid w:val="001C6E2E"/>
    <w:pPr>
      <w:kinsoku w:val="0"/>
      <w:overflowPunct w:val="0"/>
      <w:autoSpaceDE w:val="0"/>
      <w:autoSpaceDN w:val="0"/>
      <w:adjustRightInd w:val="0"/>
      <w:snapToGrid w:val="0"/>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locked/>
    <w:rsid w:val="001C6E2E"/>
    <w:pPr>
      <w:kinsoku w:val="0"/>
      <w:overflowPunct w:val="0"/>
      <w:autoSpaceDE w:val="0"/>
      <w:autoSpaceDN w:val="0"/>
      <w:adjustRightInd w:val="0"/>
      <w:snapToGrid w:val="0"/>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A1A33"/>
    <w:pPr>
      <w:kinsoku w:val="0"/>
      <w:overflowPunct w:val="0"/>
      <w:autoSpaceDE w:val="0"/>
      <w:autoSpaceDN w:val="0"/>
      <w:adjustRightInd w:val="0"/>
      <w:snapToGrid w:val="0"/>
    </w:pPr>
    <w:rPr>
      <w:rFonts w:ascii="Georgia" w:hAnsi="Georg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locked/>
    <w:rsid w:val="001C6E2E"/>
    <w:pPr>
      <w:kinsoku w:val="0"/>
      <w:overflowPunct w:val="0"/>
      <w:autoSpaceDE w:val="0"/>
      <w:autoSpaceDN w:val="0"/>
      <w:adjustRightInd w:val="0"/>
      <w:snapToGrid w:val="0"/>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locked/>
    <w:rsid w:val="001C6E2E"/>
    <w:pPr>
      <w:kinsoku w:val="0"/>
      <w:overflowPunct w:val="0"/>
      <w:autoSpaceDE w:val="0"/>
      <w:autoSpaceDN w:val="0"/>
      <w:adjustRightInd w:val="0"/>
      <w:snapToGrid w:val="0"/>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locked/>
    <w:rsid w:val="001C6E2E"/>
    <w:pPr>
      <w:kinsoku w:val="0"/>
      <w:overflowPunct w:val="0"/>
      <w:autoSpaceDE w:val="0"/>
      <w:autoSpaceDN w:val="0"/>
      <w:adjustRightInd w:val="0"/>
      <w:snapToGrid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MacroText">
    <w:name w:val="macro"/>
    <w:link w:val="MacroTextChar"/>
    <w:unhideWhenUsed/>
    <w:locked/>
    <w:rsid w:val="003A1A33"/>
    <w:pPr>
      <w:tabs>
        <w:tab w:val="left" w:pos="567"/>
        <w:tab w:val="left" w:pos="1134"/>
        <w:tab w:val="left" w:pos="1701"/>
        <w:tab w:val="left" w:pos="2268"/>
        <w:tab w:val="left" w:pos="2835"/>
        <w:tab w:val="left" w:pos="3402"/>
        <w:tab w:val="left" w:pos="3969"/>
      </w:tabs>
      <w:kinsoku w:val="0"/>
      <w:overflowPunct w:val="0"/>
      <w:autoSpaceDE w:val="0"/>
      <w:autoSpaceDN w:val="0"/>
      <w:adjustRightInd w:val="0"/>
      <w:snapToGrid w:val="0"/>
    </w:pPr>
    <w:rPr>
      <w:rFonts w:ascii="Consolas" w:hAnsi="Consolas" w:cs="Arial"/>
      <w:snapToGrid w:val="0"/>
      <w:sz w:val="20"/>
      <w:szCs w:val="20"/>
      <w:lang w:eastAsia="en-US"/>
    </w:rPr>
  </w:style>
  <w:style w:type="character" w:customStyle="1" w:styleId="MacroTextChar">
    <w:name w:val="Macro Text Char"/>
    <w:basedOn w:val="DefaultParagraphFont"/>
    <w:link w:val="MacroText"/>
    <w:rsid w:val="003A1A33"/>
    <w:rPr>
      <w:rFonts w:ascii="Consolas" w:hAnsi="Consolas" w:cs="Arial"/>
      <w:snapToGrid w:val="0"/>
      <w:sz w:val="20"/>
      <w:szCs w:val="20"/>
      <w:lang w:eastAsia="en-US"/>
    </w:rPr>
  </w:style>
  <w:style w:type="paragraph" w:styleId="Bibliography">
    <w:name w:val="Bibliography"/>
    <w:basedOn w:val="Normal"/>
    <w:next w:val="Normal"/>
    <w:uiPriority w:val="37"/>
    <w:semiHidden/>
    <w:locked/>
    <w:rsid w:val="003A1A33"/>
  </w:style>
  <w:style w:type="paragraph" w:styleId="BlockText">
    <w:name w:val="Block Text"/>
    <w:basedOn w:val="Normal"/>
    <w:qFormat/>
    <w:locked/>
    <w:rsid w:val="003A1A33"/>
    <w:pPr>
      <w:spacing w:after="240"/>
    </w:pPr>
    <w:rPr>
      <w:rFonts w:eastAsiaTheme="minorEastAsia" w:cstheme="minorBidi"/>
      <w:b/>
      <w:i/>
      <w:iCs/>
      <w:color w:val="DC6900" w:themeColor="accent1"/>
      <w:sz w:val="48"/>
    </w:rPr>
  </w:style>
  <w:style w:type="paragraph" w:styleId="BodyText">
    <w:name w:val="Body Text"/>
    <w:basedOn w:val="Normal"/>
    <w:link w:val="BodyTextChar"/>
    <w:uiPriority w:val="99"/>
    <w:qFormat/>
    <w:locked/>
    <w:rsid w:val="003A1A33"/>
    <w:pPr>
      <w:spacing w:after="120"/>
    </w:pPr>
  </w:style>
  <w:style w:type="character" w:customStyle="1" w:styleId="BodyTextChar">
    <w:name w:val="Body Text Char"/>
    <w:basedOn w:val="DefaultParagraphFont"/>
    <w:link w:val="BodyText"/>
    <w:uiPriority w:val="99"/>
    <w:rsid w:val="003A1A33"/>
    <w:rPr>
      <w:rFonts w:ascii="Georgia" w:hAnsi="Georgia" w:cs="Arial"/>
      <w:snapToGrid w:val="0"/>
      <w:sz w:val="20"/>
      <w:szCs w:val="20"/>
      <w:lang w:eastAsia="en-US"/>
    </w:rPr>
  </w:style>
  <w:style w:type="paragraph" w:styleId="BodyText2">
    <w:name w:val="Body Text 2"/>
    <w:basedOn w:val="Normal"/>
    <w:link w:val="BodyText2Char"/>
    <w:semiHidden/>
    <w:locked/>
    <w:rsid w:val="003A1A33"/>
    <w:pPr>
      <w:spacing w:after="120" w:line="480" w:lineRule="auto"/>
    </w:pPr>
  </w:style>
  <w:style w:type="character" w:customStyle="1" w:styleId="BodyText2Char">
    <w:name w:val="Body Text 2 Char"/>
    <w:basedOn w:val="DefaultParagraphFont"/>
    <w:link w:val="BodyText2"/>
    <w:semiHidden/>
    <w:rsid w:val="003A1A33"/>
    <w:rPr>
      <w:rFonts w:ascii="Georgia" w:hAnsi="Georgia" w:cs="Arial"/>
      <w:snapToGrid w:val="0"/>
      <w:sz w:val="20"/>
      <w:szCs w:val="20"/>
      <w:lang w:eastAsia="en-US"/>
    </w:rPr>
  </w:style>
  <w:style w:type="paragraph" w:styleId="BodyText3">
    <w:name w:val="Body Text 3"/>
    <w:basedOn w:val="Normal"/>
    <w:link w:val="BodyText3Char"/>
    <w:semiHidden/>
    <w:locked/>
    <w:rsid w:val="003A1A33"/>
    <w:pPr>
      <w:spacing w:after="120"/>
    </w:pPr>
    <w:rPr>
      <w:sz w:val="16"/>
      <w:szCs w:val="16"/>
    </w:rPr>
  </w:style>
  <w:style w:type="character" w:customStyle="1" w:styleId="BodyText3Char">
    <w:name w:val="Body Text 3 Char"/>
    <w:basedOn w:val="DefaultParagraphFont"/>
    <w:link w:val="BodyText3"/>
    <w:semiHidden/>
    <w:rsid w:val="003A1A33"/>
    <w:rPr>
      <w:rFonts w:ascii="Georgia" w:hAnsi="Georgia" w:cs="Arial"/>
      <w:snapToGrid w:val="0"/>
      <w:sz w:val="16"/>
      <w:szCs w:val="16"/>
      <w:lang w:eastAsia="en-US"/>
    </w:rPr>
  </w:style>
  <w:style w:type="paragraph" w:styleId="BodyTextFirstIndent">
    <w:name w:val="Body Text First Indent"/>
    <w:basedOn w:val="BodyText"/>
    <w:link w:val="BodyTextFirstIndentChar"/>
    <w:semiHidden/>
    <w:locked/>
    <w:rsid w:val="003A1A33"/>
    <w:pPr>
      <w:spacing w:after="0"/>
      <w:ind w:firstLine="360"/>
    </w:pPr>
  </w:style>
  <w:style w:type="character" w:customStyle="1" w:styleId="BodyTextFirstIndentChar">
    <w:name w:val="Body Text First Indent Char"/>
    <w:basedOn w:val="BodyTextChar"/>
    <w:link w:val="BodyTextFirstIndent"/>
    <w:semiHidden/>
    <w:rsid w:val="003A1A33"/>
    <w:rPr>
      <w:rFonts w:ascii="Georgia" w:hAnsi="Georgia" w:cs="Arial"/>
      <w:snapToGrid w:val="0"/>
      <w:sz w:val="20"/>
      <w:szCs w:val="20"/>
      <w:lang w:eastAsia="en-US"/>
    </w:rPr>
  </w:style>
  <w:style w:type="paragraph" w:styleId="BodyTextIndent">
    <w:name w:val="Body Text Indent"/>
    <w:basedOn w:val="Normal"/>
    <w:link w:val="BodyTextIndentChar"/>
    <w:semiHidden/>
    <w:locked/>
    <w:rsid w:val="003A1A33"/>
    <w:pPr>
      <w:spacing w:after="120"/>
      <w:ind w:left="283"/>
    </w:pPr>
  </w:style>
  <w:style w:type="character" w:customStyle="1" w:styleId="BodyTextIndentChar">
    <w:name w:val="Body Text Indent Char"/>
    <w:basedOn w:val="DefaultParagraphFont"/>
    <w:link w:val="BodyTextIndent"/>
    <w:semiHidden/>
    <w:rsid w:val="003A1A33"/>
    <w:rPr>
      <w:rFonts w:ascii="Georgia" w:hAnsi="Georgia" w:cs="Arial"/>
      <w:snapToGrid w:val="0"/>
      <w:sz w:val="20"/>
      <w:szCs w:val="20"/>
      <w:lang w:eastAsia="en-US"/>
    </w:rPr>
  </w:style>
  <w:style w:type="paragraph" w:styleId="BodyTextFirstIndent2">
    <w:name w:val="Body Text First Indent 2"/>
    <w:basedOn w:val="BodyTextIndent"/>
    <w:link w:val="BodyTextFirstIndent2Char"/>
    <w:semiHidden/>
    <w:locked/>
    <w:rsid w:val="003A1A33"/>
    <w:pPr>
      <w:spacing w:after="0"/>
      <w:ind w:left="360" w:firstLine="360"/>
    </w:pPr>
  </w:style>
  <w:style w:type="character" w:customStyle="1" w:styleId="BodyTextFirstIndent2Char">
    <w:name w:val="Body Text First Indent 2 Char"/>
    <w:basedOn w:val="BodyTextIndentChar"/>
    <w:link w:val="BodyTextFirstIndent2"/>
    <w:semiHidden/>
    <w:rsid w:val="003A1A33"/>
    <w:rPr>
      <w:rFonts w:ascii="Georgia" w:hAnsi="Georgia" w:cs="Arial"/>
      <w:snapToGrid w:val="0"/>
      <w:sz w:val="20"/>
      <w:szCs w:val="20"/>
      <w:lang w:eastAsia="en-US"/>
    </w:rPr>
  </w:style>
  <w:style w:type="paragraph" w:styleId="BodyTextIndent2">
    <w:name w:val="Body Text Indent 2"/>
    <w:basedOn w:val="Normal"/>
    <w:link w:val="BodyTextIndent2Char"/>
    <w:semiHidden/>
    <w:locked/>
    <w:rsid w:val="003A1A33"/>
    <w:pPr>
      <w:spacing w:after="120" w:line="480" w:lineRule="auto"/>
      <w:ind w:left="283"/>
    </w:pPr>
  </w:style>
  <w:style w:type="character" w:customStyle="1" w:styleId="BodyTextIndent2Char">
    <w:name w:val="Body Text Indent 2 Char"/>
    <w:basedOn w:val="DefaultParagraphFont"/>
    <w:link w:val="BodyTextIndent2"/>
    <w:semiHidden/>
    <w:rsid w:val="003A1A33"/>
    <w:rPr>
      <w:rFonts w:ascii="Georgia" w:hAnsi="Georgia" w:cs="Arial"/>
      <w:snapToGrid w:val="0"/>
      <w:sz w:val="20"/>
      <w:szCs w:val="20"/>
      <w:lang w:eastAsia="en-US"/>
    </w:rPr>
  </w:style>
  <w:style w:type="paragraph" w:styleId="BodyTextIndent3">
    <w:name w:val="Body Text Indent 3"/>
    <w:basedOn w:val="Normal"/>
    <w:link w:val="BodyTextIndent3Char"/>
    <w:semiHidden/>
    <w:locked/>
    <w:rsid w:val="003A1A33"/>
    <w:pPr>
      <w:spacing w:after="120"/>
      <w:ind w:left="283"/>
    </w:pPr>
    <w:rPr>
      <w:sz w:val="16"/>
      <w:szCs w:val="16"/>
    </w:rPr>
  </w:style>
  <w:style w:type="character" w:customStyle="1" w:styleId="BodyTextIndent3Char">
    <w:name w:val="Body Text Indent 3 Char"/>
    <w:basedOn w:val="DefaultParagraphFont"/>
    <w:link w:val="BodyTextIndent3"/>
    <w:semiHidden/>
    <w:rsid w:val="003A1A33"/>
    <w:rPr>
      <w:rFonts w:ascii="Georgia" w:hAnsi="Georgia" w:cs="Arial"/>
      <w:snapToGrid w:val="0"/>
      <w:sz w:val="16"/>
      <w:szCs w:val="16"/>
      <w:lang w:eastAsia="en-US"/>
    </w:rPr>
  </w:style>
  <w:style w:type="character" w:styleId="BookTitle">
    <w:name w:val="Book Title"/>
    <w:basedOn w:val="DefaultParagraphFont"/>
    <w:uiPriority w:val="33"/>
    <w:semiHidden/>
    <w:qFormat/>
    <w:locked/>
    <w:rsid w:val="003A1A33"/>
    <w:rPr>
      <w:rFonts w:ascii="Georgia" w:hAnsi="Georgia"/>
      <w:b/>
      <w:bCs/>
      <w:smallCaps/>
      <w:spacing w:val="5"/>
    </w:rPr>
  </w:style>
  <w:style w:type="paragraph" w:styleId="Closing">
    <w:name w:val="Closing"/>
    <w:basedOn w:val="Normal"/>
    <w:link w:val="ClosingChar"/>
    <w:semiHidden/>
    <w:unhideWhenUsed/>
    <w:rsid w:val="003A1A33"/>
    <w:pPr>
      <w:ind w:left="4252"/>
    </w:pPr>
  </w:style>
  <w:style w:type="character" w:customStyle="1" w:styleId="ClosingChar">
    <w:name w:val="Closing Char"/>
    <w:basedOn w:val="DefaultParagraphFont"/>
    <w:link w:val="Closing"/>
    <w:semiHidden/>
    <w:rsid w:val="003A1A33"/>
    <w:rPr>
      <w:rFonts w:ascii="Georgia" w:hAnsi="Georgia" w:cs="Arial"/>
      <w:snapToGrid w:val="0"/>
      <w:sz w:val="20"/>
      <w:szCs w:val="20"/>
      <w:lang w:eastAsia="en-US"/>
    </w:rPr>
  </w:style>
  <w:style w:type="character" w:styleId="CommentReference">
    <w:name w:val="annotation reference"/>
    <w:basedOn w:val="DefaultParagraphFont"/>
    <w:semiHidden/>
    <w:rsid w:val="003A1A33"/>
    <w:rPr>
      <w:rFonts w:ascii="Georgia" w:hAnsi="Georgia"/>
      <w:sz w:val="16"/>
      <w:szCs w:val="16"/>
    </w:rPr>
  </w:style>
  <w:style w:type="paragraph" w:styleId="CommentText">
    <w:name w:val="annotation text"/>
    <w:basedOn w:val="Normal"/>
    <w:link w:val="CommentTextChar"/>
    <w:semiHidden/>
    <w:rsid w:val="003A1A33"/>
  </w:style>
  <w:style w:type="character" w:customStyle="1" w:styleId="CommentTextChar">
    <w:name w:val="Comment Text Char"/>
    <w:basedOn w:val="DefaultParagraphFont"/>
    <w:link w:val="CommentText"/>
    <w:semiHidden/>
    <w:rsid w:val="003A1A33"/>
    <w:rPr>
      <w:rFonts w:ascii="Georgia" w:hAnsi="Georgia" w:cs="Arial"/>
      <w:snapToGrid w:val="0"/>
      <w:sz w:val="20"/>
      <w:szCs w:val="20"/>
      <w:lang w:eastAsia="en-US"/>
    </w:rPr>
  </w:style>
  <w:style w:type="paragraph" w:styleId="CommentSubject">
    <w:name w:val="annotation subject"/>
    <w:basedOn w:val="CommentText"/>
    <w:next w:val="CommentText"/>
    <w:link w:val="CommentSubjectChar"/>
    <w:semiHidden/>
    <w:rsid w:val="003A1A33"/>
    <w:rPr>
      <w:b/>
      <w:bCs/>
    </w:rPr>
  </w:style>
  <w:style w:type="character" w:customStyle="1" w:styleId="CommentSubjectChar">
    <w:name w:val="Comment Subject Char"/>
    <w:basedOn w:val="CommentTextChar"/>
    <w:link w:val="CommentSubject"/>
    <w:semiHidden/>
    <w:rsid w:val="003A1A33"/>
    <w:rPr>
      <w:rFonts w:ascii="Georgia" w:hAnsi="Georgia" w:cs="Arial"/>
      <w:b/>
      <w:bCs/>
      <w:snapToGrid w:val="0"/>
      <w:sz w:val="20"/>
      <w:szCs w:val="20"/>
      <w:lang w:eastAsia="en-US"/>
    </w:rPr>
  </w:style>
  <w:style w:type="paragraph" w:styleId="E-mailSignature">
    <w:name w:val="E-mail Signature"/>
    <w:basedOn w:val="Normal"/>
    <w:link w:val="E-mailSignatureChar"/>
    <w:semiHidden/>
    <w:locked/>
    <w:rsid w:val="001C6E2E"/>
  </w:style>
  <w:style w:type="character" w:customStyle="1" w:styleId="E-mailSignatureChar">
    <w:name w:val="E-mail Signature Char"/>
    <w:basedOn w:val="DefaultParagraphFont"/>
    <w:link w:val="E-mailSignature"/>
    <w:semiHidden/>
    <w:rsid w:val="001C6E2E"/>
    <w:rPr>
      <w:rFonts w:asciiTheme="minorHAnsi" w:hAnsiTheme="minorHAnsi" w:cs="Arial"/>
      <w:snapToGrid w:val="0"/>
      <w:sz w:val="20"/>
      <w:lang w:eastAsia="en-US"/>
    </w:rPr>
  </w:style>
  <w:style w:type="character" w:styleId="Emphasis">
    <w:name w:val="Emphasis"/>
    <w:basedOn w:val="DefaultParagraphFont"/>
    <w:semiHidden/>
    <w:qFormat/>
    <w:rsid w:val="001C6E2E"/>
    <w:rPr>
      <w:i/>
      <w:iCs/>
    </w:rPr>
  </w:style>
  <w:style w:type="paragraph" w:styleId="EnvelopeAddress">
    <w:name w:val="envelope address"/>
    <w:basedOn w:val="Normal"/>
    <w:semiHidden/>
    <w:unhideWhenUsed/>
    <w:rsid w:val="003A1A33"/>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semiHidden/>
    <w:rsid w:val="003A1A33"/>
    <w:rPr>
      <w:rFonts w:asciiTheme="majorHAnsi" w:eastAsiaTheme="majorEastAsia" w:hAnsiTheme="majorHAnsi" w:cstheme="majorBidi"/>
    </w:rPr>
  </w:style>
  <w:style w:type="character" w:styleId="FollowedHyperlink">
    <w:name w:val="FollowedHyperlink"/>
    <w:basedOn w:val="DefaultParagraphFont"/>
    <w:semiHidden/>
    <w:rsid w:val="003A1A33"/>
    <w:rPr>
      <w:color w:val="0000FF" w:themeColor="followedHyperlink"/>
      <w:u w:val="single"/>
    </w:rPr>
  </w:style>
  <w:style w:type="character" w:styleId="HTMLAcronym">
    <w:name w:val="HTML Acronym"/>
    <w:basedOn w:val="DefaultParagraphFont"/>
    <w:semiHidden/>
    <w:locked/>
    <w:rsid w:val="001C6E2E"/>
  </w:style>
  <w:style w:type="paragraph" w:styleId="HTMLAddress">
    <w:name w:val="HTML Address"/>
    <w:basedOn w:val="Normal"/>
    <w:link w:val="HTMLAddressChar"/>
    <w:semiHidden/>
    <w:locked/>
    <w:rsid w:val="001C6E2E"/>
    <w:rPr>
      <w:i/>
      <w:iCs/>
    </w:rPr>
  </w:style>
  <w:style w:type="character" w:customStyle="1" w:styleId="HTMLAddressChar">
    <w:name w:val="HTML Address Char"/>
    <w:basedOn w:val="DefaultParagraphFont"/>
    <w:link w:val="HTMLAddress"/>
    <w:semiHidden/>
    <w:rsid w:val="001C6E2E"/>
    <w:rPr>
      <w:rFonts w:asciiTheme="minorHAnsi" w:hAnsiTheme="minorHAnsi" w:cs="Arial"/>
      <w:i/>
      <w:iCs/>
      <w:snapToGrid w:val="0"/>
      <w:sz w:val="20"/>
      <w:lang w:eastAsia="en-US"/>
    </w:rPr>
  </w:style>
  <w:style w:type="character" w:styleId="HTMLCite">
    <w:name w:val="HTML Cite"/>
    <w:basedOn w:val="DefaultParagraphFont"/>
    <w:semiHidden/>
    <w:locked/>
    <w:rsid w:val="001C6E2E"/>
    <w:rPr>
      <w:i/>
      <w:iCs/>
    </w:rPr>
  </w:style>
  <w:style w:type="character" w:styleId="HTMLCode">
    <w:name w:val="HTML Code"/>
    <w:basedOn w:val="DefaultParagraphFont"/>
    <w:semiHidden/>
    <w:locked/>
    <w:rsid w:val="001C6E2E"/>
    <w:rPr>
      <w:rFonts w:ascii="Consolas" w:hAnsi="Consolas"/>
      <w:sz w:val="20"/>
      <w:szCs w:val="20"/>
    </w:rPr>
  </w:style>
  <w:style w:type="character" w:styleId="HTMLDefinition">
    <w:name w:val="HTML Definition"/>
    <w:basedOn w:val="DefaultParagraphFont"/>
    <w:semiHidden/>
    <w:locked/>
    <w:rsid w:val="001C6E2E"/>
    <w:rPr>
      <w:i/>
      <w:iCs/>
    </w:rPr>
  </w:style>
  <w:style w:type="character" w:styleId="HTMLKeyboard">
    <w:name w:val="HTML Keyboard"/>
    <w:basedOn w:val="DefaultParagraphFont"/>
    <w:semiHidden/>
    <w:locked/>
    <w:rsid w:val="001C6E2E"/>
    <w:rPr>
      <w:rFonts w:ascii="Consolas" w:hAnsi="Consolas"/>
      <w:sz w:val="20"/>
      <w:szCs w:val="20"/>
    </w:rPr>
  </w:style>
  <w:style w:type="paragraph" w:styleId="HTMLPreformatted">
    <w:name w:val="HTML Preformatted"/>
    <w:basedOn w:val="Normal"/>
    <w:link w:val="HTMLPreformattedChar"/>
    <w:semiHidden/>
    <w:locked/>
    <w:rsid w:val="001C6E2E"/>
    <w:rPr>
      <w:rFonts w:ascii="Consolas" w:hAnsi="Consolas"/>
    </w:rPr>
  </w:style>
  <w:style w:type="character" w:customStyle="1" w:styleId="HTMLPreformattedChar">
    <w:name w:val="HTML Preformatted Char"/>
    <w:basedOn w:val="DefaultParagraphFont"/>
    <w:link w:val="HTMLPreformatted"/>
    <w:semiHidden/>
    <w:rsid w:val="001C6E2E"/>
    <w:rPr>
      <w:rFonts w:ascii="Consolas" w:hAnsi="Consolas" w:cs="Arial"/>
      <w:snapToGrid w:val="0"/>
      <w:sz w:val="20"/>
      <w:szCs w:val="20"/>
      <w:lang w:eastAsia="en-US"/>
    </w:rPr>
  </w:style>
  <w:style w:type="character" w:styleId="HTMLSample">
    <w:name w:val="HTML Sample"/>
    <w:basedOn w:val="DefaultParagraphFont"/>
    <w:semiHidden/>
    <w:locked/>
    <w:rsid w:val="001C6E2E"/>
    <w:rPr>
      <w:rFonts w:ascii="Consolas" w:hAnsi="Consolas"/>
      <w:sz w:val="24"/>
      <w:szCs w:val="24"/>
    </w:rPr>
  </w:style>
  <w:style w:type="character" w:styleId="HTMLTypewriter">
    <w:name w:val="HTML Typewriter"/>
    <w:basedOn w:val="DefaultParagraphFont"/>
    <w:semiHidden/>
    <w:locked/>
    <w:rsid w:val="001C6E2E"/>
    <w:rPr>
      <w:rFonts w:ascii="Consolas" w:hAnsi="Consolas"/>
      <w:sz w:val="20"/>
      <w:szCs w:val="20"/>
    </w:rPr>
  </w:style>
  <w:style w:type="character" w:styleId="HTMLVariable">
    <w:name w:val="HTML Variable"/>
    <w:basedOn w:val="DefaultParagraphFont"/>
    <w:semiHidden/>
    <w:locked/>
    <w:rsid w:val="001C6E2E"/>
    <w:rPr>
      <w:i/>
      <w:iCs/>
    </w:rPr>
  </w:style>
  <w:style w:type="character" w:styleId="Hyperlink">
    <w:name w:val="Hyperlink"/>
    <w:basedOn w:val="DefaultParagraphFont"/>
    <w:uiPriority w:val="99"/>
    <w:rsid w:val="003A1A33"/>
    <w:rPr>
      <w:color w:val="DC6900" w:themeColor="text2"/>
      <w:u w:val="single"/>
    </w:rPr>
  </w:style>
  <w:style w:type="paragraph" w:styleId="Index1">
    <w:name w:val="index 1"/>
    <w:basedOn w:val="Normal"/>
    <w:next w:val="Normal"/>
    <w:autoRedefine/>
    <w:semiHidden/>
    <w:rsid w:val="001C6E2E"/>
    <w:pPr>
      <w:ind w:left="210" w:hanging="210"/>
    </w:pPr>
  </w:style>
  <w:style w:type="paragraph" w:styleId="Index2">
    <w:name w:val="index 2"/>
    <w:basedOn w:val="Normal"/>
    <w:next w:val="Normal"/>
    <w:autoRedefine/>
    <w:semiHidden/>
    <w:rsid w:val="001C6E2E"/>
    <w:pPr>
      <w:ind w:left="420" w:hanging="210"/>
    </w:pPr>
  </w:style>
  <w:style w:type="paragraph" w:styleId="Index3">
    <w:name w:val="index 3"/>
    <w:basedOn w:val="Normal"/>
    <w:next w:val="Normal"/>
    <w:autoRedefine/>
    <w:semiHidden/>
    <w:rsid w:val="001C6E2E"/>
    <w:pPr>
      <w:ind w:left="630" w:hanging="210"/>
    </w:pPr>
  </w:style>
  <w:style w:type="paragraph" w:styleId="Index4">
    <w:name w:val="index 4"/>
    <w:basedOn w:val="Normal"/>
    <w:next w:val="Normal"/>
    <w:autoRedefine/>
    <w:semiHidden/>
    <w:rsid w:val="001C6E2E"/>
    <w:pPr>
      <w:ind w:left="840" w:hanging="210"/>
    </w:pPr>
  </w:style>
  <w:style w:type="paragraph" w:styleId="Index5">
    <w:name w:val="index 5"/>
    <w:basedOn w:val="Normal"/>
    <w:next w:val="Normal"/>
    <w:autoRedefine/>
    <w:semiHidden/>
    <w:rsid w:val="001C6E2E"/>
    <w:pPr>
      <w:ind w:left="1050" w:hanging="210"/>
    </w:pPr>
  </w:style>
  <w:style w:type="paragraph" w:styleId="Index6">
    <w:name w:val="index 6"/>
    <w:basedOn w:val="Normal"/>
    <w:next w:val="Normal"/>
    <w:autoRedefine/>
    <w:semiHidden/>
    <w:rsid w:val="001C6E2E"/>
    <w:pPr>
      <w:ind w:left="1260" w:hanging="210"/>
    </w:pPr>
  </w:style>
  <w:style w:type="paragraph" w:styleId="Index7">
    <w:name w:val="index 7"/>
    <w:basedOn w:val="Normal"/>
    <w:next w:val="Normal"/>
    <w:autoRedefine/>
    <w:semiHidden/>
    <w:rsid w:val="001C6E2E"/>
    <w:pPr>
      <w:ind w:left="1470" w:hanging="210"/>
    </w:pPr>
  </w:style>
  <w:style w:type="paragraph" w:styleId="Index8">
    <w:name w:val="index 8"/>
    <w:basedOn w:val="Normal"/>
    <w:next w:val="Normal"/>
    <w:autoRedefine/>
    <w:semiHidden/>
    <w:rsid w:val="001C6E2E"/>
    <w:pPr>
      <w:ind w:left="1680" w:hanging="210"/>
    </w:pPr>
  </w:style>
  <w:style w:type="paragraph" w:styleId="Index9">
    <w:name w:val="index 9"/>
    <w:basedOn w:val="Normal"/>
    <w:next w:val="Normal"/>
    <w:autoRedefine/>
    <w:semiHidden/>
    <w:rsid w:val="001C6E2E"/>
    <w:pPr>
      <w:ind w:left="1890" w:hanging="210"/>
    </w:pPr>
  </w:style>
  <w:style w:type="paragraph" w:styleId="IndexHeading">
    <w:name w:val="index heading"/>
    <w:basedOn w:val="Normal"/>
    <w:next w:val="Normal"/>
    <w:semiHidden/>
    <w:rsid w:val="003A1A33"/>
    <w:rPr>
      <w:rFonts w:asciiTheme="majorHAnsi" w:eastAsiaTheme="majorEastAsia" w:hAnsiTheme="majorHAnsi" w:cstheme="majorBidi"/>
      <w:b/>
      <w:bCs/>
    </w:rPr>
  </w:style>
  <w:style w:type="character" w:styleId="IntenseEmphasis">
    <w:name w:val="Intense Emphasis"/>
    <w:basedOn w:val="DefaultParagraphFont"/>
    <w:uiPriority w:val="21"/>
    <w:semiHidden/>
    <w:qFormat/>
    <w:rsid w:val="001C6E2E"/>
    <w:rPr>
      <w:b/>
      <w:bCs/>
      <w:i/>
      <w:iCs/>
      <w:color w:val="DC6900" w:themeColor="accent1"/>
    </w:rPr>
  </w:style>
  <w:style w:type="paragraph" w:styleId="IntenseQuote">
    <w:name w:val="Intense Quote"/>
    <w:basedOn w:val="Normal"/>
    <w:next w:val="Normal"/>
    <w:link w:val="IntenseQuoteChar"/>
    <w:uiPriority w:val="30"/>
    <w:semiHidden/>
    <w:qFormat/>
    <w:rsid w:val="001C6E2E"/>
    <w:pPr>
      <w:pBdr>
        <w:bottom w:val="single" w:sz="4" w:space="4" w:color="DC6900" w:themeColor="accent1"/>
      </w:pBdr>
      <w:spacing w:before="200" w:after="280"/>
      <w:ind w:left="936" w:right="936"/>
    </w:pPr>
    <w:rPr>
      <w:b/>
      <w:bCs/>
      <w:i/>
      <w:iCs/>
      <w:color w:val="DC6900" w:themeColor="accent1"/>
    </w:rPr>
  </w:style>
  <w:style w:type="character" w:customStyle="1" w:styleId="IntenseQuoteChar">
    <w:name w:val="Intense Quote Char"/>
    <w:basedOn w:val="DefaultParagraphFont"/>
    <w:link w:val="IntenseQuote"/>
    <w:uiPriority w:val="30"/>
    <w:semiHidden/>
    <w:rsid w:val="001C6E2E"/>
    <w:rPr>
      <w:rFonts w:asciiTheme="minorHAnsi" w:hAnsiTheme="minorHAnsi" w:cs="Arial"/>
      <w:b/>
      <w:bCs/>
      <w:i/>
      <w:iCs/>
      <w:snapToGrid w:val="0"/>
      <w:color w:val="DC6900" w:themeColor="accent1"/>
      <w:sz w:val="20"/>
      <w:lang w:eastAsia="en-US"/>
    </w:rPr>
  </w:style>
  <w:style w:type="character" w:styleId="IntenseReference">
    <w:name w:val="Intense Reference"/>
    <w:basedOn w:val="DefaultParagraphFont"/>
    <w:uiPriority w:val="32"/>
    <w:semiHidden/>
    <w:qFormat/>
    <w:rsid w:val="001C6E2E"/>
    <w:rPr>
      <w:b/>
      <w:bCs/>
      <w:smallCaps/>
      <w:color w:val="FFB600" w:themeColor="accent2"/>
      <w:spacing w:val="5"/>
      <w:u w:val="single"/>
    </w:rPr>
  </w:style>
  <w:style w:type="character" w:styleId="LineNumber">
    <w:name w:val="line number"/>
    <w:basedOn w:val="DefaultParagraphFont"/>
    <w:semiHidden/>
    <w:rsid w:val="003A1A33"/>
  </w:style>
  <w:style w:type="paragraph" w:styleId="List">
    <w:name w:val="List"/>
    <w:basedOn w:val="Normal"/>
    <w:semiHidden/>
    <w:locked/>
    <w:rsid w:val="001C6E2E"/>
    <w:pPr>
      <w:ind w:left="283" w:hanging="283"/>
      <w:contextualSpacing/>
    </w:pPr>
  </w:style>
  <w:style w:type="paragraph" w:styleId="List2">
    <w:name w:val="List 2"/>
    <w:basedOn w:val="Normal"/>
    <w:semiHidden/>
    <w:locked/>
    <w:rsid w:val="001C6E2E"/>
    <w:pPr>
      <w:ind w:left="566" w:hanging="283"/>
      <w:contextualSpacing/>
    </w:pPr>
  </w:style>
  <w:style w:type="paragraph" w:styleId="List3">
    <w:name w:val="List 3"/>
    <w:basedOn w:val="Normal"/>
    <w:semiHidden/>
    <w:locked/>
    <w:rsid w:val="001C6E2E"/>
    <w:pPr>
      <w:ind w:left="849" w:hanging="283"/>
      <w:contextualSpacing/>
    </w:pPr>
  </w:style>
  <w:style w:type="paragraph" w:styleId="List4">
    <w:name w:val="List 4"/>
    <w:basedOn w:val="Normal"/>
    <w:semiHidden/>
    <w:locked/>
    <w:rsid w:val="001C6E2E"/>
    <w:pPr>
      <w:ind w:left="1132" w:hanging="283"/>
      <w:contextualSpacing/>
    </w:pPr>
  </w:style>
  <w:style w:type="paragraph" w:styleId="List5">
    <w:name w:val="List 5"/>
    <w:basedOn w:val="Normal"/>
    <w:semiHidden/>
    <w:locked/>
    <w:rsid w:val="001C6E2E"/>
    <w:pPr>
      <w:ind w:left="1415" w:hanging="283"/>
      <w:contextualSpacing/>
    </w:pPr>
  </w:style>
  <w:style w:type="paragraph" w:styleId="ListBullet">
    <w:name w:val="List Bullet"/>
    <w:basedOn w:val="Normal"/>
    <w:qFormat/>
    <w:locked/>
    <w:rsid w:val="003A1A33"/>
    <w:pPr>
      <w:numPr>
        <w:numId w:val="6"/>
      </w:numPr>
      <w:spacing w:after="240"/>
    </w:pPr>
  </w:style>
  <w:style w:type="paragraph" w:styleId="ListBullet5">
    <w:name w:val="List Bullet 5"/>
    <w:basedOn w:val="ListBullet4"/>
    <w:unhideWhenUsed/>
    <w:locked/>
    <w:rsid w:val="003A1A33"/>
    <w:pPr>
      <w:numPr>
        <w:ilvl w:val="4"/>
      </w:numPr>
      <w:contextualSpacing/>
    </w:pPr>
  </w:style>
  <w:style w:type="paragraph" w:styleId="ListContinue">
    <w:name w:val="List Continue"/>
    <w:basedOn w:val="Normal"/>
    <w:semiHidden/>
    <w:locked/>
    <w:rsid w:val="001C6E2E"/>
    <w:pPr>
      <w:spacing w:after="120"/>
      <w:ind w:left="283"/>
      <w:contextualSpacing/>
    </w:pPr>
  </w:style>
  <w:style w:type="paragraph" w:styleId="ListContinue2">
    <w:name w:val="List Continue 2"/>
    <w:basedOn w:val="Normal"/>
    <w:semiHidden/>
    <w:locked/>
    <w:rsid w:val="001C6E2E"/>
    <w:pPr>
      <w:spacing w:after="120"/>
      <w:ind w:left="566"/>
      <w:contextualSpacing/>
    </w:pPr>
  </w:style>
  <w:style w:type="paragraph" w:styleId="ListContinue3">
    <w:name w:val="List Continue 3"/>
    <w:basedOn w:val="Normal"/>
    <w:semiHidden/>
    <w:locked/>
    <w:rsid w:val="001C6E2E"/>
    <w:pPr>
      <w:spacing w:after="120"/>
      <w:ind w:left="849"/>
      <w:contextualSpacing/>
    </w:pPr>
  </w:style>
  <w:style w:type="paragraph" w:styleId="ListContinue4">
    <w:name w:val="List Continue 4"/>
    <w:basedOn w:val="Normal"/>
    <w:semiHidden/>
    <w:locked/>
    <w:rsid w:val="001C6E2E"/>
    <w:pPr>
      <w:spacing w:after="120"/>
      <w:ind w:left="1132"/>
      <w:contextualSpacing/>
    </w:pPr>
  </w:style>
  <w:style w:type="paragraph" w:styleId="ListContinue5">
    <w:name w:val="List Continue 5"/>
    <w:basedOn w:val="Normal"/>
    <w:semiHidden/>
    <w:locked/>
    <w:rsid w:val="001C6E2E"/>
    <w:pPr>
      <w:spacing w:after="120"/>
      <w:ind w:left="1415"/>
      <w:contextualSpacing/>
    </w:pPr>
  </w:style>
  <w:style w:type="paragraph" w:styleId="ListNumber">
    <w:name w:val="List Number"/>
    <w:basedOn w:val="Normal"/>
    <w:uiPriority w:val="13"/>
    <w:unhideWhenUsed/>
    <w:qFormat/>
    <w:locked/>
    <w:rsid w:val="003A1A33"/>
    <w:pPr>
      <w:numPr>
        <w:numId w:val="33"/>
      </w:numPr>
      <w:contextualSpacing/>
    </w:pPr>
  </w:style>
  <w:style w:type="paragraph" w:styleId="ListNumber2">
    <w:name w:val="List Number 2"/>
    <w:basedOn w:val="ListNumber"/>
    <w:uiPriority w:val="13"/>
    <w:unhideWhenUsed/>
    <w:qFormat/>
    <w:locked/>
    <w:rsid w:val="003A1A33"/>
    <w:pPr>
      <w:numPr>
        <w:ilvl w:val="1"/>
      </w:numPr>
    </w:pPr>
  </w:style>
  <w:style w:type="paragraph" w:styleId="ListNumber3">
    <w:name w:val="List Number 3"/>
    <w:basedOn w:val="ListNumber2"/>
    <w:uiPriority w:val="13"/>
    <w:unhideWhenUsed/>
    <w:qFormat/>
    <w:locked/>
    <w:rsid w:val="003A1A33"/>
    <w:pPr>
      <w:numPr>
        <w:ilvl w:val="2"/>
      </w:numPr>
    </w:pPr>
  </w:style>
  <w:style w:type="paragraph" w:styleId="ListNumber4">
    <w:name w:val="List Number 4"/>
    <w:basedOn w:val="ListNumber3"/>
    <w:uiPriority w:val="13"/>
    <w:unhideWhenUsed/>
    <w:locked/>
    <w:rsid w:val="003A1A33"/>
    <w:pPr>
      <w:numPr>
        <w:ilvl w:val="3"/>
      </w:numPr>
    </w:pPr>
  </w:style>
  <w:style w:type="paragraph" w:styleId="ListNumber5">
    <w:name w:val="List Number 5"/>
    <w:basedOn w:val="ListNumber4"/>
    <w:uiPriority w:val="13"/>
    <w:unhideWhenUsed/>
    <w:locked/>
    <w:rsid w:val="003A1A33"/>
    <w:pPr>
      <w:numPr>
        <w:ilvl w:val="4"/>
      </w:numPr>
    </w:pPr>
  </w:style>
  <w:style w:type="paragraph" w:styleId="ListParagraph">
    <w:name w:val="List Paragraph"/>
    <w:basedOn w:val="Normal"/>
    <w:uiPriority w:val="34"/>
    <w:semiHidden/>
    <w:qFormat/>
    <w:locked/>
    <w:rsid w:val="003A1A33"/>
    <w:pPr>
      <w:ind w:left="720"/>
      <w:contextualSpacing/>
    </w:pPr>
  </w:style>
  <w:style w:type="paragraph" w:styleId="MessageHeader">
    <w:name w:val="Message Header"/>
    <w:basedOn w:val="Normal"/>
    <w:link w:val="MessageHeaderChar"/>
    <w:semiHidden/>
    <w:rsid w:val="003A1A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semiHidden/>
    <w:rsid w:val="003A1A33"/>
    <w:rPr>
      <w:rFonts w:asciiTheme="majorHAnsi" w:eastAsiaTheme="majorEastAsia" w:hAnsiTheme="majorHAnsi" w:cstheme="majorBidi"/>
      <w:snapToGrid w:val="0"/>
      <w:sz w:val="24"/>
      <w:szCs w:val="24"/>
      <w:shd w:val="pct20" w:color="auto" w:fill="auto"/>
      <w:lang w:eastAsia="en-US"/>
    </w:rPr>
  </w:style>
  <w:style w:type="paragraph" w:styleId="NoSpacing">
    <w:name w:val="No Spacing"/>
    <w:uiPriority w:val="1"/>
    <w:semiHidden/>
    <w:qFormat/>
    <w:rsid w:val="003A1A33"/>
    <w:pPr>
      <w:kinsoku w:val="0"/>
      <w:overflowPunct w:val="0"/>
      <w:autoSpaceDE w:val="0"/>
      <w:autoSpaceDN w:val="0"/>
      <w:adjustRightInd w:val="0"/>
      <w:snapToGrid w:val="0"/>
    </w:pPr>
    <w:rPr>
      <w:rFonts w:ascii="Georgia" w:hAnsi="Georgia" w:cs="Arial"/>
      <w:snapToGrid w:val="0"/>
      <w:sz w:val="20"/>
      <w:szCs w:val="20"/>
      <w:lang w:eastAsia="en-US"/>
    </w:rPr>
  </w:style>
  <w:style w:type="paragraph" w:styleId="NormalWeb">
    <w:name w:val="Normal (Web)"/>
    <w:basedOn w:val="Normal"/>
    <w:semiHidden/>
    <w:rsid w:val="001C6E2E"/>
    <w:rPr>
      <w:rFonts w:ascii="Times New Roman" w:hAnsi="Times New Roman" w:cs="Times New Roman"/>
      <w:sz w:val="24"/>
      <w:szCs w:val="24"/>
    </w:rPr>
  </w:style>
  <w:style w:type="paragraph" w:styleId="NormalIndent">
    <w:name w:val="Normal Indent"/>
    <w:basedOn w:val="Normal"/>
    <w:semiHidden/>
    <w:rsid w:val="003A1A33"/>
    <w:pPr>
      <w:ind w:left="720"/>
    </w:pPr>
  </w:style>
  <w:style w:type="paragraph" w:styleId="NoteHeading">
    <w:name w:val="Note Heading"/>
    <w:basedOn w:val="Normal"/>
    <w:next w:val="Normal"/>
    <w:link w:val="NoteHeadingChar"/>
    <w:semiHidden/>
    <w:unhideWhenUsed/>
    <w:rsid w:val="003A1A33"/>
  </w:style>
  <w:style w:type="character" w:customStyle="1" w:styleId="NoteHeadingChar">
    <w:name w:val="Note Heading Char"/>
    <w:basedOn w:val="DefaultParagraphFont"/>
    <w:link w:val="NoteHeading"/>
    <w:semiHidden/>
    <w:rsid w:val="003A1A33"/>
    <w:rPr>
      <w:rFonts w:ascii="Georgia" w:hAnsi="Georgia" w:cs="Arial"/>
      <w:snapToGrid w:val="0"/>
      <w:sz w:val="20"/>
      <w:szCs w:val="20"/>
      <w:lang w:eastAsia="en-US"/>
    </w:rPr>
  </w:style>
  <w:style w:type="character" w:styleId="PlaceholderText">
    <w:name w:val="Placeholder Text"/>
    <w:basedOn w:val="DefaultParagraphFont"/>
    <w:uiPriority w:val="99"/>
    <w:semiHidden/>
    <w:rsid w:val="003A1A33"/>
    <w:rPr>
      <w:color w:val="808080"/>
    </w:rPr>
  </w:style>
  <w:style w:type="paragraph" w:styleId="PlainText">
    <w:name w:val="Plain Text"/>
    <w:basedOn w:val="Normal"/>
    <w:link w:val="PlainTextChar"/>
    <w:semiHidden/>
    <w:rsid w:val="003A1A33"/>
    <w:rPr>
      <w:rFonts w:ascii="Consolas" w:hAnsi="Consolas"/>
    </w:rPr>
  </w:style>
  <w:style w:type="character" w:customStyle="1" w:styleId="PlainTextChar">
    <w:name w:val="Plain Text Char"/>
    <w:basedOn w:val="DefaultParagraphFont"/>
    <w:link w:val="PlainText"/>
    <w:semiHidden/>
    <w:rsid w:val="003A1A33"/>
    <w:rPr>
      <w:rFonts w:ascii="Consolas" w:hAnsi="Consolas" w:cs="Arial"/>
      <w:snapToGrid w:val="0"/>
      <w:sz w:val="20"/>
      <w:szCs w:val="20"/>
      <w:lang w:eastAsia="en-US"/>
    </w:rPr>
  </w:style>
  <w:style w:type="paragraph" w:styleId="Quote">
    <w:name w:val="Quote"/>
    <w:basedOn w:val="Normal"/>
    <w:next w:val="Normal"/>
    <w:link w:val="QuoteChar"/>
    <w:uiPriority w:val="29"/>
    <w:semiHidden/>
    <w:qFormat/>
    <w:rsid w:val="003A1A33"/>
    <w:rPr>
      <w:i/>
      <w:iCs/>
      <w:color w:val="000000" w:themeColor="text1"/>
    </w:rPr>
  </w:style>
  <w:style w:type="character" w:customStyle="1" w:styleId="QuoteChar">
    <w:name w:val="Quote Char"/>
    <w:basedOn w:val="DefaultParagraphFont"/>
    <w:link w:val="Quote"/>
    <w:uiPriority w:val="29"/>
    <w:semiHidden/>
    <w:rsid w:val="003A1A33"/>
    <w:rPr>
      <w:rFonts w:ascii="Georgia" w:hAnsi="Georgia" w:cs="Arial"/>
      <w:i/>
      <w:iCs/>
      <w:snapToGrid w:val="0"/>
      <w:color w:val="000000" w:themeColor="text1"/>
      <w:sz w:val="20"/>
      <w:szCs w:val="20"/>
      <w:lang w:eastAsia="en-US"/>
    </w:rPr>
  </w:style>
  <w:style w:type="paragraph" w:styleId="Salutation">
    <w:name w:val="Salutation"/>
    <w:basedOn w:val="Normal"/>
    <w:next w:val="Normal"/>
    <w:link w:val="SalutationChar"/>
    <w:semiHidden/>
    <w:unhideWhenUsed/>
    <w:rsid w:val="003A1A33"/>
  </w:style>
  <w:style w:type="character" w:customStyle="1" w:styleId="SalutationChar">
    <w:name w:val="Salutation Char"/>
    <w:basedOn w:val="DefaultParagraphFont"/>
    <w:link w:val="Salutation"/>
    <w:semiHidden/>
    <w:rsid w:val="003A1A33"/>
    <w:rPr>
      <w:rFonts w:ascii="Georgia" w:hAnsi="Georgia" w:cs="Arial"/>
      <w:snapToGrid w:val="0"/>
      <w:sz w:val="20"/>
      <w:szCs w:val="20"/>
      <w:lang w:eastAsia="en-US"/>
    </w:rPr>
  </w:style>
  <w:style w:type="paragraph" w:styleId="Signature">
    <w:name w:val="Signature"/>
    <w:basedOn w:val="Normal"/>
    <w:link w:val="SignatureChar"/>
    <w:semiHidden/>
    <w:rsid w:val="003A1A33"/>
    <w:pPr>
      <w:ind w:left="4252"/>
    </w:pPr>
  </w:style>
  <w:style w:type="character" w:customStyle="1" w:styleId="SignatureChar">
    <w:name w:val="Signature Char"/>
    <w:basedOn w:val="DefaultParagraphFont"/>
    <w:link w:val="Signature"/>
    <w:semiHidden/>
    <w:rsid w:val="003A1A33"/>
    <w:rPr>
      <w:rFonts w:ascii="Georgia" w:hAnsi="Georgia" w:cs="Arial"/>
      <w:snapToGrid w:val="0"/>
      <w:sz w:val="20"/>
      <w:szCs w:val="20"/>
      <w:lang w:eastAsia="en-US"/>
    </w:rPr>
  </w:style>
  <w:style w:type="character" w:styleId="Strong">
    <w:name w:val="Strong"/>
    <w:basedOn w:val="DefaultParagraphFont"/>
    <w:semiHidden/>
    <w:qFormat/>
    <w:rsid w:val="001C6E2E"/>
    <w:rPr>
      <w:b/>
      <w:bCs/>
    </w:rPr>
  </w:style>
  <w:style w:type="paragraph" w:styleId="Subtitle">
    <w:name w:val="Subtitle"/>
    <w:basedOn w:val="Normal"/>
    <w:next w:val="Normal"/>
    <w:link w:val="SubtitleChar"/>
    <w:semiHidden/>
    <w:qFormat/>
    <w:rsid w:val="001C6E2E"/>
    <w:pPr>
      <w:numPr>
        <w:ilvl w:val="1"/>
      </w:numPr>
    </w:pPr>
    <w:rPr>
      <w:rFonts w:asciiTheme="majorHAnsi" w:eastAsiaTheme="majorEastAsia" w:hAnsiTheme="majorHAnsi" w:cstheme="majorBidi"/>
      <w:i/>
      <w:iCs/>
      <w:color w:val="DC6900" w:themeColor="accent1"/>
      <w:spacing w:val="15"/>
      <w:sz w:val="24"/>
      <w:szCs w:val="24"/>
    </w:rPr>
  </w:style>
  <w:style w:type="character" w:customStyle="1" w:styleId="SubtitleChar">
    <w:name w:val="Subtitle Char"/>
    <w:basedOn w:val="DefaultParagraphFont"/>
    <w:link w:val="Subtitle"/>
    <w:semiHidden/>
    <w:rsid w:val="001C6E2E"/>
    <w:rPr>
      <w:rFonts w:asciiTheme="majorHAnsi" w:eastAsiaTheme="majorEastAsia" w:hAnsiTheme="majorHAnsi" w:cstheme="majorBidi"/>
      <w:i/>
      <w:iCs/>
      <w:snapToGrid w:val="0"/>
      <w:color w:val="DC6900" w:themeColor="accent1"/>
      <w:spacing w:val="15"/>
      <w:sz w:val="24"/>
      <w:szCs w:val="24"/>
      <w:lang w:eastAsia="en-US"/>
    </w:rPr>
  </w:style>
  <w:style w:type="character" w:styleId="SubtleEmphasis">
    <w:name w:val="Subtle Emphasis"/>
    <w:basedOn w:val="DefaultParagraphFont"/>
    <w:uiPriority w:val="19"/>
    <w:semiHidden/>
    <w:qFormat/>
    <w:locked/>
    <w:rsid w:val="001C6E2E"/>
    <w:rPr>
      <w:i/>
      <w:iCs/>
      <w:color w:val="808080" w:themeColor="text1" w:themeTint="7F"/>
    </w:rPr>
  </w:style>
  <w:style w:type="character" w:styleId="SubtleReference">
    <w:name w:val="Subtle Reference"/>
    <w:basedOn w:val="DefaultParagraphFont"/>
    <w:uiPriority w:val="31"/>
    <w:semiHidden/>
    <w:qFormat/>
    <w:locked/>
    <w:rsid w:val="001C6E2E"/>
    <w:rPr>
      <w:smallCaps/>
      <w:color w:val="FFB600" w:themeColor="accent2"/>
      <w:u w:val="single"/>
    </w:rPr>
  </w:style>
  <w:style w:type="paragraph" w:styleId="TableofAuthorities">
    <w:name w:val="table of authorities"/>
    <w:basedOn w:val="Normal"/>
    <w:next w:val="Normal"/>
    <w:semiHidden/>
    <w:unhideWhenUsed/>
    <w:rsid w:val="003A1A33"/>
    <w:pPr>
      <w:ind w:left="210" w:hanging="210"/>
    </w:pPr>
  </w:style>
  <w:style w:type="paragraph" w:styleId="TableofFigures">
    <w:name w:val="table of figures"/>
    <w:basedOn w:val="Normal"/>
    <w:next w:val="Normal"/>
    <w:semiHidden/>
    <w:unhideWhenUsed/>
    <w:rsid w:val="003A1A33"/>
  </w:style>
  <w:style w:type="paragraph" w:styleId="TOAHeading">
    <w:name w:val="toa heading"/>
    <w:basedOn w:val="Normal"/>
    <w:next w:val="Normal"/>
    <w:semiHidden/>
    <w:unhideWhenUsed/>
    <w:rsid w:val="003A1A33"/>
    <w:pPr>
      <w:spacing w:before="120"/>
    </w:pPr>
    <w:rPr>
      <w:rFonts w:asciiTheme="majorHAnsi" w:eastAsiaTheme="majorEastAsia" w:hAnsiTheme="majorHAnsi" w:cstheme="majorBidi"/>
      <w:b/>
      <w:bCs/>
      <w:sz w:val="24"/>
      <w:szCs w:val="24"/>
    </w:rPr>
  </w:style>
  <w:style w:type="paragraph" w:styleId="TOCHeading">
    <w:name w:val="TOC Heading"/>
    <w:basedOn w:val="Heading1"/>
    <w:next w:val="Normal"/>
    <w:uiPriority w:val="39"/>
    <w:semiHidden/>
    <w:unhideWhenUsed/>
    <w:qFormat/>
    <w:rsid w:val="003A1A33"/>
    <w:pPr>
      <w:keepNext/>
      <w:keepLines/>
      <w:spacing w:before="480" w:line="240" w:lineRule="auto"/>
      <w:outlineLvl w:val="9"/>
    </w:pPr>
    <w:rPr>
      <w:rFonts w:eastAsiaTheme="majorEastAsia" w:cstheme="majorBidi"/>
      <w:color w:val="A44E00" w:themeColor="accent1" w:themeShade="BF"/>
      <w:sz w:val="28"/>
      <w:szCs w:val="28"/>
    </w:rPr>
  </w:style>
  <w:style w:type="paragraph" w:customStyle="1" w:styleId="CoverPanelFrame">
    <w:name w:val="Cover Panel Frame"/>
    <w:basedOn w:val="Coverpulloutframe"/>
    <w:rsid w:val="003A1A33"/>
    <w:pPr>
      <w:framePr w:w="7441" w:wrap="notBeside" w:vAnchor="margin" w:hAnchor="text" w:x="-112" w:y="1"/>
      <w:pBdr>
        <w:top w:val="single" w:sz="4" w:space="1" w:color="auto"/>
        <w:left w:val="single" w:sz="4" w:space="4" w:color="auto"/>
      </w:pBdr>
    </w:pPr>
    <w:rPr>
      <w:rFonts w:eastAsia="+mn-ea"/>
    </w:rPr>
  </w:style>
  <w:style w:type="paragraph" w:customStyle="1" w:styleId="CoverGrowFooter">
    <w:name w:val="Cover Grow Footer"/>
    <w:rsid w:val="00E55EB2"/>
    <w:pPr>
      <w:framePr w:w="3209" w:wrap="around" w:vAnchor="page" w:hAnchor="page" w:x="7820" w:y="15072"/>
    </w:pPr>
    <w:rPr>
      <w:rFonts w:asciiTheme="majorHAnsi" w:hAnsiTheme="majorHAnsi" w:cs="Arial"/>
      <w:b/>
      <w:i/>
      <w:noProof/>
      <w:color w:val="DC6900" w:themeColor="text2"/>
      <w:sz w:val="32"/>
      <w:szCs w:val="32"/>
    </w:rPr>
  </w:style>
  <w:style w:type="paragraph" w:customStyle="1" w:styleId="LogoActivated">
    <w:name w:val="Logo Activated"/>
    <w:basedOn w:val="Normal"/>
    <w:rsid w:val="003A1A33"/>
    <w:pPr>
      <w:framePr w:w="3119" w:h="1412" w:hRule="exact" w:wrap="around" w:vAnchor="page" w:hAnchor="page" w:x="1543" w:y="15299"/>
      <w:tabs>
        <w:tab w:val="center" w:pos="2551"/>
        <w:tab w:val="right" w:pos="7682"/>
      </w:tabs>
      <w:spacing w:line="0" w:lineRule="atLeast"/>
    </w:pPr>
    <w:rPr>
      <w:rFonts w:asciiTheme="majorHAnsi" w:hAnsiTheme="majorHAnsi"/>
      <w:noProof/>
      <w:snapToGrid/>
      <w:sz w:val="18"/>
      <w:szCs w:val="32"/>
      <w:lang w:eastAsia="en-AU"/>
    </w:rPr>
  </w:style>
  <w:style w:type="character" w:customStyle="1" w:styleId="FooterGrow">
    <w:name w:val="Footer Grow"/>
    <w:basedOn w:val="DefaultParagraphFont"/>
    <w:uiPriority w:val="1"/>
    <w:qFormat/>
    <w:rsid w:val="003D06E6"/>
    <w:rPr>
      <w:rFonts w:asciiTheme="majorHAnsi" w:hAnsiTheme="majorHAnsi"/>
      <w:b/>
      <w:i/>
    </w:rPr>
  </w:style>
  <w:style w:type="paragraph" w:customStyle="1" w:styleId="FirstPagePanelFrame">
    <w:name w:val="First Page Panel Frame"/>
    <w:basedOn w:val="CoverPanelFrame"/>
    <w:rsid w:val="005075FD"/>
    <w:pPr>
      <w:pageBreakBefore/>
      <w:framePr w:w="9299" w:h="227" w:hRule="exact" w:wrap="notBeside" w:y="-169"/>
      <w:pBdr>
        <w:top w:val="single" w:sz="6" w:space="1" w:color="DC6900" w:themeColor="text2"/>
        <w:left w:val="single" w:sz="6" w:space="4" w:color="DC6900" w:themeColor="text2"/>
      </w:pBdr>
    </w:pPr>
  </w:style>
  <w:style w:type="paragraph" w:customStyle="1" w:styleId="GrowURL">
    <w:name w:val="Grow URL"/>
    <w:basedOn w:val="Normal"/>
    <w:rsid w:val="003A1A33"/>
    <w:rPr>
      <w:rFonts w:asciiTheme="majorHAnsi" w:hAnsiTheme="majorHAnsi"/>
    </w:rPr>
  </w:style>
  <w:style w:type="paragraph" w:customStyle="1" w:styleId="Coverpulloutframe">
    <w:name w:val="Cover pull out frame"/>
    <w:basedOn w:val="KeySentenceInside"/>
    <w:rsid w:val="005075FD"/>
    <w:pPr>
      <w:framePr w:w="2189" w:h="227" w:wrap="notBeside" w:vAnchor="page" w:hAnchor="page" w:x="908" w:y="8415"/>
      <w:pBdr>
        <w:top w:val="dotted" w:sz="8" w:space="1" w:color="A32020"/>
        <w:left w:val="dotted" w:sz="8" w:space="4" w:color="A32020"/>
      </w:pBdr>
      <w:spacing w:after="0" w:line="0" w:lineRule="atLeast"/>
    </w:pPr>
    <w:rPr>
      <w:color w:val="auto"/>
      <w:sz w:val="8"/>
      <w:lang w:val="en-GB"/>
    </w:rPr>
  </w:style>
  <w:style w:type="paragraph" w:customStyle="1" w:styleId="CoverOutcomeHeadline">
    <w:name w:val="Cover Outcome Headline"/>
    <w:basedOn w:val="PwCNormal"/>
    <w:rsid w:val="00B01F26"/>
    <w:pPr>
      <w:spacing w:after="0" w:line="520" w:lineRule="atLeast"/>
      <w:ind w:right="2016"/>
    </w:pPr>
    <w:rPr>
      <w:b/>
      <w:i/>
      <w:color w:val="FFFFFF" w:themeColor="background1"/>
      <w:sz w:val="52"/>
      <w:szCs w:val="88"/>
      <w:lang w:val="en-GB"/>
    </w:rPr>
  </w:style>
  <w:style w:type="paragraph" w:customStyle="1" w:styleId="CoverOutcomeSubtitle">
    <w:name w:val="Cover Outcome Subtitle"/>
    <w:basedOn w:val="CoverOutcomeHeadline"/>
    <w:rsid w:val="00F77719"/>
    <w:pPr>
      <w:spacing w:line="440" w:lineRule="atLeast"/>
      <w:ind w:right="2448"/>
    </w:pPr>
    <w:rPr>
      <w:b w:val="0"/>
      <w:i w:val="0"/>
      <w:sz w:val="44"/>
    </w:rPr>
  </w:style>
  <w:style w:type="paragraph" w:customStyle="1" w:styleId="LogoFixed">
    <w:name w:val="Logo Fixed"/>
    <w:basedOn w:val="LogoActivated"/>
    <w:rsid w:val="003A1A33"/>
    <w:pPr>
      <w:framePr w:h="2733" w:hRule="exact" w:wrap="around" w:x="1322" w:y="14125"/>
    </w:pPr>
  </w:style>
  <w:style w:type="character" w:customStyle="1" w:styleId="DisclaimerChar">
    <w:name w:val="Disclaimer Char"/>
    <w:basedOn w:val="DefaultParagraphFont"/>
    <w:link w:val="Disclaimer"/>
    <w:rsid w:val="00336BAA"/>
    <w:rPr>
      <w:rFonts w:cs="Arial"/>
      <w:snapToGrid w:val="0"/>
      <w:sz w:val="15"/>
      <w:szCs w:val="20"/>
      <w:lang w:eastAsia="en-US"/>
    </w:rPr>
  </w:style>
  <w:style w:type="paragraph" w:customStyle="1" w:styleId="PwCAddress">
    <w:name w:val="PwC Address"/>
    <w:basedOn w:val="Normal"/>
    <w:link w:val="PwCAddressChar"/>
    <w:qFormat/>
    <w:rsid w:val="00336BAA"/>
    <w:pPr>
      <w:kinsoku/>
      <w:overflowPunct/>
      <w:autoSpaceDE/>
      <w:autoSpaceDN/>
      <w:adjustRightInd/>
      <w:snapToGrid/>
      <w:spacing w:line="200" w:lineRule="atLeast"/>
    </w:pPr>
    <w:rPr>
      <w:rFonts w:eastAsiaTheme="minorHAnsi" w:cstheme="minorBidi"/>
      <w:i/>
      <w:noProof/>
      <w:snapToGrid/>
      <w:sz w:val="18"/>
      <w:szCs w:val="22"/>
      <w:lang w:val="en-GB" w:eastAsia="en-GB"/>
    </w:rPr>
  </w:style>
  <w:style w:type="character" w:customStyle="1" w:styleId="PwCAddressChar">
    <w:name w:val="PwC Address Char"/>
    <w:basedOn w:val="DefaultParagraphFont"/>
    <w:link w:val="PwCAddress"/>
    <w:rsid w:val="00336BAA"/>
    <w:rPr>
      <w:rFonts w:asciiTheme="minorHAnsi" w:eastAsiaTheme="minorHAnsi" w:hAnsiTheme="minorHAnsi" w:cstheme="minorBidi"/>
      <w:i/>
      <w:noProof/>
      <w:sz w:val="18"/>
      <w:szCs w:val="22"/>
      <w:lang w:val="en-GB" w:eastAsia="en-GB"/>
    </w:rPr>
  </w:style>
  <w:style w:type="paragraph" w:customStyle="1" w:styleId="StyleTOC1Right015cm">
    <w:name w:val="Style TOC 1 + Right:  0.15 cm"/>
    <w:basedOn w:val="TOC1"/>
    <w:rsid w:val="00336BAA"/>
    <w:pPr>
      <w:tabs>
        <w:tab w:val="left" w:pos="426"/>
        <w:tab w:val="right" w:pos="5103"/>
      </w:tabs>
      <w:spacing w:before="180"/>
      <w:ind w:right="0"/>
    </w:pPr>
    <w:rPr>
      <w:rFonts w:asciiTheme="majorHAnsi" w:hAnsiTheme="majorHAnsi" w:cs="Times New Roman"/>
      <w:bCs/>
      <w:color w:val="000000" w:themeColor="text1"/>
      <w:sz w:val="18"/>
    </w:rPr>
  </w:style>
  <w:style w:type="paragraph" w:customStyle="1" w:styleId="StyleTOCtitleText2">
    <w:name w:val="Style TOC title + Text 2"/>
    <w:basedOn w:val="TOCtitle"/>
    <w:rsid w:val="00336BAA"/>
    <w:rPr>
      <w:color w:val="FFFFFF" w:themeColor="background1"/>
    </w:rPr>
  </w:style>
  <w:style w:type="paragraph" w:customStyle="1" w:styleId="TheirNumbersedList">
    <w:name w:val="Their Numbersed List"/>
    <w:basedOn w:val="ChapterNumberedList1"/>
    <w:qFormat/>
    <w:rsid w:val="005D3DF0"/>
    <w:pPr>
      <w:numPr>
        <w:numId w:val="11"/>
      </w:numPr>
    </w:pPr>
  </w:style>
  <w:style w:type="paragraph" w:customStyle="1" w:styleId="TheirBullet1">
    <w:name w:val="Their Bullet 1"/>
    <w:basedOn w:val="Bullet1"/>
    <w:qFormat/>
    <w:rsid w:val="007854F5"/>
    <w:pPr>
      <w:numPr>
        <w:numId w:val="12"/>
      </w:numPr>
      <w:ind w:left="227" w:hanging="227"/>
    </w:pPr>
    <w:rPr>
      <w:color w:val="DC6900" w:themeColor="accent1"/>
    </w:rPr>
  </w:style>
  <w:style w:type="table" w:customStyle="1" w:styleId="PwC-CVtablestyle1">
    <w:name w:val="PwC - CV table style 1"/>
    <w:basedOn w:val="TableNormal"/>
    <w:uiPriority w:val="99"/>
    <w:qFormat/>
    <w:rsid w:val="00FB380F"/>
    <w:rPr>
      <w:rFonts w:eastAsia="Batang"/>
    </w:rPr>
    <w:tblPr>
      <w:tblInd w:w="0" w:type="dxa"/>
      <w:tblCellMar>
        <w:top w:w="0" w:type="dxa"/>
        <w:left w:w="108" w:type="dxa"/>
        <w:bottom w:w="0" w:type="dxa"/>
        <w:right w:w="108" w:type="dxa"/>
      </w:tblCellMar>
    </w:tblPr>
    <w:tblStylePr w:type="firstRow">
      <w:pPr>
        <w:jc w:val="left"/>
      </w:pPr>
      <w:tblPr/>
      <w:tcPr>
        <w:tcBorders>
          <w:bottom w:val="single" w:sz="8" w:space="0" w:color="DC6900" w:themeColor="accent1"/>
        </w:tcBorders>
      </w:tcPr>
    </w:tblStylePr>
  </w:style>
  <w:style w:type="character" w:customStyle="1" w:styleId="CVBullet1Char">
    <w:name w:val="CV Bullet 1 Char"/>
    <w:basedOn w:val="DefaultParagraphFont"/>
    <w:link w:val="CVBullet1"/>
    <w:locked/>
    <w:rsid w:val="00CF5565"/>
    <w:rPr>
      <w:rFonts w:ascii="Georgia" w:hAnsi="Georgia" w:cs="Arial"/>
      <w:snapToGrid w:val="0"/>
      <w:sz w:val="20"/>
      <w:szCs w:val="20"/>
      <w:lang w:eastAsia="en-US"/>
    </w:rPr>
  </w:style>
  <w:style w:type="paragraph" w:customStyle="1" w:styleId="CVQuote">
    <w:name w:val="CV Quote"/>
    <w:basedOn w:val="KeySentenceheading"/>
    <w:qFormat/>
    <w:rsid w:val="00E8787C"/>
    <w:pPr>
      <w:spacing w:before="80" w:after="80" w:line="264" w:lineRule="auto"/>
      <w:ind w:left="85" w:hanging="85"/>
    </w:pPr>
    <w:rPr>
      <w:rFonts w:eastAsia="Batang"/>
      <w:color w:val="968C6D"/>
      <w:sz w:val="16"/>
    </w:rPr>
  </w:style>
  <w:style w:type="paragraph" w:customStyle="1" w:styleId="StyleStyleTOCtitleText228ptAccent5">
    <w:name w:val="Style Style TOC title + Text 2 + 28 pt Accent 5"/>
    <w:basedOn w:val="StyleTOCtitleText2"/>
    <w:rsid w:val="00551DAA"/>
  </w:style>
  <w:style w:type="paragraph" w:customStyle="1" w:styleId="BlockText2">
    <w:name w:val="Block Text 2"/>
    <w:basedOn w:val="Normal"/>
    <w:qFormat/>
    <w:rsid w:val="003A1A33"/>
    <w:pPr>
      <w:pBdr>
        <w:top w:val="single" w:sz="2" w:space="10" w:color="DC6900" w:themeColor="text2"/>
        <w:left w:val="single" w:sz="2" w:space="10" w:color="DC6900" w:themeColor="text2"/>
        <w:bottom w:val="single" w:sz="2" w:space="10" w:color="DC6900" w:themeColor="text2"/>
        <w:right w:val="single" w:sz="2" w:space="10" w:color="DC6900" w:themeColor="text2"/>
      </w:pBdr>
      <w:shd w:val="clear" w:color="auto" w:fill="DC6900" w:themeFill="text2"/>
      <w:kinsoku/>
      <w:overflowPunct/>
      <w:autoSpaceDE/>
      <w:autoSpaceDN/>
      <w:adjustRightInd/>
      <w:snapToGrid/>
      <w:spacing w:after="240"/>
      <w:ind w:left="227" w:right="227"/>
    </w:pPr>
    <w:rPr>
      <w:rFonts w:eastAsiaTheme="minorHAnsi" w:cstheme="minorBidi"/>
      <w:i/>
      <w:snapToGrid/>
      <w:color w:val="FFFFFF" w:themeColor="background2"/>
      <w:sz w:val="48"/>
      <w:szCs w:val="48"/>
      <w:lang w:val="en-GB"/>
    </w:rPr>
  </w:style>
  <w:style w:type="paragraph" w:customStyle="1" w:styleId="Appendix">
    <w:name w:val="Appendix"/>
    <w:basedOn w:val="Heading1"/>
    <w:next w:val="Normal"/>
    <w:uiPriority w:val="99"/>
    <w:qFormat/>
    <w:rsid w:val="00924BB2"/>
    <w:pPr>
      <w:keepNext/>
      <w:keepLines/>
      <w:numPr>
        <w:numId w:val="14"/>
      </w:numPr>
      <w:kinsoku/>
      <w:overflowPunct/>
      <w:autoSpaceDE/>
      <w:autoSpaceDN/>
      <w:adjustRightInd/>
      <w:snapToGrid/>
      <w:spacing w:after="480" w:line="600" w:lineRule="atLeast"/>
    </w:pPr>
    <w:rPr>
      <w:rFonts w:eastAsiaTheme="majorEastAsia" w:cstheme="majorBidi"/>
      <w:snapToGrid/>
      <w:color w:val="DC6900" w:themeColor="accent1"/>
      <w:szCs w:val="28"/>
      <w:lang w:val="en-GB"/>
    </w:rPr>
  </w:style>
  <w:style w:type="numbering" w:customStyle="1" w:styleId="PwCAppendixList1">
    <w:name w:val="PwC Appendix List 1"/>
    <w:uiPriority w:val="99"/>
    <w:rsid w:val="003A1A33"/>
    <w:pPr>
      <w:numPr>
        <w:numId w:val="13"/>
      </w:numPr>
    </w:pPr>
  </w:style>
  <w:style w:type="numbering" w:customStyle="1" w:styleId="TableNumberdListNormal">
    <w:name w:val="Table Numberd List Normal"/>
    <w:uiPriority w:val="99"/>
    <w:rsid w:val="003A1A33"/>
    <w:pPr>
      <w:numPr>
        <w:numId w:val="16"/>
      </w:numPr>
    </w:pPr>
  </w:style>
  <w:style w:type="numbering" w:customStyle="1" w:styleId="PwCListNumbers1">
    <w:name w:val="PwC List Numbers 1"/>
    <w:uiPriority w:val="99"/>
    <w:rsid w:val="003A1A33"/>
    <w:pPr>
      <w:numPr>
        <w:numId w:val="15"/>
      </w:numPr>
    </w:pPr>
  </w:style>
  <w:style w:type="paragraph" w:customStyle="1" w:styleId="BlockText3">
    <w:name w:val="Block Text 3"/>
    <w:basedOn w:val="BlockText"/>
    <w:qFormat/>
    <w:rsid w:val="003A1A33"/>
    <w:pPr>
      <w:pBdr>
        <w:top w:val="single" w:sz="8" w:space="10" w:color="F2F2F2" w:themeColor="background2" w:themeShade="F2"/>
        <w:left w:val="single" w:sz="8" w:space="10" w:color="F2F2F2" w:themeColor="background2" w:themeShade="F2"/>
        <w:bottom w:val="single" w:sz="8" w:space="10" w:color="F2F2F2" w:themeColor="background2" w:themeShade="F2"/>
        <w:right w:val="single" w:sz="8" w:space="10" w:color="F2F2F2" w:themeColor="background2" w:themeShade="F2"/>
      </w:pBdr>
      <w:shd w:val="clear" w:color="auto" w:fill="F2F2F2" w:themeFill="background2" w:themeFillShade="F2"/>
      <w:kinsoku/>
      <w:overflowPunct/>
      <w:autoSpaceDE/>
      <w:autoSpaceDN/>
      <w:adjustRightInd/>
      <w:snapToGrid/>
      <w:ind w:left="227" w:right="227"/>
    </w:pPr>
    <w:rPr>
      <w:snapToGrid/>
      <w:sz w:val="96"/>
      <w:lang w:val="en-GB"/>
    </w:rPr>
  </w:style>
  <w:style w:type="paragraph" w:customStyle="1" w:styleId="SubHeading">
    <w:name w:val="Sub Heading"/>
    <w:basedOn w:val="PwCNormal"/>
    <w:rsid w:val="003A1A33"/>
    <w:pPr>
      <w:spacing w:after="480" w:line="600" w:lineRule="atLeast"/>
    </w:pPr>
    <w:rPr>
      <w:sz w:val="56"/>
    </w:rPr>
  </w:style>
  <w:style w:type="paragraph" w:customStyle="1" w:styleId="BlockTextClient">
    <w:name w:val="Block Text Client"/>
    <w:basedOn w:val="BlockText"/>
    <w:rsid w:val="003A1A33"/>
    <w:pPr>
      <w:spacing w:after="0"/>
    </w:pPr>
    <w:rPr>
      <w:b w:val="0"/>
      <w:sz w:val="20"/>
    </w:rPr>
  </w:style>
  <w:style w:type="paragraph" w:customStyle="1" w:styleId="BlockTextPosition">
    <w:name w:val="Block Text Position"/>
    <w:basedOn w:val="BlockText"/>
    <w:rsid w:val="003A1A33"/>
    <w:rPr>
      <w:b w:val="0"/>
      <w:i w:val="0"/>
      <w:sz w:val="20"/>
    </w:rPr>
  </w:style>
  <w:style w:type="paragraph" w:customStyle="1" w:styleId="BlockText2Client">
    <w:name w:val="Block Text 2 Client"/>
    <w:basedOn w:val="BlockText2"/>
    <w:rsid w:val="003A1A33"/>
    <w:pPr>
      <w:spacing w:after="0"/>
    </w:pPr>
    <w:rPr>
      <w:sz w:val="20"/>
      <w:szCs w:val="20"/>
    </w:rPr>
  </w:style>
  <w:style w:type="paragraph" w:customStyle="1" w:styleId="BlockText2Position">
    <w:name w:val="Block Text 2 Position"/>
    <w:basedOn w:val="BlockText2"/>
    <w:rsid w:val="003A1A33"/>
    <w:rPr>
      <w:i w:val="0"/>
      <w:sz w:val="20"/>
      <w:szCs w:val="20"/>
    </w:rPr>
  </w:style>
  <w:style w:type="paragraph" w:customStyle="1" w:styleId="URLCover">
    <w:name w:val="URL Cover"/>
    <w:basedOn w:val="Normal"/>
    <w:rsid w:val="003A1A33"/>
    <w:rPr>
      <w:color w:val="000000" w:themeColor="text1"/>
      <w:sz w:val="19"/>
    </w:rPr>
  </w:style>
  <w:style w:type="paragraph" w:customStyle="1" w:styleId="NumericCaption">
    <w:name w:val="Numeric Caption"/>
    <w:basedOn w:val="Caption"/>
    <w:rsid w:val="00E44052"/>
    <w:pPr>
      <w:tabs>
        <w:tab w:val="clear" w:pos="992"/>
        <w:tab w:val="left" w:pos="1008"/>
      </w:tabs>
    </w:pPr>
  </w:style>
  <w:style w:type="paragraph" w:customStyle="1" w:styleId="NumericTableColumnHeadingNormal">
    <w:name w:val="Numeric Table Column Heading Normal"/>
    <w:basedOn w:val="TableColumnHeadingNormal"/>
    <w:rsid w:val="003A1A33"/>
    <w:rPr>
      <w:rFonts w:ascii="Arial" w:hAnsi="Arial"/>
    </w:rPr>
  </w:style>
  <w:style w:type="paragraph" w:customStyle="1" w:styleId="NumericTableTextNormal">
    <w:name w:val="Numeric Table Text Normal"/>
    <w:basedOn w:val="TableTextNormal"/>
    <w:rsid w:val="003A1A33"/>
    <w:rPr>
      <w:rFonts w:ascii="Arial" w:hAnsi="Arial"/>
    </w:rPr>
  </w:style>
  <w:style w:type="paragraph" w:customStyle="1" w:styleId="NumericSources">
    <w:name w:val="Numeric Sources"/>
    <w:basedOn w:val="Sources"/>
    <w:rsid w:val="003A1A33"/>
    <w:rPr>
      <w:rFonts w:ascii="Arial" w:hAnsi="Arial"/>
    </w:rPr>
  </w:style>
  <w:style w:type="paragraph" w:customStyle="1" w:styleId="NumericTableColumnHeadingSmall">
    <w:name w:val="Numeric Table Column Heading Small"/>
    <w:basedOn w:val="NumericTableColumnHeadingNormal"/>
    <w:rsid w:val="003A1A33"/>
    <w:rPr>
      <w:sz w:val="16"/>
      <w:szCs w:val="16"/>
    </w:rPr>
  </w:style>
  <w:style w:type="paragraph" w:customStyle="1" w:styleId="NumericTableTextSmall">
    <w:name w:val="Numeric Table Text Small"/>
    <w:basedOn w:val="NumericTableTextNormal"/>
    <w:rsid w:val="003A1A33"/>
    <w:rPr>
      <w:sz w:val="16"/>
      <w:szCs w:val="16"/>
    </w:rPr>
  </w:style>
  <w:style w:type="paragraph" w:customStyle="1" w:styleId="NumericTableTextDecimalNormal">
    <w:name w:val="Numeric Table Text Decimal Normal"/>
    <w:basedOn w:val="NumericTableTextNormal"/>
    <w:rsid w:val="003A1A33"/>
    <w:pPr>
      <w:tabs>
        <w:tab w:val="decimal" w:pos="1004"/>
      </w:tabs>
    </w:pPr>
  </w:style>
  <w:style w:type="paragraph" w:customStyle="1" w:styleId="NumericTableTextDecimalSmall">
    <w:name w:val="Numeric Table Text Decimal Small"/>
    <w:basedOn w:val="NumericTableTextDecimalNormal"/>
    <w:rsid w:val="003A1A33"/>
    <w:rPr>
      <w:sz w:val="16"/>
      <w:szCs w:val="16"/>
    </w:rPr>
  </w:style>
  <w:style w:type="paragraph" w:customStyle="1" w:styleId="Heading2Nospacing">
    <w:name w:val="Heading 2 No spacing"/>
    <w:basedOn w:val="Heading2"/>
    <w:rsid w:val="00701EA9"/>
    <w:pPr>
      <w:spacing w:line="0" w:lineRule="atLeast"/>
    </w:pPr>
  </w:style>
  <w:style w:type="paragraph" w:customStyle="1" w:styleId="TableNumberedList1">
    <w:name w:val="Table Numbered List 1"/>
    <w:basedOn w:val="TableTextNormal"/>
    <w:rsid w:val="003A1A33"/>
    <w:pPr>
      <w:numPr>
        <w:numId w:val="17"/>
      </w:numPr>
    </w:pPr>
  </w:style>
  <w:style w:type="paragraph" w:customStyle="1" w:styleId="TableNumberedList2">
    <w:name w:val="Table Numbered List 2"/>
    <w:basedOn w:val="TableNumberedList1"/>
    <w:rsid w:val="003A1A33"/>
    <w:pPr>
      <w:numPr>
        <w:ilvl w:val="1"/>
      </w:numPr>
      <w:spacing w:before="40" w:after="40"/>
    </w:pPr>
  </w:style>
  <w:style w:type="paragraph" w:customStyle="1" w:styleId="TableNumberedList3">
    <w:name w:val="Table Numbered List 3"/>
    <w:basedOn w:val="TableNumberedList2"/>
    <w:rsid w:val="003A1A33"/>
    <w:pPr>
      <w:numPr>
        <w:ilvl w:val="2"/>
      </w:numPr>
    </w:pPr>
  </w:style>
  <w:style w:type="paragraph" w:customStyle="1" w:styleId="TableNumberedListSmall1">
    <w:name w:val="Table Numbered List Small 1"/>
    <w:basedOn w:val="TableTextSmall"/>
    <w:rsid w:val="003A1A33"/>
    <w:pPr>
      <w:numPr>
        <w:numId w:val="18"/>
      </w:numPr>
    </w:pPr>
  </w:style>
  <w:style w:type="paragraph" w:customStyle="1" w:styleId="TableNumberedListSmall2">
    <w:name w:val="Table Numbered List Small 2"/>
    <w:basedOn w:val="TableNumberedListSmall1"/>
    <w:rsid w:val="003A1A33"/>
    <w:pPr>
      <w:numPr>
        <w:ilvl w:val="1"/>
      </w:numPr>
    </w:pPr>
    <w:rPr>
      <w:szCs w:val="21"/>
    </w:rPr>
  </w:style>
  <w:style w:type="paragraph" w:customStyle="1" w:styleId="TableNumberedListSmall3">
    <w:name w:val="Table Numbered List Small 3"/>
    <w:basedOn w:val="TableNumberedListSmall2"/>
    <w:rsid w:val="003A1A33"/>
    <w:pPr>
      <w:numPr>
        <w:ilvl w:val="2"/>
      </w:numPr>
    </w:pPr>
  </w:style>
  <w:style w:type="numbering" w:customStyle="1" w:styleId="ListNumberList">
    <w:name w:val="List Number List"/>
    <w:uiPriority w:val="99"/>
    <w:rsid w:val="003A1A33"/>
    <w:pPr>
      <w:numPr>
        <w:numId w:val="19"/>
      </w:numPr>
    </w:pPr>
  </w:style>
  <w:style w:type="numbering" w:styleId="111111">
    <w:name w:val="Outline List 2"/>
    <w:basedOn w:val="NoList"/>
    <w:rsid w:val="003A1A33"/>
    <w:pPr>
      <w:numPr>
        <w:numId w:val="20"/>
      </w:numPr>
    </w:pPr>
  </w:style>
  <w:style w:type="numbering" w:styleId="1ai">
    <w:name w:val="Outline List 1"/>
    <w:basedOn w:val="NoList"/>
    <w:rsid w:val="003A1A33"/>
    <w:pPr>
      <w:numPr>
        <w:numId w:val="21"/>
      </w:numPr>
    </w:pPr>
  </w:style>
  <w:style w:type="numbering" w:styleId="ArticleSection">
    <w:name w:val="Outline List 3"/>
    <w:basedOn w:val="NoList"/>
    <w:rsid w:val="003A1A33"/>
    <w:pPr>
      <w:numPr>
        <w:numId w:val="22"/>
      </w:numPr>
    </w:pPr>
  </w:style>
  <w:style w:type="paragraph" w:customStyle="1" w:styleId="AppendixPanelFrame">
    <w:name w:val="Appendix Panel Frame"/>
    <w:basedOn w:val="FirstPagePanelFrame"/>
    <w:qFormat/>
    <w:rsid w:val="00924BB2"/>
    <w:pPr>
      <w:framePr w:wrap="notBeside"/>
      <w:pBdr>
        <w:top w:val="single" w:sz="6" w:space="1" w:color="DC6900" w:themeColor="accent1"/>
        <w:left w:val="single" w:sz="6" w:space="4" w:color="DC6900" w:themeColor="accent1"/>
      </w:pBdr>
    </w:pPr>
    <w:rPr>
      <w:i w:val="0"/>
    </w:rPr>
  </w:style>
  <w:style w:type="paragraph" w:customStyle="1" w:styleId="BlockBulletBurgandy">
    <w:name w:val="Block Bullet Burgandy"/>
    <w:basedOn w:val="BlockText2Position"/>
    <w:qFormat/>
    <w:rsid w:val="00F04AC1"/>
    <w:pPr>
      <w:widowControl w:val="0"/>
      <w:numPr>
        <w:numId w:val="23"/>
      </w:numPr>
      <w:pBdr>
        <w:top w:val="dotted" w:sz="8" w:space="5" w:color="FFB600" w:themeColor="accent2"/>
        <w:left w:val="dotted" w:sz="8" w:space="5" w:color="FFB600" w:themeColor="accent2"/>
        <w:bottom w:val="dotted" w:sz="8" w:space="5" w:color="FFB600" w:themeColor="accent2"/>
        <w:right w:val="dotted" w:sz="8" w:space="5" w:color="FFB600" w:themeColor="accent2"/>
      </w:pBdr>
      <w:shd w:val="clear" w:color="auto" w:fill="auto"/>
      <w:spacing w:after="80"/>
      <w:ind w:right="0"/>
      <w:textAlignment w:val="baseline"/>
    </w:pPr>
    <w:rPr>
      <w:color w:val="FFB600" w:themeColor="accent2"/>
      <w:sz w:val="18"/>
    </w:rPr>
  </w:style>
  <w:style w:type="paragraph" w:customStyle="1" w:styleId="BlockBulletGrey">
    <w:name w:val="Block Bullet Grey"/>
    <w:basedOn w:val="BlockBulletBurgandy"/>
    <w:qFormat/>
    <w:rsid w:val="00F04AC1"/>
    <w:pPr>
      <w:numPr>
        <w:numId w:val="24"/>
      </w:numPr>
      <w:pBdr>
        <w:top w:val="dotted" w:sz="8" w:space="5" w:color="DC6900" w:themeColor="accent1"/>
        <w:left w:val="dotted" w:sz="8" w:space="5" w:color="DC6900" w:themeColor="accent1"/>
        <w:bottom w:val="dotted" w:sz="8" w:space="5" w:color="DC6900" w:themeColor="accent1"/>
        <w:right w:val="dotted" w:sz="8" w:space="5" w:color="DC6900" w:themeColor="accent1"/>
      </w:pBdr>
    </w:pPr>
    <w:rPr>
      <w:color w:val="DC6900" w:themeColor="accent1"/>
    </w:rPr>
  </w:style>
  <w:style w:type="paragraph" w:customStyle="1" w:styleId="BlockBulletOrange">
    <w:name w:val="Block Bullet Orange"/>
    <w:basedOn w:val="BlockBulletBurgandy"/>
    <w:qFormat/>
    <w:rsid w:val="00F04AC1"/>
    <w:pPr>
      <w:numPr>
        <w:numId w:val="25"/>
      </w:numPr>
      <w:pBdr>
        <w:top w:val="dotted" w:sz="8" w:space="5" w:color="DC6900" w:themeColor="text2"/>
        <w:left w:val="dotted" w:sz="8" w:space="5" w:color="DC6900" w:themeColor="text2"/>
        <w:bottom w:val="dotted" w:sz="8" w:space="5" w:color="DC6900" w:themeColor="text2"/>
        <w:right w:val="dotted" w:sz="8" w:space="5" w:color="DC6900" w:themeColor="text2"/>
      </w:pBdr>
    </w:pPr>
    <w:rPr>
      <w:color w:val="DC6900" w:themeColor="text2"/>
    </w:rPr>
  </w:style>
  <w:style w:type="paragraph" w:customStyle="1" w:styleId="BlockText2Burgandy">
    <w:name w:val="Block Text 2 Burgandy"/>
    <w:basedOn w:val="BlockBulletBurgandy"/>
    <w:rsid w:val="00F04AC1"/>
    <w:pPr>
      <w:numPr>
        <w:numId w:val="0"/>
      </w:numPr>
    </w:pPr>
    <w:rPr>
      <w:rFonts w:cs="Times New Roman"/>
    </w:rPr>
  </w:style>
  <w:style w:type="paragraph" w:customStyle="1" w:styleId="Blockquote">
    <w:name w:val="Block quote"/>
    <w:basedOn w:val="BlockText2Burgandy"/>
    <w:qFormat/>
    <w:rsid w:val="00F04AC1"/>
    <w:pPr>
      <w:pBdr>
        <w:top w:val="single" w:sz="4" w:space="5" w:color="FFB600" w:themeColor="accent2"/>
        <w:left w:val="single" w:sz="4" w:space="5" w:color="FFB600" w:themeColor="accent2"/>
        <w:bottom w:val="single" w:sz="4" w:space="5" w:color="FFB600" w:themeColor="accent2"/>
        <w:right w:val="single" w:sz="4" w:space="5" w:color="FFB600" w:themeColor="accent2"/>
      </w:pBdr>
      <w:shd w:val="clear" w:color="auto" w:fill="FFB600" w:themeFill="accent2"/>
      <w:spacing w:after="40"/>
    </w:pPr>
    <w:rPr>
      <w:color w:val="FFFFFF" w:themeColor="background1"/>
    </w:rPr>
  </w:style>
  <w:style w:type="paragraph" w:customStyle="1" w:styleId="BlockQuoteBullet">
    <w:name w:val="Block Quote Bullet"/>
    <w:basedOn w:val="BlockBulletBurgandy"/>
    <w:qFormat/>
    <w:rsid w:val="00F04AC1"/>
    <w:pPr>
      <w:numPr>
        <w:numId w:val="26"/>
      </w:numPr>
      <w:pBdr>
        <w:top w:val="single" w:sz="4" w:space="5" w:color="FFB600" w:themeColor="accent2"/>
        <w:left w:val="single" w:sz="4" w:space="5" w:color="FFB600" w:themeColor="accent2"/>
        <w:bottom w:val="single" w:sz="4" w:space="5" w:color="FFB600" w:themeColor="accent2"/>
        <w:right w:val="single" w:sz="4" w:space="5" w:color="FFB600" w:themeColor="accent2"/>
      </w:pBdr>
      <w:shd w:val="clear" w:color="auto" w:fill="FFB600" w:themeFill="accent2"/>
      <w:spacing w:after="20"/>
    </w:pPr>
    <w:rPr>
      <w:color w:val="FFFFFF" w:themeColor="background1"/>
    </w:rPr>
  </w:style>
  <w:style w:type="paragraph" w:customStyle="1" w:styleId="BlockQuoteheading">
    <w:name w:val="Block Quote heading"/>
    <w:basedOn w:val="Blockquote"/>
    <w:qFormat/>
    <w:rsid w:val="00F04AC1"/>
    <w:rPr>
      <w:b/>
      <w:i/>
    </w:rPr>
  </w:style>
  <w:style w:type="paragraph" w:customStyle="1" w:styleId="BlockText2Grey">
    <w:name w:val="Block Text 2 Grey"/>
    <w:basedOn w:val="BlockText2Burgandy"/>
    <w:qFormat/>
    <w:rsid w:val="00F04AC1"/>
    <w:pPr>
      <w:pBdr>
        <w:top w:val="dotted" w:sz="8" w:space="5" w:color="DC6900" w:themeColor="accent1"/>
        <w:left w:val="dotted" w:sz="8" w:space="5" w:color="DC6900" w:themeColor="accent1"/>
        <w:bottom w:val="dotted" w:sz="8" w:space="5" w:color="DC6900" w:themeColor="accent1"/>
        <w:right w:val="dotted" w:sz="8" w:space="5" w:color="DC6900" w:themeColor="accent1"/>
      </w:pBdr>
    </w:pPr>
    <w:rPr>
      <w:color w:val="DC6900" w:themeColor="accent1"/>
    </w:rPr>
  </w:style>
  <w:style w:type="paragraph" w:customStyle="1" w:styleId="BlockQuoteOrange">
    <w:name w:val="Block Quote Orange"/>
    <w:basedOn w:val="BlockText2Grey"/>
    <w:qFormat/>
    <w:rsid w:val="00F04AC1"/>
    <w:pPr>
      <w:pBdr>
        <w:top w:val="single" w:sz="8" w:space="5" w:color="DC6900" w:themeColor="text2"/>
        <w:left w:val="single" w:sz="8" w:space="5" w:color="DC6900" w:themeColor="text2"/>
        <w:bottom w:val="single" w:sz="8" w:space="5" w:color="DC6900" w:themeColor="text2"/>
        <w:right w:val="single" w:sz="8" w:space="5" w:color="DC6900" w:themeColor="text2"/>
      </w:pBdr>
      <w:shd w:val="clear" w:color="auto" w:fill="DC6900" w:themeFill="text2"/>
    </w:pPr>
    <w:rPr>
      <w:i/>
      <w:color w:val="FFFFFF" w:themeColor="background1"/>
    </w:rPr>
  </w:style>
  <w:style w:type="paragraph" w:customStyle="1" w:styleId="BlockQuoteNameOrange">
    <w:name w:val="Block Quote Name Orange"/>
    <w:basedOn w:val="BlockQuoteOrange"/>
    <w:qFormat/>
    <w:rsid w:val="00F04AC1"/>
    <w:rPr>
      <w:i w:val="0"/>
    </w:rPr>
  </w:style>
  <w:style w:type="paragraph" w:customStyle="1" w:styleId="BlockText2HeadingRose">
    <w:name w:val="Block Text 2 Heading Rose"/>
    <w:basedOn w:val="BlockBulletBurgandy"/>
    <w:rsid w:val="00F04AC1"/>
    <w:pPr>
      <w:numPr>
        <w:numId w:val="0"/>
      </w:numPr>
    </w:pPr>
    <w:rPr>
      <w:rFonts w:eastAsia="Times New Roman" w:cs="Times New Roman"/>
      <w:b/>
      <w:bCs/>
      <w:i/>
      <w:iCs/>
    </w:rPr>
  </w:style>
  <w:style w:type="paragraph" w:customStyle="1" w:styleId="BlockText2HeadingOrange">
    <w:name w:val="Block Text 2 Heading Orange"/>
    <w:basedOn w:val="BlockText2HeadingRose"/>
    <w:qFormat/>
    <w:rsid w:val="00F04AC1"/>
    <w:pPr>
      <w:keepNext/>
      <w:pBdr>
        <w:top w:val="dotted" w:sz="8" w:space="5" w:color="DC6900" w:themeColor="text2"/>
        <w:left w:val="dotted" w:sz="8" w:space="5" w:color="DC6900" w:themeColor="text2"/>
        <w:bottom w:val="dotted" w:sz="8" w:space="5" w:color="DC6900" w:themeColor="text2"/>
        <w:right w:val="dotted" w:sz="8" w:space="5" w:color="DC6900" w:themeColor="text2"/>
      </w:pBdr>
    </w:pPr>
    <w:rPr>
      <w:color w:val="DC6900" w:themeColor="text2"/>
    </w:rPr>
  </w:style>
  <w:style w:type="paragraph" w:customStyle="1" w:styleId="BlockText2Orange">
    <w:name w:val="Block Text 2 Orange"/>
    <w:basedOn w:val="BlockText2Burgandy"/>
    <w:qFormat/>
    <w:rsid w:val="00F04AC1"/>
    <w:pPr>
      <w:pBdr>
        <w:top w:val="dotted" w:sz="8" w:space="5" w:color="DC6900" w:themeColor="text2"/>
        <w:left w:val="dotted" w:sz="8" w:space="5" w:color="DC6900" w:themeColor="text2"/>
        <w:bottom w:val="dotted" w:sz="8" w:space="5" w:color="DC6900" w:themeColor="text2"/>
        <w:right w:val="dotted" w:sz="8" w:space="5" w:color="DC6900" w:themeColor="text2"/>
      </w:pBdr>
    </w:pPr>
    <w:rPr>
      <w:color w:val="DC6900" w:themeColor="text2"/>
    </w:rPr>
  </w:style>
  <w:style w:type="paragraph" w:customStyle="1" w:styleId="BlockTextToB">
    <w:name w:val="Block Text ToB"/>
    <w:basedOn w:val="BlockText2Burgandy"/>
    <w:qFormat/>
    <w:rsid w:val="00F04AC1"/>
    <w:pPr>
      <w:spacing w:after="20"/>
    </w:pPr>
  </w:style>
  <w:style w:type="paragraph" w:customStyle="1" w:styleId="BodySingle">
    <w:name w:val="Body Single"/>
    <w:basedOn w:val="BodyText"/>
    <w:uiPriority w:val="1"/>
    <w:qFormat/>
    <w:rsid w:val="00F04AC1"/>
    <w:pPr>
      <w:kinsoku/>
      <w:overflowPunct/>
      <w:autoSpaceDE/>
      <w:autoSpaceDN/>
      <w:adjustRightInd/>
      <w:snapToGrid/>
      <w:spacing w:after="0" w:line="240" w:lineRule="atLeast"/>
    </w:pPr>
    <w:rPr>
      <w:rFonts w:eastAsiaTheme="minorHAnsi" w:cstheme="minorBidi"/>
      <w:snapToGrid/>
      <w:lang w:val="en-GB"/>
    </w:rPr>
  </w:style>
  <w:style w:type="paragraph" w:customStyle="1" w:styleId="Bullet1-grey">
    <w:name w:val="Bullet 1 - grey"/>
    <w:basedOn w:val="Bullet1"/>
    <w:qFormat/>
    <w:rsid w:val="00F04AC1"/>
    <w:pPr>
      <w:numPr>
        <w:numId w:val="27"/>
      </w:numPr>
    </w:pPr>
    <w:rPr>
      <w:color w:val="DC6900" w:themeColor="accent1"/>
      <w:sz w:val="18"/>
    </w:rPr>
  </w:style>
  <w:style w:type="paragraph" w:customStyle="1" w:styleId="Bullet2-grey">
    <w:name w:val="Bullet 2 - grey"/>
    <w:basedOn w:val="Bullet2"/>
    <w:qFormat/>
    <w:rsid w:val="00F04AC1"/>
    <w:pPr>
      <w:numPr>
        <w:ilvl w:val="0"/>
        <w:numId w:val="28"/>
      </w:numPr>
    </w:pPr>
    <w:rPr>
      <w:color w:val="DC6900" w:themeColor="accent1"/>
      <w:sz w:val="18"/>
    </w:rPr>
  </w:style>
  <w:style w:type="paragraph" w:customStyle="1" w:styleId="Chapternumberlist1-grey">
    <w:name w:val="Chapter number list 1 - grey"/>
    <w:basedOn w:val="ChapterNumberedList1"/>
    <w:qFormat/>
    <w:rsid w:val="00F04AC1"/>
    <w:pPr>
      <w:numPr>
        <w:ilvl w:val="0"/>
        <w:numId w:val="0"/>
      </w:numPr>
      <w:spacing w:after="180"/>
    </w:pPr>
    <w:rPr>
      <w:color w:val="DC6900" w:themeColor="accent1"/>
      <w:sz w:val="18"/>
    </w:rPr>
  </w:style>
  <w:style w:type="paragraph" w:customStyle="1" w:styleId="ChapterNumberedlista-grey">
    <w:name w:val="Chapter Numbered list a - grey"/>
    <w:basedOn w:val="ChapterNumberedList2"/>
    <w:qFormat/>
    <w:rsid w:val="00F04AC1"/>
    <w:pPr>
      <w:numPr>
        <w:ilvl w:val="0"/>
        <w:numId w:val="29"/>
      </w:numPr>
      <w:spacing w:after="180"/>
    </w:pPr>
    <w:rPr>
      <w:color w:val="DC6900" w:themeColor="accent1"/>
      <w:sz w:val="18"/>
    </w:rPr>
  </w:style>
  <w:style w:type="paragraph" w:customStyle="1" w:styleId="Listnumberheading">
    <w:name w:val="List number heading"/>
    <w:basedOn w:val="ListNumber"/>
    <w:qFormat/>
    <w:rsid w:val="00F04AC1"/>
    <w:pPr>
      <w:numPr>
        <w:numId w:val="0"/>
      </w:numPr>
      <w:tabs>
        <w:tab w:val="num" w:pos="567"/>
      </w:tabs>
      <w:ind w:left="567" w:hanging="567"/>
      <w:contextualSpacing w:val="0"/>
    </w:pPr>
    <w:rPr>
      <w:b/>
      <w:i/>
      <w:color w:val="DC6900" w:themeColor="text2"/>
      <w:sz w:val="28"/>
    </w:rPr>
  </w:style>
  <w:style w:type="paragraph" w:customStyle="1" w:styleId="MajorheadingAppendix">
    <w:name w:val="Major heading Appendix"/>
    <w:basedOn w:val="Majorheading"/>
    <w:next w:val="PwCNormal"/>
    <w:qFormat/>
    <w:rsid w:val="00F04AC1"/>
    <w:rPr>
      <w:color w:val="FFB600" w:themeColor="accent2"/>
    </w:rPr>
  </w:style>
  <w:style w:type="numbering" w:customStyle="1" w:styleId="PwCListBullets1">
    <w:name w:val="PwC List Bullets 1"/>
    <w:uiPriority w:val="99"/>
    <w:rsid w:val="00F04AC1"/>
  </w:style>
  <w:style w:type="paragraph" w:customStyle="1" w:styleId="PwCnormal-grey">
    <w:name w:val="PwC normal - grey"/>
    <w:basedOn w:val="PwCNormal"/>
    <w:qFormat/>
    <w:rsid w:val="00F04AC1"/>
    <w:pPr>
      <w:numPr>
        <w:numId w:val="0"/>
      </w:numPr>
      <w:spacing w:after="180"/>
    </w:pPr>
    <w:rPr>
      <w:color w:val="DC6900" w:themeColor="accent1"/>
      <w:sz w:val="18"/>
    </w:rPr>
  </w:style>
  <w:style w:type="paragraph" w:customStyle="1" w:styleId="PwCNormal-greysingle">
    <w:name w:val="PwC Normal - grey single"/>
    <w:basedOn w:val="PwCNormal-Single"/>
    <w:qFormat/>
    <w:rsid w:val="00F04AC1"/>
    <w:rPr>
      <w:color w:val="DC6900" w:themeColor="accent1"/>
      <w:sz w:val="18"/>
    </w:rPr>
  </w:style>
  <w:style w:type="paragraph" w:customStyle="1" w:styleId="PwCNormalPostbullet">
    <w:name w:val="PwC Normal (Post bullet)"/>
    <w:basedOn w:val="PwCNormal"/>
    <w:qFormat/>
    <w:rsid w:val="00F04AC1"/>
    <w:pPr>
      <w:numPr>
        <w:numId w:val="0"/>
      </w:numPr>
      <w:spacing w:before="180" w:after="180"/>
    </w:pPr>
    <w:rPr>
      <w:sz w:val="18"/>
    </w:rPr>
  </w:style>
  <w:style w:type="paragraph" w:customStyle="1" w:styleId="PwCNormalPrebullet">
    <w:name w:val="PwC Normal (Pre bullet)"/>
    <w:basedOn w:val="PwCNormal"/>
    <w:qFormat/>
    <w:rsid w:val="00F04AC1"/>
    <w:pPr>
      <w:numPr>
        <w:numId w:val="0"/>
      </w:numPr>
      <w:spacing w:after="120"/>
    </w:pPr>
    <w:rPr>
      <w:sz w:val="18"/>
    </w:rPr>
  </w:style>
  <w:style w:type="paragraph" w:customStyle="1" w:styleId="Tablerowheading">
    <w:name w:val="Table row heading"/>
    <w:basedOn w:val="TableColumnHeadingNormal"/>
    <w:qFormat/>
    <w:rsid w:val="00F04AC1"/>
    <w:pPr>
      <w:spacing w:before="60" w:after="60"/>
    </w:pPr>
    <w:rPr>
      <w:b w:val="0"/>
      <w:sz w:val="16"/>
    </w:rPr>
  </w:style>
  <w:style w:type="paragraph" w:customStyle="1" w:styleId="Tablerowheadingsmall">
    <w:name w:val="Table row heading small"/>
    <w:basedOn w:val="Tablerowheading"/>
    <w:qFormat/>
    <w:rsid w:val="00F04AC1"/>
    <w:rPr>
      <w:color w:val="DC6900" w:themeColor="accent1"/>
    </w:rPr>
  </w:style>
  <w:style w:type="paragraph" w:customStyle="1" w:styleId="TheirBullet2">
    <w:name w:val="Their Bullet 2"/>
    <w:basedOn w:val="TheirBullet1"/>
    <w:qFormat/>
    <w:rsid w:val="00F04AC1"/>
    <w:pPr>
      <w:numPr>
        <w:ilvl w:val="1"/>
        <w:numId w:val="30"/>
      </w:numPr>
    </w:pPr>
    <w:rPr>
      <w:sz w:val="18"/>
    </w:rPr>
  </w:style>
  <w:style w:type="numbering" w:customStyle="1" w:styleId="Bullets">
    <w:name w:val="Bullets"/>
    <w:uiPriority w:val="99"/>
    <w:rsid w:val="003A1A33"/>
    <w:pPr>
      <w:numPr>
        <w:numId w:val="34"/>
      </w:numPr>
    </w:pPr>
  </w:style>
  <w:style w:type="paragraph" w:customStyle="1" w:styleId="FirstPagePanelFrame-Contents">
    <w:name w:val="First Page Panel Frame - Contents"/>
    <w:basedOn w:val="FirstPagePanelFrame"/>
    <w:rsid w:val="003A1A33"/>
    <w:pPr>
      <w:framePr w:w="7427" w:wrap="notBeside"/>
    </w:pPr>
  </w:style>
  <w:style w:type="numbering" w:customStyle="1" w:styleId="ChapterNumberingList">
    <w:name w:val="Chapter Numbering List"/>
    <w:uiPriority w:val="99"/>
    <w:rsid w:val="003A1A33"/>
    <w:pPr>
      <w:numPr>
        <w:numId w:val="36"/>
      </w:numPr>
    </w:pPr>
  </w:style>
  <w:style w:type="table" w:customStyle="1" w:styleId="Tables-APLines">
    <w:name w:val="Tables - AP Lines"/>
    <w:basedOn w:val="TableNormal"/>
    <w:rsid w:val="001B4053"/>
    <w:tblPr>
      <w:tblStyleRowBandSize w:val="1"/>
      <w:tblStyleColBandSize w:val="1"/>
      <w:tblInd w:w="0" w:type="dxa"/>
      <w:tblBorders>
        <w:insideH w:val="single" w:sz="4" w:space="0" w:color="DC6900" w:themeColor="text2"/>
        <w:insideV w:val="single" w:sz="4" w:space="0" w:color="DC6900" w:themeColor="text2"/>
      </w:tblBorders>
      <w:tblCellMar>
        <w:top w:w="0" w:type="dxa"/>
        <w:left w:w="108" w:type="dxa"/>
        <w:bottom w:w="0" w:type="dxa"/>
        <w:right w:w="108" w:type="dxa"/>
      </w:tblCellMar>
    </w:tblPr>
    <w:tcPr>
      <w:shd w:val="clear" w:color="auto" w:fill="auto"/>
    </w:tcPr>
    <w:tblStylePr w:type="firstRow">
      <w:pPr>
        <w:jc w:val="center"/>
      </w:pPr>
      <w:rPr>
        <w:rFonts w:asciiTheme="minorHAnsi" w:hAnsiTheme="minorHAnsi"/>
        <w:color w:val="auto"/>
      </w:rPr>
      <w:tblPr/>
      <w:tcPr>
        <w:vAlign w:val="bottom"/>
      </w:tcPr>
    </w:tblStylePr>
    <w:tblStylePr w:type="lastRow">
      <w:rPr>
        <w:color w:val="FFFFFF" w:themeColor="background1"/>
      </w:rPr>
    </w:tblStylePr>
    <w:tblStylePr w:type="nwCell">
      <w:pPr>
        <w:jc w:val="left"/>
      </w:pPr>
      <w:tblPr/>
      <w:tcPr>
        <w:vAlign w:val="bottom"/>
      </w:tcPr>
    </w:tblStylePr>
  </w:style>
  <w:style w:type="character" w:customStyle="1" w:styleId="CVTextChar">
    <w:name w:val="CV Text Char"/>
    <w:basedOn w:val="DefaultParagraphFont"/>
    <w:link w:val="CVText"/>
    <w:locked/>
    <w:rsid w:val="001B4053"/>
    <w:rPr>
      <w:rFonts w:ascii="Georgia" w:hAnsi="Georgia" w:cs="Arial"/>
      <w:snapToGrid w:val="0"/>
      <w:sz w:val="20"/>
      <w:szCs w:val="20"/>
      <w:lang w:eastAsia="en-US"/>
    </w:rPr>
  </w:style>
  <w:style w:type="character" w:customStyle="1" w:styleId="CVDetailsChar">
    <w:name w:val="CV Details Char"/>
    <w:basedOn w:val="CVTextChar"/>
    <w:link w:val="CVDetails"/>
    <w:locked/>
    <w:rsid w:val="001B4053"/>
    <w:rPr>
      <w:rFonts w:ascii="Georgia" w:hAnsi="Georgia" w:cs="Arial"/>
      <w:i/>
      <w:snapToGrid w:val="0"/>
      <w:color w:val="DC6900" w:themeColor="text2"/>
      <w:sz w:val="14"/>
      <w:szCs w:val="24"/>
      <w:lang w:eastAsia="en-US"/>
    </w:rPr>
  </w:style>
  <w:style w:type="character" w:customStyle="1" w:styleId="CVHeading1Char">
    <w:name w:val="CV Heading 1 Char"/>
    <w:basedOn w:val="DefaultParagraphFont"/>
    <w:link w:val="CVHeading1"/>
    <w:locked/>
    <w:rsid w:val="001B4053"/>
    <w:rPr>
      <w:rFonts w:ascii="Georgia" w:hAnsi="Georgia" w:cs="Arial"/>
      <w:b/>
      <w:i/>
      <w:snapToGrid w:val="0"/>
      <w:color w:val="DC6900" w:themeColor="text2"/>
      <w:sz w:val="20"/>
      <w:szCs w:val="20"/>
      <w:lang w:eastAsia="en-US"/>
    </w:rPr>
  </w:style>
  <w:style w:type="character" w:customStyle="1" w:styleId="PwCNormal-SingleChar">
    <w:name w:val="PwC Normal - Single Char"/>
    <w:basedOn w:val="DefaultParagraphFont"/>
    <w:link w:val="PwCNormal-Single"/>
    <w:rsid w:val="001B4053"/>
    <w:rPr>
      <w:rFonts w:ascii="Georgia" w:hAnsi="Georgia" w:cs="Arial"/>
      <w:snapToGrid w:val="0"/>
      <w:sz w:val="20"/>
      <w:szCs w:val="20"/>
      <w:lang w:eastAsia="en-US"/>
    </w:rPr>
  </w:style>
  <w:style w:type="table" w:customStyle="1" w:styleId="Tables-APLines1">
    <w:name w:val="Tables - AP Lines1"/>
    <w:basedOn w:val="TableNormal"/>
    <w:rsid w:val="001B4053"/>
    <w:tblPr>
      <w:tblStyleRowBandSize w:val="1"/>
      <w:tblStyleColBandSize w:val="1"/>
      <w:tblInd w:w="0" w:type="dxa"/>
      <w:tblBorders>
        <w:insideH w:val="single" w:sz="4" w:space="0" w:color="A32020"/>
        <w:insideV w:val="single" w:sz="4" w:space="0" w:color="A32020"/>
      </w:tblBorders>
      <w:tblCellMar>
        <w:top w:w="0" w:type="dxa"/>
        <w:left w:w="108" w:type="dxa"/>
        <w:bottom w:w="0" w:type="dxa"/>
        <w:right w:w="108" w:type="dxa"/>
      </w:tblCellMar>
    </w:tblPr>
    <w:tcPr>
      <w:shd w:val="clear" w:color="auto" w:fill="auto"/>
    </w:tcPr>
    <w:tblStylePr w:type="firstRow">
      <w:pPr>
        <w:jc w:val="center"/>
      </w:pPr>
      <w:rPr>
        <w:rFonts w:ascii="Georgia" w:hAnsi="Georgia"/>
        <w:color w:val="auto"/>
      </w:rPr>
      <w:tblPr/>
      <w:tcPr>
        <w:vAlign w:val="bottom"/>
      </w:tcPr>
    </w:tblStylePr>
    <w:tblStylePr w:type="lastRow">
      <w:rPr>
        <w:color w:val="FFFFFF"/>
      </w:rPr>
    </w:tblStylePr>
    <w:tblStylePr w:type="nwCell">
      <w:pPr>
        <w:jc w:val="left"/>
      </w:pPr>
      <w:tblPr/>
      <w:tcPr>
        <w:vAlign w:val="bottom"/>
      </w:tcPr>
    </w:tblStylePr>
  </w:style>
  <w:style w:type="paragraph" w:customStyle="1" w:styleId="CVphonedetails">
    <w:name w:val="CV phone details"/>
    <w:basedOn w:val="Normal"/>
    <w:qFormat/>
    <w:rsid w:val="00701EA9"/>
    <w:pPr>
      <w:pBdr>
        <w:bottom w:val="none" w:sz="0" w:space="0" w:color="00457C"/>
      </w:pBdr>
      <w:spacing w:after="40"/>
    </w:pPr>
    <w:rPr>
      <w:sz w:val="16"/>
      <w:szCs w:val="24"/>
      <w:lang w:val="en-GB"/>
    </w:rPr>
  </w:style>
  <w:style w:type="paragraph" w:customStyle="1" w:styleId="Tablecolumnheadingwhite">
    <w:name w:val="Table column heading white"/>
    <w:basedOn w:val="TableColumnHeadingNormal"/>
    <w:qFormat/>
    <w:rsid w:val="00701EA9"/>
  </w:style>
  <w:style w:type="paragraph" w:customStyle="1" w:styleId="TableTextNormalBold">
    <w:name w:val="Table Text Normal_Bold"/>
    <w:basedOn w:val="TableTextNormal"/>
    <w:qFormat/>
    <w:rsid w:val="004D0E6C"/>
    <w:rPr>
      <w:b/>
      <w:color w:val="DC6900" w:themeColor="text2"/>
    </w:rPr>
  </w:style>
  <w:style w:type="character" w:customStyle="1" w:styleId="FootnoteTextChar">
    <w:name w:val="Footnote Text Char"/>
    <w:basedOn w:val="DefaultParagraphFont"/>
    <w:link w:val="FootnoteText"/>
    <w:uiPriority w:val="99"/>
    <w:rsid w:val="002925CE"/>
    <w:rPr>
      <w:rFonts w:ascii="Georgia" w:hAnsi="Georgia" w:cs="Arial"/>
      <w:snapToGrid w:val="0"/>
      <w:sz w:val="14"/>
      <w:szCs w:val="20"/>
      <w:lang w:eastAsia="en-US"/>
    </w:rPr>
  </w:style>
  <w:style w:type="paragraph" w:customStyle="1" w:styleId="ExhibitHeading1">
    <w:name w:val="Exhibit Heading 1"/>
    <w:basedOn w:val="BodyText"/>
    <w:next w:val="ExhibitHeading2"/>
    <w:qFormat/>
    <w:rsid w:val="005E3796"/>
    <w:pPr>
      <w:keepNext/>
      <w:pageBreakBefore/>
      <w:numPr>
        <w:numId w:val="38"/>
      </w:numPr>
      <w:kinsoku/>
      <w:overflowPunct/>
      <w:autoSpaceDE/>
      <w:autoSpaceDN/>
      <w:adjustRightInd/>
      <w:snapToGrid/>
      <w:spacing w:after="480" w:line="0" w:lineRule="atLeast"/>
    </w:pPr>
    <w:rPr>
      <w:rFonts w:asciiTheme="minorHAnsi" w:eastAsiaTheme="minorEastAsia" w:hAnsiTheme="minorHAnsi" w:cstheme="minorBidi"/>
      <w:b/>
      <w:i/>
      <w:snapToGrid/>
      <w:sz w:val="48"/>
      <w:szCs w:val="22"/>
      <w:lang w:val="en-US"/>
    </w:rPr>
  </w:style>
  <w:style w:type="paragraph" w:customStyle="1" w:styleId="ExhibitHeading2">
    <w:name w:val="Exhibit Heading 2"/>
    <w:basedOn w:val="BodyText"/>
    <w:next w:val="BodyText"/>
    <w:qFormat/>
    <w:rsid w:val="005E3796"/>
    <w:pPr>
      <w:numPr>
        <w:ilvl w:val="1"/>
        <w:numId w:val="38"/>
      </w:numPr>
      <w:kinsoku/>
      <w:overflowPunct/>
      <w:autoSpaceDE/>
      <w:autoSpaceDN/>
      <w:adjustRightInd/>
      <w:snapToGrid/>
      <w:spacing w:after="200" w:line="276" w:lineRule="auto"/>
    </w:pPr>
    <w:rPr>
      <w:rFonts w:asciiTheme="minorHAnsi" w:eastAsiaTheme="minorEastAsia" w:hAnsiTheme="minorHAnsi" w:cstheme="minorBidi"/>
      <w:b/>
      <w:i/>
      <w:snapToGrid/>
      <w:color w:val="DC6900" w:themeColor="text2"/>
      <w:sz w:val="32"/>
      <w:szCs w:val="22"/>
      <w:lang w:val="en-US"/>
    </w:rPr>
  </w:style>
  <w:style w:type="paragraph" w:customStyle="1" w:styleId="ExhibitHeading3">
    <w:name w:val="Exhibit Heading 3"/>
    <w:basedOn w:val="Normal"/>
    <w:next w:val="BodyText"/>
    <w:qFormat/>
    <w:rsid w:val="005E3796"/>
    <w:pPr>
      <w:numPr>
        <w:ilvl w:val="2"/>
        <w:numId w:val="38"/>
      </w:numPr>
      <w:kinsoku/>
      <w:overflowPunct/>
      <w:autoSpaceDE/>
      <w:autoSpaceDN/>
      <w:adjustRightInd/>
      <w:snapToGrid/>
      <w:spacing w:after="200" w:line="276" w:lineRule="auto"/>
    </w:pPr>
    <w:rPr>
      <w:rFonts w:asciiTheme="minorHAnsi" w:eastAsiaTheme="minorEastAsia" w:hAnsiTheme="minorHAnsi" w:cstheme="minorBidi"/>
      <w:b/>
      <w:i/>
      <w:snapToGrid/>
      <w:color w:val="DC6900" w:themeColor="text2"/>
      <w:sz w:val="28"/>
      <w:szCs w:val="22"/>
      <w:lang w:val="en-US"/>
    </w:rPr>
  </w:style>
  <w:style w:type="paragraph" w:customStyle="1" w:styleId="ExhibitHeading4">
    <w:name w:val="Exhibit Heading 4"/>
    <w:basedOn w:val="ExhibitHeading3"/>
    <w:next w:val="BodyText"/>
    <w:qFormat/>
    <w:rsid w:val="005E3796"/>
    <w:pPr>
      <w:numPr>
        <w:ilvl w:val="3"/>
      </w:numPr>
    </w:pPr>
    <w:rPr>
      <w:b w:val="0"/>
    </w:rPr>
  </w:style>
  <w:style w:type="paragraph" w:customStyle="1" w:styleId="ExhibitHeading5">
    <w:name w:val="Exhibit Heading 5"/>
    <w:basedOn w:val="BodyText"/>
    <w:next w:val="BodyText"/>
    <w:qFormat/>
    <w:rsid w:val="005E3796"/>
    <w:pPr>
      <w:numPr>
        <w:ilvl w:val="4"/>
        <w:numId w:val="38"/>
      </w:numPr>
      <w:kinsoku/>
      <w:overflowPunct/>
      <w:autoSpaceDE/>
      <w:autoSpaceDN/>
      <w:adjustRightInd/>
      <w:snapToGrid/>
      <w:spacing w:after="200" w:line="276" w:lineRule="auto"/>
    </w:pPr>
    <w:rPr>
      <w:rFonts w:asciiTheme="minorHAnsi" w:eastAsiaTheme="minorEastAsia" w:hAnsiTheme="minorHAnsi" w:cstheme="minorBidi"/>
      <w:i/>
      <w:snapToGrid/>
      <w:color w:val="DC6900" w:themeColor="text2"/>
      <w:sz w:val="24"/>
      <w:szCs w:val="22"/>
      <w:lang w:val="en-US"/>
    </w:rPr>
  </w:style>
  <w:style w:type="paragraph" w:customStyle="1" w:styleId="PwCNormalItalics">
    <w:name w:val="PwC Normal_Italics"/>
    <w:basedOn w:val="PwCNormal"/>
    <w:qFormat/>
    <w:rsid w:val="000B11C1"/>
    <w:rPr>
      <w:i/>
      <w:color w:val="DC6900" w:themeColor="text2"/>
    </w:rPr>
  </w:style>
  <w:style w:type="paragraph" w:customStyle="1" w:styleId="Fi">
    <w:name w:val="Fi'"/>
    <w:basedOn w:val="Header"/>
    <w:qFormat/>
    <w:rsid w:val="00CE02DA"/>
  </w:style>
  <w:style w:type="paragraph" w:customStyle="1" w:styleId="Her">
    <w:name w:val="Her"/>
    <w:basedOn w:val="FirstPagePanelFrame"/>
    <w:qFormat/>
    <w:rsid w:val="00A104EF"/>
    <w:pPr>
      <w:framePr w:wrap="notBeside"/>
    </w:pPr>
  </w:style>
  <w:style w:type="paragraph" w:customStyle="1" w:styleId="Source">
    <w:name w:val="Source"/>
    <w:basedOn w:val="BodyText"/>
    <w:link w:val="SourceChar"/>
    <w:qFormat/>
    <w:rsid w:val="00D87CA8"/>
    <w:pPr>
      <w:kinsoku/>
      <w:overflowPunct/>
      <w:autoSpaceDE/>
      <w:autoSpaceDN/>
      <w:adjustRightInd/>
      <w:snapToGrid/>
      <w:spacing w:after="0" w:line="240" w:lineRule="atLeast"/>
    </w:pPr>
    <w:rPr>
      <w:rFonts w:eastAsiaTheme="minorEastAsia" w:cstheme="minorBidi"/>
      <w:i/>
      <w:snapToGrid/>
      <w:sz w:val="16"/>
      <w:szCs w:val="22"/>
      <w:lang w:val="en-US"/>
    </w:rPr>
  </w:style>
  <w:style w:type="character" w:customStyle="1" w:styleId="SourceChar">
    <w:name w:val="Source Char"/>
    <w:basedOn w:val="BodyTextChar"/>
    <w:link w:val="Source"/>
    <w:rsid w:val="00D87CA8"/>
    <w:rPr>
      <w:rFonts w:ascii="Georgia" w:eastAsiaTheme="minorEastAsia" w:hAnsi="Georgia" w:cstheme="minorBidi"/>
      <w:i/>
      <w:snapToGrid w:val="0"/>
      <w:sz w:val="16"/>
      <w:szCs w:val="22"/>
      <w:lang w:val="en-US" w:eastAsia="en-US"/>
    </w:rPr>
  </w:style>
  <w:style w:type="paragraph" w:customStyle="1" w:styleId="Bibliography1">
    <w:name w:val="Bibliography1"/>
    <w:basedOn w:val="Normal"/>
    <w:next w:val="Normal"/>
    <w:uiPriority w:val="37"/>
    <w:unhideWhenUsed/>
    <w:rsid w:val="00C133AF"/>
    <w:pPr>
      <w:kinsoku/>
      <w:overflowPunct/>
      <w:autoSpaceDE/>
      <w:autoSpaceDN/>
      <w:adjustRightInd/>
      <w:snapToGrid/>
      <w:spacing w:after="200" w:line="276" w:lineRule="auto"/>
    </w:pPr>
    <w:rPr>
      <w:rFonts w:eastAsia="MS Mincho" w:cs="Times New Roman"/>
      <w:snapToGrid/>
      <w:szCs w:val="22"/>
      <w:lang w:val="en-US"/>
    </w:rPr>
  </w:style>
  <w:style w:type="table" w:customStyle="1" w:styleId="PwCTableText">
    <w:name w:val="PwC Table Text"/>
    <w:basedOn w:val="TableNormal"/>
    <w:uiPriority w:val="99"/>
    <w:qFormat/>
    <w:rsid w:val="00767B1A"/>
    <w:pPr>
      <w:spacing w:before="60" w:after="60"/>
    </w:pPr>
    <w:rPr>
      <w:rFonts w:ascii="Georgia" w:eastAsiaTheme="minorEastAsia" w:hAnsi="Georgia" w:cstheme="minorBidi"/>
      <w:sz w:val="20"/>
      <w:szCs w:val="22"/>
      <w:lang w:val="en-US" w:eastAsia="en-US"/>
    </w:rPr>
    <w:tblPr>
      <w:tblInd w:w="0" w:type="dxa"/>
      <w:tblBorders>
        <w:insideH w:val="dotted" w:sz="6" w:space="0" w:color="DC6900" w:themeColor="accent1"/>
      </w:tblBorders>
      <w:tblCellMar>
        <w:top w:w="0" w:type="dxa"/>
        <w:left w:w="108" w:type="dxa"/>
        <w:bottom w:w="0" w:type="dxa"/>
        <w:right w:w="108" w:type="dxa"/>
      </w:tblCellMar>
    </w:tblPr>
    <w:tblStylePr w:type="firstRow">
      <w:rPr>
        <w:rFonts w:asciiTheme="majorHAnsi" w:hAnsiTheme="majorHAnsi"/>
        <w:b/>
        <w:color w:val="DC6900" w:themeColor="text2"/>
        <w:sz w:val="22"/>
      </w:rPr>
      <w:tblPr/>
      <w:tcPr>
        <w:tcBorders>
          <w:top w:val="single" w:sz="6" w:space="0" w:color="DC6900" w:themeColor="accent1"/>
          <w:left w:val="nil"/>
          <w:bottom w:val="single" w:sz="6" w:space="0" w:color="DC6900" w:themeColor="accent1"/>
          <w:right w:val="nil"/>
          <w:insideH w:val="nil"/>
          <w:insideV w:val="nil"/>
          <w:tl2br w:val="nil"/>
          <w:tr2bl w:val="nil"/>
        </w:tcBorders>
      </w:tcPr>
    </w:tblStylePr>
  </w:style>
  <w:style w:type="paragraph" w:customStyle="1" w:styleId="Pa21">
    <w:name w:val="Pa21"/>
    <w:basedOn w:val="Normal"/>
    <w:next w:val="Normal"/>
    <w:uiPriority w:val="99"/>
    <w:rsid w:val="00767B1A"/>
    <w:pPr>
      <w:kinsoku/>
      <w:overflowPunct/>
      <w:snapToGrid/>
      <w:spacing w:line="161" w:lineRule="atLeast"/>
    </w:pPr>
    <w:rPr>
      <w:rFonts w:ascii="Locator Light" w:eastAsia="MS Mincho" w:hAnsi="Locator Light" w:cs="Times New Roman"/>
      <w:snapToGrid/>
      <w:sz w:val="24"/>
      <w:szCs w:val="24"/>
    </w:rPr>
  </w:style>
  <w:style w:type="paragraph" w:customStyle="1" w:styleId="AppendixHeading1">
    <w:name w:val="Appendix Heading 1"/>
    <w:basedOn w:val="BodyText"/>
    <w:next w:val="AppendixHeading2"/>
    <w:qFormat/>
    <w:rsid w:val="00767B1A"/>
    <w:pPr>
      <w:keepNext/>
      <w:pageBreakBefore/>
      <w:numPr>
        <w:numId w:val="40"/>
      </w:numPr>
      <w:kinsoku/>
      <w:overflowPunct/>
      <w:autoSpaceDE/>
      <w:autoSpaceDN/>
      <w:adjustRightInd/>
      <w:snapToGrid/>
      <w:spacing w:after="480" w:line="0" w:lineRule="atLeast"/>
    </w:pPr>
    <w:rPr>
      <w:rFonts w:asciiTheme="majorHAnsi" w:eastAsiaTheme="minorEastAsia" w:hAnsiTheme="majorHAnsi" w:cstheme="minorBidi"/>
      <w:b/>
      <w:i/>
      <w:snapToGrid/>
      <w:sz w:val="48"/>
      <w:szCs w:val="22"/>
      <w:lang w:val="en-US"/>
    </w:rPr>
  </w:style>
  <w:style w:type="paragraph" w:customStyle="1" w:styleId="AppendixHeading2">
    <w:name w:val="Appendix Heading 2"/>
    <w:basedOn w:val="BodyText"/>
    <w:next w:val="BodyText"/>
    <w:qFormat/>
    <w:rsid w:val="00767B1A"/>
    <w:pPr>
      <w:numPr>
        <w:ilvl w:val="1"/>
        <w:numId w:val="40"/>
      </w:numPr>
      <w:kinsoku/>
      <w:overflowPunct/>
      <w:autoSpaceDE/>
      <w:autoSpaceDN/>
      <w:adjustRightInd/>
      <w:snapToGrid/>
      <w:spacing w:after="200" w:line="276" w:lineRule="auto"/>
    </w:pPr>
    <w:rPr>
      <w:rFonts w:asciiTheme="majorHAnsi" w:eastAsiaTheme="minorEastAsia" w:hAnsiTheme="majorHAnsi" w:cstheme="minorBidi"/>
      <w:b/>
      <w:i/>
      <w:snapToGrid/>
      <w:color w:val="DC6900" w:themeColor="text2"/>
      <w:sz w:val="32"/>
      <w:szCs w:val="22"/>
      <w:lang w:val="en-US"/>
    </w:rPr>
  </w:style>
  <w:style w:type="paragraph" w:customStyle="1" w:styleId="AppendixHeading3">
    <w:name w:val="Appendix Heading 3"/>
    <w:basedOn w:val="BodyText"/>
    <w:next w:val="BodyText"/>
    <w:qFormat/>
    <w:rsid w:val="00767B1A"/>
    <w:pPr>
      <w:numPr>
        <w:ilvl w:val="2"/>
        <w:numId w:val="40"/>
      </w:numPr>
      <w:kinsoku/>
      <w:overflowPunct/>
      <w:autoSpaceDE/>
      <w:autoSpaceDN/>
      <w:adjustRightInd/>
      <w:snapToGrid/>
      <w:spacing w:after="200" w:line="276" w:lineRule="auto"/>
    </w:pPr>
    <w:rPr>
      <w:rFonts w:asciiTheme="majorHAnsi" w:eastAsiaTheme="minorEastAsia" w:hAnsiTheme="majorHAnsi" w:cstheme="minorBidi"/>
      <w:b/>
      <w:i/>
      <w:snapToGrid/>
      <w:color w:val="DC6900" w:themeColor="text2"/>
      <w:sz w:val="28"/>
      <w:szCs w:val="22"/>
      <w:lang w:val="en-US"/>
    </w:rPr>
  </w:style>
  <w:style w:type="paragraph" w:customStyle="1" w:styleId="AppendixHeading4">
    <w:name w:val="Appendix Heading 4"/>
    <w:basedOn w:val="BodyText"/>
    <w:next w:val="BodyText"/>
    <w:qFormat/>
    <w:rsid w:val="00767B1A"/>
    <w:pPr>
      <w:numPr>
        <w:ilvl w:val="3"/>
        <w:numId w:val="40"/>
      </w:numPr>
      <w:kinsoku/>
      <w:overflowPunct/>
      <w:autoSpaceDE/>
      <w:autoSpaceDN/>
      <w:adjustRightInd/>
      <w:snapToGrid/>
      <w:spacing w:after="200" w:line="276" w:lineRule="auto"/>
    </w:pPr>
    <w:rPr>
      <w:rFonts w:asciiTheme="majorHAnsi" w:eastAsiaTheme="minorEastAsia" w:hAnsiTheme="majorHAnsi" w:cstheme="minorBidi"/>
      <w:i/>
      <w:snapToGrid/>
      <w:color w:val="DC6900" w:themeColor="text2"/>
      <w:sz w:val="28"/>
      <w:szCs w:val="22"/>
      <w:lang w:val="en-US"/>
    </w:rPr>
  </w:style>
  <w:style w:type="paragraph" w:customStyle="1" w:styleId="AppendixHeading5">
    <w:name w:val="Appendix Heading 5"/>
    <w:basedOn w:val="BodyText"/>
    <w:next w:val="BodyText"/>
    <w:qFormat/>
    <w:rsid w:val="00767B1A"/>
    <w:pPr>
      <w:numPr>
        <w:ilvl w:val="4"/>
        <w:numId w:val="40"/>
      </w:numPr>
      <w:kinsoku/>
      <w:overflowPunct/>
      <w:autoSpaceDE/>
      <w:autoSpaceDN/>
      <w:adjustRightInd/>
      <w:snapToGrid/>
      <w:spacing w:after="200" w:line="276" w:lineRule="auto"/>
    </w:pPr>
    <w:rPr>
      <w:rFonts w:asciiTheme="majorHAnsi" w:eastAsiaTheme="minorEastAsia" w:hAnsiTheme="majorHAnsi" w:cstheme="minorBidi"/>
      <w:i/>
      <w:snapToGrid/>
      <w:color w:val="DC6900" w:themeColor="text2"/>
      <w:sz w:val="24"/>
      <w:szCs w:val="22"/>
      <w:lang w:val="en-US"/>
    </w:rPr>
  </w:style>
  <w:style w:type="paragraph" w:customStyle="1" w:styleId="Souces">
    <w:name w:val="Souces"/>
    <w:basedOn w:val="Source"/>
    <w:qFormat/>
    <w:rsid w:val="00767B1A"/>
  </w:style>
  <w:style w:type="paragraph" w:customStyle="1" w:styleId="AppendixPanelFrameappendix">
    <w:name w:val="Appendix Panel Frame_appendix"/>
    <w:basedOn w:val="AppendixPanelFrame"/>
    <w:qFormat/>
    <w:rsid w:val="004E4460"/>
    <w:pPr>
      <w:framePr w:w="9181" w:wrap="notBeside"/>
      <w:pBdr>
        <w:top w:val="single" w:sz="6" w:space="1" w:color="968C6D"/>
        <w:left w:val="single" w:sz="6" w:space="4" w:color="968C6D"/>
      </w:pBdr>
    </w:pPr>
  </w:style>
</w:styles>
</file>

<file path=word/webSettings.xml><?xml version="1.0" encoding="utf-8"?>
<w:webSettings xmlns:r="http://schemas.openxmlformats.org/officeDocument/2006/relationships" xmlns:w="http://schemas.openxmlformats.org/wordprocessingml/2006/main">
  <w:divs>
    <w:div w:id="851341646">
      <w:bodyDiv w:val="1"/>
      <w:marLeft w:val="0"/>
      <w:marRight w:val="0"/>
      <w:marTop w:val="0"/>
      <w:marBottom w:val="0"/>
      <w:divBdr>
        <w:top w:val="none" w:sz="0" w:space="0" w:color="auto"/>
        <w:left w:val="none" w:sz="0" w:space="0" w:color="auto"/>
        <w:bottom w:val="none" w:sz="0" w:space="0" w:color="auto"/>
        <w:right w:val="none" w:sz="0" w:space="0" w:color="auto"/>
      </w:divBdr>
    </w:div>
    <w:div w:id="876162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117" Type="http://schemas.openxmlformats.org/officeDocument/2006/relationships/footer" Target="footer27.xml"/><Relationship Id="rId21" Type="http://schemas.openxmlformats.org/officeDocument/2006/relationships/footer" Target="footer4.xml"/><Relationship Id="rId42" Type="http://schemas.openxmlformats.org/officeDocument/2006/relationships/image" Target="media/image12.emf"/><Relationship Id="rId47" Type="http://schemas.openxmlformats.org/officeDocument/2006/relationships/header" Target="header16.xml"/><Relationship Id="rId63" Type="http://schemas.openxmlformats.org/officeDocument/2006/relationships/hyperlink" Target="http://www.cmo.on.ca/documents/CMOandColumbia-Rains_Article.pdf" TargetMode="External"/><Relationship Id="rId68" Type="http://schemas.openxmlformats.org/officeDocument/2006/relationships/hyperlink" Target="http://www.hiroc.com/About-Us/The-HIROC-Advantage.aspx" TargetMode="External"/><Relationship Id="rId84" Type="http://schemas.openxmlformats.org/officeDocument/2006/relationships/header" Target="header29.xml"/><Relationship Id="rId89" Type="http://schemas.openxmlformats.org/officeDocument/2006/relationships/header" Target="header33.xml"/><Relationship Id="rId112" Type="http://schemas.openxmlformats.org/officeDocument/2006/relationships/footer" Target="footer25.xml"/><Relationship Id="rId16" Type="http://schemas.openxmlformats.org/officeDocument/2006/relationships/header" Target="header6.xml"/><Relationship Id="rId107" Type="http://schemas.openxmlformats.org/officeDocument/2006/relationships/footer" Target="footer23.xml"/><Relationship Id="rId11" Type="http://schemas.openxmlformats.org/officeDocument/2006/relationships/header" Target="header3.xml"/><Relationship Id="rId32" Type="http://schemas.openxmlformats.org/officeDocument/2006/relationships/header" Target="header14.xml"/><Relationship Id="rId37" Type="http://schemas.openxmlformats.org/officeDocument/2006/relationships/image" Target="media/image7.emf"/><Relationship Id="rId53" Type="http://schemas.openxmlformats.org/officeDocument/2006/relationships/header" Target="header20.xml"/><Relationship Id="rId58" Type="http://schemas.openxmlformats.org/officeDocument/2006/relationships/header" Target="header22.xml"/><Relationship Id="rId74" Type="http://schemas.openxmlformats.org/officeDocument/2006/relationships/hyperlink" Target="http://www.ontariomidwives.ca/midwife/q-a" TargetMode="External"/><Relationship Id="rId79" Type="http://schemas.openxmlformats.org/officeDocument/2006/relationships/header" Target="header26.xml"/><Relationship Id="rId102" Type="http://schemas.openxmlformats.org/officeDocument/2006/relationships/image" Target="media/image17.emf"/><Relationship Id="rId5" Type="http://schemas.openxmlformats.org/officeDocument/2006/relationships/webSettings" Target="webSettings.xml"/><Relationship Id="rId61" Type="http://schemas.openxmlformats.org/officeDocument/2006/relationships/header" Target="header24.xml"/><Relationship Id="rId82" Type="http://schemas.openxmlformats.org/officeDocument/2006/relationships/header" Target="header27.xml"/><Relationship Id="rId90" Type="http://schemas.openxmlformats.org/officeDocument/2006/relationships/header" Target="header34.xml"/><Relationship Id="rId95" Type="http://schemas.openxmlformats.org/officeDocument/2006/relationships/footer" Target="footer19.xml"/><Relationship Id="rId19" Type="http://schemas.openxmlformats.org/officeDocument/2006/relationships/header" Target="header8.xml"/><Relationship Id="rId14" Type="http://schemas.openxmlformats.org/officeDocument/2006/relationships/header" Target="header4.xml"/><Relationship Id="rId22" Type="http://schemas.openxmlformats.org/officeDocument/2006/relationships/header" Target="header9.xml"/><Relationship Id="rId27" Type="http://schemas.openxmlformats.org/officeDocument/2006/relationships/header" Target="header12.xml"/><Relationship Id="rId30" Type="http://schemas.openxmlformats.org/officeDocument/2006/relationships/image" Target="media/image6.emf"/><Relationship Id="rId35" Type="http://schemas.openxmlformats.org/officeDocument/2006/relationships/header" Target="header15.xml"/><Relationship Id="rId43" Type="http://schemas.openxmlformats.org/officeDocument/2006/relationships/image" Target="media/image13.emf"/><Relationship Id="rId48" Type="http://schemas.openxmlformats.org/officeDocument/2006/relationships/header" Target="header17.xml"/><Relationship Id="rId56" Type="http://schemas.openxmlformats.org/officeDocument/2006/relationships/header" Target="header21.xml"/><Relationship Id="rId64" Type="http://schemas.openxmlformats.org/officeDocument/2006/relationships/hyperlink" Target="http://www.cmo.on.ca/documents/DisciplineSummary-MaryMolnar_May2002.pdf" TargetMode="External"/><Relationship Id="rId69" Type="http://schemas.openxmlformats.org/officeDocument/2006/relationships/hyperlink" Target="http://www.homebirthsydney.org.au/?q=node/77" TargetMode="External"/><Relationship Id="rId77" Type="http://schemas.openxmlformats.org/officeDocument/2006/relationships/hyperlink" Target="http://www.who.int/healthinfo/statistics/indantenatal/en/index.html" TargetMode="External"/><Relationship Id="rId100" Type="http://schemas.openxmlformats.org/officeDocument/2006/relationships/footer" Target="footer21.xml"/><Relationship Id="rId105" Type="http://schemas.openxmlformats.org/officeDocument/2006/relationships/header" Target="header44.xml"/><Relationship Id="rId113" Type="http://schemas.openxmlformats.org/officeDocument/2006/relationships/header" Target="header48.xml"/><Relationship Id="rId118" Type="http://schemas.openxmlformats.org/officeDocument/2006/relationships/header" Target="header51.xml"/><Relationship Id="rId8" Type="http://schemas.openxmlformats.org/officeDocument/2006/relationships/header" Target="header1.xml"/><Relationship Id="rId51" Type="http://schemas.openxmlformats.org/officeDocument/2006/relationships/footer" Target="footer11.xml"/><Relationship Id="rId72" Type="http://schemas.openxmlformats.org/officeDocument/2006/relationships/hyperlink" Target="http://www.nlm.nih.gov/medlineplus/ency/article/003402.htm" TargetMode="External"/><Relationship Id="rId80" Type="http://schemas.openxmlformats.org/officeDocument/2006/relationships/footer" Target="footer16.xml"/><Relationship Id="rId85" Type="http://schemas.openxmlformats.org/officeDocument/2006/relationships/footer" Target="footer18.xml"/><Relationship Id="rId93" Type="http://schemas.openxmlformats.org/officeDocument/2006/relationships/header" Target="header37.xml"/><Relationship Id="rId98" Type="http://schemas.openxmlformats.org/officeDocument/2006/relationships/header" Target="header41.xml"/><Relationship Id="rId12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footer" Target="footer2.xml"/><Relationship Id="rId25" Type="http://schemas.openxmlformats.org/officeDocument/2006/relationships/header" Target="header11.xml"/><Relationship Id="rId33" Type="http://schemas.openxmlformats.org/officeDocument/2006/relationships/footer" Target="footer7.xml"/><Relationship Id="rId38" Type="http://schemas.openxmlformats.org/officeDocument/2006/relationships/image" Target="media/image8.emf"/><Relationship Id="rId46" Type="http://schemas.openxmlformats.org/officeDocument/2006/relationships/image" Target="media/image16.emf"/><Relationship Id="rId59" Type="http://schemas.openxmlformats.org/officeDocument/2006/relationships/header" Target="header23.xml"/><Relationship Id="rId67" Type="http://schemas.openxmlformats.org/officeDocument/2006/relationships/hyperlink" Target="http://www.hiroc.com/About-Us/25th-Anniversary/Subscriber-Stories/Association-of-Ontario-Midwives.aspx" TargetMode="External"/><Relationship Id="rId103" Type="http://schemas.openxmlformats.org/officeDocument/2006/relationships/image" Target="media/image18.emf"/><Relationship Id="rId108" Type="http://schemas.openxmlformats.org/officeDocument/2006/relationships/header" Target="header45.xml"/><Relationship Id="rId116" Type="http://schemas.openxmlformats.org/officeDocument/2006/relationships/footer" Target="footer26.xml"/><Relationship Id="rId20" Type="http://schemas.openxmlformats.org/officeDocument/2006/relationships/footer" Target="footer3.xml"/><Relationship Id="rId41" Type="http://schemas.openxmlformats.org/officeDocument/2006/relationships/image" Target="media/image11.emf"/><Relationship Id="rId54" Type="http://schemas.openxmlformats.org/officeDocument/2006/relationships/footer" Target="footer12.xml"/><Relationship Id="rId62" Type="http://schemas.openxmlformats.org/officeDocument/2006/relationships/hyperlink" Target="http://www.bubhub.com.au/directory/find/midwives" TargetMode="External"/><Relationship Id="rId70" Type="http://schemas.openxmlformats.org/officeDocument/2006/relationships/hyperlink" Target="http://www.knov.nl/voor-verloskundigen/kwaliteitsverbetering-in-de-verloskundige-praktijk/kwaliteitsregister-verloskundigen/" TargetMode="External"/><Relationship Id="rId75" Type="http://schemas.openxmlformats.org/officeDocument/2006/relationships/hyperlink" Target="http://statline.cbs.nl/StatWeb/publication/?DM=SLNL&amp;PA=37302&amp;D1=0-2&amp;D2=a&amp;HDR=T&amp;STB=G1&amp;VW=T" TargetMode="External"/><Relationship Id="rId83" Type="http://schemas.openxmlformats.org/officeDocument/2006/relationships/header" Target="header28.xml"/><Relationship Id="rId88" Type="http://schemas.openxmlformats.org/officeDocument/2006/relationships/header" Target="header32.xml"/><Relationship Id="rId91" Type="http://schemas.openxmlformats.org/officeDocument/2006/relationships/header" Target="header35.xml"/><Relationship Id="rId96" Type="http://schemas.openxmlformats.org/officeDocument/2006/relationships/header" Target="header39.xml"/><Relationship Id="rId111" Type="http://schemas.openxmlformats.org/officeDocument/2006/relationships/footer" Target="footer2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5.xml"/><Relationship Id="rId28" Type="http://schemas.openxmlformats.org/officeDocument/2006/relationships/image" Target="media/image4.emf"/><Relationship Id="rId36" Type="http://schemas.openxmlformats.org/officeDocument/2006/relationships/footer" Target="footer9.xml"/><Relationship Id="rId49" Type="http://schemas.openxmlformats.org/officeDocument/2006/relationships/footer" Target="footer10.xml"/><Relationship Id="rId57" Type="http://schemas.openxmlformats.org/officeDocument/2006/relationships/footer" Target="footer14.xml"/><Relationship Id="rId106" Type="http://schemas.openxmlformats.org/officeDocument/2006/relationships/footer" Target="footer22.xml"/><Relationship Id="rId114" Type="http://schemas.openxmlformats.org/officeDocument/2006/relationships/header" Target="header49.xml"/><Relationship Id="rId119" Type="http://schemas.openxmlformats.org/officeDocument/2006/relationships/footer" Target="footer28.xml"/><Relationship Id="rId10" Type="http://schemas.openxmlformats.org/officeDocument/2006/relationships/footer" Target="footer1.xml"/><Relationship Id="rId31" Type="http://schemas.openxmlformats.org/officeDocument/2006/relationships/header" Target="header13.xml"/><Relationship Id="rId44" Type="http://schemas.openxmlformats.org/officeDocument/2006/relationships/image" Target="media/image14.emf"/><Relationship Id="rId52" Type="http://schemas.openxmlformats.org/officeDocument/2006/relationships/header" Target="header19.xml"/><Relationship Id="rId60" Type="http://schemas.openxmlformats.org/officeDocument/2006/relationships/footer" Target="footer15.xml"/><Relationship Id="rId65" Type="http://schemas.openxmlformats.org/officeDocument/2006/relationships/hyperlink" Target="http://www.cmo.on.ca/downloads/SeddonSummary.pdf" TargetMode="External"/><Relationship Id="rId73" Type="http://schemas.openxmlformats.org/officeDocument/2006/relationships/hyperlink" Target="http://www.nadrac.gov.au/" TargetMode="External"/><Relationship Id="rId78" Type="http://schemas.openxmlformats.org/officeDocument/2006/relationships/header" Target="header25.xml"/><Relationship Id="rId81" Type="http://schemas.openxmlformats.org/officeDocument/2006/relationships/footer" Target="footer17.xml"/><Relationship Id="rId86" Type="http://schemas.openxmlformats.org/officeDocument/2006/relationships/header" Target="header30.xml"/><Relationship Id="rId94" Type="http://schemas.openxmlformats.org/officeDocument/2006/relationships/header" Target="header38.xml"/><Relationship Id="rId99" Type="http://schemas.openxmlformats.org/officeDocument/2006/relationships/footer" Target="footer20.xml"/><Relationship Id="rId101" Type="http://schemas.openxmlformats.org/officeDocument/2006/relationships/header" Target="header42.xml"/><Relationship Id="rId12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image" Target="media/image3.emf"/><Relationship Id="rId18" Type="http://schemas.openxmlformats.org/officeDocument/2006/relationships/header" Target="header7.xml"/><Relationship Id="rId39" Type="http://schemas.openxmlformats.org/officeDocument/2006/relationships/image" Target="media/image9.emf"/><Relationship Id="rId109" Type="http://schemas.openxmlformats.org/officeDocument/2006/relationships/header" Target="header46.xml"/><Relationship Id="rId34" Type="http://schemas.openxmlformats.org/officeDocument/2006/relationships/footer" Target="footer8.xml"/><Relationship Id="rId50" Type="http://schemas.openxmlformats.org/officeDocument/2006/relationships/header" Target="header18.xml"/><Relationship Id="rId55" Type="http://schemas.openxmlformats.org/officeDocument/2006/relationships/footer" Target="footer13.xml"/><Relationship Id="rId76" Type="http://schemas.openxmlformats.org/officeDocument/2006/relationships/hyperlink" Target="http://www.virtualmedicalcentre.com/treatment/induction-and-augmentation-of-labour/164" TargetMode="External"/><Relationship Id="rId97" Type="http://schemas.openxmlformats.org/officeDocument/2006/relationships/header" Target="header40.xml"/><Relationship Id="rId104" Type="http://schemas.openxmlformats.org/officeDocument/2006/relationships/header" Target="header43.xml"/><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lexisnexis.com.au/" TargetMode="External"/><Relationship Id="rId92" Type="http://schemas.openxmlformats.org/officeDocument/2006/relationships/header" Target="header36.xml"/><Relationship Id="rId2" Type="http://schemas.openxmlformats.org/officeDocument/2006/relationships/numbering" Target="numbering.xml"/><Relationship Id="rId29" Type="http://schemas.openxmlformats.org/officeDocument/2006/relationships/image" Target="media/image5.emf"/><Relationship Id="rId24" Type="http://schemas.openxmlformats.org/officeDocument/2006/relationships/header" Target="header10.xml"/><Relationship Id="rId40" Type="http://schemas.openxmlformats.org/officeDocument/2006/relationships/image" Target="media/image10.emf"/><Relationship Id="rId45" Type="http://schemas.openxmlformats.org/officeDocument/2006/relationships/image" Target="media/image15.emf"/><Relationship Id="rId66" Type="http://schemas.openxmlformats.org/officeDocument/2006/relationships/hyperlink" Target="http://www.health.vic.gov.au/nursing/midwives-in-victoria" TargetMode="External"/><Relationship Id="rId87" Type="http://schemas.openxmlformats.org/officeDocument/2006/relationships/header" Target="header31.xml"/><Relationship Id="rId110" Type="http://schemas.openxmlformats.org/officeDocument/2006/relationships/header" Target="header47.xml"/><Relationship Id="rId115" Type="http://schemas.openxmlformats.org/officeDocument/2006/relationships/header" Target="header50.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PwC">
  <a:themeElements>
    <a:clrScheme name="PwC Orange">
      <a:dk1>
        <a:srgbClr val="000000"/>
      </a:dk1>
      <a:lt1>
        <a:srgbClr val="FFFFFF"/>
      </a:lt1>
      <a:dk2>
        <a:srgbClr val="DC6900"/>
      </a:dk2>
      <a:lt2>
        <a:srgbClr val="FFFFFF"/>
      </a:lt2>
      <a:accent1>
        <a:srgbClr val="DC6900"/>
      </a:accent1>
      <a:accent2>
        <a:srgbClr val="FFB600"/>
      </a:accent2>
      <a:accent3>
        <a:srgbClr val="602320"/>
      </a:accent3>
      <a:accent4>
        <a:srgbClr val="DB536A"/>
      </a:accent4>
      <a:accent5>
        <a:srgbClr val="A32020"/>
      </a:accent5>
      <a:accent6>
        <a:srgbClr val="E0301E"/>
      </a:accent6>
      <a:hlink>
        <a:srgbClr val="0000FF"/>
      </a:hlink>
      <a:folHlink>
        <a:srgbClr val="0000FF"/>
      </a:folHlink>
    </a:clrScheme>
    <a:fontScheme name="PwC">
      <a:majorFont>
        <a:latin typeface="Georgia"/>
        <a:ea typeface=""/>
        <a:cs typeface=""/>
      </a:majorFont>
      <a:minorFont>
        <a:latin typeface="Georgi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ltGray">
        <a:solidFill>
          <a:schemeClr val="tx2"/>
        </a:solidFill>
        <a:ln w="3175"/>
      </a:spPr>
      <a:bodyPr rtlCol="0" anchor="ctr"/>
      <a:lstStyle>
        <a:defPPr algn="ctr">
          <a:defRPr dirty="0" err="1" smtClean="0">
            <a:solidFill>
              <a:schemeClr val="bg1"/>
            </a:solidFill>
            <a:latin typeface="Georgia" pitchFamily="18" charset="0"/>
          </a:defRPr>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square" lIns="0" tIns="0" rIns="0" bIns="0" rtlCol="0">
        <a:noAutofit/>
      </a:bodyPr>
      <a:lstStyle>
        <a:defPPr>
          <a:lnSpc>
            <a:spcPts val="2400"/>
          </a:lnSpc>
          <a:defRPr sz="2000" dirty="0" err="1" smtClean="0">
            <a:latin typeface="Georgia" pitchFamily="18" charset="0"/>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1D314-9EF4-4911-B5E9-E448F2261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208</Pages>
  <Words>67930</Words>
  <Characters>386610</Characters>
  <Application>Microsoft Office Word</Application>
  <DocSecurity>8</DocSecurity>
  <Lines>3221</Lines>
  <Paragraphs>907</Paragraphs>
  <ScaleCrop>false</ScaleCrop>
  <LinksUpToDate>false</LinksUpToDate>
  <CharactersWithSpaces>453633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indemnity insurance for midwives research</dc:title>
  <dc:subject>Report</dc:subject>
  <dc:creator/>
  <cp:lastModifiedBy/>
  <cp:revision>1</cp:revision>
  <dcterms:created xsi:type="dcterms:W3CDTF">2013-12-06T05:09:00Z</dcterms:created>
  <dcterms:modified xsi:type="dcterms:W3CDTF">2013-12-06T05:09:00Z</dcterms:modified>
</cp:coreProperties>
</file>