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imes New Roman" w:hAnsi="Times New Roman" w:cs="Times New Roman"/>
        </w:rPr>
        <w:id w:val="150571513"/>
        <w:docPartObj>
          <w:docPartGallery w:val="Cover Pages"/>
          <w:docPartUnique/>
        </w:docPartObj>
      </w:sdtPr>
      <w:sdtEndPr/>
      <w:sdtContent>
        <w:tbl>
          <w:tblPr>
            <w:tblStyle w:val="TableGrid"/>
            <w:tblW w:w="935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6095"/>
          </w:tblGrid>
          <w:tr w:rsidR="00C72E59" w:rsidRPr="005529DF" w:rsidTr="00C22B51">
            <w:trPr>
              <w:cantSplit/>
              <w:trHeight w:hRule="exact" w:val="454"/>
            </w:trPr>
            <w:tc>
              <w:tcPr>
                <w:tcW w:w="3261" w:type="dxa"/>
                <w:shd w:val="clear" w:color="auto" w:fill="000000" w:themeFill="text1"/>
                <w:vAlign w:val="center"/>
              </w:tcPr>
              <w:p w:rsidR="00C72E59" w:rsidRPr="007640DA" w:rsidRDefault="00C72E59" w:rsidP="00C22B51">
                <w:pPr>
                  <w:rPr>
                    <w:rFonts w:ascii="Times New Roman" w:hAnsi="Times New Roman" w:cs="Times New Roman"/>
                  </w:rPr>
                </w:pPr>
              </w:p>
            </w:tc>
            <w:tc>
              <w:tcPr>
                <w:tcW w:w="6095" w:type="dxa"/>
                <w:shd w:val="clear" w:color="auto" w:fill="000000" w:themeFill="text1"/>
                <w:vAlign w:val="center"/>
              </w:tcPr>
              <w:p w:rsidR="00C72E59" w:rsidRPr="005529DF" w:rsidRDefault="00C72E59" w:rsidP="00C22B51">
                <w:pPr>
                  <w:pStyle w:val="TextBrandingPurple"/>
                  <w:rPr>
                    <w:rFonts w:ascii="Times New Roman" w:hAnsi="Times New Roman" w:cs="Times New Roman"/>
                  </w:rPr>
                </w:pPr>
                <w:r w:rsidRPr="005529DF">
                  <w:rPr>
                    <w:rFonts w:ascii="Times New Roman" w:hAnsi="Times New Roman" w:cs="Times New Roman"/>
                  </w:rPr>
                  <w:t xml:space="preserve">Acil allen </w:t>
                </w:r>
                <w:r w:rsidRPr="005529DF">
                  <w:rPr>
                    <w:rStyle w:val="ACILAllenYellow"/>
                    <w:rFonts w:ascii="Times New Roman" w:hAnsi="Times New Roman" w:cs="Times New Roman"/>
                  </w:rPr>
                  <w:t>Consulting</w:t>
                </w:r>
              </w:p>
            </w:tc>
          </w:tr>
          <w:tr w:rsidR="00C72E59" w:rsidRPr="005529DF" w:rsidTr="00C22B51">
            <w:trPr>
              <w:cantSplit/>
              <w:trHeight w:hRule="exact" w:val="794"/>
            </w:trPr>
            <w:tc>
              <w:tcPr>
                <w:tcW w:w="3261" w:type="dxa"/>
              </w:tcPr>
              <w:p w:rsidR="00C72E59" w:rsidRPr="007640DA" w:rsidRDefault="00C72E59" w:rsidP="00C22B51">
                <w:pPr>
                  <w:rPr>
                    <w:rFonts w:ascii="Times New Roman" w:hAnsi="Times New Roman" w:cs="Times New Roman"/>
                  </w:rPr>
                </w:pPr>
              </w:p>
            </w:tc>
            <w:tc>
              <w:tcPr>
                <w:tcW w:w="6095" w:type="dxa"/>
                <w:vAlign w:val="bottom"/>
              </w:tcPr>
              <w:p w:rsidR="00C72E59" w:rsidRPr="005529DF" w:rsidRDefault="00C72E59" w:rsidP="00C22B51">
                <w:pPr>
                  <w:pStyle w:val="ReportTo"/>
                  <w:rPr>
                    <w:rFonts w:ascii="Times New Roman" w:hAnsi="Times New Roman" w:cs="Times New Roman"/>
                  </w:rPr>
                </w:pPr>
                <w:r w:rsidRPr="005529DF">
                  <w:rPr>
                    <w:rFonts w:ascii="Times New Roman" w:hAnsi="Times New Roman" w:cs="Times New Roman"/>
                  </w:rPr>
                  <w:t>Report to</w:t>
                </w:r>
              </w:p>
            </w:tc>
          </w:tr>
          <w:tr w:rsidR="00C72E59" w:rsidRPr="005529DF" w:rsidTr="00C22B51">
            <w:trPr>
              <w:cantSplit/>
              <w:trHeight w:val="737"/>
            </w:trPr>
            <w:tc>
              <w:tcPr>
                <w:tcW w:w="3261" w:type="dxa"/>
              </w:tcPr>
              <w:p w:rsidR="00C72E59" w:rsidRPr="007640DA" w:rsidRDefault="00C72E59" w:rsidP="00C22B51">
                <w:pPr>
                  <w:rPr>
                    <w:rFonts w:ascii="Times New Roman" w:hAnsi="Times New Roman" w:cs="Times New Roman"/>
                  </w:rPr>
                </w:pPr>
              </w:p>
            </w:tc>
            <w:tc>
              <w:tcPr>
                <w:tcW w:w="6095" w:type="dxa"/>
                <w:tcBorders>
                  <w:bottom w:val="single" w:sz="4" w:space="0" w:color="auto"/>
                </w:tcBorders>
              </w:tcPr>
              <w:p w:rsidR="00C72E59" w:rsidRPr="005529DF" w:rsidRDefault="00C72E59" w:rsidP="00C22B51">
                <w:pPr>
                  <w:pStyle w:val="PreparedFor0"/>
                  <w:rPr>
                    <w:rFonts w:ascii="Times New Roman" w:hAnsi="Times New Roman" w:cs="Times New Roman"/>
                  </w:rPr>
                </w:pPr>
                <w:r w:rsidRPr="005529DF">
                  <w:rPr>
                    <w:rFonts w:ascii="Times New Roman" w:hAnsi="Times New Roman" w:cs="Times New Roman"/>
                  </w:rPr>
                  <w:t>Nursing and Midwifery Board of Australia</w:t>
                </w:r>
              </w:p>
              <w:p w:rsidR="00C72E59" w:rsidRPr="005529DF" w:rsidRDefault="00C72E59" w:rsidP="00C22B51">
                <w:pPr>
                  <w:pStyle w:val="PreparedFor0"/>
                  <w:rPr>
                    <w:rFonts w:ascii="Times New Roman" w:hAnsi="Times New Roman" w:cs="Times New Roman"/>
                  </w:rPr>
                </w:pPr>
              </w:p>
            </w:tc>
          </w:tr>
          <w:tr w:rsidR="00C72E59" w:rsidRPr="005529DF" w:rsidTr="00C22B51">
            <w:trPr>
              <w:cantSplit/>
              <w:trHeight w:hRule="exact" w:val="567"/>
            </w:trPr>
            <w:tc>
              <w:tcPr>
                <w:tcW w:w="3261" w:type="dxa"/>
              </w:tcPr>
              <w:p w:rsidR="00C72E59" w:rsidRPr="007640DA" w:rsidRDefault="00C72E59" w:rsidP="00C22B51">
                <w:pPr>
                  <w:rPr>
                    <w:rFonts w:ascii="Times New Roman" w:hAnsi="Times New Roman" w:cs="Times New Roman"/>
                  </w:rPr>
                </w:pPr>
              </w:p>
            </w:tc>
            <w:tc>
              <w:tcPr>
                <w:tcW w:w="6095" w:type="dxa"/>
                <w:tcBorders>
                  <w:top w:val="single" w:sz="4" w:space="0" w:color="auto"/>
                </w:tcBorders>
              </w:tcPr>
              <w:p w:rsidR="00C72E59" w:rsidRPr="005529DF" w:rsidRDefault="00C72E59" w:rsidP="00104801">
                <w:pPr>
                  <w:pStyle w:val="Date"/>
                  <w:rPr>
                    <w:rFonts w:ascii="Times New Roman" w:hAnsi="Times New Roman"/>
                  </w:rPr>
                </w:pPr>
                <w:r w:rsidRPr="005529DF">
                  <w:rPr>
                    <w:rFonts w:ascii="Times New Roman" w:hAnsi="Times New Roman"/>
                  </w:rPr>
                  <w:t xml:space="preserve">May </w:t>
                </w:r>
                <w:r w:rsidR="00104801">
                  <w:rPr>
                    <w:rFonts w:ascii="Times New Roman" w:hAnsi="Times New Roman"/>
                  </w:rPr>
                  <w:t>2015</w:t>
                </w:r>
              </w:p>
            </w:tc>
          </w:tr>
          <w:tr w:rsidR="00C72E59" w:rsidRPr="005529DF" w:rsidTr="00C22B51">
            <w:trPr>
              <w:cantSplit/>
              <w:trHeight w:hRule="exact" w:val="2461"/>
            </w:trPr>
            <w:tc>
              <w:tcPr>
                <w:tcW w:w="3261" w:type="dxa"/>
                <w:tcBorders>
                  <w:bottom w:val="single" w:sz="4" w:space="0" w:color="auto"/>
                </w:tcBorders>
              </w:tcPr>
              <w:p w:rsidR="00C72E59" w:rsidRPr="007640DA" w:rsidRDefault="00C72E59" w:rsidP="00C22B51">
                <w:pPr>
                  <w:rPr>
                    <w:rFonts w:ascii="Times New Roman" w:hAnsi="Times New Roman" w:cs="Times New Roman"/>
                  </w:rPr>
                </w:pPr>
              </w:p>
            </w:tc>
            <w:tc>
              <w:tcPr>
                <w:tcW w:w="6095" w:type="dxa"/>
                <w:tcBorders>
                  <w:bottom w:val="single" w:sz="4" w:space="0" w:color="auto"/>
                </w:tcBorders>
              </w:tcPr>
              <w:p w:rsidR="00C72E59" w:rsidRPr="005529DF" w:rsidRDefault="00C72E59" w:rsidP="00C22B51">
                <w:pPr>
                  <w:pStyle w:val="TitleShort"/>
                  <w:rPr>
                    <w:rFonts w:ascii="Times New Roman" w:hAnsi="Times New Roman" w:cs="Times New Roman"/>
                  </w:rPr>
                </w:pPr>
                <w:r w:rsidRPr="005529DF">
                  <w:rPr>
                    <w:rFonts w:ascii="Times New Roman" w:hAnsi="Times New Roman" w:cs="Times New Roman"/>
                  </w:rPr>
                  <w:t xml:space="preserve">National health impairment </w:t>
                </w:r>
              </w:p>
            </w:tc>
          </w:tr>
          <w:tr w:rsidR="00C72E59" w:rsidRPr="005529DF" w:rsidTr="00C22B51">
            <w:trPr>
              <w:cantSplit/>
              <w:trHeight w:hRule="exact" w:val="386"/>
            </w:trPr>
            <w:tc>
              <w:tcPr>
                <w:tcW w:w="3261" w:type="dxa"/>
                <w:tcBorders>
                  <w:top w:val="single" w:sz="4" w:space="0" w:color="auto"/>
                </w:tcBorders>
              </w:tcPr>
              <w:p w:rsidR="00C72E59" w:rsidRPr="007640DA" w:rsidRDefault="00C72E59" w:rsidP="00C22B51">
                <w:pPr>
                  <w:pStyle w:val="CoverPageDeltas"/>
                  <w:rPr>
                    <w:rFonts w:ascii="Times New Roman" w:hAnsi="Times New Roman" w:cs="Times New Roman"/>
                  </w:rPr>
                </w:pPr>
                <w:r w:rsidRPr="007640DA">
                  <w:rPr>
                    <w:rFonts w:ascii="Times New Roman" w:hAnsi="Times New Roman" w:cs="Times New Roman"/>
                    <w:noProof/>
                    <w:lang w:eastAsia="en-AU"/>
                  </w:rPr>
                  <w:drawing>
                    <wp:inline distT="0" distB="0" distL="0" distR="0">
                      <wp:extent cx="499830" cy="24469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ILALLEN_MASTERLOGO_DELTAS_YELLO_TRAN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5177" cy="266899"/>
                              </a:xfrm>
                              <a:prstGeom prst="rect">
                                <a:avLst/>
                              </a:prstGeom>
                            </pic:spPr>
                          </pic:pic>
                        </a:graphicData>
                      </a:graphic>
                    </wp:inline>
                  </w:drawing>
                </w:r>
              </w:p>
            </w:tc>
            <w:tc>
              <w:tcPr>
                <w:tcW w:w="6095" w:type="dxa"/>
                <w:tcBorders>
                  <w:top w:val="single" w:sz="4" w:space="0" w:color="auto"/>
                </w:tcBorders>
              </w:tcPr>
              <w:p w:rsidR="00C72E59" w:rsidRPr="005529DF" w:rsidRDefault="00C72E59" w:rsidP="00C22B51">
                <w:pPr>
                  <w:pStyle w:val="CoverPageDeltas"/>
                  <w:rPr>
                    <w:rFonts w:ascii="Times New Roman" w:hAnsi="Times New Roman" w:cs="Times New Roman"/>
                  </w:rPr>
                </w:pPr>
              </w:p>
            </w:tc>
          </w:tr>
          <w:tr w:rsidR="00C72E59" w:rsidRPr="005529DF" w:rsidTr="00C22B51">
            <w:trPr>
              <w:cantSplit/>
              <w:trHeight w:hRule="exact" w:val="1134"/>
            </w:trPr>
            <w:tc>
              <w:tcPr>
                <w:tcW w:w="3261" w:type="dxa"/>
              </w:tcPr>
              <w:p w:rsidR="00C72E59" w:rsidRPr="007640DA" w:rsidRDefault="00C72E59" w:rsidP="00C22B51">
                <w:pPr>
                  <w:jc w:val="right"/>
                  <w:rPr>
                    <w:rFonts w:ascii="Times New Roman" w:hAnsi="Times New Roman" w:cs="Times New Roman"/>
                  </w:rPr>
                </w:pPr>
              </w:p>
            </w:tc>
            <w:tc>
              <w:tcPr>
                <w:tcW w:w="6095" w:type="dxa"/>
                <w:vAlign w:val="center"/>
              </w:tcPr>
              <w:p w:rsidR="00C72E59" w:rsidRPr="005529DF" w:rsidRDefault="00C72E59" w:rsidP="00C22B51">
                <w:pPr>
                  <w:pStyle w:val="Title"/>
                  <w:rPr>
                    <w:rFonts w:ascii="Times New Roman" w:hAnsi="Times New Roman" w:cs="Times New Roman"/>
                    <w:sz w:val="36"/>
                    <w:szCs w:val="36"/>
                  </w:rPr>
                </w:pPr>
                <w:r w:rsidRPr="005529DF">
                  <w:rPr>
                    <w:rFonts w:ascii="Times New Roman" w:hAnsi="Times New Roman" w:cs="Times New Roman"/>
                    <w:sz w:val="24"/>
                    <w:szCs w:val="24"/>
                  </w:rPr>
                  <w:t>Referral, treatment and rehabilitation services for regulated health</w:t>
                </w:r>
                <w:r w:rsidRPr="005529DF">
                  <w:rPr>
                    <w:rFonts w:ascii="Times New Roman" w:hAnsi="Times New Roman" w:cs="Times New Roman"/>
                    <w:sz w:val="30"/>
                    <w:szCs w:val="30"/>
                  </w:rPr>
                  <w:t xml:space="preserve"> </w:t>
                </w:r>
                <w:r w:rsidRPr="005529DF">
                  <w:rPr>
                    <w:rFonts w:ascii="Times New Roman" w:hAnsi="Times New Roman" w:cs="Times New Roman"/>
                    <w:sz w:val="24"/>
                    <w:szCs w:val="24"/>
                  </w:rPr>
                  <w:t>practitioners with an</w:t>
                </w:r>
                <w:r w:rsidRPr="005529DF">
                  <w:rPr>
                    <w:rFonts w:ascii="Times New Roman" w:hAnsi="Times New Roman" w:cs="Times New Roman"/>
                    <w:sz w:val="36"/>
                    <w:szCs w:val="36"/>
                  </w:rPr>
                  <w:t xml:space="preserve"> </w:t>
                </w:r>
                <w:r w:rsidRPr="005529DF">
                  <w:rPr>
                    <w:rFonts w:ascii="Times New Roman" w:hAnsi="Times New Roman" w:cs="Times New Roman"/>
                    <w:sz w:val="24"/>
                    <w:szCs w:val="24"/>
                  </w:rPr>
                  <w:t>impairment</w:t>
                </w:r>
                <w:r w:rsidRPr="005529DF">
                  <w:rPr>
                    <w:rFonts w:ascii="Times New Roman" w:hAnsi="Times New Roman" w:cs="Times New Roman"/>
                    <w:sz w:val="36"/>
                    <w:szCs w:val="36"/>
                  </w:rPr>
                  <w:t xml:space="preserve"> </w:t>
                </w:r>
              </w:p>
            </w:tc>
          </w:tr>
          <w:tr w:rsidR="00C72E59" w:rsidRPr="005529DF" w:rsidTr="00C22B51">
            <w:trPr>
              <w:cantSplit/>
              <w:trHeight w:hRule="exact" w:val="794"/>
            </w:trPr>
            <w:tc>
              <w:tcPr>
                <w:tcW w:w="3261" w:type="dxa"/>
                <w:vAlign w:val="bottom"/>
              </w:tcPr>
              <w:p w:rsidR="00C72E59" w:rsidRPr="007640DA" w:rsidRDefault="00C72E59" w:rsidP="00C22B51">
                <w:pPr>
                  <w:rPr>
                    <w:rFonts w:ascii="Times New Roman" w:hAnsi="Times New Roman" w:cs="Times New Roman"/>
                  </w:rPr>
                </w:pPr>
              </w:p>
            </w:tc>
            <w:tc>
              <w:tcPr>
                <w:tcW w:w="6095" w:type="dxa"/>
                <w:vAlign w:val="center"/>
              </w:tcPr>
              <w:p w:rsidR="00C72E59" w:rsidRPr="005529DF" w:rsidRDefault="00C72E59" w:rsidP="00C22B51">
                <w:pPr>
                  <w:pStyle w:val="Subtitle0"/>
                  <w:rPr>
                    <w:rFonts w:ascii="Times New Roman" w:hAnsi="Times New Roman" w:cs="Times New Roman"/>
                  </w:rPr>
                </w:pPr>
                <w:r w:rsidRPr="005529DF">
                  <w:rPr>
                    <w:rFonts w:ascii="Times New Roman" w:hAnsi="Times New Roman" w:cs="Times New Roman"/>
                  </w:rPr>
                  <w:t xml:space="preserve">Final Report  </w:t>
                </w:r>
              </w:p>
            </w:tc>
          </w:tr>
          <w:tr w:rsidR="00C72E59" w:rsidRPr="005529DF" w:rsidTr="00C22B51">
            <w:trPr>
              <w:cantSplit/>
              <w:trHeight w:hRule="exact" w:val="6541"/>
            </w:trPr>
            <w:tc>
              <w:tcPr>
                <w:tcW w:w="9356" w:type="dxa"/>
                <w:gridSpan w:val="2"/>
                <w:vAlign w:val="bottom"/>
              </w:tcPr>
              <w:p w:rsidR="00C72E59" w:rsidRPr="007640DA" w:rsidRDefault="00C72E59" w:rsidP="00C22B51">
                <w:pPr>
                  <w:pStyle w:val="Image"/>
                  <w:rPr>
                    <w:rFonts w:ascii="Times New Roman" w:hAnsi="Times New Roman" w:cs="Times New Roman"/>
                    <w:noProof w:val="0"/>
                  </w:rPr>
                </w:pPr>
                <w:r w:rsidRPr="007640DA">
                  <w:rPr>
                    <w:rFonts w:ascii="Times New Roman" w:hAnsi="Times New Roman" w:cs="Times New Roman"/>
                  </w:rPr>
                  <w:drawing>
                    <wp:inline distT="0" distB="0" distL="0" distR="0">
                      <wp:extent cx="5714159" cy="4113046"/>
                      <wp:effectExtent l="0" t="0" r="127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urpl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8425" cy="4116117"/>
                              </a:xfrm>
                              <a:prstGeom prst="rect">
                                <a:avLst/>
                              </a:prstGeom>
                            </pic:spPr>
                          </pic:pic>
                        </a:graphicData>
                      </a:graphic>
                    </wp:inline>
                  </w:drawing>
                </w:r>
              </w:p>
            </w:tc>
          </w:tr>
        </w:tbl>
        <w:p w:rsidR="00C72E59" w:rsidRPr="007640DA" w:rsidRDefault="00C72E59" w:rsidP="00C22B51">
          <w:pPr>
            <w:spacing w:before="180" w:line="300" w:lineRule="exact"/>
            <w:rPr>
              <w:rFonts w:ascii="Times New Roman" w:hAnsi="Times New Roman" w:cs="Times New Roman"/>
            </w:rPr>
          </w:pPr>
          <w:r w:rsidRPr="007640DA">
            <w:rPr>
              <w:rFonts w:ascii="Times New Roman" w:hAnsi="Times New Roman" w:cs="Times New Roman"/>
            </w:rPr>
            <w:br w:type="page"/>
          </w:r>
        </w:p>
        <w:tbl>
          <w:tblPr>
            <w:tblStyle w:val="TableGrid"/>
            <w:tblW w:w="0" w:type="auto"/>
            <w:tblInd w:w="1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2"/>
            <w:gridCol w:w="2717"/>
          </w:tblGrid>
          <w:tr w:rsidR="00C72E59" w:rsidRPr="005529DF" w:rsidTr="00C22B51">
            <w:trPr>
              <w:cantSplit/>
              <w:trHeight w:hRule="exact" w:val="778"/>
            </w:trPr>
            <w:tc>
              <w:tcPr>
                <w:tcW w:w="5622" w:type="dxa"/>
                <w:tcBorders>
                  <w:bottom w:val="single" w:sz="8" w:space="0" w:color="A6A6A6" w:themeColor="background1" w:themeShade="A6"/>
                </w:tcBorders>
              </w:tcPr>
              <w:p w:rsidR="00C72E59" w:rsidRPr="007640DA" w:rsidRDefault="00C72E59" w:rsidP="00C22B51">
                <w:pPr>
                  <w:pStyle w:val="ContactPageDeltas"/>
                  <w:rPr>
                    <w:rFonts w:ascii="Times New Roman" w:hAnsi="Times New Roman" w:cs="Times New Roman"/>
                  </w:rPr>
                </w:pPr>
              </w:p>
            </w:tc>
            <w:tc>
              <w:tcPr>
                <w:tcW w:w="2717" w:type="dxa"/>
                <w:tcBorders>
                  <w:bottom w:val="single" w:sz="8" w:space="0" w:color="A6A6A6" w:themeColor="background1" w:themeShade="A6"/>
                </w:tcBorders>
                <w:vAlign w:val="bottom"/>
              </w:tcPr>
              <w:p w:rsidR="00C72E59" w:rsidRPr="007640DA" w:rsidRDefault="00C72E59" w:rsidP="00C22B51">
                <w:pPr>
                  <w:pStyle w:val="ContactPageDeltas"/>
                  <w:rPr>
                    <w:rFonts w:ascii="Times New Roman" w:hAnsi="Times New Roman" w:cs="Times New Roman"/>
                  </w:rPr>
                </w:pPr>
                <w:r w:rsidRPr="007640DA">
                  <w:rPr>
                    <w:rFonts w:ascii="Times New Roman" w:hAnsi="Times New Roman" w:cs="Times New Roman"/>
                    <w:noProof/>
                    <w:lang w:eastAsia="en-AU"/>
                  </w:rPr>
                  <w:drawing>
                    <wp:inline distT="0" distB="0" distL="0" distR="0">
                      <wp:extent cx="882595" cy="441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ILALLEN_MASTERLOGO_DELTAS_YELLOW.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2184" cy="441092"/>
                              </a:xfrm>
                              <a:prstGeom prst="rect">
                                <a:avLst/>
                              </a:prstGeom>
                            </pic:spPr>
                          </pic:pic>
                        </a:graphicData>
                      </a:graphic>
                    </wp:inline>
                  </w:drawing>
                </w:r>
              </w:p>
            </w:tc>
          </w:tr>
          <w:tr w:rsidR="00C72E59" w:rsidRPr="005529DF" w:rsidTr="00C22B51">
            <w:trPr>
              <w:cantSplit/>
              <w:trHeight w:hRule="exact" w:val="8051"/>
            </w:trPr>
            <w:tc>
              <w:tcPr>
                <w:tcW w:w="5622" w:type="dxa"/>
                <w:tcBorders>
                  <w:top w:val="single" w:sz="8" w:space="0" w:color="A6A6A6" w:themeColor="background1" w:themeShade="A6"/>
                </w:tcBorders>
                <w:vAlign w:val="bottom"/>
              </w:tcPr>
              <w:p w:rsidR="00C72E59" w:rsidRPr="007640DA" w:rsidRDefault="00C72E59" w:rsidP="00C22B51">
                <w:pPr>
                  <w:pStyle w:val="CoverInfo"/>
                  <w:ind w:left="1068" w:hanging="1068"/>
                  <w:rPr>
                    <w:rFonts w:ascii="Times New Roman" w:hAnsi="Times New Roman"/>
                    <w:lang w:val="en-AU"/>
                  </w:rPr>
                </w:pPr>
              </w:p>
            </w:tc>
            <w:tc>
              <w:tcPr>
                <w:tcW w:w="2717" w:type="dxa"/>
                <w:tcBorders>
                  <w:top w:val="single" w:sz="8" w:space="0" w:color="A6A6A6" w:themeColor="background1" w:themeShade="A6"/>
                </w:tcBorders>
              </w:tcPr>
              <w:p w:rsidR="00C72E59" w:rsidRPr="007640DA" w:rsidRDefault="00C72E59" w:rsidP="00C22B51">
                <w:pPr>
                  <w:pStyle w:val="Contact"/>
                  <w:rPr>
                    <w:rFonts w:ascii="Times New Roman" w:hAnsi="Times New Roman"/>
                  </w:rPr>
                </w:pPr>
                <w:r w:rsidRPr="007640DA">
                  <w:rPr>
                    <w:rFonts w:ascii="Times New Roman" w:hAnsi="Times New Roman"/>
                  </w:rPr>
                  <w:t>ACIL ALLEN CONSULTING PTY LTD</w:t>
                </w:r>
                <w:r w:rsidRPr="007640DA">
                  <w:rPr>
                    <w:rFonts w:ascii="Times New Roman" w:hAnsi="Times New Roman"/>
                  </w:rPr>
                  <w:br/>
                  <w:t>ABN 68 102 652 148</w:t>
                </w:r>
              </w:p>
              <w:p w:rsidR="00C72E59" w:rsidRPr="007640DA" w:rsidRDefault="00C72E59" w:rsidP="00C22B51">
                <w:pPr>
                  <w:pStyle w:val="Contact"/>
                  <w:rPr>
                    <w:rFonts w:ascii="Times New Roman" w:hAnsi="Times New Roman"/>
                  </w:rPr>
                </w:pPr>
                <w:r w:rsidRPr="007640DA">
                  <w:rPr>
                    <w:rFonts w:ascii="Times New Roman" w:hAnsi="Times New Roman"/>
                  </w:rPr>
                  <w:t>161 Wakefield street</w:t>
                </w:r>
                <w:r w:rsidRPr="007640DA">
                  <w:rPr>
                    <w:rFonts w:ascii="Times New Roman" w:hAnsi="Times New Roman"/>
                  </w:rPr>
                  <w:br/>
                  <w:t>Adelaide sa 5000</w:t>
                </w:r>
                <w:r w:rsidRPr="007640DA">
                  <w:rPr>
                    <w:rFonts w:ascii="Times New Roman" w:hAnsi="Times New Roman"/>
                  </w:rPr>
                  <w:br/>
                  <w:t>AUSTRALIA</w:t>
                </w:r>
                <w:r w:rsidRPr="007640DA">
                  <w:rPr>
                    <w:rFonts w:ascii="Times New Roman" w:hAnsi="Times New Roman"/>
                  </w:rPr>
                  <w:br/>
                  <w:t>t +61 0412 089 043</w:t>
                </w:r>
              </w:p>
              <w:p w:rsidR="00C72E59" w:rsidRPr="007640DA" w:rsidRDefault="00C72E59" w:rsidP="00C22B51">
                <w:pPr>
                  <w:pStyle w:val="Contact"/>
                  <w:rPr>
                    <w:rFonts w:ascii="Times New Roman" w:hAnsi="Times New Roman"/>
                  </w:rPr>
                </w:pPr>
                <w:r w:rsidRPr="007640DA">
                  <w:rPr>
                    <w:rFonts w:ascii="Times New Roman" w:hAnsi="Times New Roman"/>
                  </w:rPr>
                  <w:t>Level FIFTEEN</w:t>
                </w:r>
                <w:r w:rsidRPr="007640DA">
                  <w:rPr>
                    <w:rFonts w:ascii="Times New Roman" w:hAnsi="Times New Roman"/>
                  </w:rPr>
                  <w:br/>
                  <w:t>127 Creek Street</w:t>
                </w:r>
                <w:r w:rsidRPr="007640DA">
                  <w:rPr>
                    <w:rFonts w:ascii="Times New Roman" w:hAnsi="Times New Roman"/>
                  </w:rPr>
                  <w:br/>
                  <w:t>Brisbane QLD 4000</w:t>
                </w:r>
                <w:r w:rsidRPr="007640DA">
                  <w:rPr>
                    <w:rFonts w:ascii="Times New Roman" w:hAnsi="Times New Roman"/>
                  </w:rPr>
                  <w:br/>
                  <w:t>Australia</w:t>
                </w:r>
                <w:r w:rsidRPr="007640DA">
                  <w:rPr>
                    <w:rFonts w:ascii="Times New Roman" w:hAnsi="Times New Roman"/>
                  </w:rPr>
                  <w:br/>
                  <w:t>T+61 7 3009 8700</w:t>
                </w:r>
                <w:r w:rsidRPr="007640DA">
                  <w:rPr>
                    <w:rFonts w:ascii="Times New Roman" w:hAnsi="Times New Roman"/>
                  </w:rPr>
                  <w:br/>
                  <w:t>F+61 7 3009 8799</w:t>
                </w:r>
              </w:p>
              <w:p w:rsidR="00C72E59" w:rsidRPr="007640DA" w:rsidRDefault="00C72E59" w:rsidP="00C22B51">
                <w:pPr>
                  <w:pStyle w:val="Contact"/>
                  <w:rPr>
                    <w:rFonts w:ascii="Times New Roman" w:hAnsi="Times New Roman"/>
                  </w:rPr>
                </w:pPr>
                <w:r w:rsidRPr="007640DA">
                  <w:rPr>
                    <w:rFonts w:ascii="Times New Roman" w:hAnsi="Times New Roman"/>
                  </w:rPr>
                  <w:t>Level TWO</w:t>
                </w:r>
                <w:r w:rsidRPr="007640DA">
                  <w:rPr>
                    <w:rFonts w:ascii="Times New Roman" w:hAnsi="Times New Roman"/>
                  </w:rPr>
                  <w:br/>
                  <w:t>33 Ainslie Place</w:t>
                </w:r>
                <w:r w:rsidRPr="007640DA">
                  <w:rPr>
                    <w:rFonts w:ascii="Times New Roman" w:hAnsi="Times New Roman"/>
                  </w:rPr>
                  <w:br/>
                  <w:t>CANBERRA ACT 2600</w:t>
                </w:r>
                <w:r w:rsidRPr="007640DA">
                  <w:rPr>
                    <w:rFonts w:ascii="Times New Roman" w:hAnsi="Times New Roman"/>
                  </w:rPr>
                  <w:br/>
                  <w:t>AUSTRALIA</w:t>
                </w:r>
                <w:r w:rsidRPr="007640DA">
                  <w:rPr>
                    <w:rFonts w:ascii="Times New Roman" w:hAnsi="Times New Roman"/>
                  </w:rPr>
                  <w:br/>
                  <w:t>T+61 2 6103 8200</w:t>
                </w:r>
                <w:r w:rsidRPr="007640DA">
                  <w:rPr>
                    <w:rFonts w:ascii="Times New Roman" w:hAnsi="Times New Roman"/>
                  </w:rPr>
                  <w:br/>
                  <w:t>F+61 2 6103 8233</w:t>
                </w:r>
              </w:p>
              <w:p w:rsidR="00C72E59" w:rsidRPr="007640DA" w:rsidRDefault="00C72E59" w:rsidP="00C22B51">
                <w:pPr>
                  <w:pStyle w:val="Contact"/>
                  <w:rPr>
                    <w:rFonts w:ascii="Times New Roman" w:hAnsi="Times New Roman"/>
                  </w:rPr>
                </w:pPr>
                <w:r w:rsidRPr="007640DA">
                  <w:rPr>
                    <w:rFonts w:ascii="Times New Roman" w:hAnsi="Times New Roman"/>
                  </w:rPr>
                  <w:t>Level NINE</w:t>
                </w:r>
                <w:r w:rsidRPr="007640DA">
                  <w:rPr>
                    <w:rFonts w:ascii="Times New Roman" w:hAnsi="Times New Roman"/>
                  </w:rPr>
                  <w:br/>
                  <w:t>60 Collins Street</w:t>
                </w:r>
                <w:r w:rsidRPr="007640DA">
                  <w:rPr>
                    <w:rFonts w:ascii="Times New Roman" w:hAnsi="Times New Roman"/>
                  </w:rPr>
                  <w:br/>
                  <w:t>MELBOURNE VIC 3000</w:t>
                </w:r>
                <w:r w:rsidRPr="007640DA">
                  <w:rPr>
                    <w:rFonts w:ascii="Times New Roman" w:hAnsi="Times New Roman"/>
                  </w:rPr>
                  <w:br/>
                  <w:t>AUSTRALIA</w:t>
                </w:r>
                <w:r w:rsidRPr="007640DA">
                  <w:rPr>
                    <w:rFonts w:ascii="Times New Roman" w:hAnsi="Times New Roman"/>
                  </w:rPr>
                  <w:br/>
                  <w:t>T+61 3 8650 6000</w:t>
                </w:r>
                <w:r w:rsidRPr="007640DA">
                  <w:rPr>
                    <w:rFonts w:ascii="Times New Roman" w:hAnsi="Times New Roman"/>
                  </w:rPr>
                  <w:br/>
                  <w:t>F+61 3 9654 6363</w:t>
                </w:r>
              </w:p>
              <w:p w:rsidR="00C72E59" w:rsidRPr="007640DA" w:rsidRDefault="00C72E59" w:rsidP="00C22B51">
                <w:pPr>
                  <w:pStyle w:val="Contact"/>
                  <w:rPr>
                    <w:rFonts w:ascii="Times New Roman" w:hAnsi="Times New Roman"/>
                  </w:rPr>
                </w:pPr>
                <w:r w:rsidRPr="007640DA">
                  <w:rPr>
                    <w:rFonts w:ascii="Times New Roman" w:hAnsi="Times New Roman"/>
                  </w:rPr>
                  <w:t>Level one</w:t>
                </w:r>
                <w:r w:rsidRPr="007640DA">
                  <w:rPr>
                    <w:rFonts w:ascii="Times New Roman" w:hAnsi="Times New Roman"/>
                  </w:rPr>
                  <w:br/>
                  <w:t>50 Pitt Street</w:t>
                </w:r>
                <w:r w:rsidRPr="007640DA">
                  <w:rPr>
                    <w:rFonts w:ascii="Times New Roman" w:hAnsi="Times New Roman"/>
                  </w:rPr>
                  <w:br/>
                  <w:t>SYDNEY NSW 2000</w:t>
                </w:r>
                <w:r w:rsidRPr="007640DA">
                  <w:rPr>
                    <w:rFonts w:ascii="Times New Roman" w:hAnsi="Times New Roman"/>
                  </w:rPr>
                  <w:br/>
                  <w:t>AUSTRALIA</w:t>
                </w:r>
                <w:r w:rsidRPr="007640DA">
                  <w:rPr>
                    <w:rFonts w:ascii="Times New Roman" w:hAnsi="Times New Roman"/>
                  </w:rPr>
                  <w:br/>
                  <w:t>T+61 2 8272 5100</w:t>
                </w:r>
                <w:r w:rsidRPr="007640DA">
                  <w:rPr>
                    <w:rFonts w:ascii="Times New Roman" w:hAnsi="Times New Roman"/>
                  </w:rPr>
                  <w:br/>
                  <w:t>F+61 2 9247 2455</w:t>
                </w:r>
              </w:p>
              <w:p w:rsidR="00C72E59" w:rsidRPr="007640DA" w:rsidRDefault="00C72E59" w:rsidP="00C22B51">
                <w:pPr>
                  <w:pStyle w:val="Contact"/>
                  <w:rPr>
                    <w:rFonts w:ascii="Times New Roman" w:hAnsi="Times New Roman"/>
                  </w:rPr>
                </w:pPr>
                <w:r w:rsidRPr="007640DA">
                  <w:rPr>
                    <w:rFonts w:ascii="Times New Roman" w:hAnsi="Times New Roman"/>
                  </w:rPr>
                  <w:t>level twelve, bgc centre</w:t>
                </w:r>
                <w:r w:rsidRPr="007640DA">
                  <w:rPr>
                    <w:rFonts w:ascii="Times New Roman" w:hAnsi="Times New Roman"/>
                  </w:rPr>
                  <w:br/>
                  <w:t>28 the esplanade</w:t>
                </w:r>
                <w:r w:rsidRPr="007640DA">
                  <w:rPr>
                    <w:rFonts w:ascii="Times New Roman" w:hAnsi="Times New Roman"/>
                  </w:rPr>
                  <w:br/>
                  <w:t>PERTH WA 6000</w:t>
                </w:r>
                <w:r w:rsidRPr="007640DA">
                  <w:rPr>
                    <w:rFonts w:ascii="Times New Roman" w:hAnsi="Times New Roman"/>
                  </w:rPr>
                  <w:br/>
                  <w:t>AUSTRALIA</w:t>
                </w:r>
                <w:r w:rsidRPr="007640DA">
                  <w:rPr>
                    <w:rFonts w:ascii="Times New Roman" w:hAnsi="Times New Roman"/>
                  </w:rPr>
                  <w:br/>
                  <w:t>T+61 8 9449 9600</w:t>
                </w:r>
                <w:r w:rsidRPr="007640DA">
                  <w:rPr>
                    <w:rFonts w:ascii="Times New Roman" w:hAnsi="Times New Roman"/>
                  </w:rPr>
                  <w:br/>
                  <w:t>F+61 8 9322 3955</w:t>
                </w:r>
              </w:p>
              <w:p w:rsidR="00C72E59" w:rsidRPr="007640DA" w:rsidRDefault="00C72E59" w:rsidP="00C22B51">
                <w:pPr>
                  <w:pStyle w:val="Contact"/>
                  <w:rPr>
                    <w:rFonts w:ascii="Times New Roman" w:hAnsi="Times New Roman"/>
                  </w:rPr>
                </w:pPr>
                <w:r w:rsidRPr="007640DA">
                  <w:rPr>
                    <w:rFonts w:ascii="Times New Roman" w:hAnsi="Times New Roman"/>
                  </w:rPr>
                  <w:t>Acilallen.com.au</w:t>
                </w:r>
              </w:p>
            </w:tc>
          </w:tr>
          <w:tr w:rsidR="00C72E59" w:rsidRPr="005529DF" w:rsidTr="00C22B51">
            <w:trPr>
              <w:cantSplit/>
              <w:trHeight w:hRule="exact" w:val="1128"/>
            </w:trPr>
            <w:tc>
              <w:tcPr>
                <w:tcW w:w="5622" w:type="dxa"/>
                <w:vAlign w:val="bottom"/>
              </w:tcPr>
              <w:p w:rsidR="00C72E59" w:rsidRPr="007640DA" w:rsidRDefault="00C72E59" w:rsidP="00C22B51">
                <w:pPr>
                  <w:pStyle w:val="CoverInfo"/>
                  <w:rPr>
                    <w:rFonts w:ascii="Times New Roman" w:hAnsi="Times New Roman"/>
                    <w:lang w:val="en-AU"/>
                  </w:rPr>
                </w:pPr>
                <w:bookmarkStart w:id="1" w:name="Consultant_Contact"/>
                <w:r w:rsidRPr="007640DA">
                  <w:rPr>
                    <w:rFonts w:ascii="Times New Roman" w:hAnsi="Times New Roman"/>
                    <w:lang w:val="en-AU"/>
                  </w:rPr>
                  <w:t xml:space="preserve"> </w:t>
                </w:r>
                <w:bookmarkStart w:id="2" w:name="Contributing_Team_Members"/>
                <w:bookmarkEnd w:id="1"/>
                <w:r w:rsidRPr="007640DA">
                  <w:rPr>
                    <w:rFonts w:ascii="Times New Roman" w:hAnsi="Times New Roman"/>
                    <w:lang w:val="en-AU"/>
                  </w:rPr>
                  <w:t xml:space="preserve"> </w:t>
                </w:r>
                <w:bookmarkEnd w:id="2"/>
              </w:p>
            </w:tc>
            <w:tc>
              <w:tcPr>
                <w:tcW w:w="2717" w:type="dxa"/>
                <w:tcBorders>
                  <w:top w:val="single" w:sz="8" w:space="0" w:color="A6A6A6" w:themeColor="background1" w:themeShade="A6"/>
                </w:tcBorders>
                <w:vAlign w:val="bottom"/>
              </w:tcPr>
              <w:p w:rsidR="00C72E59" w:rsidRPr="007640DA" w:rsidRDefault="00C72E59" w:rsidP="00C22B51">
                <w:pPr>
                  <w:pStyle w:val="Contact"/>
                  <w:rPr>
                    <w:rFonts w:ascii="Times New Roman" w:hAnsi="Times New Roman"/>
                  </w:rPr>
                </w:pPr>
                <w:r w:rsidRPr="007640DA">
                  <w:rPr>
                    <w:rFonts w:ascii="Times New Roman" w:hAnsi="Times New Roman"/>
                  </w:rPr>
                  <w:t>suggested citation for this report</w:t>
                </w:r>
              </w:p>
              <w:p w:rsidR="00C72E59" w:rsidRPr="007640DA" w:rsidRDefault="00C72E59" w:rsidP="005B72F2">
                <w:pPr>
                  <w:pStyle w:val="Contact"/>
                  <w:ind w:right="-110"/>
                  <w:rPr>
                    <w:rFonts w:ascii="Times New Roman" w:hAnsi="Times New Roman"/>
                  </w:rPr>
                </w:pPr>
                <w:r w:rsidRPr="007640DA">
                  <w:rPr>
                    <w:rFonts w:ascii="Times New Roman" w:hAnsi="Times New Roman"/>
                  </w:rPr>
                  <w:t xml:space="preserve">ACIL ALlen consulting 2015, </w:t>
                </w:r>
                <w:r w:rsidR="00654319" w:rsidRPr="007640DA">
                  <w:rPr>
                    <w:rFonts w:ascii="Times New Roman" w:hAnsi="Times New Roman"/>
                    <w:i/>
                  </w:rPr>
                  <w:t xml:space="preserve">National </w:t>
                </w:r>
                <w:r w:rsidR="00C85442" w:rsidRPr="007640DA">
                  <w:rPr>
                    <w:rFonts w:ascii="Times New Roman" w:hAnsi="Times New Roman"/>
                    <w:i/>
                  </w:rPr>
                  <w:t>health impairment</w:t>
                </w:r>
                <w:r w:rsidR="00C85442" w:rsidRPr="007640DA">
                  <w:rPr>
                    <w:rFonts w:ascii="Times New Roman" w:hAnsi="Times New Roman"/>
                  </w:rPr>
                  <w:t xml:space="preserve">, Draft </w:t>
                </w:r>
                <w:r w:rsidR="00A73779">
                  <w:rPr>
                    <w:rFonts w:ascii="Times New Roman" w:hAnsi="Times New Roman"/>
                  </w:rPr>
                  <w:t xml:space="preserve">Final </w:t>
                </w:r>
                <w:r w:rsidR="00C85442" w:rsidRPr="007640DA">
                  <w:rPr>
                    <w:rFonts w:ascii="Times New Roman" w:hAnsi="Times New Roman"/>
                  </w:rPr>
                  <w:t>Report</w:t>
                </w:r>
              </w:p>
            </w:tc>
          </w:tr>
          <w:tr w:rsidR="00C72E59" w:rsidRPr="005529DF" w:rsidTr="00C22B51">
            <w:trPr>
              <w:cantSplit/>
              <w:trHeight w:hRule="exact" w:val="3955"/>
            </w:trPr>
            <w:tc>
              <w:tcPr>
                <w:tcW w:w="8339" w:type="dxa"/>
                <w:gridSpan w:val="2"/>
              </w:tcPr>
              <w:p w:rsidR="00C72E59" w:rsidRPr="007640DA" w:rsidRDefault="00C72E59" w:rsidP="00C22B51">
                <w:pPr>
                  <w:pStyle w:val="Disclaimer"/>
                  <w:rPr>
                    <w:rFonts w:ascii="Times New Roman" w:hAnsi="Times New Roman" w:cs="Times New Roman"/>
                    <w:b/>
                  </w:rPr>
                </w:pPr>
                <w:r w:rsidRPr="007640DA">
                  <w:rPr>
                    <w:rFonts w:ascii="Times New Roman" w:hAnsi="Times New Roman" w:cs="Times New Roman"/>
                    <w:b/>
                  </w:rPr>
                  <w:t xml:space="preserve">Reliance and Disclaimer </w:t>
                </w:r>
              </w:p>
              <w:p w:rsidR="00C72E59" w:rsidRPr="007640DA" w:rsidRDefault="00C72E59" w:rsidP="00C22B51">
                <w:pPr>
                  <w:pStyle w:val="Disclaimer"/>
                  <w:rPr>
                    <w:rFonts w:ascii="Times New Roman" w:hAnsi="Times New Roman" w:cs="Times New Roman"/>
                  </w:rPr>
                </w:pPr>
                <w:r w:rsidRPr="007640DA">
                  <w:rPr>
                    <w:rFonts w:ascii="Times New Roman" w:hAnsi="Times New Roman" w:cs="Times New Roman"/>
                  </w:rPr>
                  <w:t>The professional analysis and advice in this report has been prepared by ACIL Allen Consulting for the exclusive use of the party or parties to whom it is addressed (the addressee) and for the purposes specified in it.  This report is supplied in good faith and reflects the knowledge, expertise and experience of the consultants involved.  The report must not be published, quoted or disseminated to any other party without ACIL Allen Consulting’s prior written consent.  ACIL Allen Consulting accepts no responsibility whatsoever for any loss occasioned by any person acting or refraining from action as a result of reliance on the report, other than the addressee.</w:t>
                </w:r>
              </w:p>
              <w:p w:rsidR="00C72E59" w:rsidRPr="007640DA" w:rsidRDefault="00C72E59" w:rsidP="00C22B51">
                <w:pPr>
                  <w:pStyle w:val="Disclaimer"/>
                  <w:rPr>
                    <w:rFonts w:ascii="Times New Roman" w:hAnsi="Times New Roman" w:cs="Times New Roman"/>
                  </w:rPr>
                </w:pPr>
                <w:r w:rsidRPr="007640DA">
                  <w:rPr>
                    <w:rFonts w:ascii="Times New Roman" w:hAnsi="Times New Roman" w:cs="Times New Roman"/>
                  </w:rPr>
                  <w:t>In conducting the analysis in this report ACIL Allen Consulting has endeavoured to use what it considers is the best information available at the date of publication, including information supplied by the addressee.  Unless stated otherwise, ACIL Allen Consulting does not warrant the accuracy of any forecast or PROJECTION in the report.  Although ACIL Allen Consulting exercises reasonable care when making forecasts or PROJECTIONS, factors in the process, such as future market behaviour, are inherently uncertain and cannot be forecast or PROJECTED reliably.</w:t>
                </w:r>
              </w:p>
              <w:p w:rsidR="00C72E59" w:rsidRPr="007640DA" w:rsidRDefault="00C72E59" w:rsidP="00C22B51">
                <w:pPr>
                  <w:pStyle w:val="Disclaimer"/>
                  <w:rPr>
                    <w:rFonts w:ascii="Times New Roman" w:hAnsi="Times New Roman" w:cs="Times New Roman"/>
                  </w:rPr>
                </w:pPr>
                <w:r w:rsidRPr="007640DA">
                  <w:rPr>
                    <w:rFonts w:ascii="Times New Roman" w:hAnsi="Times New Roman" w:cs="Times New Roman"/>
                  </w:rPr>
                  <w:t>ACIL Allen Consulting shall not be liable in respect of any claim arising out of the failure of a client investment to perform to the advantage of the client or to the advantage of the client to the degree suggested or assumed in any advice or forecast given by ACIL Allen Consulting.</w:t>
                </w:r>
              </w:p>
              <w:p w:rsidR="00C72E59" w:rsidRPr="007640DA" w:rsidRDefault="00C72E59" w:rsidP="00C22B51">
                <w:pPr>
                  <w:spacing w:after="40"/>
                  <w:rPr>
                    <w:rFonts w:ascii="Times New Roman" w:hAnsi="Times New Roman" w:cs="Times New Roman"/>
                    <w:caps/>
                  </w:rPr>
                </w:pPr>
                <w:r w:rsidRPr="007640DA">
                  <w:rPr>
                    <w:rFonts w:ascii="Times New Roman" w:hAnsi="Times New Roman" w:cs="Times New Roman"/>
                    <w:caps/>
                    <w:sz w:val="14"/>
                    <w:szCs w:val="16"/>
                  </w:rPr>
                  <w:t>© Acil allen consulting 2015</w:t>
                </w:r>
              </w:p>
            </w:tc>
          </w:tr>
        </w:tbl>
        <w:p w:rsidR="00C72E59" w:rsidRPr="007640DA" w:rsidRDefault="00B07965" w:rsidP="00C22B51">
          <w:pPr>
            <w:rPr>
              <w:rFonts w:ascii="Times New Roman" w:hAnsi="Times New Roman" w:cs="Times New Roman"/>
            </w:rPr>
            <w:sectPr w:rsidR="00C72E59" w:rsidRPr="007640DA" w:rsidSect="000E21BF">
              <w:headerReference w:type="default" r:id="rId11"/>
              <w:pgSz w:w="11906" w:h="16838" w:code="9"/>
              <w:pgMar w:top="1134" w:right="851" w:bottom="907" w:left="1134" w:header="709" w:footer="567" w:gutter="567"/>
              <w:pgNumType w:start="0"/>
              <w:cols w:space="708"/>
              <w:titlePg/>
              <w:docGrid w:linePitch="360"/>
            </w:sectPr>
          </w:pPr>
        </w:p>
      </w:sdtContent>
    </w:sdt>
    <w:p w:rsidR="0043641D" w:rsidRPr="005529DF" w:rsidRDefault="0043641D" w:rsidP="00A367D0">
      <w:pPr>
        <w:pStyle w:val="SpaceAbove"/>
        <w:rPr>
          <w:rFonts w:ascii="Times New Roman" w:hAnsi="Times New Roman" w:cs="Times New Roman"/>
        </w:rPr>
      </w:pPr>
    </w:p>
    <w:p w:rsidR="0043641D" w:rsidRPr="00D442BB" w:rsidRDefault="0043641D" w:rsidP="00A367D0">
      <w:pPr>
        <w:pStyle w:val="Contents"/>
        <w:rPr>
          <w:rFonts w:ascii="Times New Roman" w:hAnsi="Times New Roman"/>
        </w:rPr>
      </w:pPr>
      <w:r w:rsidRPr="00D442BB">
        <w:rPr>
          <w:rFonts w:ascii="Times New Roman" w:hAnsi="Times New Roman"/>
        </w:rPr>
        <w:t>Contents</w:t>
      </w:r>
    </w:p>
    <w:p w:rsidR="001E7659" w:rsidRPr="009C75A1" w:rsidRDefault="004D1416">
      <w:pPr>
        <w:pStyle w:val="TOC6"/>
        <w:rPr>
          <w:rFonts w:ascii="Times New Roman" w:eastAsiaTheme="minorEastAsia" w:hAnsi="Times New Roman" w:cs="Times New Roman"/>
          <w:noProof/>
          <w:lang w:eastAsia="en-AU"/>
        </w:rPr>
      </w:pPr>
      <w:r w:rsidRPr="009C75A1">
        <w:rPr>
          <w:rFonts w:ascii="Times New Roman" w:hAnsi="Times New Roman" w:cs="Times New Roman"/>
        </w:rPr>
        <w:fldChar w:fldCharType="begin"/>
      </w:r>
      <w:r w:rsidR="0043641D" w:rsidRPr="009C75A1">
        <w:rPr>
          <w:rFonts w:ascii="Times New Roman" w:hAnsi="Times New Roman" w:cs="Times New Roman"/>
        </w:rPr>
        <w:instrText xml:space="preserve"> TOC \h \z \t "Exec Summary Heading,6" </w:instrText>
      </w:r>
      <w:r w:rsidRPr="009C75A1">
        <w:rPr>
          <w:rFonts w:ascii="Times New Roman" w:hAnsi="Times New Roman" w:cs="Times New Roman"/>
        </w:rPr>
        <w:fldChar w:fldCharType="separate"/>
      </w:r>
      <w:hyperlink w:anchor="_Toc419702926" w:history="1">
        <w:r w:rsidR="001E7659" w:rsidRPr="009C75A1">
          <w:rPr>
            <w:rStyle w:val="Hyperlink"/>
            <w:rFonts w:ascii="Times New Roman" w:hAnsi="Times New Roman" w:cs="Times New Roman"/>
            <w:noProof/>
          </w:rPr>
          <w:t>Executive Summary</w:t>
        </w:r>
        <w:r w:rsidR="001E7659" w:rsidRPr="009C75A1">
          <w:rPr>
            <w:rFonts w:ascii="Times New Roman" w:hAnsi="Times New Roman" w:cs="Times New Roman"/>
            <w:noProof/>
            <w:webHidden/>
          </w:rPr>
          <w:tab/>
        </w:r>
        <w:r w:rsidRPr="009C75A1">
          <w:rPr>
            <w:rFonts w:ascii="Times New Roman" w:hAnsi="Times New Roman" w:cs="Times New Roman"/>
            <w:noProof/>
            <w:webHidden/>
          </w:rPr>
          <w:fldChar w:fldCharType="begin"/>
        </w:r>
        <w:r w:rsidR="001E7659" w:rsidRPr="009C75A1">
          <w:rPr>
            <w:rFonts w:ascii="Times New Roman" w:hAnsi="Times New Roman" w:cs="Times New Roman"/>
            <w:noProof/>
            <w:webHidden/>
          </w:rPr>
          <w:instrText xml:space="preserve"> PAGEREF _Toc419702926 \h </w:instrText>
        </w:r>
        <w:r w:rsidRPr="009C75A1">
          <w:rPr>
            <w:rFonts w:ascii="Times New Roman" w:hAnsi="Times New Roman" w:cs="Times New Roman"/>
            <w:noProof/>
            <w:webHidden/>
          </w:rPr>
        </w:r>
        <w:r w:rsidRPr="009C75A1">
          <w:rPr>
            <w:rFonts w:ascii="Times New Roman" w:hAnsi="Times New Roman" w:cs="Times New Roman"/>
            <w:noProof/>
            <w:webHidden/>
          </w:rPr>
          <w:fldChar w:fldCharType="separate"/>
        </w:r>
        <w:r w:rsidR="00B07965">
          <w:rPr>
            <w:rFonts w:ascii="Times New Roman" w:hAnsi="Times New Roman" w:cs="Times New Roman"/>
            <w:noProof/>
            <w:webHidden/>
          </w:rPr>
          <w:t>i</w:t>
        </w:r>
        <w:r w:rsidRPr="009C75A1">
          <w:rPr>
            <w:rFonts w:ascii="Times New Roman" w:hAnsi="Times New Roman" w:cs="Times New Roman"/>
            <w:noProof/>
            <w:webHidden/>
          </w:rPr>
          <w:fldChar w:fldCharType="end"/>
        </w:r>
      </w:hyperlink>
    </w:p>
    <w:p w:rsidR="0043641D" w:rsidRPr="009C75A1" w:rsidRDefault="004D1416" w:rsidP="00A367D0">
      <w:pPr>
        <w:pStyle w:val="TOC6"/>
        <w:rPr>
          <w:rFonts w:ascii="Times New Roman" w:hAnsi="Times New Roman" w:cs="Times New Roman"/>
        </w:rPr>
      </w:pPr>
      <w:r w:rsidRPr="009C75A1">
        <w:rPr>
          <w:rFonts w:ascii="Times New Roman" w:hAnsi="Times New Roman" w:cs="Times New Roman"/>
        </w:rPr>
        <w:fldChar w:fldCharType="end"/>
      </w:r>
    </w:p>
    <w:sdt>
      <w:sdtPr>
        <w:rPr>
          <w:rFonts w:ascii="Times New Roman" w:eastAsiaTheme="minorHAnsi" w:hAnsi="Times New Roman" w:cstheme="minorBidi"/>
          <w:b w:val="0"/>
          <w:smallCaps/>
          <w:noProof w:val="0"/>
          <w:color w:val="9757A6" w:themeColor="text2"/>
          <w:lang w:eastAsia="en-US"/>
        </w:rPr>
        <w:id w:val="1348597831"/>
        <w:docPartObj>
          <w:docPartGallery w:val="Table of Contents"/>
          <w:docPartUnique/>
        </w:docPartObj>
      </w:sdtPr>
      <w:sdtEndPr>
        <w:rPr>
          <w:smallCaps w:val="0"/>
          <w:color w:val="auto"/>
        </w:rPr>
      </w:sdtEndPr>
      <w:sdtContent>
        <w:p w:rsidR="001E7659" w:rsidRPr="009C75A1" w:rsidRDefault="004D1416">
          <w:pPr>
            <w:pStyle w:val="TOC1"/>
            <w:rPr>
              <w:rFonts w:ascii="Times New Roman" w:eastAsiaTheme="minorEastAsia" w:hAnsi="Times New Roman"/>
              <w:b w:val="0"/>
              <w:color w:val="auto"/>
            </w:rPr>
          </w:pPr>
          <w:r w:rsidRPr="009C75A1">
            <w:rPr>
              <w:rFonts w:ascii="Times New Roman" w:hAnsi="Times New Roman"/>
              <w:smallCaps/>
              <w:noProof w:val="0"/>
              <w:color w:val="9757A6" w:themeColor="text2"/>
            </w:rPr>
            <w:fldChar w:fldCharType="begin"/>
          </w:r>
          <w:r w:rsidR="00334872" w:rsidRPr="009C75A1">
            <w:rPr>
              <w:rFonts w:ascii="Times New Roman" w:hAnsi="Times New Roman"/>
              <w:noProof w:val="0"/>
            </w:rPr>
            <w:instrText xml:space="preserve"> TOC \h \z \t "Heading 1,1,Heading 2,2, Part,5," </w:instrText>
          </w:r>
          <w:r w:rsidRPr="009C75A1">
            <w:rPr>
              <w:rFonts w:ascii="Times New Roman" w:hAnsi="Times New Roman"/>
              <w:smallCaps/>
              <w:noProof w:val="0"/>
              <w:color w:val="9757A6" w:themeColor="text2"/>
            </w:rPr>
            <w:fldChar w:fldCharType="separate"/>
          </w:r>
          <w:hyperlink w:anchor="_Toc419702929" w:history="1">
            <w:r w:rsidR="001E7659" w:rsidRPr="009C75A1">
              <w:rPr>
                <w:rStyle w:val="Hyperlink"/>
                <w:rFonts w:ascii="Times New Roman" w:hAnsi="Times New Roman"/>
              </w:rPr>
              <w:t>1</w:t>
            </w:r>
            <w:r w:rsidR="001E7659" w:rsidRPr="009C75A1">
              <w:rPr>
                <w:rFonts w:ascii="Times New Roman" w:eastAsiaTheme="minorEastAsia" w:hAnsi="Times New Roman"/>
                <w:b w:val="0"/>
                <w:color w:val="auto"/>
              </w:rPr>
              <w:tab/>
            </w:r>
            <w:r w:rsidR="001E7659" w:rsidRPr="009C75A1">
              <w:rPr>
                <w:rStyle w:val="Hyperlink"/>
                <w:rFonts w:ascii="Times New Roman" w:hAnsi="Times New Roman"/>
              </w:rPr>
              <w:t>Introduction</w:t>
            </w:r>
            <w:r w:rsidR="001E7659" w:rsidRPr="009C75A1">
              <w:rPr>
                <w:rFonts w:ascii="Times New Roman" w:hAnsi="Times New Roman"/>
                <w:webHidden/>
              </w:rPr>
              <w:tab/>
            </w:r>
            <w:r w:rsidRPr="009C75A1">
              <w:rPr>
                <w:rFonts w:ascii="Times New Roman" w:hAnsi="Times New Roman"/>
                <w:webHidden/>
              </w:rPr>
              <w:fldChar w:fldCharType="begin"/>
            </w:r>
            <w:r w:rsidR="001E7659" w:rsidRPr="009C75A1">
              <w:rPr>
                <w:rFonts w:ascii="Times New Roman" w:hAnsi="Times New Roman"/>
                <w:webHidden/>
              </w:rPr>
              <w:instrText xml:space="preserve"> PAGEREF _Toc419702929 \h </w:instrText>
            </w:r>
            <w:r w:rsidRPr="009C75A1">
              <w:rPr>
                <w:rFonts w:ascii="Times New Roman" w:hAnsi="Times New Roman"/>
                <w:webHidden/>
              </w:rPr>
            </w:r>
            <w:r w:rsidRPr="009C75A1">
              <w:rPr>
                <w:rFonts w:ascii="Times New Roman" w:hAnsi="Times New Roman"/>
                <w:webHidden/>
              </w:rPr>
              <w:fldChar w:fldCharType="separate"/>
            </w:r>
            <w:r w:rsidR="00B07965">
              <w:rPr>
                <w:rFonts w:ascii="Times New Roman" w:hAnsi="Times New Roman"/>
                <w:webHidden/>
              </w:rPr>
              <w:t>1</w:t>
            </w:r>
            <w:r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30" w:history="1">
            <w:r w:rsidR="001E7659" w:rsidRPr="009C75A1">
              <w:rPr>
                <w:rStyle w:val="Hyperlink"/>
                <w:rFonts w:ascii="Times New Roman" w:hAnsi="Times New Roman"/>
              </w:rPr>
              <w:t>1.1</w:t>
            </w:r>
            <w:r w:rsidR="001E7659" w:rsidRPr="009C75A1">
              <w:rPr>
                <w:rFonts w:ascii="Times New Roman" w:eastAsiaTheme="minorEastAsia" w:hAnsi="Times New Roman"/>
                <w:szCs w:val="22"/>
              </w:rPr>
              <w:tab/>
            </w:r>
            <w:r w:rsidR="001E7659" w:rsidRPr="009C75A1">
              <w:rPr>
                <w:rStyle w:val="Hyperlink"/>
                <w:rFonts w:ascii="Times New Roman" w:hAnsi="Times New Roman"/>
              </w:rPr>
              <w:t>The review</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_Toc419702930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1</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31" w:history="1">
            <w:r w:rsidR="001E7659" w:rsidRPr="009C75A1">
              <w:rPr>
                <w:rStyle w:val="Hyperlink"/>
                <w:rFonts w:ascii="Times New Roman" w:hAnsi="Times New Roman"/>
              </w:rPr>
              <w:t>1.2</w:t>
            </w:r>
            <w:r w:rsidR="001E7659" w:rsidRPr="009C75A1">
              <w:rPr>
                <w:rFonts w:ascii="Times New Roman" w:eastAsiaTheme="minorEastAsia" w:hAnsi="Times New Roman"/>
                <w:szCs w:val="22"/>
              </w:rPr>
              <w:tab/>
            </w:r>
            <w:r w:rsidR="001E7659" w:rsidRPr="009C75A1">
              <w:rPr>
                <w:rStyle w:val="Hyperlink"/>
                <w:rFonts w:ascii="Times New Roman" w:hAnsi="Times New Roman"/>
              </w:rPr>
              <w:t>Project methodology</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_Toc419702931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2</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32" w:history="1">
            <w:r w:rsidR="001E7659" w:rsidRPr="009C75A1">
              <w:rPr>
                <w:rStyle w:val="Hyperlink"/>
                <w:rFonts w:ascii="Times New Roman" w:hAnsi="Times New Roman"/>
              </w:rPr>
              <w:t>1.3</w:t>
            </w:r>
            <w:r w:rsidR="001E7659" w:rsidRPr="009C75A1">
              <w:rPr>
                <w:rFonts w:ascii="Times New Roman" w:eastAsiaTheme="minorEastAsia" w:hAnsi="Times New Roman"/>
                <w:szCs w:val="22"/>
              </w:rPr>
              <w:tab/>
            </w:r>
            <w:r w:rsidR="001E7659" w:rsidRPr="009C75A1">
              <w:rPr>
                <w:rStyle w:val="Hyperlink"/>
                <w:rFonts w:ascii="Times New Roman" w:hAnsi="Times New Roman"/>
              </w:rPr>
              <w:t>This report</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_Toc419702932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3</w:t>
            </w:r>
            <w:r w:rsidR="004D1416" w:rsidRPr="009C75A1">
              <w:rPr>
                <w:rFonts w:ascii="Times New Roman" w:hAnsi="Times New Roman"/>
                <w:webHidden/>
              </w:rPr>
              <w:fldChar w:fldCharType="end"/>
            </w:r>
          </w:hyperlink>
        </w:p>
        <w:p w:rsidR="001E7659" w:rsidRPr="009C75A1" w:rsidRDefault="00B07965">
          <w:pPr>
            <w:pStyle w:val="TOC1"/>
            <w:rPr>
              <w:rFonts w:ascii="Times New Roman" w:eastAsiaTheme="minorEastAsia" w:hAnsi="Times New Roman"/>
              <w:b w:val="0"/>
              <w:color w:val="auto"/>
            </w:rPr>
          </w:pPr>
          <w:hyperlink w:anchor="_Toc419702933" w:history="1">
            <w:r w:rsidR="001E7659" w:rsidRPr="009C75A1">
              <w:rPr>
                <w:rStyle w:val="Hyperlink"/>
                <w:rFonts w:ascii="Times New Roman" w:hAnsi="Times New Roman"/>
              </w:rPr>
              <w:t>2</w:t>
            </w:r>
            <w:r w:rsidR="001E7659" w:rsidRPr="009C75A1">
              <w:rPr>
                <w:rFonts w:ascii="Times New Roman" w:eastAsiaTheme="minorEastAsia" w:hAnsi="Times New Roman"/>
                <w:b w:val="0"/>
                <w:color w:val="auto"/>
              </w:rPr>
              <w:tab/>
            </w:r>
            <w:r w:rsidR="001E7659" w:rsidRPr="009C75A1">
              <w:rPr>
                <w:rStyle w:val="Hyperlink"/>
                <w:rFonts w:ascii="Times New Roman" w:hAnsi="Times New Roman"/>
              </w:rPr>
              <w:t>The regulatory context</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_Toc419702933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4</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34" w:history="1">
            <w:r w:rsidR="001E7659" w:rsidRPr="009C75A1">
              <w:rPr>
                <w:rStyle w:val="Hyperlink"/>
                <w:rFonts w:ascii="Times New Roman" w:hAnsi="Times New Roman"/>
              </w:rPr>
              <w:t>2.1</w:t>
            </w:r>
            <w:r w:rsidR="001E7659" w:rsidRPr="009C75A1">
              <w:rPr>
                <w:rFonts w:ascii="Times New Roman" w:eastAsiaTheme="minorEastAsia" w:hAnsi="Times New Roman"/>
                <w:szCs w:val="22"/>
              </w:rPr>
              <w:tab/>
            </w:r>
            <w:r w:rsidR="001E7659" w:rsidRPr="009C75A1">
              <w:rPr>
                <w:rStyle w:val="Hyperlink"/>
                <w:rFonts w:ascii="Times New Roman" w:hAnsi="Times New Roman"/>
              </w:rPr>
              <w:t>The National Scheme</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_Toc419702934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4</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36" w:history="1">
            <w:r w:rsidR="001E7659" w:rsidRPr="009C75A1">
              <w:rPr>
                <w:rStyle w:val="Hyperlink"/>
                <w:rFonts w:ascii="Times New Roman" w:hAnsi="Times New Roman"/>
              </w:rPr>
              <w:t>2.2</w:t>
            </w:r>
            <w:r w:rsidR="001E7659" w:rsidRPr="009C75A1">
              <w:rPr>
                <w:rFonts w:ascii="Times New Roman" w:eastAsiaTheme="minorEastAsia" w:hAnsi="Times New Roman"/>
                <w:szCs w:val="22"/>
              </w:rPr>
              <w:tab/>
            </w:r>
            <w:r w:rsidR="001E7659" w:rsidRPr="009C75A1">
              <w:rPr>
                <w:rStyle w:val="Hyperlink"/>
                <w:rFonts w:ascii="Times New Roman" w:hAnsi="Times New Roman"/>
              </w:rPr>
              <w:t>Functions of the NMBA</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_Toc419702936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4</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37" w:history="1">
            <w:r w:rsidR="001E7659" w:rsidRPr="009C75A1">
              <w:rPr>
                <w:rStyle w:val="Hyperlink"/>
                <w:rFonts w:ascii="Times New Roman" w:hAnsi="Times New Roman"/>
              </w:rPr>
              <w:t>2.3</w:t>
            </w:r>
            <w:r w:rsidR="001E7659" w:rsidRPr="009C75A1">
              <w:rPr>
                <w:rFonts w:ascii="Times New Roman" w:eastAsiaTheme="minorEastAsia" w:hAnsi="Times New Roman"/>
                <w:szCs w:val="22"/>
              </w:rPr>
              <w:tab/>
            </w:r>
            <w:r w:rsidR="001E7659" w:rsidRPr="009C75A1">
              <w:rPr>
                <w:rStyle w:val="Hyperlink"/>
                <w:rFonts w:ascii="Times New Roman" w:hAnsi="Times New Roman"/>
              </w:rPr>
              <w:t>Regulatory role in relation to impairment</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_Toc419702937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5</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38" w:history="1">
            <w:r w:rsidR="001E7659" w:rsidRPr="009C75A1">
              <w:rPr>
                <w:rStyle w:val="Hyperlink"/>
                <w:rFonts w:ascii="Times New Roman" w:hAnsi="Times New Roman"/>
              </w:rPr>
              <w:t>2.4</w:t>
            </w:r>
            <w:r w:rsidR="001E7659" w:rsidRPr="009C75A1">
              <w:rPr>
                <w:rFonts w:ascii="Times New Roman" w:eastAsiaTheme="minorEastAsia" w:hAnsi="Times New Roman"/>
                <w:szCs w:val="22"/>
              </w:rPr>
              <w:tab/>
            </w:r>
            <w:r w:rsidR="001E7659" w:rsidRPr="009C75A1">
              <w:rPr>
                <w:rStyle w:val="Hyperlink"/>
                <w:rFonts w:ascii="Times New Roman" w:hAnsi="Times New Roman"/>
              </w:rPr>
              <w:t>Mandatory notification</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_Toc419702938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6</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39" w:history="1">
            <w:r w:rsidR="001E7659" w:rsidRPr="009C75A1">
              <w:rPr>
                <w:rStyle w:val="Hyperlink"/>
                <w:rFonts w:ascii="Times New Roman" w:hAnsi="Times New Roman"/>
              </w:rPr>
              <w:t>2.5</w:t>
            </w:r>
            <w:r w:rsidR="001E7659" w:rsidRPr="009C75A1">
              <w:rPr>
                <w:rFonts w:ascii="Times New Roman" w:eastAsiaTheme="minorEastAsia" w:hAnsi="Times New Roman"/>
                <w:szCs w:val="22"/>
              </w:rPr>
              <w:tab/>
            </w:r>
            <w:r w:rsidR="001E7659" w:rsidRPr="009C75A1">
              <w:rPr>
                <w:rStyle w:val="Hyperlink"/>
                <w:rFonts w:ascii="Times New Roman" w:hAnsi="Times New Roman"/>
              </w:rPr>
              <w:t>Regulatory role in delivery national health services</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_Toc419702939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7</w:t>
            </w:r>
            <w:r w:rsidR="004D1416" w:rsidRPr="009C75A1">
              <w:rPr>
                <w:rFonts w:ascii="Times New Roman" w:hAnsi="Times New Roman"/>
                <w:webHidden/>
              </w:rPr>
              <w:fldChar w:fldCharType="end"/>
            </w:r>
          </w:hyperlink>
        </w:p>
        <w:p w:rsidR="001E7659" w:rsidRPr="009C75A1" w:rsidRDefault="00B07965">
          <w:pPr>
            <w:pStyle w:val="TOC1"/>
            <w:rPr>
              <w:rFonts w:ascii="Times New Roman" w:eastAsiaTheme="minorEastAsia" w:hAnsi="Times New Roman"/>
              <w:b w:val="0"/>
              <w:color w:val="auto"/>
            </w:rPr>
          </w:pPr>
          <w:hyperlink w:anchor="_Toc419702941" w:history="1">
            <w:r w:rsidR="001E7659" w:rsidRPr="009C75A1">
              <w:rPr>
                <w:rStyle w:val="Hyperlink"/>
                <w:rFonts w:ascii="Times New Roman" w:hAnsi="Times New Roman"/>
              </w:rPr>
              <w:t>3</w:t>
            </w:r>
            <w:r w:rsidR="001E7659" w:rsidRPr="009C75A1">
              <w:rPr>
                <w:rFonts w:ascii="Times New Roman" w:eastAsiaTheme="minorEastAsia" w:hAnsi="Times New Roman"/>
                <w:b w:val="0"/>
                <w:color w:val="auto"/>
              </w:rPr>
              <w:tab/>
            </w:r>
            <w:r w:rsidR="001E7659" w:rsidRPr="009C75A1">
              <w:rPr>
                <w:rStyle w:val="Hyperlink"/>
                <w:rFonts w:ascii="Times New Roman" w:hAnsi="Times New Roman"/>
              </w:rPr>
              <w:t>Current arrangements</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_Toc419702941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8</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42" w:history="1">
            <w:r w:rsidR="001E7659" w:rsidRPr="009C75A1">
              <w:rPr>
                <w:rStyle w:val="Hyperlink"/>
                <w:rFonts w:ascii="Times New Roman" w:hAnsi="Times New Roman"/>
              </w:rPr>
              <w:t>3.1</w:t>
            </w:r>
            <w:r w:rsidR="001E7659" w:rsidRPr="009C75A1">
              <w:rPr>
                <w:rFonts w:ascii="Times New Roman" w:eastAsiaTheme="minorEastAsia" w:hAnsi="Times New Roman"/>
                <w:szCs w:val="22"/>
              </w:rPr>
              <w:tab/>
            </w:r>
            <w:r w:rsidR="001E7659" w:rsidRPr="009C75A1">
              <w:rPr>
                <w:rStyle w:val="Hyperlink"/>
                <w:rFonts w:ascii="Times New Roman" w:hAnsi="Times New Roman"/>
              </w:rPr>
              <w:t>Management of impairment</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_Toc419702942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8</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43" w:history="1">
            <w:r w:rsidR="001E7659" w:rsidRPr="009C75A1">
              <w:rPr>
                <w:rStyle w:val="Hyperlink"/>
                <w:rFonts w:ascii="Times New Roman" w:hAnsi="Times New Roman"/>
              </w:rPr>
              <w:t>3.2</w:t>
            </w:r>
            <w:r w:rsidR="001E7659" w:rsidRPr="009C75A1">
              <w:rPr>
                <w:rFonts w:ascii="Times New Roman" w:eastAsiaTheme="minorEastAsia" w:hAnsi="Times New Roman"/>
                <w:szCs w:val="22"/>
              </w:rPr>
              <w:tab/>
            </w:r>
            <w:r w:rsidR="001E7659" w:rsidRPr="009C75A1">
              <w:rPr>
                <w:rStyle w:val="Hyperlink"/>
                <w:rFonts w:ascii="Times New Roman" w:hAnsi="Times New Roman"/>
              </w:rPr>
              <w:t>Supporting impairment</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_Toc419702943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15</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44" w:history="1">
            <w:r w:rsidR="001E7659" w:rsidRPr="009C75A1">
              <w:rPr>
                <w:rStyle w:val="Hyperlink"/>
                <w:rFonts w:ascii="Times New Roman" w:hAnsi="Times New Roman"/>
              </w:rPr>
              <w:t>3.3</w:t>
            </w:r>
            <w:r w:rsidR="001E7659" w:rsidRPr="009C75A1">
              <w:rPr>
                <w:rFonts w:ascii="Times New Roman" w:eastAsiaTheme="minorEastAsia" w:hAnsi="Times New Roman"/>
                <w:szCs w:val="22"/>
              </w:rPr>
              <w:tab/>
            </w:r>
            <w:r w:rsidR="001E7659" w:rsidRPr="009C75A1">
              <w:rPr>
                <w:rStyle w:val="Hyperlink"/>
                <w:rFonts w:ascii="Times New Roman" w:hAnsi="Times New Roman"/>
              </w:rPr>
              <w:t>The specific needs of nurses and midwives</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_Toc419702944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17</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45" w:history="1">
            <w:r w:rsidR="001E7659" w:rsidRPr="009C75A1">
              <w:rPr>
                <w:rStyle w:val="Hyperlink"/>
                <w:rFonts w:ascii="Times New Roman" w:hAnsi="Times New Roman"/>
              </w:rPr>
              <w:t>3.4</w:t>
            </w:r>
            <w:r w:rsidR="001E7659" w:rsidRPr="009C75A1">
              <w:rPr>
                <w:rFonts w:ascii="Times New Roman" w:eastAsiaTheme="minorEastAsia" w:hAnsi="Times New Roman"/>
                <w:szCs w:val="22"/>
              </w:rPr>
              <w:tab/>
            </w:r>
            <w:r w:rsidR="001E7659" w:rsidRPr="009C75A1">
              <w:rPr>
                <w:rStyle w:val="Hyperlink"/>
                <w:rFonts w:ascii="Times New Roman" w:hAnsi="Times New Roman"/>
              </w:rPr>
              <w:t>Regulatory considerations</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_Toc419702945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19</w:t>
            </w:r>
            <w:r w:rsidR="004D1416" w:rsidRPr="009C75A1">
              <w:rPr>
                <w:rFonts w:ascii="Times New Roman" w:hAnsi="Times New Roman"/>
                <w:webHidden/>
              </w:rPr>
              <w:fldChar w:fldCharType="end"/>
            </w:r>
          </w:hyperlink>
        </w:p>
        <w:p w:rsidR="001E7659" w:rsidRPr="009C75A1" w:rsidRDefault="00B07965">
          <w:pPr>
            <w:pStyle w:val="TOC1"/>
            <w:rPr>
              <w:rFonts w:ascii="Times New Roman" w:eastAsiaTheme="minorEastAsia" w:hAnsi="Times New Roman"/>
              <w:b w:val="0"/>
              <w:color w:val="auto"/>
            </w:rPr>
          </w:pPr>
          <w:hyperlink w:anchor="_Toc419702947" w:history="1">
            <w:r w:rsidR="001E7659" w:rsidRPr="009C75A1">
              <w:rPr>
                <w:rStyle w:val="Hyperlink"/>
                <w:rFonts w:ascii="Times New Roman" w:hAnsi="Times New Roman"/>
              </w:rPr>
              <w:t>4</w:t>
            </w:r>
            <w:r w:rsidR="001E7659" w:rsidRPr="009C75A1">
              <w:rPr>
                <w:rFonts w:ascii="Times New Roman" w:eastAsiaTheme="minorEastAsia" w:hAnsi="Times New Roman"/>
                <w:b w:val="0"/>
                <w:color w:val="auto"/>
              </w:rPr>
              <w:tab/>
            </w:r>
            <w:r w:rsidR="001E7659" w:rsidRPr="009C75A1">
              <w:rPr>
                <w:rStyle w:val="Hyperlink"/>
                <w:rFonts w:ascii="Times New Roman" w:hAnsi="Times New Roman"/>
              </w:rPr>
              <w:t>Potential enhancements</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_Toc419702947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21</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48" w:history="1">
            <w:r w:rsidR="001E7659" w:rsidRPr="009C75A1">
              <w:rPr>
                <w:rStyle w:val="Hyperlink"/>
                <w:rFonts w:ascii="Times New Roman" w:hAnsi="Times New Roman"/>
              </w:rPr>
              <w:t>4.1</w:t>
            </w:r>
            <w:r w:rsidR="001E7659" w:rsidRPr="009C75A1">
              <w:rPr>
                <w:rFonts w:ascii="Times New Roman" w:eastAsiaTheme="minorEastAsia" w:hAnsi="Times New Roman"/>
                <w:szCs w:val="22"/>
              </w:rPr>
              <w:tab/>
            </w:r>
            <w:r w:rsidR="001E7659" w:rsidRPr="009C75A1">
              <w:rPr>
                <w:rStyle w:val="Hyperlink"/>
                <w:rFonts w:ascii="Times New Roman" w:hAnsi="Times New Roman"/>
              </w:rPr>
              <w:t>Risks of impairment</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_Toc419702948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21</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49" w:history="1">
            <w:r w:rsidR="001E7659" w:rsidRPr="009C75A1">
              <w:rPr>
                <w:rStyle w:val="Hyperlink"/>
                <w:rFonts w:ascii="Times New Roman" w:hAnsi="Times New Roman"/>
              </w:rPr>
              <w:t>4.2</w:t>
            </w:r>
            <w:r w:rsidR="001E7659" w:rsidRPr="009C75A1">
              <w:rPr>
                <w:rFonts w:ascii="Times New Roman" w:eastAsiaTheme="minorEastAsia" w:hAnsi="Times New Roman"/>
                <w:szCs w:val="22"/>
              </w:rPr>
              <w:tab/>
            </w:r>
            <w:r w:rsidR="001E7659" w:rsidRPr="009C75A1">
              <w:rPr>
                <w:rStyle w:val="Hyperlink"/>
                <w:rFonts w:ascii="Times New Roman" w:hAnsi="Times New Roman"/>
              </w:rPr>
              <w:t>Areas for attention</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_Toc419702949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22</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50" w:history="1">
            <w:r w:rsidR="001E7659" w:rsidRPr="009C75A1">
              <w:rPr>
                <w:rStyle w:val="Hyperlink"/>
                <w:rFonts w:ascii="Times New Roman" w:hAnsi="Times New Roman"/>
              </w:rPr>
              <w:t>4.3</w:t>
            </w:r>
            <w:r w:rsidR="001E7659" w:rsidRPr="009C75A1">
              <w:rPr>
                <w:rFonts w:ascii="Times New Roman" w:eastAsiaTheme="minorEastAsia" w:hAnsi="Times New Roman"/>
                <w:szCs w:val="22"/>
              </w:rPr>
              <w:tab/>
            </w:r>
            <w:r w:rsidR="001E7659" w:rsidRPr="009C75A1">
              <w:rPr>
                <w:rStyle w:val="Hyperlink"/>
                <w:rFonts w:ascii="Times New Roman" w:hAnsi="Times New Roman"/>
              </w:rPr>
              <w:t>Potential stakeholder roles</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_Toc419702950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25</w:t>
            </w:r>
            <w:r w:rsidR="004D1416" w:rsidRPr="009C75A1">
              <w:rPr>
                <w:rFonts w:ascii="Times New Roman" w:hAnsi="Times New Roman"/>
                <w:webHidden/>
              </w:rPr>
              <w:fldChar w:fldCharType="end"/>
            </w:r>
          </w:hyperlink>
        </w:p>
        <w:p w:rsidR="001E7659" w:rsidRPr="009C75A1" w:rsidRDefault="00B07965">
          <w:pPr>
            <w:pStyle w:val="TOC2"/>
            <w:rPr>
              <w:rFonts w:ascii="Times New Roman" w:eastAsiaTheme="minorEastAsia" w:hAnsi="Times New Roman"/>
              <w:szCs w:val="22"/>
            </w:rPr>
          </w:pPr>
          <w:hyperlink w:anchor="_Toc419702951" w:history="1">
            <w:r w:rsidR="001E7659" w:rsidRPr="009C75A1">
              <w:rPr>
                <w:rStyle w:val="Hyperlink"/>
                <w:rFonts w:ascii="Times New Roman" w:hAnsi="Times New Roman"/>
              </w:rPr>
              <w:t>4.4</w:t>
            </w:r>
            <w:r w:rsidR="001E7659" w:rsidRPr="009C75A1">
              <w:rPr>
                <w:rFonts w:ascii="Times New Roman" w:eastAsiaTheme="minorEastAsia" w:hAnsi="Times New Roman"/>
                <w:szCs w:val="22"/>
              </w:rPr>
              <w:tab/>
            </w:r>
            <w:r w:rsidR="001E7659" w:rsidRPr="009C75A1">
              <w:rPr>
                <w:rStyle w:val="Hyperlink"/>
                <w:rFonts w:ascii="Times New Roman" w:hAnsi="Times New Roman"/>
              </w:rPr>
              <w:t>Financial considerations</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_Toc419702951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30</w:t>
            </w:r>
            <w:r w:rsidR="004D1416" w:rsidRPr="009C75A1">
              <w:rPr>
                <w:rFonts w:ascii="Times New Roman" w:hAnsi="Times New Roman"/>
                <w:webHidden/>
              </w:rPr>
              <w:fldChar w:fldCharType="end"/>
            </w:r>
          </w:hyperlink>
        </w:p>
        <w:p w:rsidR="001E7659" w:rsidRPr="009C75A1" w:rsidRDefault="00B07965">
          <w:pPr>
            <w:pStyle w:val="TOC1"/>
            <w:rPr>
              <w:rFonts w:ascii="Times New Roman" w:eastAsiaTheme="minorEastAsia" w:hAnsi="Times New Roman"/>
              <w:b w:val="0"/>
              <w:color w:val="auto"/>
            </w:rPr>
          </w:pPr>
          <w:hyperlink w:anchor="_Toc419702952" w:history="1">
            <w:r w:rsidR="001E7659" w:rsidRPr="009C75A1">
              <w:rPr>
                <w:rStyle w:val="Hyperlink"/>
                <w:rFonts w:ascii="Times New Roman" w:hAnsi="Times New Roman"/>
              </w:rPr>
              <w:t>5</w:t>
            </w:r>
            <w:r w:rsidR="001E7659" w:rsidRPr="009C75A1">
              <w:rPr>
                <w:rFonts w:ascii="Times New Roman" w:eastAsiaTheme="minorEastAsia" w:hAnsi="Times New Roman"/>
                <w:b w:val="0"/>
                <w:color w:val="auto"/>
              </w:rPr>
              <w:tab/>
            </w:r>
            <w:r w:rsidR="001E7659" w:rsidRPr="009C75A1">
              <w:rPr>
                <w:rStyle w:val="Hyperlink"/>
                <w:rFonts w:ascii="Times New Roman" w:hAnsi="Times New Roman"/>
              </w:rPr>
              <w:t>Conclusion</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_Toc419702952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33</w:t>
            </w:r>
            <w:r w:rsidR="004D1416" w:rsidRPr="009C75A1">
              <w:rPr>
                <w:rFonts w:ascii="Times New Roman" w:hAnsi="Times New Roman"/>
                <w:webHidden/>
              </w:rPr>
              <w:fldChar w:fldCharType="end"/>
            </w:r>
          </w:hyperlink>
        </w:p>
        <w:p w:rsidR="001E7659" w:rsidRPr="009C75A1" w:rsidRDefault="00B07965">
          <w:pPr>
            <w:pStyle w:val="TOC1"/>
            <w:rPr>
              <w:rFonts w:ascii="Times New Roman" w:eastAsiaTheme="minorEastAsia" w:hAnsi="Times New Roman"/>
              <w:b w:val="0"/>
              <w:color w:val="auto"/>
            </w:rPr>
          </w:pPr>
          <w:hyperlink w:anchor="_Toc419702953" w:history="1">
            <w:r w:rsidR="001E7659" w:rsidRPr="009C75A1">
              <w:rPr>
                <w:rStyle w:val="Hyperlink"/>
                <w:rFonts w:ascii="Times New Roman" w:hAnsi="Times New Roman"/>
              </w:rPr>
              <w:t>References</w:t>
            </w:r>
            <w:r w:rsidR="001E7659" w:rsidRPr="009C75A1">
              <w:rPr>
                <w:rFonts w:ascii="Times New Roman" w:hAnsi="Times New Roman"/>
                <w:webHidden/>
              </w:rPr>
              <w:tab/>
            </w:r>
            <w:r w:rsidR="004D1416" w:rsidRPr="009C75A1">
              <w:rPr>
                <w:rFonts w:ascii="Times New Roman" w:hAnsi="Times New Roman"/>
                <w:webHidden/>
              </w:rPr>
              <w:fldChar w:fldCharType="begin"/>
            </w:r>
            <w:r w:rsidR="001E7659" w:rsidRPr="009C75A1">
              <w:rPr>
                <w:rFonts w:ascii="Times New Roman" w:hAnsi="Times New Roman"/>
                <w:webHidden/>
              </w:rPr>
              <w:instrText xml:space="preserve"> PAGEREF _Toc419702953 \h </w:instrText>
            </w:r>
            <w:r w:rsidR="004D1416" w:rsidRPr="009C75A1">
              <w:rPr>
                <w:rFonts w:ascii="Times New Roman" w:hAnsi="Times New Roman"/>
                <w:webHidden/>
              </w:rPr>
            </w:r>
            <w:r w:rsidR="004D1416" w:rsidRPr="009C75A1">
              <w:rPr>
                <w:rFonts w:ascii="Times New Roman" w:hAnsi="Times New Roman"/>
                <w:webHidden/>
              </w:rPr>
              <w:fldChar w:fldCharType="separate"/>
            </w:r>
            <w:r>
              <w:rPr>
                <w:rFonts w:ascii="Times New Roman" w:hAnsi="Times New Roman"/>
                <w:webHidden/>
              </w:rPr>
              <w:t>36</w:t>
            </w:r>
            <w:r w:rsidR="004D1416" w:rsidRPr="009C75A1">
              <w:rPr>
                <w:rFonts w:ascii="Times New Roman" w:hAnsi="Times New Roman"/>
                <w:webHidden/>
              </w:rPr>
              <w:fldChar w:fldCharType="end"/>
            </w:r>
          </w:hyperlink>
        </w:p>
        <w:p w:rsidR="00101733" w:rsidRPr="009C75A1" w:rsidRDefault="004D1416">
          <w:pPr>
            <w:pStyle w:val="TOC7"/>
            <w:rPr>
              <w:rFonts w:ascii="Times New Roman" w:hAnsi="Times New Roman" w:cs="Times New Roman"/>
              <w:noProof w:val="0"/>
              <w:szCs w:val="24"/>
            </w:rPr>
          </w:pPr>
          <w:r w:rsidRPr="009C75A1">
            <w:rPr>
              <w:rFonts w:ascii="Times New Roman" w:hAnsi="Times New Roman" w:cs="Times New Roman"/>
              <w:noProof w:val="0"/>
            </w:rPr>
            <w:fldChar w:fldCharType="end"/>
          </w:r>
        </w:p>
      </w:sdtContent>
    </w:sdt>
    <w:p w:rsidR="00101733" w:rsidRPr="009C75A1" w:rsidRDefault="00101733">
      <w:pPr>
        <w:pStyle w:val="TOC7"/>
        <w:rPr>
          <w:rFonts w:ascii="Times New Roman" w:hAnsi="Times New Roman" w:cs="Times New Roman"/>
          <w:noProof w:val="0"/>
          <w:szCs w:val="24"/>
        </w:rPr>
      </w:pPr>
    </w:p>
    <w:p w:rsidR="001E7659" w:rsidRPr="009C75A1" w:rsidRDefault="004D1416">
      <w:pPr>
        <w:pStyle w:val="TOC7"/>
        <w:rPr>
          <w:rFonts w:ascii="Times New Roman" w:eastAsiaTheme="minorEastAsia" w:hAnsi="Times New Roman" w:cs="Times New Roman"/>
          <w:lang w:eastAsia="en-AU"/>
        </w:rPr>
      </w:pPr>
      <w:r w:rsidRPr="009C75A1">
        <w:rPr>
          <w:rFonts w:ascii="Times New Roman" w:hAnsi="Times New Roman" w:cs="Times New Roman"/>
          <w:noProof w:val="0"/>
          <w:szCs w:val="24"/>
        </w:rPr>
        <w:fldChar w:fldCharType="begin"/>
      </w:r>
      <w:r w:rsidR="0043641D" w:rsidRPr="009C75A1">
        <w:rPr>
          <w:rFonts w:ascii="Times New Roman" w:hAnsi="Times New Roman" w:cs="Times New Roman"/>
          <w:noProof w:val="0"/>
        </w:rPr>
        <w:instrText xml:space="preserve"> TOC \o "7-7" \h \z </w:instrText>
      </w:r>
      <w:r w:rsidRPr="009C75A1">
        <w:rPr>
          <w:rFonts w:ascii="Times New Roman" w:hAnsi="Times New Roman" w:cs="Times New Roman"/>
          <w:noProof w:val="0"/>
          <w:szCs w:val="24"/>
        </w:rPr>
        <w:fldChar w:fldCharType="separate"/>
      </w:r>
      <w:hyperlink w:anchor="_Toc419702954" w:history="1">
        <w:r w:rsidR="001E7659" w:rsidRPr="009C75A1">
          <w:rPr>
            <w:rStyle w:val="Hyperlink"/>
            <w:rFonts w:ascii="Times New Roman" w:hAnsi="Times New Roman" w:cs="Times New Roman"/>
          </w:rPr>
          <w:t>Appendix A</w:t>
        </w:r>
        <w:r w:rsidR="001E7659" w:rsidRPr="009C75A1">
          <w:rPr>
            <w:rFonts w:ascii="Times New Roman" w:eastAsiaTheme="minorEastAsia" w:hAnsi="Times New Roman" w:cs="Times New Roman"/>
            <w:lang w:eastAsia="en-AU"/>
          </w:rPr>
          <w:tab/>
        </w:r>
        <w:r w:rsidR="001E7659" w:rsidRPr="009C75A1">
          <w:rPr>
            <w:rStyle w:val="Hyperlink"/>
            <w:rFonts w:ascii="Times New Roman" w:hAnsi="Times New Roman" w:cs="Times New Roman"/>
          </w:rPr>
          <w:t>Stakeholder organisations interviewed</w:t>
        </w:r>
        <w:r w:rsidR="001E7659" w:rsidRPr="009C75A1">
          <w:rPr>
            <w:rFonts w:ascii="Times New Roman" w:hAnsi="Times New Roman" w:cs="Times New Roman"/>
            <w:webHidden/>
          </w:rPr>
          <w:tab/>
        </w:r>
        <w:r w:rsidRPr="009C75A1">
          <w:rPr>
            <w:rFonts w:ascii="Times New Roman" w:hAnsi="Times New Roman" w:cs="Times New Roman"/>
            <w:webHidden/>
          </w:rPr>
          <w:fldChar w:fldCharType="begin"/>
        </w:r>
        <w:r w:rsidR="001E7659" w:rsidRPr="009C75A1">
          <w:rPr>
            <w:rFonts w:ascii="Times New Roman" w:hAnsi="Times New Roman" w:cs="Times New Roman"/>
            <w:webHidden/>
          </w:rPr>
          <w:instrText xml:space="preserve"> PAGEREF _Toc419702954 \h </w:instrText>
        </w:r>
        <w:r w:rsidRPr="009C75A1">
          <w:rPr>
            <w:rFonts w:ascii="Times New Roman" w:hAnsi="Times New Roman" w:cs="Times New Roman"/>
            <w:webHidden/>
          </w:rPr>
        </w:r>
        <w:r w:rsidRPr="009C75A1">
          <w:rPr>
            <w:rFonts w:ascii="Times New Roman" w:hAnsi="Times New Roman" w:cs="Times New Roman"/>
            <w:webHidden/>
          </w:rPr>
          <w:fldChar w:fldCharType="separate"/>
        </w:r>
        <w:r w:rsidR="00B07965">
          <w:rPr>
            <w:rFonts w:ascii="Times New Roman" w:hAnsi="Times New Roman" w:cs="Times New Roman"/>
            <w:webHidden/>
          </w:rPr>
          <w:t>41</w:t>
        </w:r>
        <w:r w:rsidRPr="009C75A1">
          <w:rPr>
            <w:rFonts w:ascii="Times New Roman" w:hAnsi="Times New Roman" w:cs="Times New Roman"/>
            <w:webHidden/>
          </w:rPr>
          <w:fldChar w:fldCharType="end"/>
        </w:r>
      </w:hyperlink>
    </w:p>
    <w:p w:rsidR="001E7659" w:rsidRPr="009C75A1" w:rsidRDefault="00B07965">
      <w:pPr>
        <w:pStyle w:val="TOC7"/>
        <w:rPr>
          <w:rFonts w:ascii="Times New Roman" w:eastAsiaTheme="minorEastAsia" w:hAnsi="Times New Roman" w:cs="Times New Roman"/>
          <w:lang w:eastAsia="en-AU"/>
        </w:rPr>
      </w:pPr>
      <w:hyperlink w:anchor="_Toc419702955" w:history="1">
        <w:r w:rsidR="001E7659" w:rsidRPr="009C75A1">
          <w:rPr>
            <w:rStyle w:val="Hyperlink"/>
            <w:rFonts w:ascii="Times New Roman" w:hAnsi="Times New Roman" w:cs="Times New Roman"/>
          </w:rPr>
          <w:t>Appendix B</w:t>
        </w:r>
        <w:r w:rsidR="001E7659" w:rsidRPr="009C75A1">
          <w:rPr>
            <w:rFonts w:ascii="Times New Roman" w:eastAsiaTheme="minorEastAsia" w:hAnsi="Times New Roman" w:cs="Times New Roman"/>
            <w:lang w:eastAsia="en-AU"/>
          </w:rPr>
          <w:tab/>
        </w:r>
        <w:r w:rsidR="001E7659" w:rsidRPr="009C75A1">
          <w:rPr>
            <w:rStyle w:val="Hyperlink"/>
            <w:rFonts w:ascii="Times New Roman" w:hAnsi="Times New Roman" w:cs="Times New Roman"/>
          </w:rPr>
          <w:t>Health support services</w:t>
        </w:r>
        <w:r w:rsidR="001E7659" w:rsidRPr="009C75A1">
          <w:rPr>
            <w:rFonts w:ascii="Times New Roman" w:hAnsi="Times New Roman" w:cs="Times New Roman"/>
            <w:webHidden/>
          </w:rPr>
          <w:tab/>
        </w:r>
        <w:r w:rsidR="004D1416" w:rsidRPr="009C75A1">
          <w:rPr>
            <w:rFonts w:ascii="Times New Roman" w:hAnsi="Times New Roman" w:cs="Times New Roman"/>
            <w:webHidden/>
          </w:rPr>
          <w:fldChar w:fldCharType="begin"/>
        </w:r>
        <w:r w:rsidR="001E7659" w:rsidRPr="009C75A1">
          <w:rPr>
            <w:rFonts w:ascii="Times New Roman" w:hAnsi="Times New Roman" w:cs="Times New Roman"/>
            <w:webHidden/>
          </w:rPr>
          <w:instrText xml:space="preserve"> PAGEREF _Toc419702955 \h </w:instrText>
        </w:r>
        <w:r w:rsidR="004D1416" w:rsidRPr="009C75A1">
          <w:rPr>
            <w:rFonts w:ascii="Times New Roman" w:hAnsi="Times New Roman" w:cs="Times New Roman"/>
            <w:webHidden/>
          </w:rPr>
        </w:r>
        <w:r w:rsidR="004D1416" w:rsidRPr="009C75A1">
          <w:rPr>
            <w:rFonts w:ascii="Times New Roman" w:hAnsi="Times New Roman" w:cs="Times New Roman"/>
            <w:webHidden/>
          </w:rPr>
          <w:fldChar w:fldCharType="separate"/>
        </w:r>
        <w:r>
          <w:rPr>
            <w:rFonts w:ascii="Times New Roman" w:hAnsi="Times New Roman" w:cs="Times New Roman"/>
            <w:webHidden/>
          </w:rPr>
          <w:t>42</w:t>
        </w:r>
        <w:r w:rsidR="004D1416" w:rsidRPr="009C75A1">
          <w:rPr>
            <w:rFonts w:ascii="Times New Roman" w:hAnsi="Times New Roman" w:cs="Times New Roman"/>
            <w:webHidden/>
          </w:rPr>
          <w:fldChar w:fldCharType="end"/>
        </w:r>
      </w:hyperlink>
    </w:p>
    <w:p w:rsidR="001E7659" w:rsidRPr="009C75A1" w:rsidRDefault="001E7659">
      <w:pPr>
        <w:pStyle w:val="TOC7"/>
        <w:rPr>
          <w:rFonts w:ascii="Times New Roman" w:eastAsiaTheme="minorEastAsia" w:hAnsi="Times New Roman" w:cs="Times New Roman"/>
          <w:lang w:eastAsia="en-AU"/>
        </w:rPr>
      </w:pPr>
    </w:p>
    <w:p w:rsidR="0043641D" w:rsidRPr="009C75A1" w:rsidRDefault="004D1416" w:rsidP="005F054F">
      <w:pPr>
        <w:pStyle w:val="BodyText"/>
      </w:pPr>
      <w:r w:rsidRPr="009C75A1">
        <w:rPr>
          <w:b/>
          <w:bCs/>
        </w:rPr>
        <w:fldChar w:fldCharType="end"/>
      </w:r>
    </w:p>
    <w:p w:rsidR="0043641D" w:rsidRPr="009C75A1" w:rsidRDefault="0043641D" w:rsidP="00A367D0">
      <w:pPr>
        <w:pStyle w:val="TOAHeading"/>
        <w:rPr>
          <w:rFonts w:ascii="Times New Roman" w:hAnsi="Times New Roman" w:cs="Times New Roman"/>
        </w:rPr>
      </w:pPr>
      <w:r w:rsidRPr="009C75A1">
        <w:rPr>
          <w:rFonts w:ascii="Times New Roman" w:hAnsi="Times New Roman" w:cs="Times New Roman"/>
        </w:rPr>
        <w:t>List of figures</w:t>
      </w:r>
    </w:p>
    <w:p w:rsidR="001E7659" w:rsidRPr="009C75A1" w:rsidRDefault="004D1416">
      <w:pPr>
        <w:pStyle w:val="TableofFigures"/>
        <w:rPr>
          <w:rFonts w:ascii="Times New Roman" w:eastAsiaTheme="minorEastAsia" w:hAnsi="Times New Roman"/>
          <w:noProof/>
          <w:sz w:val="22"/>
        </w:rPr>
      </w:pPr>
      <w:r w:rsidRPr="009C75A1">
        <w:rPr>
          <w:rFonts w:ascii="Times New Roman" w:hAnsi="Times New Roman"/>
        </w:rPr>
        <w:fldChar w:fldCharType="begin"/>
      </w:r>
      <w:r w:rsidR="0043641D" w:rsidRPr="009C75A1">
        <w:rPr>
          <w:rFonts w:ascii="Times New Roman" w:hAnsi="Times New Roman"/>
        </w:rPr>
        <w:instrText xml:space="preserve"> TOC \h \z \c "Figure" \*FirstCap </w:instrText>
      </w:r>
      <w:r w:rsidRPr="009C75A1">
        <w:rPr>
          <w:rFonts w:ascii="Times New Roman" w:hAnsi="Times New Roman"/>
        </w:rPr>
        <w:fldChar w:fldCharType="separate"/>
      </w:r>
      <w:hyperlink w:anchor="_Toc419702957" w:history="1">
        <w:r w:rsidR="001E7659" w:rsidRPr="009C75A1">
          <w:rPr>
            <w:rStyle w:val="Hyperlink"/>
            <w:rFonts w:ascii="Times New Roman" w:hAnsi="Times New Roman"/>
            <w:noProof/>
          </w:rPr>
          <w:t>Figure 1</w:t>
        </w:r>
        <w:r w:rsidR="001E7659" w:rsidRPr="009C75A1">
          <w:rPr>
            <w:rFonts w:ascii="Times New Roman" w:eastAsiaTheme="minorEastAsia" w:hAnsi="Times New Roman"/>
            <w:noProof/>
            <w:sz w:val="22"/>
          </w:rPr>
          <w:tab/>
        </w:r>
        <w:r w:rsidR="001E7659" w:rsidRPr="009C75A1">
          <w:rPr>
            <w:rStyle w:val="Hyperlink"/>
            <w:rFonts w:ascii="Times New Roman" w:hAnsi="Times New Roman"/>
            <w:b/>
            <w:noProof/>
          </w:rPr>
          <w:t>Which services are you currently aware of that nurses and midwives with a health impairment access in your jurisdiction? (n=9,019)</w:t>
        </w:r>
        <w:r w:rsidR="001E7659" w:rsidRPr="009C75A1">
          <w:rPr>
            <w:rFonts w:ascii="Times New Roman" w:hAnsi="Times New Roman"/>
            <w:noProof/>
            <w:webHidden/>
          </w:rPr>
          <w:tab/>
        </w:r>
        <w:r w:rsidRPr="009C75A1">
          <w:rPr>
            <w:rFonts w:ascii="Times New Roman" w:hAnsi="Times New Roman"/>
            <w:noProof/>
            <w:webHidden/>
          </w:rPr>
          <w:fldChar w:fldCharType="begin"/>
        </w:r>
        <w:r w:rsidR="001E7659" w:rsidRPr="009C75A1">
          <w:rPr>
            <w:rFonts w:ascii="Times New Roman" w:hAnsi="Times New Roman"/>
            <w:noProof/>
            <w:webHidden/>
          </w:rPr>
          <w:instrText xml:space="preserve"> PAGEREF _Toc419702957 \h </w:instrText>
        </w:r>
        <w:r w:rsidRPr="009C75A1">
          <w:rPr>
            <w:rFonts w:ascii="Times New Roman" w:hAnsi="Times New Roman"/>
            <w:noProof/>
            <w:webHidden/>
          </w:rPr>
        </w:r>
        <w:r w:rsidRPr="009C75A1">
          <w:rPr>
            <w:rFonts w:ascii="Times New Roman" w:hAnsi="Times New Roman"/>
            <w:noProof/>
            <w:webHidden/>
          </w:rPr>
          <w:fldChar w:fldCharType="separate"/>
        </w:r>
        <w:r w:rsidR="00B07965">
          <w:rPr>
            <w:rFonts w:ascii="Times New Roman" w:hAnsi="Times New Roman"/>
            <w:noProof/>
            <w:webHidden/>
          </w:rPr>
          <w:t>16</w:t>
        </w:r>
        <w:r w:rsidRPr="009C75A1">
          <w:rPr>
            <w:rFonts w:ascii="Times New Roman" w:hAnsi="Times New Roman"/>
            <w:noProof/>
            <w:webHidden/>
          </w:rPr>
          <w:fldChar w:fldCharType="end"/>
        </w:r>
      </w:hyperlink>
    </w:p>
    <w:p w:rsidR="001E7659" w:rsidRPr="009C75A1" w:rsidRDefault="00B07965">
      <w:pPr>
        <w:pStyle w:val="TableofFigures"/>
        <w:rPr>
          <w:rFonts w:ascii="Times New Roman" w:eastAsiaTheme="minorEastAsia" w:hAnsi="Times New Roman"/>
          <w:noProof/>
          <w:sz w:val="22"/>
        </w:rPr>
      </w:pPr>
      <w:hyperlink w:anchor="_Toc419702958" w:history="1">
        <w:r w:rsidR="001E7659" w:rsidRPr="009C75A1">
          <w:rPr>
            <w:rStyle w:val="Hyperlink"/>
            <w:rFonts w:ascii="Times New Roman" w:hAnsi="Times New Roman"/>
            <w:noProof/>
          </w:rPr>
          <w:t>Figure 2</w:t>
        </w:r>
        <w:r w:rsidR="001E7659" w:rsidRPr="009C75A1">
          <w:rPr>
            <w:rFonts w:ascii="Times New Roman" w:eastAsiaTheme="minorEastAsia" w:hAnsi="Times New Roman"/>
            <w:noProof/>
            <w:sz w:val="22"/>
          </w:rPr>
          <w:tab/>
        </w:r>
        <w:r w:rsidR="001E7659" w:rsidRPr="009C75A1">
          <w:rPr>
            <w:rStyle w:val="Hyperlink"/>
            <w:rFonts w:ascii="Times New Roman" w:hAnsi="Times New Roman"/>
            <w:b/>
            <w:noProof/>
          </w:rPr>
          <w:t>Areas of attention and potential primary and contributory roles for key bodies</w:t>
        </w:r>
        <w:r w:rsidR="001E7659" w:rsidRPr="009C75A1">
          <w:rPr>
            <w:rFonts w:ascii="Times New Roman" w:hAnsi="Times New Roman"/>
            <w:noProof/>
            <w:webHidden/>
          </w:rPr>
          <w:tab/>
        </w:r>
        <w:r w:rsidR="004D1416" w:rsidRPr="009C75A1">
          <w:rPr>
            <w:rFonts w:ascii="Times New Roman" w:hAnsi="Times New Roman"/>
            <w:noProof/>
            <w:webHidden/>
          </w:rPr>
          <w:fldChar w:fldCharType="begin"/>
        </w:r>
        <w:r w:rsidR="001E7659" w:rsidRPr="009C75A1">
          <w:rPr>
            <w:rFonts w:ascii="Times New Roman" w:hAnsi="Times New Roman"/>
            <w:noProof/>
            <w:webHidden/>
          </w:rPr>
          <w:instrText xml:space="preserve"> PAGEREF _Toc419702958 \h </w:instrText>
        </w:r>
        <w:r w:rsidR="004D1416" w:rsidRPr="009C75A1">
          <w:rPr>
            <w:rFonts w:ascii="Times New Roman" w:hAnsi="Times New Roman"/>
            <w:noProof/>
            <w:webHidden/>
          </w:rPr>
        </w:r>
        <w:r w:rsidR="004D1416" w:rsidRPr="009C75A1">
          <w:rPr>
            <w:rFonts w:ascii="Times New Roman" w:hAnsi="Times New Roman"/>
            <w:noProof/>
            <w:webHidden/>
          </w:rPr>
          <w:fldChar w:fldCharType="separate"/>
        </w:r>
        <w:r>
          <w:rPr>
            <w:rFonts w:ascii="Times New Roman" w:hAnsi="Times New Roman"/>
            <w:noProof/>
            <w:webHidden/>
          </w:rPr>
          <w:t>28</w:t>
        </w:r>
        <w:r w:rsidR="004D1416" w:rsidRPr="009C75A1">
          <w:rPr>
            <w:rFonts w:ascii="Times New Roman" w:hAnsi="Times New Roman"/>
            <w:noProof/>
            <w:webHidden/>
          </w:rPr>
          <w:fldChar w:fldCharType="end"/>
        </w:r>
      </w:hyperlink>
    </w:p>
    <w:p w:rsidR="0043641D" w:rsidRPr="009C75A1" w:rsidRDefault="004D1416" w:rsidP="00A367D0">
      <w:pPr>
        <w:pStyle w:val="TableofFigures"/>
        <w:rPr>
          <w:rFonts w:ascii="Times New Roman" w:hAnsi="Times New Roman"/>
        </w:rPr>
      </w:pPr>
      <w:r w:rsidRPr="009C75A1">
        <w:rPr>
          <w:rFonts w:ascii="Times New Roman" w:hAnsi="Times New Roman"/>
        </w:rPr>
        <w:fldChar w:fldCharType="end"/>
      </w:r>
    </w:p>
    <w:p w:rsidR="0043641D" w:rsidRPr="009C75A1" w:rsidRDefault="0043641D" w:rsidP="00A367D0">
      <w:pPr>
        <w:pStyle w:val="TOAHeading"/>
        <w:rPr>
          <w:rFonts w:ascii="Times New Roman" w:hAnsi="Times New Roman" w:cs="Times New Roman"/>
        </w:rPr>
      </w:pPr>
      <w:r w:rsidRPr="009C75A1">
        <w:rPr>
          <w:rFonts w:ascii="Times New Roman" w:hAnsi="Times New Roman" w:cs="Times New Roman"/>
        </w:rPr>
        <w:t>List of tables</w:t>
      </w:r>
    </w:p>
    <w:p w:rsidR="001E7659" w:rsidRPr="009C75A1" w:rsidRDefault="004D1416">
      <w:pPr>
        <w:pStyle w:val="TableofFigures"/>
        <w:rPr>
          <w:rFonts w:ascii="Times New Roman" w:eastAsiaTheme="minorEastAsia" w:hAnsi="Times New Roman"/>
          <w:noProof/>
          <w:sz w:val="22"/>
        </w:rPr>
      </w:pPr>
      <w:r w:rsidRPr="009C75A1">
        <w:rPr>
          <w:rFonts w:ascii="Times New Roman" w:hAnsi="Times New Roman"/>
        </w:rPr>
        <w:fldChar w:fldCharType="begin"/>
      </w:r>
      <w:r w:rsidR="0043641D" w:rsidRPr="009C75A1">
        <w:rPr>
          <w:rFonts w:ascii="Times New Roman" w:hAnsi="Times New Roman"/>
        </w:rPr>
        <w:instrText xml:space="preserve"> TOC \h \z \c "Table" \*FirstCap</w:instrText>
      </w:r>
      <w:r w:rsidRPr="009C75A1">
        <w:rPr>
          <w:rFonts w:ascii="Times New Roman" w:hAnsi="Times New Roman"/>
        </w:rPr>
        <w:fldChar w:fldCharType="separate"/>
      </w:r>
      <w:hyperlink w:anchor="_Toc419702959" w:history="1">
        <w:r w:rsidR="001E7659" w:rsidRPr="009C75A1">
          <w:rPr>
            <w:rStyle w:val="Hyperlink"/>
            <w:rFonts w:ascii="Times New Roman" w:hAnsi="Times New Roman"/>
            <w:noProof/>
          </w:rPr>
          <w:t>Table 1</w:t>
        </w:r>
        <w:r w:rsidR="001E7659" w:rsidRPr="009C75A1">
          <w:rPr>
            <w:rStyle w:val="Hyperlink"/>
            <w:rFonts w:ascii="Times New Roman" w:hAnsi="Times New Roman"/>
            <w:b/>
            <w:noProof/>
          </w:rPr>
          <w:t xml:space="preserve">           Management and support process for all Australian jurisdictions</w:t>
        </w:r>
        <w:r w:rsidR="001E7659" w:rsidRPr="009C75A1">
          <w:rPr>
            <w:rFonts w:ascii="Times New Roman" w:hAnsi="Times New Roman"/>
            <w:noProof/>
            <w:webHidden/>
          </w:rPr>
          <w:tab/>
        </w:r>
        <w:r w:rsidRPr="009C75A1">
          <w:rPr>
            <w:rFonts w:ascii="Times New Roman" w:hAnsi="Times New Roman"/>
            <w:noProof/>
            <w:webHidden/>
          </w:rPr>
          <w:fldChar w:fldCharType="begin"/>
        </w:r>
        <w:r w:rsidR="001E7659" w:rsidRPr="009C75A1">
          <w:rPr>
            <w:rFonts w:ascii="Times New Roman" w:hAnsi="Times New Roman"/>
            <w:noProof/>
            <w:webHidden/>
          </w:rPr>
          <w:instrText xml:space="preserve"> PAGEREF _Toc419702959 \h </w:instrText>
        </w:r>
        <w:r w:rsidRPr="009C75A1">
          <w:rPr>
            <w:rFonts w:ascii="Times New Roman" w:hAnsi="Times New Roman"/>
            <w:noProof/>
            <w:webHidden/>
          </w:rPr>
        </w:r>
        <w:r w:rsidRPr="009C75A1">
          <w:rPr>
            <w:rFonts w:ascii="Times New Roman" w:hAnsi="Times New Roman"/>
            <w:noProof/>
            <w:webHidden/>
          </w:rPr>
          <w:fldChar w:fldCharType="separate"/>
        </w:r>
        <w:r w:rsidR="00B07965">
          <w:rPr>
            <w:rFonts w:ascii="Times New Roman" w:hAnsi="Times New Roman"/>
            <w:noProof/>
            <w:webHidden/>
          </w:rPr>
          <w:t>8</w:t>
        </w:r>
        <w:r w:rsidRPr="009C75A1">
          <w:rPr>
            <w:rFonts w:ascii="Times New Roman" w:hAnsi="Times New Roman"/>
            <w:noProof/>
            <w:webHidden/>
          </w:rPr>
          <w:fldChar w:fldCharType="end"/>
        </w:r>
      </w:hyperlink>
    </w:p>
    <w:p w:rsidR="001E7659" w:rsidRPr="009C75A1" w:rsidRDefault="00B07965">
      <w:pPr>
        <w:pStyle w:val="TableofFigures"/>
        <w:rPr>
          <w:rFonts w:ascii="Times New Roman" w:eastAsiaTheme="minorEastAsia" w:hAnsi="Times New Roman"/>
          <w:noProof/>
          <w:sz w:val="22"/>
        </w:rPr>
      </w:pPr>
      <w:hyperlink w:anchor="_Toc419702960" w:history="1">
        <w:r w:rsidR="001E7659" w:rsidRPr="009C75A1">
          <w:rPr>
            <w:rStyle w:val="Hyperlink"/>
            <w:rFonts w:ascii="Times New Roman" w:hAnsi="Times New Roman"/>
            <w:noProof/>
          </w:rPr>
          <w:t>Table 2</w:t>
        </w:r>
        <w:r w:rsidR="001E7659" w:rsidRPr="009C75A1">
          <w:rPr>
            <w:rFonts w:ascii="Times New Roman" w:eastAsiaTheme="minorEastAsia" w:hAnsi="Times New Roman"/>
            <w:noProof/>
            <w:sz w:val="22"/>
          </w:rPr>
          <w:tab/>
        </w:r>
        <w:r w:rsidR="001E7659" w:rsidRPr="009C75A1">
          <w:rPr>
            <w:rStyle w:val="Hyperlink"/>
            <w:rFonts w:ascii="Times New Roman" w:hAnsi="Times New Roman"/>
            <w:b/>
            <w:noProof/>
          </w:rPr>
          <w:t>Summary of costs and benefits</w:t>
        </w:r>
        <w:r w:rsidR="001E7659" w:rsidRPr="009C75A1">
          <w:rPr>
            <w:rFonts w:ascii="Times New Roman" w:hAnsi="Times New Roman"/>
            <w:noProof/>
            <w:webHidden/>
          </w:rPr>
          <w:tab/>
        </w:r>
        <w:r w:rsidR="004D1416" w:rsidRPr="009C75A1">
          <w:rPr>
            <w:rFonts w:ascii="Times New Roman" w:hAnsi="Times New Roman"/>
            <w:noProof/>
            <w:webHidden/>
          </w:rPr>
          <w:fldChar w:fldCharType="begin"/>
        </w:r>
        <w:r w:rsidR="001E7659" w:rsidRPr="009C75A1">
          <w:rPr>
            <w:rFonts w:ascii="Times New Roman" w:hAnsi="Times New Roman"/>
            <w:noProof/>
            <w:webHidden/>
          </w:rPr>
          <w:instrText xml:space="preserve"> PAGEREF _Toc419702960 \h </w:instrText>
        </w:r>
        <w:r w:rsidR="004D1416" w:rsidRPr="009C75A1">
          <w:rPr>
            <w:rFonts w:ascii="Times New Roman" w:hAnsi="Times New Roman"/>
            <w:noProof/>
            <w:webHidden/>
          </w:rPr>
        </w:r>
        <w:r w:rsidR="004D1416" w:rsidRPr="009C75A1">
          <w:rPr>
            <w:rFonts w:ascii="Times New Roman" w:hAnsi="Times New Roman"/>
            <w:noProof/>
            <w:webHidden/>
          </w:rPr>
          <w:fldChar w:fldCharType="separate"/>
        </w:r>
        <w:r>
          <w:rPr>
            <w:rFonts w:ascii="Times New Roman" w:hAnsi="Times New Roman"/>
            <w:noProof/>
            <w:webHidden/>
          </w:rPr>
          <w:t>32</w:t>
        </w:r>
        <w:r w:rsidR="004D1416" w:rsidRPr="009C75A1">
          <w:rPr>
            <w:rFonts w:ascii="Times New Roman" w:hAnsi="Times New Roman"/>
            <w:noProof/>
            <w:webHidden/>
          </w:rPr>
          <w:fldChar w:fldCharType="end"/>
        </w:r>
      </w:hyperlink>
    </w:p>
    <w:p w:rsidR="001E7659" w:rsidRPr="009C75A1" w:rsidRDefault="00B07965">
      <w:pPr>
        <w:pStyle w:val="TableofFigures"/>
        <w:rPr>
          <w:rFonts w:ascii="Times New Roman" w:eastAsiaTheme="minorEastAsia" w:hAnsi="Times New Roman"/>
          <w:noProof/>
          <w:sz w:val="22"/>
        </w:rPr>
      </w:pPr>
      <w:hyperlink w:anchor="_Toc419702961" w:history="1">
        <w:r w:rsidR="001E7659" w:rsidRPr="009C75A1">
          <w:rPr>
            <w:rStyle w:val="Hyperlink"/>
            <w:rFonts w:ascii="Times New Roman" w:hAnsi="Times New Roman"/>
            <w:noProof/>
          </w:rPr>
          <w:t>Table A1</w:t>
        </w:r>
        <w:r w:rsidR="001E7659" w:rsidRPr="009C75A1">
          <w:rPr>
            <w:rFonts w:ascii="Times New Roman" w:eastAsiaTheme="minorEastAsia" w:hAnsi="Times New Roman"/>
            <w:noProof/>
            <w:sz w:val="22"/>
          </w:rPr>
          <w:tab/>
        </w:r>
        <w:r w:rsidR="001E7659" w:rsidRPr="009C75A1">
          <w:rPr>
            <w:rStyle w:val="Hyperlink"/>
            <w:rFonts w:ascii="Times New Roman" w:hAnsi="Times New Roman"/>
            <w:b/>
            <w:noProof/>
          </w:rPr>
          <w:t>Stakeholder organisations</w:t>
        </w:r>
        <w:r w:rsidR="001E7659" w:rsidRPr="009C75A1">
          <w:rPr>
            <w:rFonts w:ascii="Times New Roman" w:hAnsi="Times New Roman"/>
            <w:noProof/>
            <w:webHidden/>
          </w:rPr>
          <w:tab/>
        </w:r>
        <w:r w:rsidR="004D1416" w:rsidRPr="009C75A1">
          <w:rPr>
            <w:rFonts w:ascii="Times New Roman" w:hAnsi="Times New Roman"/>
            <w:noProof/>
            <w:webHidden/>
          </w:rPr>
          <w:fldChar w:fldCharType="begin"/>
        </w:r>
        <w:r w:rsidR="001E7659" w:rsidRPr="009C75A1">
          <w:rPr>
            <w:rFonts w:ascii="Times New Roman" w:hAnsi="Times New Roman"/>
            <w:noProof/>
            <w:webHidden/>
          </w:rPr>
          <w:instrText xml:space="preserve"> PAGEREF _Toc419702961 \h </w:instrText>
        </w:r>
        <w:r w:rsidR="004D1416" w:rsidRPr="009C75A1">
          <w:rPr>
            <w:rFonts w:ascii="Times New Roman" w:hAnsi="Times New Roman"/>
            <w:noProof/>
            <w:webHidden/>
          </w:rPr>
        </w:r>
        <w:r w:rsidR="004D1416" w:rsidRPr="009C75A1">
          <w:rPr>
            <w:rFonts w:ascii="Times New Roman" w:hAnsi="Times New Roman"/>
            <w:noProof/>
            <w:webHidden/>
          </w:rPr>
          <w:fldChar w:fldCharType="separate"/>
        </w:r>
        <w:r>
          <w:rPr>
            <w:rFonts w:ascii="Times New Roman" w:hAnsi="Times New Roman"/>
            <w:noProof/>
            <w:webHidden/>
          </w:rPr>
          <w:t>41</w:t>
        </w:r>
        <w:r w:rsidR="004D1416" w:rsidRPr="009C75A1">
          <w:rPr>
            <w:rFonts w:ascii="Times New Roman" w:hAnsi="Times New Roman"/>
            <w:noProof/>
            <w:webHidden/>
          </w:rPr>
          <w:fldChar w:fldCharType="end"/>
        </w:r>
      </w:hyperlink>
    </w:p>
    <w:p w:rsidR="001E7659" w:rsidRPr="009C75A1" w:rsidRDefault="00B07965">
      <w:pPr>
        <w:pStyle w:val="TableofFigures"/>
        <w:rPr>
          <w:rFonts w:ascii="Times New Roman" w:eastAsiaTheme="minorEastAsia" w:hAnsi="Times New Roman"/>
          <w:noProof/>
          <w:sz w:val="22"/>
        </w:rPr>
      </w:pPr>
      <w:hyperlink w:anchor="_Toc419702962" w:history="1">
        <w:r w:rsidR="001E7659" w:rsidRPr="009C75A1">
          <w:rPr>
            <w:rStyle w:val="Hyperlink"/>
            <w:rFonts w:ascii="Times New Roman" w:hAnsi="Times New Roman"/>
            <w:noProof/>
          </w:rPr>
          <w:t>Table B1</w:t>
        </w:r>
        <w:r w:rsidR="001E7659" w:rsidRPr="009C75A1">
          <w:rPr>
            <w:rFonts w:ascii="Times New Roman" w:eastAsiaTheme="minorEastAsia" w:hAnsi="Times New Roman"/>
            <w:noProof/>
            <w:sz w:val="22"/>
          </w:rPr>
          <w:tab/>
        </w:r>
        <w:r w:rsidR="001E7659" w:rsidRPr="009C75A1">
          <w:rPr>
            <w:rStyle w:val="Hyperlink"/>
            <w:rFonts w:ascii="Times New Roman" w:hAnsi="Times New Roman"/>
            <w:b/>
            <w:noProof/>
          </w:rPr>
          <w:t>National and international health support services</w:t>
        </w:r>
        <w:r w:rsidR="001E7659" w:rsidRPr="009C75A1">
          <w:rPr>
            <w:rFonts w:ascii="Times New Roman" w:hAnsi="Times New Roman"/>
            <w:noProof/>
            <w:webHidden/>
          </w:rPr>
          <w:tab/>
        </w:r>
        <w:r w:rsidR="004D1416" w:rsidRPr="009C75A1">
          <w:rPr>
            <w:rFonts w:ascii="Times New Roman" w:hAnsi="Times New Roman"/>
            <w:noProof/>
            <w:webHidden/>
          </w:rPr>
          <w:fldChar w:fldCharType="begin"/>
        </w:r>
        <w:r w:rsidR="001E7659" w:rsidRPr="009C75A1">
          <w:rPr>
            <w:rFonts w:ascii="Times New Roman" w:hAnsi="Times New Roman"/>
            <w:noProof/>
            <w:webHidden/>
          </w:rPr>
          <w:instrText xml:space="preserve"> PAGEREF _Toc419702962 \h </w:instrText>
        </w:r>
        <w:r w:rsidR="004D1416" w:rsidRPr="009C75A1">
          <w:rPr>
            <w:rFonts w:ascii="Times New Roman" w:hAnsi="Times New Roman"/>
            <w:noProof/>
            <w:webHidden/>
          </w:rPr>
        </w:r>
        <w:r w:rsidR="004D1416" w:rsidRPr="009C75A1">
          <w:rPr>
            <w:rFonts w:ascii="Times New Roman" w:hAnsi="Times New Roman"/>
            <w:noProof/>
            <w:webHidden/>
          </w:rPr>
          <w:fldChar w:fldCharType="separate"/>
        </w:r>
        <w:r>
          <w:rPr>
            <w:rFonts w:ascii="Times New Roman" w:hAnsi="Times New Roman"/>
            <w:noProof/>
            <w:webHidden/>
          </w:rPr>
          <w:t>42</w:t>
        </w:r>
        <w:r w:rsidR="004D1416" w:rsidRPr="009C75A1">
          <w:rPr>
            <w:rFonts w:ascii="Times New Roman" w:hAnsi="Times New Roman"/>
            <w:noProof/>
            <w:webHidden/>
          </w:rPr>
          <w:fldChar w:fldCharType="end"/>
        </w:r>
      </w:hyperlink>
    </w:p>
    <w:p w:rsidR="0043641D" w:rsidRPr="00875480" w:rsidRDefault="004D1416" w:rsidP="00A367D0">
      <w:pPr>
        <w:pStyle w:val="BodyText"/>
        <w:sectPr w:rsidR="0043641D" w:rsidRPr="00875480" w:rsidSect="004514D8">
          <w:headerReference w:type="default" r:id="rId12"/>
          <w:footerReference w:type="default" r:id="rId13"/>
          <w:pgSz w:w="11907" w:h="16839" w:code="9"/>
          <w:pgMar w:top="1134" w:right="850" w:bottom="907" w:left="3118" w:header="709" w:footer="567" w:gutter="567"/>
          <w:pgNumType w:fmt="lowerRoman"/>
          <w:cols w:space="720"/>
          <w:docGrid w:linePitch="272"/>
        </w:sectPr>
      </w:pPr>
      <w:r w:rsidRPr="009C75A1">
        <w:rPr>
          <w:sz w:val="18"/>
        </w:rPr>
        <w:fldChar w:fldCharType="end"/>
      </w:r>
    </w:p>
    <w:p w:rsidR="00766E25" w:rsidRPr="005529DF" w:rsidRDefault="00766E25">
      <w:pPr>
        <w:spacing w:before="180" w:after="0" w:line="300" w:lineRule="exact"/>
        <w:rPr>
          <w:rFonts w:ascii="Times New Roman" w:eastAsia="Times New Roman" w:hAnsi="Times New Roman" w:cs="Times New Roman"/>
          <w:b/>
          <w:color w:val="FFFFFF" w:themeColor="background1"/>
          <w:kern w:val="28"/>
          <w:sz w:val="36"/>
          <w:lang w:eastAsia="en-AU"/>
        </w:rPr>
      </w:pPr>
    </w:p>
    <w:p w:rsidR="00F324DE" w:rsidRPr="005529DF" w:rsidRDefault="00591B80" w:rsidP="00A10560">
      <w:pPr>
        <w:pStyle w:val="ExecSummaryHeading"/>
        <w:rPr>
          <w:rFonts w:ascii="Times New Roman" w:hAnsi="Times New Roman"/>
        </w:rPr>
      </w:pPr>
      <w:bookmarkStart w:id="3" w:name="_Toc419702926"/>
      <w:r w:rsidRPr="005529DF">
        <w:rPr>
          <w:rFonts w:ascii="Times New Roman" w:hAnsi="Times New Roman"/>
        </w:rPr>
        <w:t>Executive Summary</w:t>
      </w:r>
      <w:bookmarkEnd w:id="3"/>
      <w:r w:rsidRPr="005529DF">
        <w:rPr>
          <w:rFonts w:ascii="Times New Roman" w:hAnsi="Times New Roman"/>
        </w:rPr>
        <w:t xml:space="preserve"> </w:t>
      </w:r>
    </w:p>
    <w:p w:rsidR="00BC1F37" w:rsidRPr="005529DF" w:rsidRDefault="00BC1F37" w:rsidP="00BC1F37">
      <w:pPr>
        <w:pStyle w:val="Heading2nonumber"/>
        <w:rPr>
          <w:rFonts w:ascii="Times New Roman" w:hAnsi="Times New Roman"/>
        </w:rPr>
      </w:pPr>
      <w:r w:rsidRPr="005529DF">
        <w:rPr>
          <w:rFonts w:ascii="Times New Roman" w:hAnsi="Times New Roman"/>
        </w:rPr>
        <w:t>Impairment amongst health practitioners</w:t>
      </w:r>
    </w:p>
    <w:p w:rsidR="00BC1F37" w:rsidRPr="005529DF" w:rsidRDefault="00BC1F37" w:rsidP="00BC1F37">
      <w:pPr>
        <w:pStyle w:val="BodyText"/>
      </w:pPr>
      <w:r w:rsidRPr="005529DF">
        <w:t xml:space="preserve">Health impairment is defined by the </w:t>
      </w:r>
      <w:r w:rsidRPr="005529DF">
        <w:rPr>
          <w:i/>
        </w:rPr>
        <w:t xml:space="preserve">Health Practitioner Regulation National Law Act 2009 </w:t>
      </w:r>
      <w:r w:rsidRPr="005529DF">
        <w:t>(National Law)</w:t>
      </w:r>
      <w:r w:rsidRPr="005529DF">
        <w:rPr>
          <w:i/>
        </w:rPr>
        <w:t xml:space="preserve"> </w:t>
      </w:r>
      <w:r w:rsidRPr="005529DF">
        <w:t>(section 5) as a person who has a ‘physical or mental impairment, disability, condition or disorder that detrimentally affects or is likely to detrimentally affect</w:t>
      </w:r>
      <w:r w:rsidR="00155217">
        <w:t xml:space="preserve"> the persons capacity to practis</w:t>
      </w:r>
      <w:r w:rsidRPr="005529DF">
        <w:t>e the profession’.</w:t>
      </w:r>
      <w:r w:rsidR="008472E3">
        <w:t xml:space="preserve"> </w:t>
      </w:r>
      <w:r w:rsidRPr="005529DF">
        <w:t xml:space="preserve">In this context, there is an important distinction between ‘impairment’ and ‘illness’ as the diagnosis of an illness does not necessarily </w:t>
      </w:r>
      <w:r w:rsidR="00DB0F39">
        <w:t>signify</w:t>
      </w:r>
      <w:r w:rsidR="00DB0F39" w:rsidRPr="005529DF">
        <w:t xml:space="preserve"> </w:t>
      </w:r>
      <w:r w:rsidRPr="005529DF">
        <w:t xml:space="preserve">an impairment as defined under the National Law. </w:t>
      </w:r>
    </w:p>
    <w:p w:rsidR="00BC1F37" w:rsidRPr="005529DF" w:rsidRDefault="00BC1F37" w:rsidP="00BC1F37">
      <w:pPr>
        <w:pStyle w:val="BodyText"/>
      </w:pPr>
      <w:r w:rsidRPr="005529DF">
        <w:t>Evidence has shown that nurses and midwives face work-related conditions that lead to health issues and illnesses that if left untreated can progress to impairment and result in heightened risks for the public, themselves and their profession. The literature consistently highlights the stressful nature associated with nursing and to a lesser extent midwifery and indicates that nurses and midwives are particularly susceptible to health impairment, when compared to the wider health practitioner population.</w:t>
      </w:r>
    </w:p>
    <w:p w:rsidR="00BC1F37" w:rsidRPr="005529DF" w:rsidRDefault="00BC1F37" w:rsidP="00BC1F37">
      <w:pPr>
        <w:pStyle w:val="Heading2nonumber"/>
        <w:rPr>
          <w:rFonts w:ascii="Times New Roman" w:hAnsi="Times New Roman"/>
        </w:rPr>
      </w:pPr>
      <w:r w:rsidRPr="005529DF">
        <w:rPr>
          <w:rFonts w:ascii="Times New Roman" w:hAnsi="Times New Roman"/>
        </w:rPr>
        <w:t>This review</w:t>
      </w:r>
    </w:p>
    <w:p w:rsidR="00BC1F37" w:rsidRPr="005529DF" w:rsidRDefault="00BC1F37" w:rsidP="00BC1F37">
      <w:pPr>
        <w:pStyle w:val="BodyText"/>
      </w:pPr>
      <w:r w:rsidRPr="005529DF">
        <w:t>The Australian Health Practitioner Regulation Agency (AHPRA) on behalf of the Nursing and Midwifery Board of Australia (NMBA) commissioned ACIL Allen Consulting to review:</w:t>
      </w:r>
    </w:p>
    <w:p w:rsidR="00BC1F37" w:rsidRPr="005529DF" w:rsidRDefault="00BC1F37" w:rsidP="00BC1F37">
      <w:pPr>
        <w:pStyle w:val="ListDash"/>
        <w:numPr>
          <w:ilvl w:val="0"/>
          <w:numId w:val="30"/>
        </w:numPr>
      </w:pPr>
      <w:r w:rsidRPr="005529DF">
        <w:t>referral/notification, assessment, treatment, monitoring and rehabilitation for health practitioners with a health impairment (the management and support process)</w:t>
      </w:r>
    </w:p>
    <w:p w:rsidR="00B222CC" w:rsidRPr="005529DF" w:rsidRDefault="00BC1F37" w:rsidP="00D25304">
      <w:pPr>
        <w:pStyle w:val="ListDash"/>
        <w:numPr>
          <w:ilvl w:val="0"/>
          <w:numId w:val="30"/>
        </w:numPr>
      </w:pPr>
      <w:proofErr w:type="gramStart"/>
      <w:r w:rsidRPr="005529DF">
        <w:t>the</w:t>
      </w:r>
      <w:proofErr w:type="gramEnd"/>
      <w:r w:rsidRPr="005529DF">
        <w:t xml:space="preserve"> role the regulator may play in supporting national health programs giving consideration to the National Law</w:t>
      </w:r>
      <w:r w:rsidRPr="00D25304">
        <w:rPr>
          <w:i/>
        </w:rPr>
        <w:t xml:space="preserve"> </w:t>
      </w:r>
      <w:r w:rsidRPr="005529DF">
        <w:t xml:space="preserve">as in force in each state and territory. </w:t>
      </w:r>
    </w:p>
    <w:p w:rsidR="00B222CC" w:rsidRPr="005529DF" w:rsidRDefault="00B222CC" w:rsidP="00B222CC">
      <w:pPr>
        <w:pStyle w:val="BodyText"/>
      </w:pPr>
      <w:r w:rsidRPr="005529DF">
        <w:lastRenderedPageBreak/>
        <w:t xml:space="preserve">The National Law states that the National Board, at its discretion, can provide financial or other support for health programs for registered health practitioners and students. In this context a health program is considered: </w:t>
      </w:r>
    </w:p>
    <w:p w:rsidR="00B222CC" w:rsidRPr="005529DF" w:rsidRDefault="00B222CC" w:rsidP="00B222CC">
      <w:pPr>
        <w:pStyle w:val="Quote"/>
      </w:pPr>
      <w:r w:rsidRPr="005529DF">
        <w:t xml:space="preserve">A program providing education, prevention, early intervention, treatment or rehabilitation services relating to physical or mental impairments, disabilities, conditions or disorders, including substance abuse or dependence. </w:t>
      </w:r>
    </w:p>
    <w:p w:rsidR="00B222CC" w:rsidRPr="005529DF" w:rsidRDefault="00B222CC" w:rsidP="00B222CC">
      <w:pPr>
        <w:pStyle w:val="QuoteSource"/>
      </w:pPr>
      <w:r w:rsidRPr="005529DF">
        <w:t>Section 5 Health Practitioner Regulation National Law Act 2009</w:t>
      </w:r>
    </w:p>
    <w:p w:rsidR="00BC1F37" w:rsidRPr="005529DF" w:rsidRDefault="00BC1F37" w:rsidP="00BC1F37">
      <w:pPr>
        <w:pStyle w:val="BodyText"/>
      </w:pPr>
      <w:r w:rsidRPr="005529DF">
        <w:t xml:space="preserve">The review has investigated available academic and grey literature on practitioner impairment, and specifically, Australian and international models of referral, treatment and rehabilitation programs for practitioners with a health related impairment. </w:t>
      </w:r>
    </w:p>
    <w:p w:rsidR="00BC1F37" w:rsidRPr="005529DF" w:rsidRDefault="00BC1F37" w:rsidP="00BC1F37">
      <w:pPr>
        <w:pStyle w:val="BodyText"/>
      </w:pPr>
      <w:r w:rsidRPr="005529DF">
        <w:t xml:space="preserve">It has also undertaken broad consultations with stakeholders regarding management and support models for practitioners with a health impairment, good practice principles in supporting practitioners with a health impairment, and the role the regulator may play in such arrangements. This included an online survey </w:t>
      </w:r>
      <w:r w:rsidR="00BE381C">
        <w:t xml:space="preserve">of </w:t>
      </w:r>
      <w:r w:rsidR="00BE381C" w:rsidRPr="005529DF">
        <w:t>nurse</w:t>
      </w:r>
      <w:r w:rsidR="00BE381C">
        <w:t>s and midwives</w:t>
      </w:r>
      <w:r w:rsidR="00BE381C" w:rsidRPr="005529DF">
        <w:t xml:space="preserve"> </w:t>
      </w:r>
      <w:r w:rsidRPr="005529DF">
        <w:t>(with over 9,000 respondents) as well as focus groups with nurses and midwives.</w:t>
      </w:r>
    </w:p>
    <w:p w:rsidR="00BC1F37" w:rsidRPr="005529DF" w:rsidRDefault="00BE381C" w:rsidP="00BC1F37">
      <w:pPr>
        <w:pStyle w:val="BodyText"/>
      </w:pPr>
      <w:r>
        <w:t>T</w:t>
      </w:r>
      <w:r w:rsidR="00BC1F37" w:rsidRPr="005529DF">
        <w:t xml:space="preserve">wo other supporting reports have been produced and should be read in conjunction with this report: </w:t>
      </w:r>
    </w:p>
    <w:p w:rsidR="00BC1F37" w:rsidRPr="005529DF" w:rsidRDefault="00BC1F37" w:rsidP="00BC1F37">
      <w:pPr>
        <w:pStyle w:val="ListDash"/>
      </w:pPr>
      <w:r w:rsidRPr="005529DF">
        <w:t xml:space="preserve">A </w:t>
      </w:r>
      <w:r w:rsidRPr="005529DF">
        <w:rPr>
          <w:i/>
        </w:rPr>
        <w:t>Literature Review</w:t>
      </w:r>
      <w:r w:rsidRPr="005529DF">
        <w:t xml:space="preserve"> outlining the types of health programs and program models found in Australia and internationally (Attachment </w:t>
      </w:r>
      <w:r w:rsidR="007538B8">
        <w:t>A</w:t>
      </w:r>
      <w:r w:rsidRPr="005529DF">
        <w:t>).</w:t>
      </w:r>
    </w:p>
    <w:p w:rsidR="00BC1F37" w:rsidRPr="005529DF" w:rsidRDefault="00BC1F37" w:rsidP="00BC1F37">
      <w:pPr>
        <w:pStyle w:val="ListDash"/>
      </w:pPr>
      <w:r w:rsidRPr="005529DF">
        <w:t xml:space="preserve">A </w:t>
      </w:r>
      <w:r w:rsidRPr="005529DF">
        <w:rPr>
          <w:i/>
        </w:rPr>
        <w:t>Stakeholder Report</w:t>
      </w:r>
      <w:r w:rsidRPr="005529DF">
        <w:t xml:space="preserve"> outlining current management and support arrangements for health pr</w:t>
      </w:r>
      <w:r w:rsidR="00155217">
        <w:t>actitioners</w:t>
      </w:r>
      <w:r w:rsidRPr="005529DF">
        <w:t xml:space="preserve"> with a health impairment in Australia and overseas, as well as a summary of s</w:t>
      </w:r>
      <w:r w:rsidR="007538B8">
        <w:t>takeholder feedback</w:t>
      </w:r>
      <w:r w:rsidRPr="005529DF">
        <w:t xml:space="preserve">. </w:t>
      </w:r>
    </w:p>
    <w:p w:rsidR="00BC1F37" w:rsidRPr="005529DF" w:rsidRDefault="00BC1F37" w:rsidP="00BC1F37">
      <w:pPr>
        <w:pStyle w:val="Heading2nonumber"/>
        <w:rPr>
          <w:rFonts w:ascii="Times New Roman" w:hAnsi="Times New Roman"/>
        </w:rPr>
      </w:pPr>
      <w:r w:rsidRPr="005529DF">
        <w:rPr>
          <w:rFonts w:ascii="Times New Roman" w:hAnsi="Times New Roman"/>
        </w:rPr>
        <w:t xml:space="preserve">Key review findings </w:t>
      </w:r>
    </w:p>
    <w:p w:rsidR="00BC1F37" w:rsidRPr="005529DF" w:rsidRDefault="00BC1F37" w:rsidP="00BC1F37">
      <w:pPr>
        <w:pStyle w:val="SideQuoteSource"/>
        <w:framePr w:wrap="around"/>
      </w:pPr>
      <w:r w:rsidRPr="005529DF">
        <w:t>Prevalence</w:t>
      </w:r>
    </w:p>
    <w:p w:rsidR="00BC1F37" w:rsidRPr="005529DF" w:rsidRDefault="00BC1F37" w:rsidP="00BC1F37">
      <w:pPr>
        <w:pStyle w:val="BodyText"/>
      </w:pPr>
      <w:r w:rsidRPr="005529DF">
        <w:t xml:space="preserve">The review consultations confirm the literature review findings that impairment in nurses and midwives </w:t>
      </w:r>
      <w:r w:rsidR="00AD6D9D">
        <w:t xml:space="preserve">is a </w:t>
      </w:r>
      <w:r w:rsidRPr="005529DF">
        <w:t xml:space="preserve">significant issue, even if not sufficiently serious to meet the criteria for notification to AHPRA. Sixty six (66) per cent of respondents </w:t>
      </w:r>
      <w:r w:rsidR="00155217">
        <w:t xml:space="preserve">of the Nursing and Midwifery </w:t>
      </w:r>
      <w:r w:rsidR="00497B27">
        <w:t xml:space="preserve">Health Impairment </w:t>
      </w:r>
      <w:r w:rsidR="00155217">
        <w:t xml:space="preserve">Survey </w:t>
      </w:r>
      <w:r w:rsidRPr="005529DF">
        <w:t xml:space="preserve">noted they had either witnessed or </w:t>
      </w:r>
      <w:r w:rsidRPr="005529DF">
        <w:lastRenderedPageBreak/>
        <w:t xml:space="preserve">had themselves experienced a health impairment. Notwithstanding this, the majority of these cases would not have involved the regulator. </w:t>
      </w:r>
    </w:p>
    <w:p w:rsidR="00BC1F37" w:rsidRPr="005529DF" w:rsidRDefault="00BC1F37" w:rsidP="00BC1F37">
      <w:pPr>
        <w:pStyle w:val="BodyText"/>
      </w:pPr>
      <w:r w:rsidRPr="007640DA">
        <w:rPr>
          <w:rStyle w:val="reference-text"/>
        </w:rPr>
        <w:t xml:space="preserve">The relatively high incidence of health impairment in the workforce and the influence of nursing and midwifery practice on patient outcomes </w:t>
      </w:r>
      <w:r w:rsidR="00F02292">
        <w:rPr>
          <w:rStyle w:val="reference-text"/>
        </w:rPr>
        <w:t>means</w:t>
      </w:r>
      <w:r w:rsidRPr="007640DA">
        <w:rPr>
          <w:rStyle w:val="reference-text"/>
        </w:rPr>
        <w:t xml:space="preserve"> that </w:t>
      </w:r>
      <w:r w:rsidR="00F02292">
        <w:rPr>
          <w:rStyle w:val="reference-text"/>
        </w:rPr>
        <w:t xml:space="preserve">it is important to consider what </w:t>
      </w:r>
      <w:r w:rsidRPr="007640DA">
        <w:rPr>
          <w:rStyle w:val="reference-text"/>
        </w:rPr>
        <w:t xml:space="preserve">support </w:t>
      </w:r>
      <w:r w:rsidR="00F02292">
        <w:rPr>
          <w:rStyle w:val="reference-text"/>
        </w:rPr>
        <w:t>is</w:t>
      </w:r>
      <w:r w:rsidRPr="007640DA">
        <w:rPr>
          <w:rStyle w:val="reference-text"/>
        </w:rPr>
        <w:t xml:space="preserve"> required for this professional group, not just for the nurse or midwife themselves but to improve protection of the public and the reputation of the profession. </w:t>
      </w:r>
    </w:p>
    <w:p w:rsidR="00BC1F37" w:rsidRPr="005529DF" w:rsidRDefault="00BC1F37" w:rsidP="00BC1F37">
      <w:pPr>
        <w:pStyle w:val="SideQuote"/>
        <w:framePr w:wrap="around"/>
        <w:jc w:val="right"/>
        <w:rPr>
          <w:i/>
        </w:rPr>
      </w:pPr>
      <w:r w:rsidRPr="005529DF">
        <w:rPr>
          <w:i/>
        </w:rPr>
        <w:t>Awareness and understanding</w:t>
      </w:r>
    </w:p>
    <w:p w:rsidR="00BC1F37" w:rsidRPr="005529DF" w:rsidRDefault="00BC1F37" w:rsidP="00BC1F37">
      <w:pPr>
        <w:pStyle w:val="BodyText"/>
      </w:pPr>
      <w:r w:rsidRPr="005529DF">
        <w:t xml:space="preserve">It is evident that nurses and midwives do not have a clear understanding of the </w:t>
      </w:r>
      <w:r w:rsidR="0072045C">
        <w:t xml:space="preserve">impairment </w:t>
      </w:r>
      <w:r w:rsidRPr="005529DF">
        <w:t>process</w:t>
      </w:r>
      <w:r w:rsidR="0072045C">
        <w:t>,</w:t>
      </w:r>
      <w:r w:rsidRPr="005529DF">
        <w:t xml:space="preserve"> including their obligations upon being notified as well as the broader role of the regulator. Nurses and midwives involved in the review consistently reported that they are </w:t>
      </w:r>
      <w:r w:rsidR="0072045C" w:rsidRPr="005529DF">
        <w:t>uncertain</w:t>
      </w:r>
      <w:r w:rsidRPr="005529DF">
        <w:t xml:space="preserve"> about where and how to seek support when they self-identify they have an impairment, identify an impairment in their colleagues, or are notified that they have been reported as having an impairment. </w:t>
      </w:r>
      <w:r w:rsidR="00903D67" w:rsidRPr="005B74C9">
        <w:t xml:space="preserve">They </w:t>
      </w:r>
      <w:r w:rsidR="00903D67">
        <w:t xml:space="preserve">also </w:t>
      </w:r>
      <w:r w:rsidR="00903D67" w:rsidRPr="005B74C9">
        <w:t>reported being unclear on mandatory notification thresholds</w:t>
      </w:r>
      <w:r w:rsidR="00903D67">
        <w:t xml:space="preserve">, as </w:t>
      </w:r>
      <w:r w:rsidR="00492C16">
        <w:t xml:space="preserve">evidenced </w:t>
      </w:r>
      <w:r w:rsidR="00903D67">
        <w:t xml:space="preserve">in </w:t>
      </w:r>
      <w:r w:rsidR="00903D67" w:rsidRPr="005B74C9">
        <w:t xml:space="preserve">just under 70 per cent of </w:t>
      </w:r>
      <w:r w:rsidR="00492C16">
        <w:t xml:space="preserve">all </w:t>
      </w:r>
      <w:r w:rsidR="00903D67" w:rsidRPr="005B74C9">
        <w:t xml:space="preserve">notifications </w:t>
      </w:r>
      <w:r w:rsidR="00903D67">
        <w:t>requiring</w:t>
      </w:r>
      <w:r w:rsidR="00903D67" w:rsidRPr="005B74C9">
        <w:t xml:space="preserve"> no further action</w:t>
      </w:r>
      <w:r w:rsidR="00155217">
        <w:t xml:space="preserve"> in 2013-14</w:t>
      </w:r>
      <w:r w:rsidR="00903D67" w:rsidRPr="005B74C9">
        <w:t>.</w:t>
      </w:r>
    </w:p>
    <w:p w:rsidR="00903D67" w:rsidRPr="005B74C9" w:rsidRDefault="00BC1F37" w:rsidP="00903D67">
      <w:pPr>
        <w:pStyle w:val="BodyText"/>
      </w:pPr>
      <w:r w:rsidRPr="005529DF">
        <w:t>In relation to available support services, encouragement of self-referral to a health support service and/or self-</w:t>
      </w:r>
      <w:r w:rsidR="00155217" w:rsidRPr="005529DF">
        <w:t>re</w:t>
      </w:r>
      <w:r w:rsidR="00155217">
        <w:t>porting</w:t>
      </w:r>
      <w:r w:rsidR="00155217" w:rsidRPr="005529DF">
        <w:t xml:space="preserve"> </w:t>
      </w:r>
      <w:r w:rsidRPr="005529DF">
        <w:t xml:space="preserve">(notification) to the regulator regarding a health impairment has been identified as a good practice principle, both in the literature and amongst review consultations. Self-referral to a health support service reflects practitioner acceptance, may increase the likelihood that a health impairment issue is identified earlier, and represents the lowest cost option, given it bypasses the costs associated with, for example, regulator investigation leading to referral. </w:t>
      </w:r>
    </w:p>
    <w:p w:rsidR="00BC1F37" w:rsidRDefault="00BC1F37" w:rsidP="00BC1F37">
      <w:pPr>
        <w:pStyle w:val="BodyText"/>
      </w:pPr>
      <w:r w:rsidRPr="005529DF">
        <w:t xml:space="preserve">Nurses and midwives expressed particular concern with the situation where the first </w:t>
      </w:r>
      <w:r w:rsidR="0072045C">
        <w:t xml:space="preserve">communication regarding </w:t>
      </w:r>
      <w:r w:rsidRPr="005529DF">
        <w:t xml:space="preserve">an impairment was through a </w:t>
      </w:r>
      <w:r w:rsidR="0072045C">
        <w:t xml:space="preserve">formal </w:t>
      </w:r>
      <w:r w:rsidRPr="005529DF">
        <w:t xml:space="preserve">notification from the regulator. This is </w:t>
      </w:r>
      <w:r w:rsidR="0072045C">
        <w:t>often</w:t>
      </w:r>
      <w:r w:rsidRPr="005529DF">
        <w:t xml:space="preserve"> a distressing event</w:t>
      </w:r>
      <w:r w:rsidR="0072045C">
        <w:t xml:space="preserve">, with </w:t>
      </w:r>
      <w:r w:rsidRPr="005529DF">
        <w:t xml:space="preserve">no </w:t>
      </w:r>
      <w:r w:rsidR="00D42F5F">
        <w:t xml:space="preserve">single </w:t>
      </w:r>
      <w:r w:rsidRPr="005529DF">
        <w:t xml:space="preserve">well understood procedure or first point of call for the practitioner. </w:t>
      </w:r>
    </w:p>
    <w:p w:rsidR="00BC1F37" w:rsidRPr="005529DF" w:rsidRDefault="00BC1F37" w:rsidP="005439BF">
      <w:pPr>
        <w:pStyle w:val="SideQuoteSource"/>
        <w:framePr w:wrap="around"/>
      </w:pPr>
      <w:r w:rsidRPr="005529DF">
        <w:t xml:space="preserve">Current support services </w:t>
      </w:r>
    </w:p>
    <w:p w:rsidR="00BC1F37" w:rsidRPr="005529DF" w:rsidRDefault="00BC1F37" w:rsidP="00BC1F37">
      <w:pPr>
        <w:pStyle w:val="BodyText"/>
      </w:pPr>
      <w:r w:rsidRPr="005529DF">
        <w:lastRenderedPageBreak/>
        <w:t xml:space="preserve">The most common forms of support </w:t>
      </w:r>
      <w:r w:rsidR="00D42F5F">
        <w:t xml:space="preserve">accessed </w:t>
      </w:r>
      <w:r w:rsidRPr="005529DF">
        <w:t xml:space="preserve">were Employee Assistance Programs (EAPs), private health practitioners, government alcohol/drug/mental health services, and services provided by nursing and midwifery organisations (for example, the Australian Nursing and Midwifery Federation (ANMF)). </w:t>
      </w:r>
    </w:p>
    <w:p w:rsidR="00BC1F37" w:rsidRPr="005529DF" w:rsidRDefault="00BC1F37" w:rsidP="00BC1F37">
      <w:pPr>
        <w:pStyle w:val="ListDash"/>
        <w:numPr>
          <w:ilvl w:val="0"/>
          <w:numId w:val="0"/>
        </w:numPr>
      </w:pPr>
      <w:r w:rsidRPr="005529DF">
        <w:t xml:space="preserve">Perhaps the strongest feedback the review received was in relation to the consistency and effectiveness of these services, as well as insufficient awareness of and/or access to the </w:t>
      </w:r>
      <w:r w:rsidR="00D42F5F">
        <w:t xml:space="preserve">range of </w:t>
      </w:r>
      <w:r w:rsidRPr="005529DF">
        <w:t>available support services. Of the 9,000 nurses and midwives surveyed, only 22 per cent reported that current support services were adequately meeting their needs and only 30 per cent of respondents were aware of government mental health, and drug and alcohol services.</w:t>
      </w:r>
    </w:p>
    <w:p w:rsidR="00BC1F37" w:rsidRPr="005529DF" w:rsidRDefault="00BC1F37" w:rsidP="00BC1F37">
      <w:pPr>
        <w:pStyle w:val="BodyText"/>
      </w:pPr>
      <w:r w:rsidRPr="005529DF">
        <w:t xml:space="preserve">A particular issue raised </w:t>
      </w:r>
      <w:r w:rsidR="00D42F5F">
        <w:t xml:space="preserve">was that </w:t>
      </w:r>
      <w:r w:rsidRPr="005529DF">
        <w:t xml:space="preserve">employer assistance and </w:t>
      </w:r>
      <w:r w:rsidR="00155217">
        <w:t>EAPs</w:t>
      </w:r>
      <w:r w:rsidRPr="005529DF">
        <w:t xml:space="preserve"> were </w:t>
      </w:r>
      <w:r w:rsidR="001D7EED">
        <w:t xml:space="preserve">often </w:t>
      </w:r>
      <w:r w:rsidRPr="005529DF">
        <w:t>found to</w:t>
      </w:r>
      <w:r w:rsidR="00757682">
        <w:t xml:space="preserve"> </w:t>
      </w:r>
      <w:r w:rsidRPr="005529DF">
        <w:t xml:space="preserve">focus on broader </w:t>
      </w:r>
      <w:r w:rsidR="00D42F5F">
        <w:t>work environment</w:t>
      </w:r>
      <w:r w:rsidRPr="005529DF">
        <w:t xml:space="preserve"> issues, </w:t>
      </w:r>
      <w:r w:rsidR="00492C16">
        <w:t xml:space="preserve">only </w:t>
      </w:r>
      <w:r w:rsidRPr="005529DF">
        <w:t xml:space="preserve">provide limited support, and be highly variable dependent </w:t>
      </w:r>
      <w:r w:rsidR="00492C16">
        <w:t>up</w:t>
      </w:r>
      <w:r w:rsidRPr="005529DF">
        <w:t>on the workplace</w:t>
      </w:r>
      <w:r w:rsidR="00D42F5F">
        <w:t xml:space="preserve"> culture</w:t>
      </w:r>
      <w:r w:rsidRPr="005529DF">
        <w:t xml:space="preserve">. Further, support arrangements </w:t>
      </w:r>
      <w:r w:rsidR="00492C16">
        <w:t xml:space="preserve">were noted as </w:t>
      </w:r>
      <w:r w:rsidRPr="005529DF">
        <w:t>vary</w:t>
      </w:r>
      <w:r w:rsidR="00492C16">
        <w:t>ing</w:t>
      </w:r>
      <w:r w:rsidRPr="005529DF">
        <w:t xml:space="preserve"> widely across and within jurisdictions, especially between rural, regional and metropolitan settings. </w:t>
      </w:r>
      <w:r w:rsidR="00E33F29">
        <w:t xml:space="preserve">Examples of </w:t>
      </w:r>
      <w:r w:rsidRPr="005529DF">
        <w:t>‘first point</w:t>
      </w:r>
      <w:r w:rsidR="00E33F29">
        <w:t>s</w:t>
      </w:r>
      <w:r w:rsidRPr="005529DF">
        <w:t xml:space="preserve"> of support’ </w:t>
      </w:r>
      <w:r w:rsidR="00E33F29">
        <w:t>include some branches</w:t>
      </w:r>
      <w:r w:rsidR="00B43266">
        <w:t xml:space="preserve"> of the ANMF and</w:t>
      </w:r>
      <w:r w:rsidRPr="005529DF">
        <w:t xml:space="preserve"> the Nursing and Midwifery Health Program in Victoria</w:t>
      </w:r>
      <w:r w:rsidR="00692AE9">
        <w:t xml:space="preserve"> (NMHPV)</w:t>
      </w:r>
      <w:r w:rsidRPr="005529DF">
        <w:t xml:space="preserve">, </w:t>
      </w:r>
      <w:r w:rsidR="00757682">
        <w:t>however,</w:t>
      </w:r>
      <w:r w:rsidRPr="005529DF">
        <w:t xml:space="preserve"> access to greater guidance regarding example situations and responses would assist nurses and midwives to better understand the options available to them</w:t>
      </w:r>
      <w:r w:rsidR="00155217">
        <w:t xml:space="preserve"> upon being notified</w:t>
      </w:r>
      <w:r w:rsidRPr="005529DF">
        <w:t xml:space="preserve">. </w:t>
      </w:r>
    </w:p>
    <w:p w:rsidR="00BC1F37" w:rsidRPr="005529DF" w:rsidRDefault="00D42F5F" w:rsidP="00BC1F37">
      <w:pPr>
        <w:pStyle w:val="SideQuote"/>
        <w:framePr w:wrap="around"/>
        <w:jc w:val="right"/>
        <w:rPr>
          <w:i/>
        </w:rPr>
      </w:pPr>
      <w:r>
        <w:rPr>
          <w:i/>
        </w:rPr>
        <w:t>Cost implications</w:t>
      </w:r>
    </w:p>
    <w:p w:rsidR="00BC1F37" w:rsidRPr="005529DF" w:rsidRDefault="00BC1F37" w:rsidP="00BC1F37">
      <w:pPr>
        <w:pStyle w:val="BodyText"/>
      </w:pPr>
      <w:r w:rsidRPr="005529DF">
        <w:t>The cost pressures placed on nurses and midwives under notification were frequently raised throughout the review, particularly in relation to the costs associated with monitoring strategies involving assessments and reports, compliance with treatment conditions on licen</w:t>
      </w:r>
      <w:r w:rsidR="001D7EED">
        <w:t>c</w:t>
      </w:r>
      <w:r w:rsidRPr="005529DF">
        <w:t>e/registration such as counselling and urine or hair testing, travel costs, and legal advice, representation and court/tribunal costs. The</w:t>
      </w:r>
      <w:r w:rsidR="003B16D9">
        <w:t xml:space="preserve"> combined effect of these costs could often be substantial, the impact</w:t>
      </w:r>
      <w:r w:rsidRPr="005529DF">
        <w:t xml:space="preserve"> further exacerbated when any conditions placed prevented the nurse or midwife from practising or limited their earning potential. </w:t>
      </w:r>
    </w:p>
    <w:p w:rsidR="00BC1F37" w:rsidRPr="00D25304" w:rsidRDefault="00BC1F37" w:rsidP="007640DA">
      <w:pPr>
        <w:pStyle w:val="BodyText"/>
        <w:keepNext/>
        <w:keepLines/>
      </w:pPr>
      <w:r w:rsidRPr="005529DF">
        <w:lastRenderedPageBreak/>
        <w:t xml:space="preserve">It was also raised that </w:t>
      </w:r>
      <w:r w:rsidR="003B16D9">
        <w:t xml:space="preserve">the </w:t>
      </w:r>
      <w:r w:rsidRPr="005529DF">
        <w:t>high monitoring costs</w:t>
      </w:r>
      <w:r w:rsidR="003B16D9">
        <w:t xml:space="preserve"> could also act as deterrent to</w:t>
      </w:r>
      <w:r w:rsidRPr="005529DF">
        <w:t xml:space="preserve"> seeking support at a sufficiently early stage, resulting in an escalation of the impairment </w:t>
      </w:r>
      <w:r w:rsidR="00CA0619">
        <w:t>and hence risk to the nurse or midwife</w:t>
      </w:r>
      <w:r w:rsidR="00CA0619" w:rsidRPr="005529DF">
        <w:t xml:space="preserve"> and the public.</w:t>
      </w:r>
    </w:p>
    <w:p w:rsidR="00BC1F37" w:rsidRPr="005529DF" w:rsidRDefault="00BC1F37" w:rsidP="00BC1F37">
      <w:pPr>
        <w:pStyle w:val="Heading2nonumber"/>
        <w:rPr>
          <w:rFonts w:ascii="Times New Roman" w:hAnsi="Times New Roman"/>
        </w:rPr>
      </w:pPr>
      <w:r w:rsidRPr="005529DF">
        <w:rPr>
          <w:rFonts w:ascii="Times New Roman" w:hAnsi="Times New Roman"/>
        </w:rPr>
        <w:t>Areas for attention</w:t>
      </w:r>
    </w:p>
    <w:p w:rsidR="00BC1F37" w:rsidRDefault="00BC1F37" w:rsidP="00BC1F37">
      <w:pPr>
        <w:pStyle w:val="BodyText"/>
      </w:pPr>
      <w:r w:rsidRPr="005529DF">
        <w:t>The findings and themes from the literature review and stakeholder consultations suggest three key areas of focus for potential service enhancement</w:t>
      </w:r>
      <w:r w:rsidR="00614175">
        <w:t>.</w:t>
      </w:r>
      <w:r w:rsidRPr="005529DF">
        <w:t xml:space="preserve"> </w:t>
      </w:r>
    </w:p>
    <w:p w:rsidR="00614175" w:rsidRPr="005529DF" w:rsidRDefault="00614175" w:rsidP="00BC1F37">
      <w:pPr>
        <w:pStyle w:val="BodyText"/>
      </w:pPr>
      <w:r w:rsidRPr="005529DF">
        <w:t xml:space="preserve">The first involves additional </w:t>
      </w:r>
      <w:r w:rsidRPr="007640DA">
        <w:rPr>
          <w:i/>
        </w:rPr>
        <w:t>education and awareness programs</w:t>
      </w:r>
      <w:r w:rsidRPr="005529DF">
        <w:t xml:space="preserve"> to better inform nurses and midwives of mandatory notification requirements, obligations to the regulator upon being notified, how to better identify health impairment among colleagues, as well as where and how to access appropriate suppor</w:t>
      </w:r>
      <w:r w:rsidR="009C75A1">
        <w:t>t services. The second involves</w:t>
      </w:r>
      <w:r w:rsidRPr="005529DF">
        <w:t xml:space="preserve"> establishing a national </w:t>
      </w:r>
      <w:r w:rsidRPr="007640DA">
        <w:rPr>
          <w:i/>
        </w:rPr>
        <w:t>support service</w:t>
      </w:r>
      <w:r w:rsidRPr="005529DF">
        <w:t xml:space="preserve"> for nurses and midwives that provides a range of advisory, counselling and referral services, either through a single national service, or through state-based services within a national framework. The third focusses on reduc</w:t>
      </w:r>
      <w:r>
        <w:t xml:space="preserve">ing the impact of </w:t>
      </w:r>
      <w:r w:rsidRPr="007640DA">
        <w:rPr>
          <w:i/>
        </w:rPr>
        <w:t>monitoring and testing costs</w:t>
      </w:r>
      <w:r w:rsidRPr="005529DF">
        <w:t>, so as to help encourage earlier self-referral and quicker rehabilitation and return to work.</w:t>
      </w:r>
      <w:r>
        <w:t xml:space="preserve"> </w:t>
      </w:r>
    </w:p>
    <w:p w:rsidR="00BC1F37" w:rsidRPr="005529DF" w:rsidRDefault="00BC1F37" w:rsidP="00BC1F37">
      <w:pPr>
        <w:pStyle w:val="SideQuoteSource"/>
        <w:framePr w:wrap="around"/>
      </w:pPr>
      <w:r w:rsidRPr="005529DF">
        <w:t xml:space="preserve">Education programs </w:t>
      </w:r>
    </w:p>
    <w:p w:rsidR="00BC1F37" w:rsidRPr="005529DF" w:rsidRDefault="00BC1F37" w:rsidP="00BC1F37">
      <w:pPr>
        <w:pStyle w:val="BodyText"/>
      </w:pPr>
      <w:r w:rsidRPr="005529DF">
        <w:t>The importance of education was raised by stakeholders in many contexts but most tended to focus around the potential benefits these would bring in terms of</w:t>
      </w:r>
      <w:r w:rsidR="00155217">
        <w:t>,</w:t>
      </w:r>
      <w:r w:rsidRPr="005529DF">
        <w:t xml:space="preserve"> firstly</w:t>
      </w:r>
      <w:r w:rsidR="00155217">
        <w:t xml:space="preserve"> </w:t>
      </w:r>
      <w:r w:rsidRPr="005529DF">
        <w:t xml:space="preserve">increasing the awareness of nurses and midwives about the notification process, mandatory notification and dealing with impairment in general, and secondly encouraging greater awareness of available support services. </w:t>
      </w:r>
    </w:p>
    <w:p w:rsidR="00BC1F37" w:rsidRPr="005529DF" w:rsidRDefault="00614175" w:rsidP="00BC1F37">
      <w:pPr>
        <w:pStyle w:val="BodyText"/>
      </w:pPr>
      <w:r>
        <w:t>While</w:t>
      </w:r>
      <w:r w:rsidR="00BC1F37" w:rsidRPr="005529DF">
        <w:t xml:space="preserve"> the second of these is beyond the specific </w:t>
      </w:r>
      <w:r>
        <w:t>legislative focus</w:t>
      </w:r>
      <w:r w:rsidR="00BC1F37" w:rsidRPr="005529DF">
        <w:t xml:space="preserve"> of </w:t>
      </w:r>
      <w:r>
        <w:t>the NMBA</w:t>
      </w:r>
      <w:r w:rsidR="00BC1F37" w:rsidRPr="005529DF">
        <w:t>, it is included here in view of its potential to encourage earlier self-referral and thereby avoid or limit the extent of a notification, and/or to shorten the time for rehabilitation and return to work.</w:t>
      </w:r>
    </w:p>
    <w:p w:rsidR="00BC1F37" w:rsidRPr="005529DF" w:rsidRDefault="00BC1F37" w:rsidP="00BC1F37">
      <w:pPr>
        <w:pStyle w:val="BodyText"/>
      </w:pPr>
      <w:r w:rsidRPr="005529DF">
        <w:t>While</w:t>
      </w:r>
      <w:r w:rsidR="0058552E">
        <w:t xml:space="preserve"> </w:t>
      </w:r>
      <w:r w:rsidR="007865EE">
        <w:t>there are some presentations and training sessions</w:t>
      </w:r>
      <w:r w:rsidR="007865EE" w:rsidRPr="005529DF" w:rsidDel="00681A01">
        <w:t xml:space="preserve"> </w:t>
      </w:r>
      <w:r w:rsidR="007865EE">
        <w:t xml:space="preserve">provided by </w:t>
      </w:r>
      <w:r w:rsidR="00543C45">
        <w:t xml:space="preserve">AHPRA staff on behalf of some State and Territory Boards and AHPRA offices, </w:t>
      </w:r>
      <w:r w:rsidRPr="005529DF">
        <w:t xml:space="preserve">the ANMF and employers, the review heard that there </w:t>
      </w:r>
      <w:r w:rsidRPr="005529DF">
        <w:lastRenderedPageBreak/>
        <w:t xml:space="preserve">would be benefit from </w:t>
      </w:r>
      <w:r w:rsidR="00E13CE5">
        <w:t>the establishment of a</w:t>
      </w:r>
      <w:r w:rsidRPr="005529DF">
        <w:t xml:space="preserve"> systemic approach to provid</w:t>
      </w:r>
      <w:r w:rsidR="00E13CE5">
        <w:t>ing</w:t>
      </w:r>
      <w:r w:rsidRPr="005529DF">
        <w:t xml:space="preserve"> advice to nurses and midwives on how to deal with impairment in the workplace. </w:t>
      </w:r>
      <w:r w:rsidR="00D61B81">
        <w:t>At minimum, this would involve a suite of</w:t>
      </w:r>
      <w:r w:rsidR="005E5BAE">
        <w:t xml:space="preserve"> education programs that provide </w:t>
      </w:r>
      <w:r w:rsidRPr="005529DF">
        <w:t>advice on respective obligations under mandatory notification</w:t>
      </w:r>
      <w:r w:rsidR="00A7689D">
        <w:t>s</w:t>
      </w:r>
      <w:r w:rsidRPr="005529DF">
        <w:t xml:space="preserve">, where to seek help and </w:t>
      </w:r>
      <w:r w:rsidR="009C75A1">
        <w:t>what</w:t>
      </w:r>
      <w:r w:rsidRPr="005529DF">
        <w:t xml:space="preserve"> procedures </w:t>
      </w:r>
      <w:r w:rsidR="00A7689D">
        <w:t>should</w:t>
      </w:r>
      <w:r w:rsidR="00A7689D" w:rsidRPr="005529DF">
        <w:t xml:space="preserve"> </w:t>
      </w:r>
      <w:r w:rsidRPr="005529DF">
        <w:t xml:space="preserve">be followed when the impairment is considered to put the public at risk. </w:t>
      </w:r>
      <w:r w:rsidR="007865EE">
        <w:t>The</w:t>
      </w:r>
      <w:r w:rsidR="00D61B81">
        <w:t>se</w:t>
      </w:r>
      <w:r w:rsidR="00052A53">
        <w:t xml:space="preserve"> </w:t>
      </w:r>
      <w:r w:rsidRPr="005529DF">
        <w:t xml:space="preserve">could also </w:t>
      </w:r>
      <w:r w:rsidR="00D61B81">
        <w:t xml:space="preserve">be </w:t>
      </w:r>
      <w:r w:rsidR="003A6A42">
        <w:t>extended</w:t>
      </w:r>
      <w:r w:rsidRPr="005529DF">
        <w:t xml:space="preserve"> to </w:t>
      </w:r>
      <w:r w:rsidR="00A7689D">
        <w:t>employers, other health practitioners and nursing and midwifery educators</w:t>
      </w:r>
      <w:r w:rsidR="003A6A42">
        <w:t>,</w:t>
      </w:r>
      <w:r w:rsidRPr="005529DF">
        <w:t xml:space="preserve"> </w:t>
      </w:r>
      <w:r w:rsidR="00D61B81">
        <w:t>explaining</w:t>
      </w:r>
      <w:r w:rsidR="00D61B81" w:rsidRPr="005529DF">
        <w:t xml:space="preserve"> </w:t>
      </w:r>
      <w:r w:rsidRPr="005529DF">
        <w:t>their obligations under National Law, and how they can get advice and assistance for impaired staff</w:t>
      </w:r>
      <w:r w:rsidR="00A7689D">
        <w:t xml:space="preserve"> or students</w:t>
      </w:r>
      <w:r w:rsidRPr="005529DF">
        <w:t>.</w:t>
      </w:r>
    </w:p>
    <w:p w:rsidR="00BC1F37" w:rsidRPr="005529DF" w:rsidRDefault="00BC1F37" w:rsidP="00BC1F37">
      <w:pPr>
        <w:pStyle w:val="BodyText"/>
      </w:pPr>
      <w:r w:rsidRPr="005529DF">
        <w:t xml:space="preserve">Such </w:t>
      </w:r>
      <w:r w:rsidR="00E13CE5">
        <w:t>programs</w:t>
      </w:r>
      <w:r w:rsidRPr="005529DF">
        <w:t xml:space="preserve"> could be provided through jurisdiction specific face-to-face sessions to universities and/or major employers, as well as an online resource </w:t>
      </w:r>
      <w:r w:rsidR="00E13CE5">
        <w:t xml:space="preserve">to </w:t>
      </w:r>
      <w:r w:rsidRPr="005529DF">
        <w:t xml:space="preserve">cater in particular for nurses and midwives living in regional and remote areas of Australia. It </w:t>
      </w:r>
      <w:r w:rsidR="00E13CE5">
        <w:t>was</w:t>
      </w:r>
      <w:r w:rsidRPr="005529DF">
        <w:t xml:space="preserve"> also </w:t>
      </w:r>
      <w:r w:rsidR="00E13CE5">
        <w:t xml:space="preserve">considered </w:t>
      </w:r>
      <w:r w:rsidRPr="005529DF">
        <w:t xml:space="preserve">important that the available support services are </w:t>
      </w:r>
      <w:r w:rsidR="00E13CE5">
        <w:t xml:space="preserve">communicated and </w:t>
      </w:r>
      <w:r w:rsidRPr="005529DF">
        <w:t>reinforced upon a nurse or midwife becoming notified.</w:t>
      </w:r>
    </w:p>
    <w:p w:rsidR="00BC1F37" w:rsidRPr="005529DF" w:rsidRDefault="00BC1F37" w:rsidP="00BC1F37">
      <w:pPr>
        <w:pStyle w:val="SideQuoteSource"/>
        <w:framePr w:wrap="around"/>
      </w:pPr>
      <w:r w:rsidRPr="005529DF">
        <w:t xml:space="preserve">Support services </w:t>
      </w:r>
    </w:p>
    <w:p w:rsidR="007A48C5" w:rsidRDefault="00BC1F37" w:rsidP="00BC1F37">
      <w:pPr>
        <w:pStyle w:val="BodyText"/>
      </w:pPr>
      <w:r w:rsidRPr="005529DF">
        <w:t xml:space="preserve">In considering the issues raised in relation to </w:t>
      </w:r>
      <w:r w:rsidR="003A1ABE">
        <w:t xml:space="preserve">having ready </w:t>
      </w:r>
      <w:r w:rsidR="007A48C5">
        <w:t xml:space="preserve">and consistent </w:t>
      </w:r>
      <w:r w:rsidRPr="005529DF">
        <w:t>access to supportive health programs, the literature considers the following services as important components—phone support lines, referral and counselling service, case management and regulator management</w:t>
      </w:r>
      <w:r w:rsidR="00075DF8">
        <w:t>.</w:t>
      </w:r>
      <w:r w:rsidRPr="005529DF">
        <w:t xml:space="preserve"> Of these, there is strong evidence for case management </w:t>
      </w:r>
      <w:r w:rsidR="00155217">
        <w:t>given it is</w:t>
      </w:r>
      <w:r w:rsidRPr="005529DF">
        <w:t xml:space="preserve"> the most effective in improving outcomes in relation to rehabilitation and return to work. </w:t>
      </w:r>
    </w:p>
    <w:p w:rsidR="00BC1F37" w:rsidRPr="005529DF" w:rsidRDefault="00BC1F37" w:rsidP="00BC1F37">
      <w:pPr>
        <w:pStyle w:val="BodyText"/>
      </w:pPr>
      <w:r w:rsidRPr="005529DF">
        <w:t xml:space="preserve">There are a number of ways that </w:t>
      </w:r>
      <w:r w:rsidR="007A48C5">
        <w:t>such</w:t>
      </w:r>
      <w:r w:rsidRPr="005529DF">
        <w:t xml:space="preserve"> additional support services could be implemented</w:t>
      </w:r>
      <w:r w:rsidR="007A48C5">
        <w:t xml:space="preserve"> nationally</w:t>
      </w:r>
      <w:r w:rsidRPr="005529DF">
        <w:t xml:space="preserve">. They could involve a single organisation being contracted to deliver </w:t>
      </w:r>
      <w:r w:rsidR="003A1ABE">
        <w:t>a single</w:t>
      </w:r>
      <w:r w:rsidRPr="005529DF">
        <w:t xml:space="preserve"> support service </w:t>
      </w:r>
      <w:r w:rsidR="003A1ABE">
        <w:t xml:space="preserve">available </w:t>
      </w:r>
      <w:r w:rsidRPr="005529DF">
        <w:t>across Australia. Alternatively, separate parties from each jurisdiction could be given responsibility for implementing these services</w:t>
      </w:r>
      <w:r w:rsidR="007A48C5">
        <w:t xml:space="preserve"> within a national framework</w:t>
      </w:r>
      <w:r w:rsidRPr="005529DF">
        <w:t xml:space="preserve">. </w:t>
      </w:r>
    </w:p>
    <w:p w:rsidR="00BC1F37" w:rsidRPr="005529DF" w:rsidRDefault="00BC1F37" w:rsidP="00BC1F37">
      <w:pPr>
        <w:pStyle w:val="BodyText"/>
      </w:pPr>
      <w:r w:rsidRPr="005529DF">
        <w:t xml:space="preserve">It would be important to </w:t>
      </w:r>
      <w:r w:rsidR="00A70471">
        <w:t>carefully</w:t>
      </w:r>
      <w:r w:rsidRPr="005529DF">
        <w:t xml:space="preserve"> delineate </w:t>
      </w:r>
      <w:r w:rsidR="007A48C5">
        <w:t>the</w:t>
      </w:r>
      <w:r w:rsidRPr="005529DF">
        <w:t xml:space="preserve"> additional support services from generic support services, such as EAPs, which can also cater to var</w:t>
      </w:r>
      <w:r w:rsidR="007A48C5">
        <w:t>ying</w:t>
      </w:r>
      <w:r w:rsidRPr="005529DF">
        <w:t xml:space="preserve"> severities of health impairment.  </w:t>
      </w:r>
      <w:r w:rsidR="007A48C5">
        <w:t>T</w:t>
      </w:r>
      <w:r w:rsidRPr="005529DF">
        <w:t xml:space="preserve">he additional support services could </w:t>
      </w:r>
      <w:r w:rsidR="00A70471">
        <w:t>be accessible</w:t>
      </w:r>
      <w:r w:rsidRPr="005529DF">
        <w:t xml:space="preserve"> only to those nurses and midwives who have been notified and </w:t>
      </w:r>
      <w:r w:rsidRPr="005529DF">
        <w:lastRenderedPageBreak/>
        <w:t>assessed as having a health impairment</w:t>
      </w:r>
      <w:r w:rsidR="00A70471">
        <w:t xml:space="preserve">. They could also be a point of referral for nurses and midwives who have been notified </w:t>
      </w:r>
      <w:r w:rsidRPr="005529DF">
        <w:t>but whose case requires no further action given they do not pose a threat to public safety, or have early signs of an impairment, which has the potential to deteriorate and become notifiable</w:t>
      </w:r>
      <w:r w:rsidR="00A70471">
        <w:t xml:space="preserve"> if not adequately supported</w:t>
      </w:r>
      <w:r w:rsidRPr="005529DF">
        <w:t xml:space="preserve">. </w:t>
      </w:r>
    </w:p>
    <w:p w:rsidR="001B3C66" w:rsidRPr="005529DF" w:rsidRDefault="00BC1F37" w:rsidP="00BC1F37">
      <w:pPr>
        <w:pStyle w:val="BodyText"/>
      </w:pPr>
      <w:r w:rsidRPr="005529DF">
        <w:t xml:space="preserve">The NMHPV is discussed </w:t>
      </w:r>
      <w:r w:rsidR="00A70471">
        <w:t xml:space="preserve">in the report </w:t>
      </w:r>
      <w:r w:rsidRPr="005529DF">
        <w:t xml:space="preserve">as an illustrative example of an existing support service operating in Victoria. </w:t>
      </w:r>
      <w:r w:rsidR="00865F37" w:rsidRPr="005529DF">
        <w:t>It is important to note</w:t>
      </w:r>
      <w:r w:rsidR="00865F37">
        <w:t>, however,</w:t>
      </w:r>
      <w:r w:rsidR="00865F37" w:rsidRPr="005529DF">
        <w:t xml:space="preserve"> that the proposed service elements are not </w:t>
      </w:r>
      <w:r w:rsidR="00FB39D4">
        <w:t>advocating the replication of</w:t>
      </w:r>
      <w:r w:rsidR="00865F37" w:rsidRPr="005529DF">
        <w:t xml:space="preserve"> the NMHPV </w:t>
      </w:r>
      <w:r w:rsidR="00FB39D4" w:rsidRPr="00104801">
        <w:rPr>
          <w:i/>
        </w:rPr>
        <w:t>per se</w:t>
      </w:r>
      <w:r w:rsidR="00FB39D4">
        <w:t xml:space="preserve"> </w:t>
      </w:r>
      <w:r w:rsidR="00865F37" w:rsidRPr="005529DF">
        <w:t>across all states and territories</w:t>
      </w:r>
      <w:r w:rsidR="00865F37">
        <w:t>. What the review has established is the need for consistent and effective national support services and that t</w:t>
      </w:r>
      <w:r w:rsidR="00A70471">
        <w:t>he</w:t>
      </w:r>
      <w:r w:rsidR="00865F37">
        <w:t>ir</w:t>
      </w:r>
      <w:r w:rsidRPr="005529DF">
        <w:t xml:space="preserve"> design </w:t>
      </w:r>
      <w:r w:rsidR="00A70471">
        <w:t>should</w:t>
      </w:r>
      <w:r w:rsidRPr="005529DF">
        <w:t xml:space="preserve"> </w:t>
      </w:r>
      <w:r w:rsidR="000945C0">
        <w:t xml:space="preserve">draw on </w:t>
      </w:r>
      <w:r w:rsidR="00FB39D4">
        <w:t xml:space="preserve">examples and </w:t>
      </w:r>
      <w:r w:rsidR="000945C0" w:rsidRPr="005529DF">
        <w:t>good practice principles identified in the Literature Review</w:t>
      </w:r>
      <w:r w:rsidR="00964F26">
        <w:t xml:space="preserve">. </w:t>
      </w:r>
      <w:r w:rsidR="007C6BD9">
        <w:t xml:space="preserve">Another useful guide may be </w:t>
      </w:r>
      <w:r w:rsidR="00506949">
        <w:t xml:space="preserve">provided by </w:t>
      </w:r>
      <w:r w:rsidR="007C6BD9">
        <w:t xml:space="preserve">the recently announced establishment of a national health program for doctors and medical students by the Australia Medical Board of Australia and the Australian Medical Association (AMA). </w:t>
      </w:r>
    </w:p>
    <w:p w:rsidR="00BC1F37" w:rsidRPr="005529DF" w:rsidRDefault="00BC1F37" w:rsidP="00BC1F37">
      <w:pPr>
        <w:pStyle w:val="SideQuoteSource"/>
        <w:framePr w:wrap="around"/>
      </w:pPr>
      <w:r w:rsidRPr="005529DF">
        <w:t xml:space="preserve">Monitoring costs </w:t>
      </w:r>
    </w:p>
    <w:p w:rsidR="00BC1F37" w:rsidRPr="005529DF" w:rsidRDefault="000945C0" w:rsidP="00BC1F37">
      <w:pPr>
        <w:pStyle w:val="BodyText"/>
      </w:pPr>
      <w:r>
        <w:t xml:space="preserve">There are </w:t>
      </w:r>
      <w:r w:rsidR="009C1F57">
        <w:t>various</w:t>
      </w:r>
      <w:r w:rsidR="00BC1F37" w:rsidRPr="005529DF">
        <w:t xml:space="preserve"> costs associated with monitoring nurses and midwives with a health impairment. </w:t>
      </w:r>
      <w:r>
        <w:t>M</w:t>
      </w:r>
      <w:r w:rsidR="00BC1F37" w:rsidRPr="005529DF">
        <w:t>ost significan</w:t>
      </w:r>
      <w:r>
        <w:t>t</w:t>
      </w:r>
      <w:r w:rsidR="00BC1F37" w:rsidRPr="005529DF">
        <w:t xml:space="preserve"> are the costs </w:t>
      </w:r>
      <w:r w:rsidR="00155217">
        <w:t xml:space="preserve">of </w:t>
      </w:r>
      <w:r w:rsidR="00BC1F37" w:rsidRPr="005529DF">
        <w:t xml:space="preserve">regular drug tests, which are incurred by the individual nurse or midwife. It is understood that cost effective sourcing of appropriate laboratories to perform the monitoring tests required is currently under consideration, including the establishment of formal working relationships and discounted drug tests for notified health practitioners. </w:t>
      </w:r>
    </w:p>
    <w:p w:rsidR="00BC1F37" w:rsidRPr="005529DF" w:rsidRDefault="00BC1F37" w:rsidP="00BC1F37">
      <w:pPr>
        <w:pStyle w:val="BodyText"/>
        <w:rPr>
          <w:b/>
          <w:color w:val="9757A6" w:themeColor="text2"/>
          <w:kern w:val="36"/>
          <w:sz w:val="28"/>
          <w:szCs w:val="24"/>
        </w:rPr>
      </w:pPr>
      <w:r w:rsidRPr="005529DF">
        <w:t xml:space="preserve">In Australia there may also be the potential for some monitoring costs to be reduced as a result of access to universal healthcare, for example through gaining a Medicare contribution for visits to a treating practitioner. Indeed, one of the elements of the support services discussed </w:t>
      </w:r>
      <w:r w:rsidR="000945C0">
        <w:t>above</w:t>
      </w:r>
      <w:r w:rsidRPr="005529DF">
        <w:t xml:space="preserve"> could be to provide advice on cost effective means for accessing appropriate treatment and testing services whilst on a monitoring regime.</w:t>
      </w:r>
    </w:p>
    <w:p w:rsidR="00BC1F37" w:rsidRPr="005529DF" w:rsidRDefault="00BC1F37" w:rsidP="00BC1F37">
      <w:pPr>
        <w:pStyle w:val="Heading2nonumber"/>
        <w:rPr>
          <w:rFonts w:ascii="Times New Roman" w:hAnsi="Times New Roman"/>
        </w:rPr>
      </w:pPr>
      <w:r w:rsidRPr="005529DF">
        <w:rPr>
          <w:rFonts w:ascii="Times New Roman" w:hAnsi="Times New Roman"/>
        </w:rPr>
        <w:lastRenderedPageBreak/>
        <w:t>Financial assessment of the identified enhancements</w:t>
      </w:r>
    </w:p>
    <w:p w:rsidR="005E5BAE" w:rsidRPr="005529DF" w:rsidRDefault="00171F1B" w:rsidP="00BC1F37">
      <w:pPr>
        <w:pStyle w:val="BodyText"/>
      </w:pPr>
      <w:r>
        <w:t>There are</w:t>
      </w:r>
      <w:r w:rsidR="00C00640">
        <w:t xml:space="preserve"> </w:t>
      </w:r>
      <w:r w:rsidR="004A566C">
        <w:t>a</w:t>
      </w:r>
      <w:r w:rsidR="00BC1F37" w:rsidRPr="005529DF">
        <w:t xml:space="preserve"> range of financial benefits</w:t>
      </w:r>
      <w:r>
        <w:t xml:space="preserve"> available through addressing the areas identified</w:t>
      </w:r>
      <w:r w:rsidR="00BC1F37" w:rsidRPr="005529DF">
        <w:t xml:space="preserve">, resulting </w:t>
      </w:r>
      <w:r w:rsidR="000945C0">
        <w:t xml:space="preserve">in the main </w:t>
      </w:r>
      <w:r w:rsidR="00BC1F37" w:rsidRPr="005529DF">
        <w:t xml:space="preserve">from avoided </w:t>
      </w:r>
      <w:r w:rsidR="000945C0">
        <w:t xml:space="preserve">or reduced </w:t>
      </w:r>
      <w:r w:rsidR="00BC1F37" w:rsidRPr="005529DF">
        <w:t xml:space="preserve">costs in relation to notification processes, testing and treatment, productivity losses and adverse events. </w:t>
      </w:r>
      <w:r w:rsidR="00170EA7">
        <w:t xml:space="preserve">While broad estimates </w:t>
      </w:r>
      <w:r>
        <w:t>have been</w:t>
      </w:r>
      <w:r w:rsidR="00170EA7">
        <w:t xml:space="preserve"> </w:t>
      </w:r>
      <w:r>
        <w:t>made</w:t>
      </w:r>
      <w:r w:rsidR="002B57A4">
        <w:t xml:space="preserve"> </w:t>
      </w:r>
      <w:r w:rsidR="00170EA7">
        <w:t>to indicate the scale of costs and benefits involved, these should be interpreted with care as they are based on high level assumptions which</w:t>
      </w:r>
      <w:r w:rsidR="00C17859">
        <w:t xml:space="preserve"> have not been market tested. </w:t>
      </w:r>
    </w:p>
    <w:p w:rsidR="00BC1F37" w:rsidRPr="005529DF" w:rsidRDefault="00BC1F37" w:rsidP="00BC1F37">
      <w:pPr>
        <w:pStyle w:val="BodyText"/>
      </w:pPr>
      <w:r w:rsidRPr="005529DF">
        <w:t xml:space="preserve">For </w:t>
      </w:r>
      <w:r w:rsidRPr="005529DF">
        <w:rPr>
          <w:i/>
        </w:rPr>
        <w:t>education programs</w:t>
      </w:r>
      <w:r w:rsidRPr="005529DF">
        <w:t xml:space="preserve">, </w:t>
      </w:r>
      <w:r w:rsidR="004A566C">
        <w:t>cost savings</w:t>
      </w:r>
      <w:r w:rsidR="004A566C" w:rsidRPr="005529DF">
        <w:t xml:space="preserve"> </w:t>
      </w:r>
      <w:r w:rsidR="004A566C">
        <w:t>could</w:t>
      </w:r>
      <w:r w:rsidR="004A566C" w:rsidRPr="005529DF">
        <w:t xml:space="preserve"> </w:t>
      </w:r>
      <w:r w:rsidRPr="005529DF">
        <w:t xml:space="preserve">result from nurses and midwives being better informed about impairment, seeking help earlier, and fewer nurses and midwives having a serious impairment, </w:t>
      </w:r>
      <w:r w:rsidR="004A566C">
        <w:t>with financial benefits</w:t>
      </w:r>
      <w:r w:rsidRPr="005529DF">
        <w:t xml:space="preserve"> estimated to be in the order of $5 million per annum</w:t>
      </w:r>
      <w:r w:rsidR="0068607A">
        <w:t>, as per details provided in</w:t>
      </w:r>
      <w:r w:rsidR="00C17859">
        <w:t xml:space="preserve"> </w:t>
      </w:r>
      <w:r w:rsidR="004D1416">
        <w:fldChar w:fldCharType="begin"/>
      </w:r>
      <w:r w:rsidR="00377287">
        <w:instrText xml:space="preserve"> REF _Ref418671711 \n \h </w:instrText>
      </w:r>
      <w:r w:rsidR="004D1416">
        <w:fldChar w:fldCharType="separate"/>
      </w:r>
      <w:r w:rsidR="00B07965">
        <w:rPr>
          <w:b/>
          <w:bCs/>
          <w:lang w:val="en-US"/>
        </w:rPr>
        <w:t>Error! Reference source not found.</w:t>
      </w:r>
      <w:r w:rsidR="004D1416">
        <w:fldChar w:fldCharType="end"/>
      </w:r>
      <w:r w:rsidR="00377287">
        <w:t xml:space="preserve"> 4.4</w:t>
      </w:r>
      <w:r w:rsidRPr="005529DF">
        <w:t xml:space="preserve">. The costs involved in providing additional education services would </w:t>
      </w:r>
      <w:r w:rsidR="004A566C">
        <w:t>include</w:t>
      </w:r>
      <w:r w:rsidR="004A566C" w:rsidRPr="005529DF">
        <w:t xml:space="preserve"> </w:t>
      </w:r>
      <w:r w:rsidRPr="005529DF">
        <w:t xml:space="preserve">the salary of a coordinator, travel and accommodation for AHPRA staff undertaking education activities across eight states/territories, </w:t>
      </w:r>
      <w:r w:rsidR="004A566C">
        <w:t xml:space="preserve">development of the </w:t>
      </w:r>
      <w:r w:rsidRPr="005529DF">
        <w:t>website and education</w:t>
      </w:r>
      <w:r w:rsidR="004A566C">
        <w:t>al</w:t>
      </w:r>
      <w:r w:rsidRPr="005529DF">
        <w:t xml:space="preserve"> materials such as brochures and posters</w:t>
      </w:r>
      <w:r w:rsidR="004A566C">
        <w:t>.</w:t>
      </w:r>
      <w:r w:rsidRPr="005529DF">
        <w:t xml:space="preserve"> </w:t>
      </w:r>
      <w:r w:rsidR="004A566C">
        <w:t xml:space="preserve">Total </w:t>
      </w:r>
      <w:r w:rsidR="0068607A">
        <w:t xml:space="preserve">costs as </w:t>
      </w:r>
      <w:r w:rsidRPr="005529DF">
        <w:t>are estimated to be in the order of $0.5 million per annum.</w:t>
      </w:r>
    </w:p>
    <w:p w:rsidR="00BC1F37" w:rsidRPr="005529DF" w:rsidRDefault="00BC1F37" w:rsidP="00BC1F37">
      <w:pPr>
        <w:pStyle w:val="BodyText"/>
      </w:pPr>
      <w:r w:rsidRPr="005529DF">
        <w:t xml:space="preserve">For national </w:t>
      </w:r>
      <w:r w:rsidRPr="005529DF">
        <w:rPr>
          <w:i/>
        </w:rPr>
        <w:t>support services</w:t>
      </w:r>
      <w:r w:rsidRPr="005529DF">
        <w:t xml:space="preserve">, </w:t>
      </w:r>
      <w:r w:rsidR="00C23874">
        <w:t>cost savings</w:t>
      </w:r>
      <w:r w:rsidR="00C23874" w:rsidRPr="005529DF">
        <w:t xml:space="preserve"> </w:t>
      </w:r>
      <w:r w:rsidRPr="005529DF">
        <w:t xml:space="preserve">would result from more nurses and midwives seeking early help, fewer nurses and midwives requiring notification, and a reduction in post-notification costs (tests and treatment) and are estimated to be in the order of $26 million per annum. The costs of operating </w:t>
      </w:r>
      <w:r w:rsidR="00C23874">
        <w:t>enhanced</w:t>
      </w:r>
      <w:r w:rsidR="00C23874" w:rsidRPr="005529DF">
        <w:t xml:space="preserve"> </w:t>
      </w:r>
      <w:r w:rsidRPr="005529DF">
        <w:t>national support services for impaired nurses and midwives relate to staffing, property and utility services, information and communications technology, travel, consumables and marketing, and are estimated to be in the order of $2.5 million per annum in the case of a single national program, and $2.6 million per annum in the case of jurisdictionally implemented programs</w:t>
      </w:r>
      <w:r w:rsidR="000945C0">
        <w:t xml:space="preserve"> within a national framework</w:t>
      </w:r>
      <w:r w:rsidRPr="005529DF">
        <w:t>.</w:t>
      </w:r>
    </w:p>
    <w:p w:rsidR="00A551BF" w:rsidRDefault="00A551BF" w:rsidP="00BC1F37">
      <w:pPr>
        <w:pStyle w:val="BodyText"/>
      </w:pPr>
      <w:r>
        <w:t>In relation to</w:t>
      </w:r>
      <w:r w:rsidRPr="005529DF">
        <w:t xml:space="preserve"> </w:t>
      </w:r>
      <w:r>
        <w:t xml:space="preserve">lowering </w:t>
      </w:r>
      <w:r w:rsidRPr="005529DF">
        <w:rPr>
          <w:i/>
        </w:rPr>
        <w:t>monitoring costs</w:t>
      </w:r>
      <w:r w:rsidRPr="005529DF">
        <w:t xml:space="preserve">, </w:t>
      </w:r>
      <w:r w:rsidR="00E27D94">
        <w:t xml:space="preserve">financial </w:t>
      </w:r>
      <w:r>
        <w:t xml:space="preserve">benefits </w:t>
      </w:r>
      <w:r w:rsidR="0083197F">
        <w:t>would accrue</w:t>
      </w:r>
      <w:r w:rsidR="00E27D94">
        <w:t xml:space="preserve"> if</w:t>
      </w:r>
      <w:r w:rsidRPr="005529DF">
        <w:t xml:space="preserve"> more nurses and midwives seek help earlier, </w:t>
      </w:r>
      <w:r w:rsidR="00E27D94">
        <w:t xml:space="preserve">resulting in </w:t>
      </w:r>
      <w:r w:rsidRPr="005529DF">
        <w:t>a reduction in overall monitoring costs to health practitioners and the regulator, as well as in the monitoring period itself</w:t>
      </w:r>
      <w:r w:rsidR="00E27D94">
        <w:t xml:space="preserve">. </w:t>
      </w:r>
      <w:r w:rsidR="0083197F">
        <w:t>The e</w:t>
      </w:r>
      <w:r w:rsidR="00E27D94" w:rsidRPr="005529DF">
        <w:t xml:space="preserve">stimated </w:t>
      </w:r>
      <w:r w:rsidR="0083197F">
        <w:t xml:space="preserve">combined </w:t>
      </w:r>
      <w:r w:rsidR="00E27D94">
        <w:t>savings</w:t>
      </w:r>
      <w:r w:rsidR="00052A53">
        <w:t xml:space="preserve"> </w:t>
      </w:r>
      <w:r w:rsidR="0083197F">
        <w:t>to health practitioners</w:t>
      </w:r>
      <w:r w:rsidR="00E27D94">
        <w:t xml:space="preserve"> </w:t>
      </w:r>
      <w:r w:rsidR="0083197F">
        <w:lastRenderedPageBreak/>
        <w:t xml:space="preserve">and the regulator are </w:t>
      </w:r>
      <w:r w:rsidRPr="005529DF">
        <w:t>in the order of $</w:t>
      </w:r>
      <w:r>
        <w:t>5.8 million per</w:t>
      </w:r>
      <w:r w:rsidR="00A231E3">
        <w:t xml:space="preserve"> annum</w:t>
      </w:r>
      <w:r>
        <w:t xml:space="preserve">. While it would require a separate and specific study to identify the optimal level of subsidy in terms of the shifts in complexity achieved, </w:t>
      </w:r>
      <w:r w:rsidR="00171F1B">
        <w:t xml:space="preserve">the review’s modelling has assumed </w:t>
      </w:r>
      <w:r>
        <w:t xml:space="preserve">a 50 per cent </w:t>
      </w:r>
      <w:r w:rsidR="00171F1B">
        <w:t xml:space="preserve">subsidy </w:t>
      </w:r>
      <w:r>
        <w:t>(that is, halving the costs for the practitioner)</w:t>
      </w:r>
      <w:r w:rsidR="00171F1B">
        <w:t xml:space="preserve">, which would amount at an estimated national cost of </w:t>
      </w:r>
      <w:r w:rsidRPr="00D25304">
        <w:t>$</w:t>
      </w:r>
      <w:r>
        <w:t>2.3 million</w:t>
      </w:r>
      <w:r w:rsidRPr="00D25304">
        <w:t xml:space="preserve"> per annum. </w:t>
      </w:r>
    </w:p>
    <w:p w:rsidR="00655C01" w:rsidRDefault="00BC1F37" w:rsidP="00C633E5">
      <w:pPr>
        <w:pStyle w:val="Heading2nonumber"/>
      </w:pPr>
      <w:r w:rsidRPr="005529DF">
        <w:rPr>
          <w:rFonts w:ascii="Times New Roman" w:hAnsi="Times New Roman"/>
        </w:rPr>
        <w:t>Implementation considerations</w:t>
      </w:r>
    </w:p>
    <w:p w:rsidR="00BC1F37" w:rsidRDefault="00BC1F37" w:rsidP="00BC1F37">
      <w:pPr>
        <w:pStyle w:val="BodyText"/>
      </w:pPr>
      <w:r w:rsidRPr="005529DF">
        <w:t xml:space="preserve">In considering appropriate organisations able to take responsibility for implementing the education, support and monitoring </w:t>
      </w:r>
      <w:r w:rsidR="00A41C62">
        <w:t>enhancements</w:t>
      </w:r>
      <w:r w:rsidRPr="005529DF">
        <w:t xml:space="preserve">, </w:t>
      </w:r>
      <w:r w:rsidR="00A41C62">
        <w:t xml:space="preserve">there </w:t>
      </w:r>
      <w:r w:rsidRPr="005529DF">
        <w:t>a</w:t>
      </w:r>
      <w:r w:rsidR="00A41C62">
        <w:t>re</w:t>
      </w:r>
      <w:r w:rsidRPr="005529DF">
        <w:t xml:space="preserve"> </w:t>
      </w:r>
      <w:r w:rsidR="00A41C62">
        <w:t xml:space="preserve">a </w:t>
      </w:r>
      <w:r w:rsidRPr="005529DF">
        <w:t xml:space="preserve">number of potential stakeholder bodies </w:t>
      </w:r>
      <w:r w:rsidR="00C23874">
        <w:t>with</w:t>
      </w:r>
      <w:r w:rsidR="00C23874" w:rsidRPr="005529DF">
        <w:t xml:space="preserve"> </w:t>
      </w:r>
      <w:r w:rsidRPr="005529DF">
        <w:t xml:space="preserve">varying degrees of roles and/or interests in the proposed service elements. </w:t>
      </w:r>
      <w:r w:rsidR="00C23874">
        <w:t>T</w:t>
      </w:r>
      <w:r w:rsidRPr="005529DF">
        <w:t>hey include educators, employers, insurers, governments, professional colleges and associations</w:t>
      </w:r>
      <w:r w:rsidR="00C23874">
        <w:t>, and regulators</w:t>
      </w:r>
      <w:r w:rsidRPr="005529DF">
        <w:t>.</w:t>
      </w:r>
      <w:r w:rsidR="00655C01">
        <w:t xml:space="preserve"> </w:t>
      </w:r>
      <w:r w:rsidRPr="005529DF">
        <w:t xml:space="preserve"> </w:t>
      </w:r>
    </w:p>
    <w:p w:rsidR="00655C01" w:rsidRDefault="00655C01" w:rsidP="00BC1F37">
      <w:pPr>
        <w:pStyle w:val="BodyText"/>
      </w:pPr>
      <w:r w:rsidRPr="005529DF">
        <w:t xml:space="preserve">An </w:t>
      </w:r>
      <w:r w:rsidR="00A26DBA">
        <w:t xml:space="preserve">analysis of which of these bodies </w:t>
      </w:r>
      <w:r w:rsidRPr="005529DF">
        <w:t xml:space="preserve">could have a primary </w:t>
      </w:r>
      <w:r w:rsidR="00A26DBA">
        <w:t xml:space="preserve">or contributory </w:t>
      </w:r>
      <w:r w:rsidRPr="005529DF">
        <w:t xml:space="preserve">role, or whether they have an ‘interest’ in the success of the service, is provided </w:t>
      </w:r>
      <w:r w:rsidRPr="00A93540">
        <w:t xml:space="preserve">in </w:t>
      </w:r>
      <w:r w:rsidRPr="00C633E5">
        <w:t>Figure ES1</w:t>
      </w:r>
      <w:r w:rsidR="00A26DBA">
        <w:t xml:space="preserve"> on the next page</w:t>
      </w:r>
      <w:r w:rsidRPr="00A93540">
        <w:t>.</w:t>
      </w:r>
      <w:r>
        <w:t xml:space="preserve"> </w:t>
      </w:r>
    </w:p>
    <w:p w:rsidR="00B05674" w:rsidRPr="005529DF" w:rsidRDefault="00B05674" w:rsidP="00B05674">
      <w:pPr>
        <w:pStyle w:val="BodyText"/>
      </w:pPr>
      <w:r w:rsidRPr="005529DF">
        <w:t xml:space="preserve">As the regulator, </w:t>
      </w:r>
      <w:r>
        <w:t>NMBA</w:t>
      </w:r>
      <w:r w:rsidRPr="005529DF">
        <w:t xml:space="preserve"> has an interest in the outcomes of all service elements as a result of its mandate to protect the public</w:t>
      </w:r>
      <w:r>
        <w:t>. It has a primary role in</w:t>
      </w:r>
      <w:r w:rsidRPr="005529DF">
        <w:t xml:space="preserve"> </w:t>
      </w:r>
      <w:r>
        <w:t xml:space="preserve">ensuring that all stakeholders are informed </w:t>
      </w:r>
      <w:r w:rsidRPr="005529DF">
        <w:t>regarding the notification process. While having no direct responsibility in the provision of education regarding support services or funding monitoring costs, it has a strong interest in ensuring that these are not preventing early identification of potential impairment or elongating the monitoring process, resulting in increased risk to the public.</w:t>
      </w:r>
    </w:p>
    <w:p w:rsidR="00F20F74" w:rsidRDefault="00B05674" w:rsidP="00655C01">
      <w:pPr>
        <w:pStyle w:val="BodyText"/>
      </w:pPr>
      <w:r>
        <w:t>Notably, t</w:t>
      </w:r>
      <w:r w:rsidR="00655C01">
        <w:t>here is</w:t>
      </w:r>
      <w:r w:rsidR="00655C01" w:rsidRPr="005529DF">
        <w:t xml:space="preserve"> no </w:t>
      </w:r>
      <w:r w:rsidR="00655C01">
        <w:t xml:space="preserve">identified </w:t>
      </w:r>
      <w:r w:rsidR="00655C01" w:rsidRPr="005529DF">
        <w:t xml:space="preserve">single stakeholder </w:t>
      </w:r>
      <w:r w:rsidR="00655C01">
        <w:t>with a</w:t>
      </w:r>
      <w:r w:rsidR="00655C01" w:rsidRPr="005529DF">
        <w:t xml:space="preserve"> primary responsibility for </w:t>
      </w:r>
      <w:r w:rsidR="00655C01">
        <w:t xml:space="preserve">sponsoring nationally accessible </w:t>
      </w:r>
      <w:r w:rsidR="00655C01" w:rsidRPr="00C633E5">
        <w:t>support services</w:t>
      </w:r>
      <w:r w:rsidR="00655C01" w:rsidRPr="005529DF">
        <w:t>, though</w:t>
      </w:r>
      <w:r w:rsidR="00655C01">
        <w:t xml:space="preserve"> it is clear that</w:t>
      </w:r>
      <w:r w:rsidR="00655C01" w:rsidRPr="005529DF">
        <w:t xml:space="preserve"> employers, professional associations</w:t>
      </w:r>
      <w:r w:rsidR="00655C01">
        <w:t xml:space="preserve"> and</w:t>
      </w:r>
      <w:r w:rsidR="00655C01" w:rsidRPr="005529DF">
        <w:t xml:space="preserve"> governments were seen as bodies who could play a contributory role. </w:t>
      </w:r>
      <w:r w:rsidR="00F20F74">
        <w:t xml:space="preserve">While health insurers were not explicitly raised, it is possible that </w:t>
      </w:r>
      <w:r w:rsidR="00C37F47">
        <w:t>such services could also be to their benefit and therefore warrant some role</w:t>
      </w:r>
      <w:r w:rsidR="00F20F74">
        <w:t>.</w:t>
      </w:r>
    </w:p>
    <w:p w:rsidR="00A231E3" w:rsidRDefault="00AA53B5" w:rsidP="00AA53B5">
      <w:pPr>
        <w:pStyle w:val="BodyText"/>
      </w:pPr>
      <w:r>
        <w:t xml:space="preserve">Also relevant is that </w:t>
      </w:r>
      <w:r w:rsidR="00655C01" w:rsidRPr="005529DF">
        <w:t xml:space="preserve">the potential benefits of </w:t>
      </w:r>
      <w:r w:rsidR="00F20F74">
        <w:t xml:space="preserve">the </w:t>
      </w:r>
      <w:r w:rsidR="00655C01">
        <w:t>suggested</w:t>
      </w:r>
      <w:r w:rsidR="00655C01" w:rsidRPr="005529DF">
        <w:t xml:space="preserve"> service enhancements </w:t>
      </w:r>
      <w:r w:rsidR="00655C01">
        <w:t>have</w:t>
      </w:r>
      <w:r w:rsidR="00655C01" w:rsidRPr="005529DF">
        <w:t xml:space="preserve"> multiple beneficiaries</w:t>
      </w:r>
      <w:r w:rsidR="00F20F74">
        <w:t xml:space="preserve">, </w:t>
      </w:r>
      <w:r w:rsidR="00655C01">
        <w:t>extend</w:t>
      </w:r>
      <w:r w:rsidR="00F20F74">
        <w:t>ing</w:t>
      </w:r>
      <w:r w:rsidR="00655C01">
        <w:t xml:space="preserve"> beyond</w:t>
      </w:r>
      <w:r w:rsidR="00655C01" w:rsidRPr="005529DF">
        <w:t xml:space="preserve"> avoided regulatory cost</w:t>
      </w:r>
      <w:r w:rsidR="00655C01">
        <w:t xml:space="preserve"> </w:t>
      </w:r>
      <w:r w:rsidR="00655C01">
        <w:lastRenderedPageBreak/>
        <w:t>savings</w:t>
      </w:r>
      <w:r w:rsidR="00655C01" w:rsidRPr="005529DF">
        <w:t xml:space="preserve"> </w:t>
      </w:r>
      <w:r w:rsidR="00655C01">
        <w:t xml:space="preserve">to non-cost benefits, such as </w:t>
      </w:r>
      <w:r w:rsidR="00655C01" w:rsidRPr="005529DF">
        <w:t xml:space="preserve">avoided adverse events to the public and productivity losses to employers. </w:t>
      </w:r>
      <w:r>
        <w:t>R</w:t>
      </w:r>
      <w:r w:rsidR="00655C01" w:rsidRPr="005529DF">
        <w:t>ealisi</w:t>
      </w:r>
      <w:r>
        <w:t>ng</w:t>
      </w:r>
      <w:r w:rsidR="00655C01" w:rsidRPr="005529DF">
        <w:t xml:space="preserve"> the</w:t>
      </w:r>
      <w:r>
        <w:t>se</w:t>
      </w:r>
      <w:r w:rsidR="00655C01" w:rsidRPr="005529DF">
        <w:t xml:space="preserve"> benefits will </w:t>
      </w:r>
      <w:r w:rsidR="00655C01">
        <w:t xml:space="preserve">therefore </w:t>
      </w:r>
      <w:r w:rsidR="00655C01" w:rsidRPr="005529DF">
        <w:t xml:space="preserve">require a national dialogue amongst </w:t>
      </w:r>
      <w:r>
        <w:t xml:space="preserve">all </w:t>
      </w:r>
      <w:r w:rsidR="00655C01" w:rsidRPr="005529DF">
        <w:t xml:space="preserve">relevant stakeholders to progress the service enhancements. </w:t>
      </w:r>
    </w:p>
    <w:p w:rsidR="00655C01" w:rsidRDefault="00655C01" w:rsidP="00AA53B5">
      <w:pPr>
        <w:pStyle w:val="BodyText"/>
      </w:pPr>
      <w:r w:rsidRPr="005529DF">
        <w:t>Potential models that could be considered are:</w:t>
      </w:r>
    </w:p>
    <w:p w:rsidR="00C37F47" w:rsidRDefault="00C37F47" w:rsidP="00C37F47">
      <w:pPr>
        <w:pStyle w:val="ListDash"/>
      </w:pPr>
      <w:r>
        <w:t>T</w:t>
      </w:r>
      <w:r w:rsidRPr="005529DF">
        <w:t>he NMBA working to provide additional education and awareness programs regarding impairment and the notification process</w:t>
      </w:r>
      <w:r w:rsidR="00A73779">
        <w:t>.</w:t>
      </w:r>
      <w:r w:rsidRPr="005529DF">
        <w:t xml:space="preserve"> </w:t>
      </w:r>
      <w:r w:rsidR="00A73779">
        <w:t>E</w:t>
      </w:r>
      <w:r>
        <w:t xml:space="preserve">mployers, whether public or private, would also provide important channels for such programs. </w:t>
      </w:r>
    </w:p>
    <w:p w:rsidR="00C37F47" w:rsidRDefault="00C37F47" w:rsidP="00C633E5">
      <w:pPr>
        <w:pStyle w:val="ListDash"/>
      </w:pPr>
      <w:r>
        <w:t>AHPRA exploring</w:t>
      </w:r>
      <w:r w:rsidRPr="005529DF">
        <w:t xml:space="preserve"> strategies to reduce the costs of monitoring </w:t>
      </w:r>
      <w:r>
        <w:t>for</w:t>
      </w:r>
      <w:r w:rsidRPr="005529DF">
        <w:t xml:space="preserve"> a nurse or midwife with an impairment. In the case of students, this would also need to involve the educational institutions.</w:t>
      </w:r>
      <w:r>
        <w:t xml:space="preserve"> </w:t>
      </w:r>
    </w:p>
    <w:p w:rsidR="00C37F47" w:rsidRPr="005529DF" w:rsidRDefault="00C37F47" w:rsidP="00C633E5">
      <w:pPr>
        <w:pStyle w:val="ListDash"/>
      </w:pPr>
      <w:r>
        <w:t>T</w:t>
      </w:r>
      <w:r w:rsidRPr="005529DF">
        <w:t xml:space="preserve">he NMBA working with government and professional colleges and associations to </w:t>
      </w:r>
      <w:r>
        <w:t xml:space="preserve">facilitate the </w:t>
      </w:r>
      <w:r w:rsidRPr="005529DF">
        <w:t>establish</w:t>
      </w:r>
      <w:r>
        <w:t>ment of</w:t>
      </w:r>
      <w:r w:rsidRPr="005529DF">
        <w:t xml:space="preserve"> </w:t>
      </w:r>
      <w:r>
        <w:t xml:space="preserve">a </w:t>
      </w:r>
      <w:r w:rsidRPr="005529DF">
        <w:t xml:space="preserve">national support service for nurses and midwives either suspected or found to have a health impairment. These services would also need to involve employers to ensure a clear delineation between more general </w:t>
      </w:r>
      <w:r>
        <w:t>employee assistance programs (</w:t>
      </w:r>
      <w:r w:rsidRPr="005529DF">
        <w:t>EAPs</w:t>
      </w:r>
      <w:r>
        <w:t>)</w:t>
      </w:r>
      <w:r w:rsidRPr="005529DF">
        <w:t>.</w:t>
      </w:r>
    </w:p>
    <w:p w:rsidR="00655C01" w:rsidRPr="005529DF" w:rsidRDefault="00655C01" w:rsidP="00C633E5">
      <w:pPr>
        <w:pStyle w:val="BodyText"/>
      </w:pPr>
      <w:r w:rsidRPr="005529DF">
        <w:t>A key question is what could or should the regulator’s role be in progressing these discussions, given they involve issues beyond the review’s objective in advising the regulator on its specific regulatory roles and responsibilities. The fact that the regulatory system is impacted by these areas adjacent to its direct regulatory responsibilities, an effective support service being a case in point, provide</w:t>
      </w:r>
      <w:r>
        <w:t>s</w:t>
      </w:r>
      <w:r w:rsidRPr="005529DF">
        <w:t xml:space="preserve"> </w:t>
      </w:r>
      <w:r>
        <w:t>some</w:t>
      </w:r>
      <w:r w:rsidRPr="005529DF">
        <w:t xml:space="preserve"> rationale for the NMBA to </w:t>
      </w:r>
      <w:r>
        <w:t>encourage</w:t>
      </w:r>
      <w:r w:rsidRPr="005529DF">
        <w:t xml:space="preserve"> or facilitate such discussions. </w:t>
      </w:r>
    </w:p>
    <w:p w:rsidR="00655C01" w:rsidRPr="005529DF" w:rsidRDefault="00655C01" w:rsidP="00C633E5">
      <w:pPr>
        <w:pStyle w:val="ListDash"/>
        <w:numPr>
          <w:ilvl w:val="0"/>
          <w:numId w:val="0"/>
        </w:numPr>
        <w:ind w:left="284"/>
      </w:pPr>
    </w:p>
    <w:p w:rsidR="00655C01" w:rsidRDefault="00655C01" w:rsidP="00BC1F37">
      <w:pPr>
        <w:pStyle w:val="BodyText"/>
        <w:sectPr w:rsidR="00655C01" w:rsidSect="0008683C">
          <w:headerReference w:type="even" r:id="rId14"/>
          <w:headerReference w:type="default" r:id="rId15"/>
          <w:footerReference w:type="default" r:id="rId16"/>
          <w:headerReference w:type="first" r:id="rId17"/>
          <w:footerReference w:type="first" r:id="rId18"/>
          <w:pgSz w:w="11907" w:h="16839" w:code="9"/>
          <w:pgMar w:top="1134" w:right="850" w:bottom="907" w:left="3118" w:header="709" w:footer="567" w:gutter="567"/>
          <w:pgNumType w:fmt="lowerRoman" w:start="1"/>
          <w:cols w:space="720"/>
          <w:docGrid w:linePitch="326"/>
        </w:sectPr>
      </w:pPr>
    </w:p>
    <w:p w:rsidR="00655C01" w:rsidRDefault="00655C01" w:rsidP="00B92200">
      <w:pPr>
        <w:pStyle w:val="Caption"/>
      </w:pPr>
      <w:r w:rsidRPr="00102595">
        <w:rPr>
          <w:rFonts w:ascii="Times New Roman" w:hAnsi="Times New Roman" w:cs="Times New Roman"/>
        </w:rPr>
        <w:lastRenderedPageBreak/>
        <w:t xml:space="preserve">Figure ES </w:t>
      </w:r>
      <w:r w:rsidR="004D1416" w:rsidRPr="00102595">
        <w:rPr>
          <w:rFonts w:ascii="Times New Roman" w:hAnsi="Times New Roman" w:cs="Times New Roman"/>
        </w:rPr>
        <w:fldChar w:fldCharType="begin"/>
      </w:r>
      <w:r w:rsidRPr="00102595">
        <w:rPr>
          <w:rFonts w:ascii="Times New Roman" w:hAnsi="Times New Roman" w:cs="Times New Roman"/>
        </w:rPr>
        <w:instrText xml:space="preserve"> SEQ Figure_ES \* ARABIC </w:instrText>
      </w:r>
      <w:r w:rsidR="004D1416" w:rsidRPr="00102595">
        <w:rPr>
          <w:rFonts w:ascii="Times New Roman" w:hAnsi="Times New Roman" w:cs="Times New Roman"/>
        </w:rPr>
        <w:fldChar w:fldCharType="separate"/>
      </w:r>
      <w:r w:rsidR="00B07965">
        <w:rPr>
          <w:rFonts w:ascii="Times New Roman" w:hAnsi="Times New Roman" w:cs="Times New Roman"/>
          <w:noProof/>
        </w:rPr>
        <w:t>1</w:t>
      </w:r>
      <w:r w:rsidR="004D1416" w:rsidRPr="00102595">
        <w:rPr>
          <w:rFonts w:ascii="Times New Roman" w:hAnsi="Times New Roman" w:cs="Times New Roman"/>
          <w:noProof/>
        </w:rPr>
        <w:fldChar w:fldCharType="end"/>
      </w:r>
      <w:r>
        <w:rPr>
          <w:b/>
          <w:color w:val="000080"/>
        </w:rPr>
        <w:t xml:space="preserve">   </w:t>
      </w:r>
      <w:r w:rsidRPr="005529DF">
        <w:rPr>
          <w:rStyle w:val="CaptionLabel"/>
          <w:rFonts w:ascii="Times New Roman" w:hAnsi="Times New Roman" w:cs="Times New Roman"/>
        </w:rPr>
        <w:t>Areas of attention and potential primary and contributory roles for key bodies</w:t>
      </w:r>
    </w:p>
    <w:tbl>
      <w:tblPr>
        <w:tblW w:w="4999" w:type="pct"/>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5079"/>
      </w:tblGrid>
      <w:tr w:rsidR="00655C01" w:rsidTr="00B92200">
        <w:tc>
          <w:tcPr>
            <w:tcW w:w="5000" w:type="pct"/>
          </w:tcPr>
          <w:p w:rsidR="00655C01" w:rsidRDefault="00655C01" w:rsidP="00B92200">
            <w:pPr>
              <w:pStyle w:val="SmallDeltasRightAligned"/>
              <w:keepNext/>
              <w:keepLines/>
            </w:pPr>
            <w:r>
              <w:rPr>
                <w:noProof/>
                <w:lang w:eastAsia="en-AU"/>
              </w:rPr>
              <w:drawing>
                <wp:inline distT="0" distB="0" distL="0" distR="0">
                  <wp:extent cx="481585" cy="234696"/>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ILALLEN_MASTERLOGO_DELTAS_PURPLE_TRANS small -dal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1585" cy="234696"/>
                          </a:xfrm>
                          <a:prstGeom prst="rect">
                            <a:avLst/>
                          </a:prstGeom>
                        </pic:spPr>
                      </pic:pic>
                    </a:graphicData>
                  </a:graphic>
                </wp:inline>
              </w:drawing>
            </w:r>
          </w:p>
        </w:tc>
      </w:tr>
      <w:tr w:rsidR="00655C01" w:rsidRPr="009C75A1" w:rsidTr="00B92200">
        <w:tc>
          <w:tcPr>
            <w:tcW w:w="5000" w:type="pct"/>
          </w:tcPr>
          <w:p w:rsidR="00655C01" w:rsidRPr="009C75A1" w:rsidRDefault="00655C01" w:rsidP="00B92200">
            <w:pPr>
              <w:pStyle w:val="Figure"/>
              <w:keepLines/>
            </w:pPr>
            <w:r w:rsidRPr="009C75A1">
              <w:rPr>
                <w:noProof/>
                <w:lang w:eastAsia="en-AU"/>
              </w:rPr>
              <w:drawing>
                <wp:inline distT="0" distB="0" distL="0" distR="0">
                  <wp:extent cx="9271852" cy="4665133"/>
                  <wp:effectExtent l="0" t="0" r="571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2_RAS0001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277928" cy="4668190"/>
                          </a:xfrm>
                          <a:prstGeom prst="rect">
                            <a:avLst/>
                          </a:prstGeom>
                        </pic:spPr>
                      </pic:pic>
                    </a:graphicData>
                  </a:graphic>
                </wp:inline>
              </w:drawing>
            </w:r>
          </w:p>
        </w:tc>
      </w:tr>
    </w:tbl>
    <w:p w:rsidR="00655C01" w:rsidRPr="009C75A1" w:rsidRDefault="00655C01" w:rsidP="00C633E5">
      <w:pPr>
        <w:pStyle w:val="Source"/>
        <w:pBdr>
          <w:bottom w:val="single" w:sz="2" w:space="0" w:color="C0C0C0"/>
        </w:pBdr>
        <w:rPr>
          <w:rFonts w:ascii="Times New Roman" w:hAnsi="Times New Roman"/>
        </w:rPr>
        <w:sectPr w:rsidR="00655C01" w:rsidRPr="009C75A1" w:rsidSect="00102595">
          <w:headerReference w:type="default" r:id="rId21"/>
          <w:footerReference w:type="default" r:id="rId22"/>
          <w:pgSz w:w="16840" w:h="11907" w:orient="landscape" w:code="9"/>
          <w:pgMar w:top="851" w:right="907" w:bottom="851" w:left="851" w:header="709" w:footer="567" w:gutter="567"/>
          <w:pgNumType w:fmt="lowerRoman"/>
          <w:cols w:space="720"/>
        </w:sectPr>
      </w:pPr>
      <w:r w:rsidRPr="009C75A1">
        <w:rPr>
          <w:rFonts w:ascii="Times New Roman" w:hAnsi="Times New Roman"/>
        </w:rPr>
        <w:t xml:space="preserve">Source: Key: ● Primary: the stakeholder could play a leading role in implementing additional services; </w:t>
      </w:r>
      <w:r w:rsidRPr="009C75A1">
        <w:rPr>
          <w:rFonts w:ascii="MS Mincho" w:eastAsia="MS Mincho" w:hAnsi="MS Mincho" w:cs="MS Mincho" w:hint="eastAsia"/>
        </w:rPr>
        <w:t>◑</w:t>
      </w:r>
      <w:r w:rsidRPr="009C75A1">
        <w:rPr>
          <w:rFonts w:ascii="Times New Roman" w:hAnsi="Times New Roman"/>
        </w:rPr>
        <w:t xml:space="preserve"> Contributory: the stakeholder could play an assisting role in implementing additional services: </w:t>
      </w:r>
      <w:r w:rsidRPr="009C75A1">
        <w:rPr>
          <w:rFonts w:ascii="Times New Roman" w:eastAsia="MS Mincho" w:hAnsi="Times New Roman"/>
          <w:sz w:val="12"/>
          <w:szCs w:val="12"/>
        </w:rPr>
        <w:t>○</w:t>
      </w:r>
      <w:r w:rsidRPr="009C75A1">
        <w:rPr>
          <w:rFonts w:ascii="Times New Roman" w:hAnsi="Times New Roman"/>
        </w:rPr>
        <w:t xml:space="preserve"> Interest. </w:t>
      </w:r>
      <w:proofErr w:type="gramStart"/>
      <w:r w:rsidRPr="009C75A1">
        <w:rPr>
          <w:rFonts w:ascii="Times New Roman" w:hAnsi="Times New Roman"/>
        </w:rPr>
        <w:t>the</w:t>
      </w:r>
      <w:proofErr w:type="gramEnd"/>
      <w:r w:rsidRPr="009C75A1">
        <w:rPr>
          <w:rFonts w:ascii="Times New Roman" w:hAnsi="Times New Roman"/>
        </w:rPr>
        <w:t xml:space="preserve"> stakeholder has an interest in the outcomes of the service</w:t>
      </w:r>
      <w:r w:rsidR="0083197F" w:rsidRPr="009C75A1">
        <w:rPr>
          <w:rFonts w:ascii="Times New Roman" w:hAnsi="Times New Roman"/>
          <w:szCs w:val="16"/>
        </w:rPr>
        <w:t>.</w:t>
      </w:r>
    </w:p>
    <w:p w:rsidR="00BC1F37" w:rsidRDefault="00550D23" w:rsidP="00BC1F37">
      <w:pPr>
        <w:pStyle w:val="BodyText"/>
      </w:pPr>
      <w:r>
        <w:lastRenderedPageBreak/>
        <w:t>Allied</w:t>
      </w:r>
      <w:r w:rsidR="00BC1F37" w:rsidRPr="005529DF">
        <w:t xml:space="preserve"> to the question of implementation responsibility is that of funding. The most likely potential contributing sources include government(s), professional associations, employers and registration fees as collected by the regulator. </w:t>
      </w:r>
    </w:p>
    <w:p w:rsidR="00BC1F37" w:rsidRPr="005529DF" w:rsidRDefault="00BC1F37" w:rsidP="00BC1F37">
      <w:pPr>
        <w:pStyle w:val="BodyText"/>
      </w:pPr>
      <w:r w:rsidRPr="005529DF">
        <w:t xml:space="preserve">While </w:t>
      </w:r>
      <w:r w:rsidR="003F5618">
        <w:t xml:space="preserve">a levy </w:t>
      </w:r>
      <w:r w:rsidR="00036F1B">
        <w:t>through</w:t>
      </w:r>
      <w:r w:rsidR="003F5618">
        <w:t xml:space="preserve"> </w:t>
      </w:r>
      <w:r w:rsidRPr="005529DF">
        <w:t>registration fees</w:t>
      </w:r>
      <w:r w:rsidR="003F5618">
        <w:t xml:space="preserve"> </w:t>
      </w:r>
      <w:r w:rsidR="00036F1B">
        <w:t xml:space="preserve">could be </w:t>
      </w:r>
      <w:r w:rsidRPr="005529DF">
        <w:t xml:space="preserve">a single and </w:t>
      </w:r>
      <w:r w:rsidR="003874EE">
        <w:t xml:space="preserve">nationally </w:t>
      </w:r>
      <w:r w:rsidRPr="005529DF">
        <w:t xml:space="preserve">comprehensive funding </w:t>
      </w:r>
      <w:r w:rsidR="003874EE">
        <w:t>option</w:t>
      </w:r>
      <w:r w:rsidRPr="005529DF">
        <w:t xml:space="preserve">, there are issues </w:t>
      </w:r>
      <w:r w:rsidR="00036F1B">
        <w:t>to be considered</w:t>
      </w:r>
      <w:r w:rsidR="00036F1B" w:rsidRPr="005529DF">
        <w:t xml:space="preserve"> </w:t>
      </w:r>
      <w:r w:rsidRPr="005529DF">
        <w:t xml:space="preserve">with regulator funded services, particularly in relation to the provision of </w:t>
      </w:r>
      <w:r w:rsidRPr="00C633E5">
        <w:rPr>
          <w:i/>
        </w:rPr>
        <w:t>support services</w:t>
      </w:r>
      <w:r w:rsidRPr="005529DF">
        <w:t xml:space="preserve">. Most prominent is the concern that these may not be perceived as sufficiently independent from the legislated and largely disciplinary functions of the regulator, which could make nurses and midwives reluctant to access such services. </w:t>
      </w:r>
    </w:p>
    <w:p w:rsidR="00BC1F37" w:rsidRPr="005529DF" w:rsidRDefault="00BC1F37" w:rsidP="00BC1F37">
      <w:pPr>
        <w:pStyle w:val="BodyText"/>
      </w:pPr>
      <w:r w:rsidRPr="005529DF">
        <w:t xml:space="preserve">There is also the risk that support services </w:t>
      </w:r>
      <w:r w:rsidR="00B92D57">
        <w:t xml:space="preserve">funded by way of health practitioner registrant fees </w:t>
      </w:r>
      <w:r w:rsidRPr="005529DF">
        <w:t xml:space="preserve">may divert away from regulatory oversight </w:t>
      </w:r>
      <w:r w:rsidR="00161A98">
        <w:t>cases where</w:t>
      </w:r>
      <w:r w:rsidR="00161A98" w:rsidRPr="005529DF">
        <w:t xml:space="preserve"> </w:t>
      </w:r>
      <w:r w:rsidRPr="005529DF">
        <w:t xml:space="preserve">nurses and midwives </w:t>
      </w:r>
      <w:r w:rsidR="00161A98">
        <w:t>have</w:t>
      </w:r>
      <w:r w:rsidR="00161A98" w:rsidRPr="005529DF">
        <w:t xml:space="preserve"> </w:t>
      </w:r>
      <w:r w:rsidRPr="005529DF">
        <w:t xml:space="preserve">a severe health impairment, and whose conduct would otherwise result in notification and subsequent investigation by the regulator. If registration fees were </w:t>
      </w:r>
      <w:r w:rsidR="00101991">
        <w:t>found to be</w:t>
      </w:r>
      <w:r w:rsidRPr="005529DF">
        <w:t xml:space="preserve"> the most appropriate mechanism for funding the support service enhancements, strong independent governance arrangements </w:t>
      </w:r>
      <w:r w:rsidR="00161A98">
        <w:t xml:space="preserve">and processes </w:t>
      </w:r>
      <w:r w:rsidR="0058552E">
        <w:t xml:space="preserve">would need to be implemented </w:t>
      </w:r>
      <w:r w:rsidRPr="005529DF">
        <w:t>to ensure escalation to the regulator of impairment issues that posed a risk to the public under the provisions of the National Law.</w:t>
      </w:r>
    </w:p>
    <w:p w:rsidR="0008683C" w:rsidRPr="005529DF" w:rsidRDefault="0008683C" w:rsidP="00BC1F37">
      <w:pPr>
        <w:pStyle w:val="BodyText"/>
        <w:sectPr w:rsidR="0008683C" w:rsidRPr="005529DF" w:rsidSect="00094D08">
          <w:headerReference w:type="even" r:id="rId23"/>
          <w:headerReference w:type="default" r:id="rId24"/>
          <w:footerReference w:type="even" r:id="rId25"/>
          <w:footerReference w:type="default" r:id="rId26"/>
          <w:headerReference w:type="first" r:id="rId27"/>
          <w:footerReference w:type="first" r:id="rId28"/>
          <w:pgSz w:w="11907" w:h="16839" w:code="9"/>
          <w:pgMar w:top="1134" w:right="850" w:bottom="907" w:left="3118" w:header="709" w:footer="567" w:gutter="567"/>
          <w:pgNumType w:fmt="lowerRoman" w:start="0"/>
          <w:cols w:space="720"/>
          <w:docGrid w:linePitch="326"/>
        </w:sectPr>
      </w:pPr>
    </w:p>
    <w:p w:rsidR="00591B80" w:rsidRPr="005529DF" w:rsidRDefault="00F2508B">
      <w:pPr>
        <w:pStyle w:val="Heading1"/>
        <w:rPr>
          <w:rFonts w:ascii="Times New Roman" w:hAnsi="Times New Roman"/>
        </w:rPr>
      </w:pPr>
      <w:bookmarkStart w:id="4" w:name="_Toc415476670"/>
      <w:bookmarkStart w:id="5" w:name="_Toc415479713"/>
      <w:bookmarkStart w:id="6" w:name="_Toc415480162"/>
      <w:bookmarkStart w:id="7" w:name="_Toc419702929"/>
      <w:bookmarkEnd w:id="4"/>
      <w:bookmarkEnd w:id="5"/>
      <w:bookmarkEnd w:id="6"/>
      <w:r w:rsidRPr="005529DF">
        <w:rPr>
          <w:rFonts w:ascii="Times New Roman" w:hAnsi="Times New Roman"/>
        </w:rPr>
        <w:lastRenderedPageBreak/>
        <w:t>In</w:t>
      </w:r>
      <w:r w:rsidR="00591B80" w:rsidRPr="005529DF">
        <w:rPr>
          <w:rFonts w:ascii="Times New Roman" w:hAnsi="Times New Roman"/>
        </w:rPr>
        <w:t>troduction</w:t>
      </w:r>
      <w:bookmarkEnd w:id="7"/>
      <w:r w:rsidR="00591B80" w:rsidRPr="005529DF">
        <w:rPr>
          <w:rFonts w:ascii="Times New Roman" w:hAnsi="Times New Roman"/>
        </w:rPr>
        <w:t xml:space="preserve"> </w:t>
      </w:r>
    </w:p>
    <w:p w:rsidR="00D47333" w:rsidRPr="005529DF" w:rsidRDefault="008B5B39" w:rsidP="007640DA">
      <w:pPr>
        <w:pStyle w:val="BodyText"/>
        <w:rPr>
          <w:i/>
        </w:rPr>
      </w:pPr>
      <w:r w:rsidRPr="005529DF">
        <w:rPr>
          <w:i/>
        </w:rPr>
        <w:t xml:space="preserve">This chapter provides an overview of the review including </w:t>
      </w:r>
      <w:r w:rsidR="00377056" w:rsidRPr="005529DF">
        <w:rPr>
          <w:i/>
        </w:rPr>
        <w:t xml:space="preserve">its </w:t>
      </w:r>
      <w:r w:rsidRPr="005529DF">
        <w:rPr>
          <w:i/>
        </w:rPr>
        <w:t>objectives, context and outputs to date. It also outlines primary sources of data collection and the methodology</w:t>
      </w:r>
      <w:r w:rsidR="00353B45" w:rsidRPr="005529DF">
        <w:rPr>
          <w:i/>
        </w:rPr>
        <w:t xml:space="preserve"> employed</w:t>
      </w:r>
      <w:r w:rsidRPr="005529DF">
        <w:rPr>
          <w:i/>
        </w:rPr>
        <w:t xml:space="preserve">. </w:t>
      </w:r>
    </w:p>
    <w:p w:rsidR="00D47333" w:rsidRPr="005529DF" w:rsidRDefault="00D47333" w:rsidP="00D47333">
      <w:pPr>
        <w:pStyle w:val="Heading2"/>
        <w:rPr>
          <w:rFonts w:ascii="Times New Roman" w:hAnsi="Times New Roman"/>
        </w:rPr>
      </w:pPr>
      <w:bookmarkStart w:id="8" w:name="_Toc419702930"/>
      <w:r w:rsidRPr="005529DF">
        <w:rPr>
          <w:rFonts w:ascii="Times New Roman" w:hAnsi="Times New Roman"/>
        </w:rPr>
        <w:t>The review</w:t>
      </w:r>
      <w:bookmarkEnd w:id="8"/>
    </w:p>
    <w:p w:rsidR="00D47333" w:rsidRPr="005529DF" w:rsidRDefault="00FC2DF7" w:rsidP="00D47333">
      <w:pPr>
        <w:pStyle w:val="BodyText"/>
      </w:pPr>
      <w:r w:rsidRPr="005529DF">
        <w:t>T</w:t>
      </w:r>
      <w:r w:rsidR="00D47333" w:rsidRPr="005529DF">
        <w:t>he Australian Health Practitioner Regulation Agency (AHPRA) on behalf of the Nursing and Midwifery Board of Australia (</w:t>
      </w:r>
      <w:r w:rsidR="00F2508B" w:rsidRPr="005529DF">
        <w:t>NMBA</w:t>
      </w:r>
      <w:r w:rsidR="00D47333" w:rsidRPr="005529DF">
        <w:t xml:space="preserve">) </w:t>
      </w:r>
      <w:r w:rsidRPr="005529DF">
        <w:t xml:space="preserve">has commissioned ACIL Allen Consulting </w:t>
      </w:r>
      <w:r w:rsidR="00D47333" w:rsidRPr="005529DF">
        <w:t>to review:</w:t>
      </w:r>
    </w:p>
    <w:p w:rsidR="00D47333" w:rsidRPr="005529DF" w:rsidRDefault="00A93540" w:rsidP="00D47333">
      <w:pPr>
        <w:pStyle w:val="ListDash"/>
      </w:pPr>
      <w:r>
        <w:t>T</w:t>
      </w:r>
      <w:r w:rsidR="00D47333" w:rsidRPr="005529DF">
        <w:t>he referral</w:t>
      </w:r>
      <w:r>
        <w:t xml:space="preserve">, assessment, </w:t>
      </w:r>
      <w:r w:rsidR="00D47333" w:rsidRPr="005529DF">
        <w:t xml:space="preserve">treatment, and </w:t>
      </w:r>
      <w:r>
        <w:t>monitoring</w:t>
      </w:r>
      <w:r w:rsidR="00D47333" w:rsidRPr="005529DF">
        <w:t xml:space="preserve"> </w:t>
      </w:r>
      <w:r w:rsidR="00B92D57">
        <w:t xml:space="preserve">services </w:t>
      </w:r>
      <w:r w:rsidR="00D47333" w:rsidRPr="005529DF">
        <w:t xml:space="preserve">for health </w:t>
      </w:r>
      <w:r w:rsidR="00C85442" w:rsidRPr="005529DF">
        <w:t xml:space="preserve">practitioners </w:t>
      </w:r>
      <w:r w:rsidR="00D47333" w:rsidRPr="005529DF">
        <w:t>with a health impairment</w:t>
      </w:r>
      <w:r w:rsidR="00B92D57">
        <w:t>, involving the identification and review of existing approaches and/or healthcare programs for nurses, midwives and students</w:t>
      </w:r>
      <w:r>
        <w:t>.</w:t>
      </w:r>
    </w:p>
    <w:p w:rsidR="00D47333" w:rsidRPr="005529DF" w:rsidRDefault="00A93540" w:rsidP="00D47333">
      <w:pPr>
        <w:pStyle w:val="ListDash"/>
      </w:pPr>
      <w:r>
        <w:t>T</w:t>
      </w:r>
      <w:r w:rsidR="00D47333" w:rsidRPr="005529DF">
        <w:t xml:space="preserve">he role the regulator may play in supporting national health programs giving consideration to the </w:t>
      </w:r>
      <w:r w:rsidR="00D47333" w:rsidRPr="005529DF">
        <w:rPr>
          <w:i/>
        </w:rPr>
        <w:t>Health Practitioner Regulation National Law</w:t>
      </w:r>
      <w:r w:rsidR="00D47333" w:rsidRPr="005529DF">
        <w:t xml:space="preserve"> </w:t>
      </w:r>
      <w:r w:rsidR="00F2508B" w:rsidRPr="005529DF">
        <w:rPr>
          <w:i/>
        </w:rPr>
        <w:t>Act 2009</w:t>
      </w:r>
      <w:r w:rsidR="00F2508B" w:rsidRPr="005529DF">
        <w:t xml:space="preserve"> (National Law) </w:t>
      </w:r>
      <w:r w:rsidR="00D47333" w:rsidRPr="005529DF">
        <w:t>as in force in each state and territory</w:t>
      </w:r>
      <w:r w:rsidR="00F2508B" w:rsidRPr="005529DF">
        <w:t xml:space="preserve">. </w:t>
      </w:r>
      <w:r w:rsidR="00D47333" w:rsidRPr="005529DF">
        <w:t xml:space="preserve"> </w:t>
      </w:r>
    </w:p>
    <w:p w:rsidR="00D47333" w:rsidRPr="005529DF" w:rsidRDefault="00D47333" w:rsidP="00D47333">
      <w:pPr>
        <w:pStyle w:val="BodyText"/>
      </w:pPr>
      <w:r w:rsidRPr="005529DF">
        <w:t xml:space="preserve">Specifically, this review </w:t>
      </w:r>
      <w:r w:rsidR="00FC2DF7" w:rsidRPr="005529DF">
        <w:t xml:space="preserve">has </w:t>
      </w:r>
      <w:r w:rsidRPr="005529DF">
        <w:t xml:space="preserve">investigated and analysed the evidence relating to national and international health program models and other health support approaches available for regulated health </w:t>
      </w:r>
      <w:r w:rsidR="00C85442" w:rsidRPr="005529DF">
        <w:t xml:space="preserve">practitioners </w:t>
      </w:r>
      <w:r w:rsidRPr="005529DF">
        <w:t xml:space="preserve">to inform the </w:t>
      </w:r>
      <w:r w:rsidR="00F2508B" w:rsidRPr="005529DF">
        <w:t>NMBA</w:t>
      </w:r>
      <w:r w:rsidRPr="005529DF">
        <w:t xml:space="preserve"> in determining: </w:t>
      </w:r>
    </w:p>
    <w:p w:rsidR="00D47333" w:rsidRPr="005529DF" w:rsidRDefault="00D47333" w:rsidP="00D47333">
      <w:pPr>
        <w:pStyle w:val="ListDash"/>
      </w:pPr>
      <w:r w:rsidRPr="005529DF">
        <w:t xml:space="preserve">the role of a health </w:t>
      </w:r>
      <w:r w:rsidR="00377056" w:rsidRPr="005529DF">
        <w:t xml:space="preserve">practitioner </w:t>
      </w:r>
      <w:r w:rsidRPr="005529DF">
        <w:t xml:space="preserve">regulator in supporting independent national referral, </w:t>
      </w:r>
      <w:r w:rsidR="00C85442" w:rsidRPr="005529DF">
        <w:t>support/</w:t>
      </w:r>
      <w:r w:rsidRPr="005529DF">
        <w:t>treatment</w:t>
      </w:r>
      <w:r w:rsidR="00C85442" w:rsidRPr="005529DF">
        <w:t>, monitoring</w:t>
      </w:r>
      <w:r w:rsidRPr="005529DF">
        <w:t xml:space="preserve"> and rehabilitation services for regulated health pr</w:t>
      </w:r>
      <w:r w:rsidR="00C85442" w:rsidRPr="005529DF">
        <w:t xml:space="preserve">actitioners </w:t>
      </w:r>
      <w:r w:rsidRPr="005529DF">
        <w:t>in Australia</w:t>
      </w:r>
    </w:p>
    <w:p w:rsidR="00D47333" w:rsidRPr="005529DF" w:rsidRDefault="00D47333" w:rsidP="00D47333">
      <w:pPr>
        <w:pStyle w:val="ListDash"/>
      </w:pPr>
      <w:r w:rsidRPr="005529DF">
        <w:t>the most appropriate and cost effective means of service delivery for regulated health pr</w:t>
      </w:r>
      <w:r w:rsidR="00C85442" w:rsidRPr="005529DF">
        <w:t>actitioners</w:t>
      </w:r>
    </w:p>
    <w:p w:rsidR="00D47333" w:rsidRPr="005529DF" w:rsidRDefault="00D47333" w:rsidP="00D47333">
      <w:pPr>
        <w:pStyle w:val="ListDash"/>
      </w:pPr>
      <w:proofErr w:type="gramStart"/>
      <w:r w:rsidRPr="005529DF">
        <w:t>the</w:t>
      </w:r>
      <w:proofErr w:type="gramEnd"/>
      <w:r w:rsidRPr="005529DF">
        <w:t xml:space="preserve"> most appropriate resourcing for such </w:t>
      </w:r>
      <w:r w:rsidR="00C85442" w:rsidRPr="005529DF">
        <w:t xml:space="preserve">services. </w:t>
      </w:r>
      <w:r w:rsidRPr="005529DF">
        <w:t xml:space="preserve"> </w:t>
      </w:r>
    </w:p>
    <w:p w:rsidR="00FC2DF7" w:rsidRPr="005529DF" w:rsidRDefault="00FC2DF7" w:rsidP="00FC2DF7">
      <w:pPr>
        <w:pStyle w:val="BodyText"/>
      </w:pPr>
      <w:r w:rsidRPr="005529DF">
        <w:t>To date</w:t>
      </w:r>
      <w:r w:rsidR="00C85442" w:rsidRPr="005529DF">
        <w:t>,</w:t>
      </w:r>
      <w:r w:rsidRPr="005529DF">
        <w:t xml:space="preserve"> t</w:t>
      </w:r>
      <w:r w:rsidR="00992447" w:rsidRPr="005529DF">
        <w:t>wo</w:t>
      </w:r>
      <w:r w:rsidRPr="005529DF">
        <w:t xml:space="preserve"> other supporting reports have been produced and should be read in conjunction with this report: </w:t>
      </w:r>
    </w:p>
    <w:p w:rsidR="00FC2DF7" w:rsidRPr="005529DF" w:rsidRDefault="00FC2DF7" w:rsidP="00FC2DF7">
      <w:pPr>
        <w:pStyle w:val="ListDash"/>
      </w:pPr>
      <w:r w:rsidRPr="005529DF">
        <w:lastRenderedPageBreak/>
        <w:t xml:space="preserve">A </w:t>
      </w:r>
      <w:r w:rsidRPr="005529DF">
        <w:rPr>
          <w:i/>
        </w:rPr>
        <w:t>Literature Review</w:t>
      </w:r>
      <w:r w:rsidRPr="005529DF">
        <w:t xml:space="preserve"> outlining the types of health programs and program models found in Australia and internationally</w:t>
      </w:r>
      <w:r w:rsidR="00A3593F">
        <w:t>, with a focus on the role of the regulator in these models and the interactions and interfaces between regulators and the programs in their jurisdictions</w:t>
      </w:r>
      <w:r w:rsidRPr="005529DF">
        <w:t xml:space="preserve"> (Attachment </w:t>
      </w:r>
      <w:r w:rsidR="007538B8">
        <w:t>A</w:t>
      </w:r>
      <w:r w:rsidRPr="005529DF">
        <w:t>)</w:t>
      </w:r>
      <w:r w:rsidR="00AD764A" w:rsidRPr="005529DF">
        <w:t xml:space="preserve">. </w:t>
      </w:r>
    </w:p>
    <w:p w:rsidR="00FC2DF7" w:rsidRPr="005529DF" w:rsidRDefault="00FC2DF7" w:rsidP="00FC2DF7">
      <w:pPr>
        <w:pStyle w:val="ListDash"/>
      </w:pPr>
      <w:r w:rsidRPr="005529DF">
        <w:t xml:space="preserve">A </w:t>
      </w:r>
      <w:r w:rsidRPr="005529DF">
        <w:rPr>
          <w:i/>
        </w:rPr>
        <w:t>Stakeholder Report</w:t>
      </w:r>
      <w:r w:rsidRPr="005529DF">
        <w:t xml:space="preserve"> outlining current management</w:t>
      </w:r>
      <w:r w:rsidR="00AD764A" w:rsidRPr="005529DF">
        <w:t xml:space="preserve"> and </w:t>
      </w:r>
      <w:r w:rsidRPr="005529DF">
        <w:t xml:space="preserve">support arrangements for health </w:t>
      </w:r>
      <w:r w:rsidR="00AD764A" w:rsidRPr="005529DF">
        <w:t xml:space="preserve">practitioners </w:t>
      </w:r>
      <w:r w:rsidRPr="005529DF">
        <w:t xml:space="preserve">with a health impairment in Australia and overseas, </w:t>
      </w:r>
      <w:r w:rsidR="00A3593F">
        <w:t>and</w:t>
      </w:r>
      <w:r w:rsidRPr="005529DF">
        <w:t xml:space="preserve"> a summary</w:t>
      </w:r>
      <w:r w:rsidR="00A3593F">
        <w:t xml:space="preserve"> and analysis</w:t>
      </w:r>
      <w:r w:rsidRPr="005529DF">
        <w:t xml:space="preserve"> of stakeholder feedback</w:t>
      </w:r>
      <w:r w:rsidR="00A93540">
        <w:t>,</w:t>
      </w:r>
      <w:r w:rsidRPr="005529DF">
        <w:t xml:space="preserve"> </w:t>
      </w:r>
      <w:r w:rsidR="00A3593F">
        <w:t>and identification of common themes that</w:t>
      </w:r>
      <w:r w:rsidR="007538B8">
        <w:t xml:space="preserve"> emerged from the consultations</w:t>
      </w:r>
      <w:r w:rsidR="00AA7728" w:rsidRPr="005529DF">
        <w:t xml:space="preserve">. </w:t>
      </w:r>
    </w:p>
    <w:p w:rsidR="0085006F" w:rsidRPr="005529DF" w:rsidRDefault="0085006F" w:rsidP="00976F81">
      <w:pPr>
        <w:pStyle w:val="Heading2"/>
        <w:keepLines/>
        <w:numPr>
          <w:ilvl w:val="1"/>
          <w:numId w:val="20"/>
        </w:numPr>
        <w:rPr>
          <w:rFonts w:ascii="Times New Roman" w:hAnsi="Times New Roman"/>
        </w:rPr>
      </w:pPr>
      <w:bookmarkStart w:id="9" w:name="_Toc419702931"/>
      <w:r w:rsidRPr="005529DF">
        <w:rPr>
          <w:rFonts w:ascii="Times New Roman" w:hAnsi="Times New Roman"/>
        </w:rPr>
        <w:t>Project methodology</w:t>
      </w:r>
      <w:bookmarkEnd w:id="9"/>
      <w:r w:rsidRPr="005529DF">
        <w:rPr>
          <w:rFonts w:ascii="Times New Roman" w:hAnsi="Times New Roman"/>
        </w:rPr>
        <w:t xml:space="preserve"> </w:t>
      </w:r>
    </w:p>
    <w:p w:rsidR="0085006F" w:rsidRPr="005529DF" w:rsidRDefault="0085006F" w:rsidP="00976F81">
      <w:pPr>
        <w:pStyle w:val="BodyText"/>
        <w:keepNext/>
        <w:keepLines/>
      </w:pPr>
      <w:r w:rsidRPr="005529DF">
        <w:t xml:space="preserve">The review method has comprised: </w:t>
      </w:r>
    </w:p>
    <w:p w:rsidR="0085006F" w:rsidRPr="005529DF" w:rsidRDefault="0085006F" w:rsidP="00976F81">
      <w:pPr>
        <w:pStyle w:val="ListDash"/>
        <w:keepNext/>
        <w:keepLines/>
      </w:pPr>
      <w:r w:rsidRPr="005529DF">
        <w:rPr>
          <w:i/>
        </w:rPr>
        <w:t>Stage One:</w:t>
      </w:r>
      <w:r w:rsidRPr="005529DF">
        <w:t xml:space="preserve"> </w:t>
      </w:r>
      <w:r w:rsidR="00377056" w:rsidRPr="005529DF">
        <w:t>a</w:t>
      </w:r>
      <w:r w:rsidRPr="005529DF">
        <w:t xml:space="preserve"> literature review</w:t>
      </w:r>
    </w:p>
    <w:p w:rsidR="0085006F" w:rsidRPr="005529DF" w:rsidRDefault="0085006F" w:rsidP="00976F81">
      <w:pPr>
        <w:pStyle w:val="ListDash"/>
        <w:keepNext/>
        <w:keepLines/>
      </w:pPr>
      <w:r w:rsidRPr="005529DF">
        <w:rPr>
          <w:i/>
        </w:rPr>
        <w:t>Stage Two:</w:t>
      </w:r>
      <w:r w:rsidRPr="005529DF">
        <w:t xml:space="preserve"> </w:t>
      </w:r>
      <w:r w:rsidR="00377056" w:rsidRPr="005529DF">
        <w:t>s</w:t>
      </w:r>
      <w:r w:rsidRPr="005529DF">
        <w:t>takeholder consultations including face-to-face and telephone interviews, an online survey, focus groups and public submissions</w:t>
      </w:r>
    </w:p>
    <w:p w:rsidR="0085006F" w:rsidRPr="005529DF" w:rsidRDefault="0085006F" w:rsidP="0085006F">
      <w:pPr>
        <w:pStyle w:val="ListDash"/>
      </w:pPr>
      <w:r w:rsidRPr="005529DF">
        <w:rPr>
          <w:i/>
        </w:rPr>
        <w:t>Stage Three:</w:t>
      </w:r>
      <w:r w:rsidRPr="005529DF">
        <w:t xml:space="preserve"> </w:t>
      </w:r>
      <w:r w:rsidR="00377056" w:rsidRPr="005529DF">
        <w:t>i</w:t>
      </w:r>
      <w:r w:rsidR="00865917" w:rsidRPr="005529DF">
        <w:t xml:space="preserve">dentification of areas for </w:t>
      </w:r>
      <w:r w:rsidR="008D2482" w:rsidRPr="005529DF">
        <w:t xml:space="preserve">further </w:t>
      </w:r>
      <w:r w:rsidR="005F6673" w:rsidRPr="005529DF">
        <w:t>attention</w:t>
      </w:r>
      <w:r w:rsidR="008D2482" w:rsidRPr="005529DF">
        <w:t>,</w:t>
      </w:r>
      <w:r w:rsidR="005F6673" w:rsidRPr="005529DF">
        <w:t xml:space="preserve"> </w:t>
      </w:r>
      <w:r w:rsidR="008D2482" w:rsidRPr="005529DF">
        <w:t xml:space="preserve">with analysis of associated </w:t>
      </w:r>
      <w:r w:rsidR="00865917" w:rsidRPr="005529DF">
        <w:t>cost</w:t>
      </w:r>
      <w:r w:rsidR="008D2482" w:rsidRPr="005529DF">
        <w:t xml:space="preserve">s and </w:t>
      </w:r>
      <w:r w:rsidR="00865917" w:rsidRPr="005529DF">
        <w:t>benefit</w:t>
      </w:r>
      <w:r w:rsidR="008D2482" w:rsidRPr="005529DF">
        <w:t>s</w:t>
      </w:r>
      <w:r w:rsidR="00865917" w:rsidRPr="005529DF">
        <w:t xml:space="preserve">. </w:t>
      </w:r>
    </w:p>
    <w:p w:rsidR="00766E25" w:rsidRPr="005529DF" w:rsidRDefault="0085006F" w:rsidP="0085006F">
      <w:pPr>
        <w:pStyle w:val="ListDash"/>
        <w:numPr>
          <w:ilvl w:val="0"/>
          <w:numId w:val="0"/>
        </w:numPr>
      </w:pPr>
      <w:r w:rsidRPr="005529DF">
        <w:t>The methodolog</w:t>
      </w:r>
      <w:r w:rsidR="004F522C" w:rsidRPr="005529DF">
        <w:t>ies</w:t>
      </w:r>
      <w:r w:rsidRPr="005529DF">
        <w:t xml:space="preserve"> </w:t>
      </w:r>
      <w:r w:rsidR="004F522C" w:rsidRPr="005529DF">
        <w:t xml:space="preserve">adopted </w:t>
      </w:r>
      <w:r w:rsidRPr="005529DF">
        <w:t xml:space="preserve">for </w:t>
      </w:r>
      <w:r w:rsidR="00766E25" w:rsidRPr="005529DF">
        <w:t xml:space="preserve">stages 1 and 2 are </w:t>
      </w:r>
      <w:r w:rsidR="008270FE" w:rsidRPr="005529DF">
        <w:t xml:space="preserve">outlined </w:t>
      </w:r>
      <w:r w:rsidR="00766E25" w:rsidRPr="005529DF">
        <w:t xml:space="preserve">below. </w:t>
      </w:r>
      <w:r w:rsidR="008270FE" w:rsidRPr="005529DF">
        <w:t xml:space="preserve">The evidence gathered from these sources </w:t>
      </w:r>
      <w:r w:rsidR="00101991">
        <w:t>is</w:t>
      </w:r>
      <w:r w:rsidR="00101991" w:rsidRPr="005529DF">
        <w:t xml:space="preserve"> </w:t>
      </w:r>
      <w:r w:rsidR="008270FE" w:rsidRPr="005529DF">
        <w:t xml:space="preserve">drawn together </w:t>
      </w:r>
      <w:r w:rsidR="004F522C" w:rsidRPr="005529DF">
        <w:t>in this report</w:t>
      </w:r>
      <w:r w:rsidR="008270FE" w:rsidRPr="005529DF">
        <w:t xml:space="preserve"> as part of the stage 3 analysis</w:t>
      </w:r>
      <w:r w:rsidR="00101991">
        <w:t>.</w:t>
      </w:r>
      <w:r w:rsidR="004F522C" w:rsidRPr="005529DF">
        <w:t xml:space="preserve"> </w:t>
      </w:r>
    </w:p>
    <w:p w:rsidR="0085006F" w:rsidRPr="005529DF" w:rsidRDefault="0085006F" w:rsidP="00A10560">
      <w:pPr>
        <w:pStyle w:val="Heading3nonumber"/>
        <w:rPr>
          <w:rFonts w:ascii="Times New Roman" w:hAnsi="Times New Roman"/>
        </w:rPr>
      </w:pPr>
      <w:r w:rsidRPr="005529DF">
        <w:rPr>
          <w:rFonts w:ascii="Times New Roman" w:hAnsi="Times New Roman"/>
        </w:rPr>
        <w:t>Literature review</w:t>
      </w:r>
    </w:p>
    <w:p w:rsidR="0085006F" w:rsidRPr="005529DF" w:rsidRDefault="0085006F" w:rsidP="0085006F">
      <w:pPr>
        <w:pStyle w:val="BodyText"/>
      </w:pPr>
      <w:r w:rsidRPr="005529DF">
        <w:t>The literature review was based on a search strategy that identified a set of key research questions regarding regulation, referral, assessment, treatment, and rehabilitation and outcomes. Appropriate search terms were derived from these questions and an initial search undertaken to confirm appropriate national and international search targets.</w:t>
      </w:r>
    </w:p>
    <w:p w:rsidR="0085006F" w:rsidRPr="005529DF" w:rsidRDefault="0085006F" w:rsidP="0085006F">
      <w:pPr>
        <w:pStyle w:val="BodyText"/>
      </w:pPr>
      <w:r w:rsidRPr="005529DF">
        <w:t xml:space="preserve">The search targets included: </w:t>
      </w:r>
    </w:p>
    <w:p w:rsidR="0085006F" w:rsidRPr="005529DF" w:rsidRDefault="00AD764A" w:rsidP="0085006F">
      <w:pPr>
        <w:pStyle w:val="ListDash"/>
      </w:pPr>
      <w:r w:rsidRPr="005529DF">
        <w:t>E</w:t>
      </w:r>
      <w:r w:rsidR="0085006F" w:rsidRPr="005529DF">
        <w:t xml:space="preserve">lectronic data bases to enable a broad and comprehensive search of published, peer-reviewed literature across all key areas relevant to health care models for impaired health </w:t>
      </w:r>
      <w:r w:rsidRPr="005529DF">
        <w:t xml:space="preserve">practitioners. </w:t>
      </w:r>
    </w:p>
    <w:p w:rsidR="0085006F" w:rsidRPr="005529DF" w:rsidRDefault="00AD764A" w:rsidP="0085006F">
      <w:pPr>
        <w:pStyle w:val="ListDash"/>
      </w:pPr>
      <w:r w:rsidRPr="005529DF">
        <w:t>W</w:t>
      </w:r>
      <w:r w:rsidR="0085006F" w:rsidRPr="005529DF">
        <w:t xml:space="preserve">ebsites to capture existing roles of regulation agencies in </w:t>
      </w:r>
      <w:r w:rsidRPr="005529DF">
        <w:t xml:space="preserve">managing and supporting </w:t>
      </w:r>
      <w:r w:rsidR="0085006F" w:rsidRPr="005529DF">
        <w:t xml:space="preserve">health impaired </w:t>
      </w:r>
      <w:r w:rsidRPr="005529DF">
        <w:t xml:space="preserve">practitioners </w:t>
      </w:r>
      <w:r w:rsidR="0085006F" w:rsidRPr="005529DF">
        <w:t xml:space="preserve">and to identify current health </w:t>
      </w:r>
      <w:r w:rsidR="0085006F" w:rsidRPr="005529DF">
        <w:lastRenderedPageBreak/>
        <w:t xml:space="preserve">care models that provide support to health impaired </w:t>
      </w:r>
      <w:r w:rsidRPr="005529DF">
        <w:t xml:space="preserve">practitioners. </w:t>
      </w:r>
    </w:p>
    <w:p w:rsidR="0085006F" w:rsidRPr="005529DF" w:rsidRDefault="00AD764A" w:rsidP="0085006F">
      <w:pPr>
        <w:pStyle w:val="ListDash"/>
      </w:pPr>
      <w:r w:rsidRPr="005529DF">
        <w:t>M</w:t>
      </w:r>
      <w:r w:rsidR="0085006F" w:rsidRPr="005529DF">
        <w:t xml:space="preserve">onographs as identified through searching of electronic databases and website. </w:t>
      </w:r>
    </w:p>
    <w:p w:rsidR="0085006F" w:rsidRPr="005529DF" w:rsidRDefault="0085006F" w:rsidP="00A10560">
      <w:pPr>
        <w:pStyle w:val="Heading3nonumber"/>
        <w:rPr>
          <w:rFonts w:ascii="Times New Roman" w:hAnsi="Times New Roman"/>
        </w:rPr>
      </w:pPr>
      <w:r w:rsidRPr="005529DF">
        <w:rPr>
          <w:rFonts w:ascii="Times New Roman" w:hAnsi="Times New Roman"/>
        </w:rPr>
        <w:t>Stakeholder consultations</w:t>
      </w:r>
    </w:p>
    <w:p w:rsidR="0085006F" w:rsidRPr="005529DF" w:rsidRDefault="0085006F" w:rsidP="0085006F">
      <w:pPr>
        <w:pStyle w:val="BodyText"/>
      </w:pPr>
      <w:r w:rsidRPr="005529DF">
        <w:t xml:space="preserve">Stakeholder consultations were conducted in </w:t>
      </w:r>
      <w:r w:rsidR="00DD5109">
        <w:t>three</w:t>
      </w:r>
      <w:r w:rsidR="00DD5109" w:rsidRPr="005529DF">
        <w:t xml:space="preserve"> </w:t>
      </w:r>
      <w:r w:rsidRPr="005529DF">
        <w:t>ways:</w:t>
      </w:r>
    </w:p>
    <w:p w:rsidR="0085006F" w:rsidRPr="005529DF" w:rsidRDefault="0085006F" w:rsidP="007640DA">
      <w:pPr>
        <w:pStyle w:val="ListDash"/>
      </w:pPr>
      <w:r w:rsidRPr="005529DF">
        <w:t>Interviews with relevant Australian and international stakeholders not including nurses and midwives</w:t>
      </w:r>
      <w:r w:rsidR="003B530C" w:rsidRPr="005529DF">
        <w:t xml:space="preserve">. </w:t>
      </w:r>
    </w:p>
    <w:p w:rsidR="0085006F" w:rsidRDefault="00DD5109" w:rsidP="007640DA">
      <w:pPr>
        <w:pStyle w:val="ListDash"/>
      </w:pPr>
      <w:r>
        <w:t>F</w:t>
      </w:r>
      <w:r w:rsidR="0085006F" w:rsidRPr="005529DF">
        <w:t>ocus groups involving nurse and midwives.</w:t>
      </w:r>
    </w:p>
    <w:p w:rsidR="00DD5109" w:rsidRPr="005529DF" w:rsidRDefault="00B809AF" w:rsidP="007640DA">
      <w:pPr>
        <w:pStyle w:val="ListDash"/>
      </w:pPr>
      <w:r>
        <w:t>Public online s</w:t>
      </w:r>
      <w:r w:rsidR="00DD5109">
        <w:t xml:space="preserve">urvey </w:t>
      </w:r>
      <w:r>
        <w:t xml:space="preserve">targeted at nurses and midwives. </w:t>
      </w:r>
    </w:p>
    <w:p w:rsidR="0085006F" w:rsidRPr="005529DF" w:rsidRDefault="0085006F" w:rsidP="00A10560">
      <w:pPr>
        <w:pStyle w:val="Heading4"/>
        <w:rPr>
          <w:rFonts w:ascii="Times New Roman" w:hAnsi="Times New Roman"/>
          <w:i/>
        </w:rPr>
      </w:pPr>
      <w:r w:rsidRPr="005529DF">
        <w:rPr>
          <w:rFonts w:ascii="Times New Roman" w:hAnsi="Times New Roman"/>
          <w:i/>
        </w:rPr>
        <w:t>Interviews</w:t>
      </w:r>
    </w:p>
    <w:p w:rsidR="0085006F" w:rsidRPr="005529DF" w:rsidRDefault="0085006F" w:rsidP="0085006F">
      <w:pPr>
        <w:pStyle w:val="BodyText"/>
      </w:pPr>
      <w:r w:rsidRPr="005529DF">
        <w:t xml:space="preserve">These were </w:t>
      </w:r>
      <w:r w:rsidR="00DD5109">
        <w:t>conducted</w:t>
      </w:r>
      <w:r w:rsidR="00DD5109" w:rsidRPr="005529DF">
        <w:t xml:space="preserve"> </w:t>
      </w:r>
      <w:r w:rsidRPr="005529DF">
        <w:t xml:space="preserve">between August 2014 and March 2015 and included: </w:t>
      </w:r>
    </w:p>
    <w:p w:rsidR="0085006F" w:rsidRPr="005529DF" w:rsidRDefault="0085006F" w:rsidP="0085006F">
      <w:pPr>
        <w:pStyle w:val="ListDash"/>
      </w:pPr>
      <w:r w:rsidRPr="005529DF">
        <w:t xml:space="preserve">health </w:t>
      </w:r>
      <w:r w:rsidR="002C35D0" w:rsidRPr="005529DF">
        <w:t xml:space="preserve">practitioner </w:t>
      </w:r>
      <w:r w:rsidRPr="005529DF">
        <w:t xml:space="preserve">regulatory bodies at both a state/territory and Commonwealth level </w:t>
      </w:r>
    </w:p>
    <w:p w:rsidR="0085006F" w:rsidRPr="005529DF" w:rsidRDefault="0085006F" w:rsidP="0085006F">
      <w:pPr>
        <w:pStyle w:val="ListDash"/>
      </w:pPr>
      <w:r w:rsidRPr="005529DF">
        <w:t xml:space="preserve">support service providers for nursing and midwifery and health </w:t>
      </w:r>
      <w:r w:rsidR="005762DE" w:rsidRPr="005529DF">
        <w:t xml:space="preserve">practitioners </w:t>
      </w:r>
      <w:r w:rsidRPr="005529DF">
        <w:t xml:space="preserve">more broadly </w:t>
      </w:r>
    </w:p>
    <w:p w:rsidR="0085006F" w:rsidRPr="005529DF" w:rsidRDefault="0085006F" w:rsidP="0085006F">
      <w:pPr>
        <w:pStyle w:val="ListDash"/>
      </w:pPr>
      <w:r w:rsidRPr="005529DF">
        <w:t xml:space="preserve">state/territory and Commonwealth health departments </w:t>
      </w:r>
    </w:p>
    <w:p w:rsidR="0085006F" w:rsidRPr="005529DF" w:rsidRDefault="0085006F" w:rsidP="0085006F">
      <w:pPr>
        <w:pStyle w:val="ListDash"/>
      </w:pPr>
      <w:r w:rsidRPr="005529DF">
        <w:t xml:space="preserve">health complaint entities involved in complaints against health </w:t>
      </w:r>
      <w:r w:rsidR="005762DE" w:rsidRPr="005529DF">
        <w:t>practitioners</w:t>
      </w:r>
    </w:p>
    <w:p w:rsidR="0085006F" w:rsidRPr="005529DF" w:rsidRDefault="0085006F" w:rsidP="0085006F">
      <w:pPr>
        <w:pStyle w:val="ListDash"/>
      </w:pPr>
      <w:r w:rsidRPr="005529DF">
        <w:t>health professional associations</w:t>
      </w:r>
    </w:p>
    <w:p w:rsidR="0085006F" w:rsidRPr="005529DF" w:rsidRDefault="0085006F" w:rsidP="0085006F">
      <w:pPr>
        <w:pStyle w:val="ListDash"/>
      </w:pPr>
      <w:r w:rsidRPr="005529DF">
        <w:t xml:space="preserve">AHPRA staff involved in notifications. </w:t>
      </w:r>
    </w:p>
    <w:p w:rsidR="0085006F" w:rsidRPr="005529DF" w:rsidRDefault="0085006F" w:rsidP="0085006F">
      <w:pPr>
        <w:pStyle w:val="ListDash"/>
        <w:numPr>
          <w:ilvl w:val="0"/>
          <w:numId w:val="0"/>
        </w:numPr>
      </w:pPr>
      <w:r w:rsidRPr="005529DF">
        <w:t xml:space="preserve">Overall, a total of 46 interviews were undertaken, either face-to-face or by phone, and three </w:t>
      </w:r>
      <w:r w:rsidR="00DD5109">
        <w:t xml:space="preserve">written </w:t>
      </w:r>
      <w:r w:rsidRPr="005529DF">
        <w:t>submissions were received. A list of stakeholder organisations</w:t>
      </w:r>
      <w:r w:rsidR="00DD5109">
        <w:t xml:space="preserve"> and representatives</w:t>
      </w:r>
      <w:r w:rsidRPr="005529DF">
        <w:t xml:space="preserve"> is provided at </w:t>
      </w:r>
      <w:r w:rsidR="007538B8">
        <w:fldChar w:fldCharType="begin"/>
      </w:r>
      <w:r w:rsidR="007538B8">
        <w:instrText xml:space="preserve"> REF _Ref417394349 \n \h  \* MERGEFORMAT </w:instrText>
      </w:r>
      <w:r w:rsidR="007538B8">
        <w:fldChar w:fldCharType="separate"/>
      </w:r>
      <w:r w:rsidR="00B07965">
        <w:t>Appendix A</w:t>
      </w:r>
      <w:r w:rsidR="007538B8">
        <w:fldChar w:fldCharType="end"/>
      </w:r>
      <w:r w:rsidR="002641B6" w:rsidRPr="005529DF">
        <w:t xml:space="preserve">. </w:t>
      </w:r>
    </w:p>
    <w:p w:rsidR="00865917" w:rsidRPr="005529DF" w:rsidRDefault="00865917" w:rsidP="00A10560">
      <w:pPr>
        <w:pStyle w:val="Heading4"/>
        <w:rPr>
          <w:rFonts w:ascii="Times New Roman" w:hAnsi="Times New Roman"/>
          <w:i/>
        </w:rPr>
      </w:pPr>
      <w:r w:rsidRPr="005529DF">
        <w:rPr>
          <w:rFonts w:ascii="Times New Roman" w:hAnsi="Times New Roman"/>
          <w:i/>
        </w:rPr>
        <w:t xml:space="preserve">Survey </w:t>
      </w:r>
      <w:r w:rsidR="00A415E1">
        <w:rPr>
          <w:rFonts w:ascii="Times New Roman" w:hAnsi="Times New Roman"/>
          <w:i/>
        </w:rPr>
        <w:t xml:space="preserve">for nurses and midwives </w:t>
      </w:r>
    </w:p>
    <w:p w:rsidR="00865917" w:rsidRPr="005529DF" w:rsidRDefault="00865917" w:rsidP="00865917">
      <w:pPr>
        <w:pStyle w:val="ListDash"/>
        <w:numPr>
          <w:ilvl w:val="0"/>
          <w:numId w:val="0"/>
        </w:numPr>
      </w:pPr>
      <w:r w:rsidRPr="005529DF">
        <w:t xml:space="preserve">Feedback from registered nurses and midwives was obtained through an online survey and two focus groups. </w:t>
      </w:r>
    </w:p>
    <w:p w:rsidR="00865917" w:rsidRDefault="00865917" w:rsidP="00865917">
      <w:pPr>
        <w:pStyle w:val="BodyText"/>
      </w:pPr>
      <w:r w:rsidRPr="005529DF">
        <w:t xml:space="preserve">The survey was open for nurses and midwives between 28 January 2015 and 13 February 2015 (17 days). A total of 9,117 nurses and midwives completed the online survey, which represents some 2.5 per cent of all registered nurses and midwives. As an absolute response rate it indicates strong interest </w:t>
      </w:r>
      <w:r w:rsidRPr="005529DF">
        <w:lastRenderedPageBreak/>
        <w:t>in the issue of impairment and provides a sound basis for analysis.</w:t>
      </w:r>
    </w:p>
    <w:p w:rsidR="003F5618" w:rsidRPr="005529DF" w:rsidRDefault="00A93540" w:rsidP="00865917">
      <w:pPr>
        <w:pStyle w:val="BodyText"/>
      </w:pPr>
      <w:r>
        <w:t xml:space="preserve">Given the survey was made available on the NMBA website, it is possible that other interested parties provided responses. However, </w:t>
      </w:r>
      <w:r w:rsidR="003F5618">
        <w:t xml:space="preserve">the vast majority of respondents (98 per cent) indicated that they were a nurse and/or midwife. </w:t>
      </w:r>
    </w:p>
    <w:p w:rsidR="00A415E1" w:rsidRPr="00B27E2A" w:rsidRDefault="00A415E1" w:rsidP="00C633E5">
      <w:pPr>
        <w:pStyle w:val="Heading5"/>
      </w:pPr>
      <w:r w:rsidRPr="00C633E5">
        <w:rPr>
          <w:rFonts w:ascii="Times New Roman" w:hAnsi="Times New Roman"/>
        </w:rPr>
        <w:t xml:space="preserve">Focus groups for nurses and midwives </w:t>
      </w:r>
    </w:p>
    <w:p w:rsidR="00865917" w:rsidRPr="005529DF" w:rsidRDefault="00865917" w:rsidP="00865917">
      <w:pPr>
        <w:pStyle w:val="BodyText"/>
      </w:pPr>
      <w:r w:rsidRPr="005529DF">
        <w:t xml:space="preserve">Two focus groups were also scheduled to gather feedback from nurses and midwives. New South Wales (Sydney) was selected both for its size and the fact that it is a jurisdiction with co-regulatory arrangements. South Australia (Adelaide) was the second location selected because of its centrality and the fact that it is a jurisdiction with arrangements that are representative of ‘standard’ application of the National Law. </w:t>
      </w:r>
    </w:p>
    <w:p w:rsidR="00865917" w:rsidRPr="005529DF" w:rsidRDefault="00865917" w:rsidP="00865917">
      <w:pPr>
        <w:pStyle w:val="BodyText"/>
      </w:pPr>
      <w:r w:rsidRPr="005529DF">
        <w:t xml:space="preserve">A total of 18 nurses and midwives participated the focus groups, nine in Adelaide and nine in Sydney. </w:t>
      </w:r>
    </w:p>
    <w:p w:rsidR="00344FEA" w:rsidRPr="005529DF" w:rsidRDefault="0000381F" w:rsidP="00A10560">
      <w:pPr>
        <w:pStyle w:val="Heading2"/>
        <w:rPr>
          <w:rFonts w:ascii="Times New Roman" w:hAnsi="Times New Roman"/>
        </w:rPr>
      </w:pPr>
      <w:bookmarkStart w:id="10" w:name="_Toc419702932"/>
      <w:r w:rsidRPr="005529DF">
        <w:rPr>
          <w:rFonts w:ascii="Times New Roman" w:hAnsi="Times New Roman"/>
        </w:rPr>
        <w:t>This report</w:t>
      </w:r>
      <w:bookmarkEnd w:id="10"/>
      <w:r w:rsidRPr="005529DF">
        <w:rPr>
          <w:rFonts w:ascii="Times New Roman" w:hAnsi="Times New Roman"/>
        </w:rPr>
        <w:t xml:space="preserve"> </w:t>
      </w:r>
    </w:p>
    <w:p w:rsidR="00C62D0A" w:rsidRPr="005529DF" w:rsidRDefault="00F40CC3" w:rsidP="0000381F">
      <w:pPr>
        <w:pStyle w:val="BodyText"/>
      </w:pPr>
      <w:r w:rsidRPr="005529DF">
        <w:t xml:space="preserve">This report </w:t>
      </w:r>
      <w:r w:rsidR="004F522C" w:rsidRPr="005529DF">
        <w:t>synthesises the</w:t>
      </w:r>
      <w:r w:rsidRPr="005529DF">
        <w:t xml:space="preserve"> key findings from the previous Literature Review and Stakeholder Report </w:t>
      </w:r>
      <w:r w:rsidR="004F522C" w:rsidRPr="005529DF">
        <w:t xml:space="preserve">and identifies </w:t>
      </w:r>
      <w:r w:rsidRPr="005529DF">
        <w:t xml:space="preserve">areas for </w:t>
      </w:r>
      <w:r w:rsidR="005F6673" w:rsidRPr="005529DF">
        <w:t xml:space="preserve">attention </w:t>
      </w:r>
      <w:r w:rsidRPr="005529DF">
        <w:t>in relation to the management and support process</w:t>
      </w:r>
      <w:r w:rsidR="00DD5109">
        <w:t>es</w:t>
      </w:r>
      <w:r w:rsidRPr="005529DF">
        <w:t xml:space="preserve"> </w:t>
      </w:r>
      <w:r w:rsidR="00DD5109">
        <w:t>for</w:t>
      </w:r>
      <w:r w:rsidR="00DD5109" w:rsidRPr="005529DF">
        <w:t xml:space="preserve"> </w:t>
      </w:r>
      <w:r w:rsidR="00F23111" w:rsidRPr="005529DF">
        <w:t>nurses and midwives</w:t>
      </w:r>
      <w:r w:rsidRPr="005529DF">
        <w:t xml:space="preserve"> with a health impairment. It also </w:t>
      </w:r>
      <w:r w:rsidR="004F522C" w:rsidRPr="005529DF">
        <w:t xml:space="preserve">considers </w:t>
      </w:r>
      <w:r w:rsidRPr="005529DF">
        <w:t xml:space="preserve">potential stakeholder </w:t>
      </w:r>
      <w:r w:rsidR="004F522C" w:rsidRPr="005529DF">
        <w:t xml:space="preserve">roles in effecting these </w:t>
      </w:r>
      <w:r w:rsidR="008D2482" w:rsidRPr="005529DF">
        <w:t>enhancements</w:t>
      </w:r>
      <w:r w:rsidRPr="005529DF">
        <w:t xml:space="preserve">. </w:t>
      </w:r>
    </w:p>
    <w:p w:rsidR="00C62D0A" w:rsidRPr="005529DF" w:rsidRDefault="008D2482" w:rsidP="0000381F">
      <w:pPr>
        <w:pStyle w:val="BodyText"/>
      </w:pPr>
      <w:r w:rsidRPr="005529DF">
        <w:t>A</w:t>
      </w:r>
      <w:r w:rsidR="00E04182" w:rsidRPr="005529DF">
        <w:t xml:space="preserve">nalysis </w:t>
      </w:r>
      <w:r w:rsidRPr="005529DF">
        <w:t xml:space="preserve">of the associated costs and benefits </w:t>
      </w:r>
      <w:r w:rsidR="00C62D0A" w:rsidRPr="005529DF">
        <w:t xml:space="preserve">has been undertaken, drawing upon </w:t>
      </w:r>
      <w:r w:rsidR="004F522C" w:rsidRPr="005529DF">
        <w:t xml:space="preserve">a range of sources </w:t>
      </w:r>
      <w:r w:rsidR="00C62D0A" w:rsidRPr="005529DF">
        <w:t xml:space="preserve">to </w:t>
      </w:r>
      <w:r w:rsidR="004F522C" w:rsidRPr="005529DF">
        <w:t>inform the modelling</w:t>
      </w:r>
      <w:r w:rsidR="00450E89" w:rsidRPr="005529DF">
        <w:t xml:space="preserve"> </w:t>
      </w:r>
      <w:r w:rsidR="00C62D0A" w:rsidRPr="005529DF">
        <w:t xml:space="preserve">assumptions. </w:t>
      </w:r>
    </w:p>
    <w:p w:rsidR="00344FEA" w:rsidRPr="005529DF" w:rsidRDefault="00766E25">
      <w:pPr>
        <w:pStyle w:val="BodyText"/>
      </w:pPr>
      <w:r w:rsidRPr="005529DF">
        <w:t xml:space="preserve">The </w:t>
      </w:r>
      <w:r w:rsidR="0000381F" w:rsidRPr="005529DF">
        <w:t xml:space="preserve">report structure for the remainder of this </w:t>
      </w:r>
      <w:r w:rsidR="00DD5109">
        <w:t>document</w:t>
      </w:r>
      <w:r w:rsidR="00DD5109" w:rsidRPr="005529DF">
        <w:t xml:space="preserve"> </w:t>
      </w:r>
      <w:r w:rsidR="0000381F" w:rsidRPr="005529DF">
        <w:t xml:space="preserve">is as follows: </w:t>
      </w:r>
      <w:r w:rsidRPr="005529DF">
        <w:t xml:space="preserve"> </w:t>
      </w:r>
    </w:p>
    <w:p w:rsidR="00766E25" w:rsidRPr="005529DF" w:rsidRDefault="00766E25" w:rsidP="00A10560">
      <w:pPr>
        <w:pStyle w:val="ListDash"/>
      </w:pPr>
      <w:r w:rsidRPr="005529DF">
        <w:t xml:space="preserve">Chapter </w:t>
      </w:r>
      <w:r w:rsidR="007538B8">
        <w:fldChar w:fldCharType="begin"/>
      </w:r>
      <w:r w:rsidR="007538B8">
        <w:instrText xml:space="preserve"> REF _Ref417387311 \r \h  \* MERGEFORMAT </w:instrText>
      </w:r>
      <w:r w:rsidR="007538B8">
        <w:fldChar w:fldCharType="separate"/>
      </w:r>
      <w:r w:rsidR="00B07965">
        <w:t>2</w:t>
      </w:r>
      <w:r w:rsidR="007538B8">
        <w:fldChar w:fldCharType="end"/>
      </w:r>
      <w:r w:rsidRPr="005529DF">
        <w:t xml:space="preserve"> summarises current regulatory arrangements</w:t>
      </w:r>
    </w:p>
    <w:p w:rsidR="00766E25" w:rsidRPr="005529DF" w:rsidRDefault="00766E25" w:rsidP="00A10560">
      <w:pPr>
        <w:pStyle w:val="ListDash"/>
      </w:pPr>
      <w:r w:rsidRPr="005529DF">
        <w:t xml:space="preserve">Chapter </w:t>
      </w:r>
      <w:r w:rsidR="007538B8">
        <w:fldChar w:fldCharType="begin"/>
      </w:r>
      <w:r w:rsidR="007538B8">
        <w:instrText xml:space="preserve"> REF _Ref417903275 \n \h  \* MERGEFORMAT </w:instrText>
      </w:r>
      <w:r w:rsidR="007538B8">
        <w:fldChar w:fldCharType="separate"/>
      </w:r>
      <w:r w:rsidR="00B07965">
        <w:t>3</w:t>
      </w:r>
      <w:r w:rsidR="007538B8">
        <w:fldChar w:fldCharType="end"/>
      </w:r>
      <w:r w:rsidR="00101733" w:rsidRPr="005529DF">
        <w:t xml:space="preserve"> </w:t>
      </w:r>
      <w:r w:rsidRPr="005529DF">
        <w:t xml:space="preserve">outlines current arrangements for, and issues with, managing and supporting nurses and midwives with a health impairment </w:t>
      </w:r>
    </w:p>
    <w:p w:rsidR="00766E25" w:rsidRPr="005529DF" w:rsidRDefault="00766E25" w:rsidP="00A10560">
      <w:pPr>
        <w:pStyle w:val="ListDash"/>
      </w:pPr>
      <w:r w:rsidRPr="005529DF">
        <w:t xml:space="preserve">Chapter </w:t>
      </w:r>
      <w:r w:rsidR="007538B8">
        <w:fldChar w:fldCharType="begin"/>
      </w:r>
      <w:r w:rsidR="007538B8">
        <w:instrText xml:space="preserve"> REF _Ref417387372 \r \h  \* MERGEFORMAT </w:instrText>
      </w:r>
      <w:r w:rsidR="007538B8">
        <w:fldChar w:fldCharType="separate"/>
      </w:r>
      <w:r w:rsidR="00B07965">
        <w:t>4</w:t>
      </w:r>
      <w:r w:rsidR="007538B8">
        <w:fldChar w:fldCharType="end"/>
      </w:r>
      <w:r w:rsidRPr="005529DF">
        <w:t xml:space="preserve"> identifies and discusses potential </w:t>
      </w:r>
      <w:r w:rsidR="008D2482" w:rsidRPr="005529DF">
        <w:t>enhancements</w:t>
      </w:r>
      <w:r w:rsidR="005F6673" w:rsidRPr="005529DF">
        <w:t xml:space="preserve"> </w:t>
      </w:r>
      <w:r w:rsidRPr="005529DF">
        <w:t>within the management</w:t>
      </w:r>
      <w:r w:rsidR="006A2C0B" w:rsidRPr="005529DF">
        <w:t xml:space="preserve"> and </w:t>
      </w:r>
      <w:r w:rsidRPr="005529DF">
        <w:t>support process</w:t>
      </w:r>
      <w:r w:rsidR="00CE5046" w:rsidRPr="005529DF">
        <w:t>, potential stakeholder roles as well as any financial considerations</w:t>
      </w:r>
    </w:p>
    <w:p w:rsidR="00766E25" w:rsidRPr="005529DF" w:rsidRDefault="00766E25" w:rsidP="00A10560">
      <w:pPr>
        <w:pStyle w:val="ListDash"/>
      </w:pPr>
      <w:r w:rsidRPr="005529DF">
        <w:lastRenderedPageBreak/>
        <w:t xml:space="preserve">Chapter </w:t>
      </w:r>
      <w:r w:rsidR="007538B8">
        <w:fldChar w:fldCharType="begin"/>
      </w:r>
      <w:r w:rsidR="007538B8">
        <w:instrText xml:space="preserve"> REF _Ref415304539 \n \h  \* MERGEFORMAT </w:instrText>
      </w:r>
      <w:r w:rsidR="007538B8">
        <w:fldChar w:fldCharType="separate"/>
      </w:r>
      <w:r w:rsidR="00B07965">
        <w:t>5</w:t>
      </w:r>
      <w:r w:rsidR="007538B8">
        <w:fldChar w:fldCharType="end"/>
      </w:r>
      <w:r w:rsidRPr="005529DF">
        <w:t xml:space="preserve"> concludes with an overall summary of review findings. </w:t>
      </w:r>
    </w:p>
    <w:p w:rsidR="0085006F" w:rsidRPr="005529DF" w:rsidRDefault="00865917" w:rsidP="00A10560">
      <w:pPr>
        <w:pStyle w:val="Heading1"/>
        <w:rPr>
          <w:rFonts w:ascii="Times New Roman" w:hAnsi="Times New Roman"/>
        </w:rPr>
      </w:pPr>
      <w:bookmarkStart w:id="11" w:name="_Ref417387311"/>
      <w:bookmarkStart w:id="12" w:name="_Toc419702933"/>
      <w:bookmarkEnd w:id="11"/>
      <w:r w:rsidRPr="005529DF">
        <w:rPr>
          <w:rFonts w:ascii="Times New Roman" w:hAnsi="Times New Roman"/>
        </w:rPr>
        <w:lastRenderedPageBreak/>
        <w:t>The regulatory context</w:t>
      </w:r>
      <w:bookmarkEnd w:id="12"/>
      <w:r w:rsidRPr="005529DF">
        <w:rPr>
          <w:rFonts w:ascii="Times New Roman" w:hAnsi="Times New Roman"/>
        </w:rPr>
        <w:t xml:space="preserve"> </w:t>
      </w:r>
    </w:p>
    <w:p w:rsidR="0021158B" w:rsidRPr="005529DF" w:rsidRDefault="0021158B" w:rsidP="0021158B">
      <w:pPr>
        <w:pStyle w:val="BodyText"/>
        <w:rPr>
          <w:i/>
        </w:rPr>
      </w:pPr>
      <w:bookmarkStart w:id="13" w:name="_Toc415476673"/>
      <w:bookmarkStart w:id="14" w:name="_Toc415479716"/>
      <w:bookmarkStart w:id="15" w:name="_Toc415480165"/>
      <w:bookmarkStart w:id="16" w:name="_Toc415476674"/>
      <w:bookmarkStart w:id="17" w:name="_Toc415479717"/>
      <w:bookmarkStart w:id="18" w:name="_Toc415480166"/>
      <w:bookmarkStart w:id="19" w:name="_Toc415476675"/>
      <w:bookmarkStart w:id="20" w:name="_Toc415479718"/>
      <w:bookmarkStart w:id="21" w:name="_Toc415480167"/>
      <w:bookmarkStart w:id="22" w:name="_Toc415476676"/>
      <w:bookmarkStart w:id="23" w:name="_Toc415479719"/>
      <w:bookmarkStart w:id="24" w:name="_Toc415480168"/>
      <w:bookmarkStart w:id="25" w:name="_Toc415476677"/>
      <w:bookmarkStart w:id="26" w:name="_Toc415479720"/>
      <w:bookmarkStart w:id="27" w:name="_Toc415480169"/>
      <w:bookmarkStart w:id="28" w:name="_Toc415476678"/>
      <w:bookmarkStart w:id="29" w:name="_Toc415479721"/>
      <w:bookmarkStart w:id="30" w:name="_Toc415480170"/>
      <w:bookmarkStart w:id="31" w:name="_Toc415476679"/>
      <w:bookmarkStart w:id="32" w:name="_Toc415479722"/>
      <w:bookmarkStart w:id="33" w:name="_Toc415480171"/>
      <w:bookmarkStart w:id="34" w:name="_Toc415476682"/>
      <w:bookmarkStart w:id="35" w:name="_Toc415479725"/>
      <w:bookmarkStart w:id="36" w:name="_Toc415480174"/>
      <w:bookmarkStart w:id="37" w:name="_Toc415476684"/>
      <w:bookmarkStart w:id="38" w:name="_Toc415479727"/>
      <w:bookmarkStart w:id="39" w:name="_Toc415480176"/>
      <w:bookmarkStart w:id="40" w:name="_Toc415476685"/>
      <w:bookmarkStart w:id="41" w:name="_Toc415479728"/>
      <w:bookmarkStart w:id="42" w:name="_Toc415480177"/>
      <w:bookmarkStart w:id="43" w:name="_Toc415476686"/>
      <w:bookmarkStart w:id="44" w:name="_Toc415479729"/>
      <w:bookmarkStart w:id="45" w:name="_Toc415480178"/>
      <w:bookmarkStart w:id="46" w:name="_Toc415476687"/>
      <w:bookmarkStart w:id="47" w:name="_Toc415479730"/>
      <w:bookmarkStart w:id="48" w:name="_Toc415480179"/>
      <w:bookmarkStart w:id="49" w:name="_Toc415476689"/>
      <w:bookmarkStart w:id="50" w:name="_Toc415479732"/>
      <w:bookmarkStart w:id="51" w:name="_Toc415480181"/>
      <w:bookmarkStart w:id="52" w:name="_Toc415476691"/>
      <w:bookmarkStart w:id="53" w:name="_Toc415479734"/>
      <w:bookmarkStart w:id="54" w:name="_Toc415480183"/>
      <w:bookmarkStart w:id="55" w:name="_Toc415476692"/>
      <w:bookmarkStart w:id="56" w:name="_Toc415479735"/>
      <w:bookmarkStart w:id="57" w:name="_Toc415480184"/>
      <w:bookmarkStart w:id="58" w:name="_Toc41530029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5529DF">
        <w:rPr>
          <w:i/>
        </w:rPr>
        <w:t>This chapter sets out the regulatory context within which the NMBA operates</w:t>
      </w:r>
      <w:r w:rsidR="00955D62" w:rsidRPr="005529DF">
        <w:rPr>
          <w:i/>
        </w:rPr>
        <w:t xml:space="preserve">, it also </w:t>
      </w:r>
      <w:r w:rsidRPr="005529DF">
        <w:rPr>
          <w:i/>
        </w:rPr>
        <w:t>defines the key functions of the NMBA in relation to nurses and midwives with a health impairment.</w:t>
      </w:r>
    </w:p>
    <w:p w:rsidR="00325E66" w:rsidRPr="005529DF" w:rsidRDefault="00DD5109" w:rsidP="0021158B">
      <w:pPr>
        <w:pStyle w:val="Heading2"/>
        <w:numPr>
          <w:ilvl w:val="1"/>
          <w:numId w:val="20"/>
        </w:numPr>
        <w:rPr>
          <w:rFonts w:ascii="Times New Roman" w:hAnsi="Times New Roman"/>
        </w:rPr>
      </w:pPr>
      <w:bookmarkStart w:id="59" w:name="_Toc419702934"/>
      <w:bookmarkStart w:id="60" w:name="_Toc415429087"/>
      <w:r>
        <w:rPr>
          <w:rFonts w:ascii="Times New Roman" w:hAnsi="Times New Roman"/>
        </w:rPr>
        <w:t>The</w:t>
      </w:r>
      <w:r w:rsidRPr="005529DF">
        <w:rPr>
          <w:rFonts w:ascii="Times New Roman" w:hAnsi="Times New Roman"/>
        </w:rPr>
        <w:t xml:space="preserve"> </w:t>
      </w:r>
      <w:r w:rsidR="001C5572">
        <w:rPr>
          <w:rFonts w:ascii="Times New Roman" w:hAnsi="Times New Roman"/>
        </w:rPr>
        <w:t>N</w:t>
      </w:r>
      <w:r w:rsidR="00325E66" w:rsidRPr="005529DF">
        <w:rPr>
          <w:rFonts w:ascii="Times New Roman" w:hAnsi="Times New Roman"/>
        </w:rPr>
        <w:t xml:space="preserve">ational </w:t>
      </w:r>
      <w:r w:rsidR="001C5572">
        <w:rPr>
          <w:rFonts w:ascii="Times New Roman" w:hAnsi="Times New Roman"/>
        </w:rPr>
        <w:t>S</w:t>
      </w:r>
      <w:r w:rsidR="00325E66" w:rsidRPr="005529DF">
        <w:rPr>
          <w:rFonts w:ascii="Times New Roman" w:hAnsi="Times New Roman"/>
        </w:rPr>
        <w:t>cheme</w:t>
      </w:r>
      <w:bookmarkEnd w:id="59"/>
    </w:p>
    <w:p w:rsidR="008432C8" w:rsidRDefault="008432C8" w:rsidP="00325E66">
      <w:pPr>
        <w:pStyle w:val="BodyText"/>
      </w:pPr>
      <w:r>
        <w:t>In July 2010</w:t>
      </w:r>
      <w:r w:rsidR="00325E66" w:rsidRPr="005529DF">
        <w:t xml:space="preserve"> registration of health practitioners in Australia moved from a complex localised scheme of </w:t>
      </w:r>
      <w:r w:rsidR="00DD5109">
        <w:t>regulation</w:t>
      </w:r>
      <w:r w:rsidR="00325E66" w:rsidRPr="005529DF">
        <w:t xml:space="preserve"> to </w:t>
      </w:r>
      <w:r w:rsidR="001C5572">
        <w:t>the</w:t>
      </w:r>
      <w:r w:rsidR="001C5572" w:rsidRPr="005529DF">
        <w:t xml:space="preserve"> </w:t>
      </w:r>
      <w:r w:rsidR="00325E66" w:rsidRPr="005529DF">
        <w:t>National Regulation and Accreditation Scheme (</w:t>
      </w:r>
      <w:r w:rsidR="00F36F96">
        <w:t>the</w:t>
      </w:r>
      <w:r w:rsidR="00325E66" w:rsidRPr="005529DF">
        <w:t xml:space="preserve"> National Scheme)</w:t>
      </w:r>
      <w:r>
        <w:t xml:space="preserve">. Under the National Scheme, National Boards for each of the 14 health professions were established, which represented a consolidation of over 80 boards and their associated structures. </w:t>
      </w:r>
    </w:p>
    <w:p w:rsidR="008432C8" w:rsidRDefault="00F36F96" w:rsidP="00325E66">
      <w:pPr>
        <w:pStyle w:val="BodyText"/>
      </w:pPr>
      <w:r>
        <w:t>AHPRA supports the work</w:t>
      </w:r>
      <w:r w:rsidR="008432C8">
        <w:t xml:space="preserve"> of the 14 National Boards </w:t>
      </w:r>
      <w:r w:rsidR="008432C8" w:rsidRPr="005529DF">
        <w:t>(some with state and territory Boards and committees)</w:t>
      </w:r>
      <w:r>
        <w:t>, which ha</w:t>
      </w:r>
      <w:r w:rsidR="00DC14D6">
        <w:t>ve</w:t>
      </w:r>
      <w:r>
        <w:t xml:space="preserve"> the following objectives: </w:t>
      </w:r>
    </w:p>
    <w:p w:rsidR="00A415E1" w:rsidRDefault="00A415E1" w:rsidP="00102595">
      <w:pPr>
        <w:pStyle w:val="ListDash"/>
      </w:pPr>
      <w:r>
        <w:t>protection of pub</w:t>
      </w:r>
      <w:r w:rsidR="00F36F96">
        <w:t>lic safety</w:t>
      </w:r>
    </w:p>
    <w:p w:rsidR="00A415E1" w:rsidRDefault="00A415E1" w:rsidP="00102595">
      <w:pPr>
        <w:pStyle w:val="ListDash"/>
      </w:pPr>
      <w:r>
        <w:t>facilitation of workforce mobility and high</w:t>
      </w:r>
      <w:r w:rsidR="00F36F96">
        <w:t xml:space="preserve"> quality education and training</w:t>
      </w:r>
      <w:r>
        <w:t xml:space="preserve"> </w:t>
      </w:r>
    </w:p>
    <w:p w:rsidR="00A415E1" w:rsidRDefault="00A415E1" w:rsidP="00102595">
      <w:pPr>
        <w:pStyle w:val="ListDash"/>
      </w:pPr>
      <w:r>
        <w:t>promotion of access to health services</w:t>
      </w:r>
    </w:p>
    <w:p w:rsidR="00A415E1" w:rsidRDefault="00A415E1" w:rsidP="00102595">
      <w:pPr>
        <w:pStyle w:val="ListDash"/>
      </w:pPr>
      <w:proofErr w:type="gramStart"/>
      <w:r>
        <w:t>development</w:t>
      </w:r>
      <w:proofErr w:type="gramEnd"/>
      <w:r>
        <w:t xml:space="preserve"> of a flexible responsive and sustainable workforce. </w:t>
      </w:r>
    </w:p>
    <w:p w:rsidR="0021158B" w:rsidRPr="005529DF" w:rsidRDefault="0021158B" w:rsidP="0021158B">
      <w:pPr>
        <w:pStyle w:val="Heading2"/>
        <w:numPr>
          <w:ilvl w:val="1"/>
          <w:numId w:val="20"/>
        </w:numPr>
        <w:rPr>
          <w:rFonts w:ascii="Times New Roman" w:hAnsi="Times New Roman"/>
        </w:rPr>
      </w:pPr>
      <w:bookmarkStart w:id="61" w:name="_Toc419702935"/>
      <w:bookmarkStart w:id="62" w:name="_Toc419702936"/>
      <w:bookmarkEnd w:id="61"/>
      <w:r w:rsidRPr="005529DF">
        <w:rPr>
          <w:rFonts w:ascii="Times New Roman" w:hAnsi="Times New Roman"/>
        </w:rPr>
        <w:t>Functions of the NMBA</w:t>
      </w:r>
      <w:bookmarkEnd w:id="60"/>
      <w:bookmarkEnd w:id="62"/>
    </w:p>
    <w:p w:rsidR="0021158B" w:rsidRPr="005529DF" w:rsidRDefault="0021158B" w:rsidP="0021158B">
      <w:pPr>
        <w:pStyle w:val="BodyText"/>
      </w:pPr>
      <w:r w:rsidRPr="005529DF">
        <w:t>The National Law as in force in each state and territory</w:t>
      </w:r>
      <w:r w:rsidR="00230191">
        <w:t xml:space="preserve"> provides the legislative framework for</w:t>
      </w:r>
      <w:r w:rsidRPr="005529DF">
        <w:t xml:space="preserve"> the National Scheme and </w:t>
      </w:r>
      <w:r w:rsidR="00230191">
        <w:t xml:space="preserve">the 14 health practitioner </w:t>
      </w:r>
      <w:r w:rsidRPr="005529DF">
        <w:t>National Boards</w:t>
      </w:r>
      <w:r w:rsidR="00230191">
        <w:t>.</w:t>
      </w:r>
      <w:r w:rsidRPr="005529DF">
        <w:t xml:space="preserve">    </w:t>
      </w:r>
    </w:p>
    <w:p w:rsidR="0021158B" w:rsidRPr="005529DF" w:rsidRDefault="0021158B" w:rsidP="0021158B">
      <w:pPr>
        <w:pStyle w:val="BodyText"/>
      </w:pPr>
      <w:r w:rsidRPr="005529DF">
        <w:t xml:space="preserve">The National Law sets out the objectives of the National Scheme (Section 3), which include: </w:t>
      </w:r>
    </w:p>
    <w:p w:rsidR="0021158B" w:rsidRPr="005529DF" w:rsidRDefault="0021158B" w:rsidP="0021158B">
      <w:pPr>
        <w:spacing w:after="174" w:line="269" w:lineRule="auto"/>
        <w:ind w:left="705"/>
        <w:rPr>
          <w:rFonts w:ascii="Times New Roman" w:hAnsi="Times New Roman" w:cs="Times New Roman"/>
        </w:rPr>
      </w:pPr>
      <w:r w:rsidRPr="005529DF">
        <w:rPr>
          <w:rFonts w:ascii="Times New Roman" w:hAnsi="Times New Roman" w:cs="Times New Roman"/>
          <w:i/>
        </w:rPr>
        <w:t xml:space="preserve">To provide for the protection of the public by ensuring that only health practitioners who are suitably trained and qualified to practise in a competent and ethical manner are registered. </w:t>
      </w:r>
    </w:p>
    <w:p w:rsidR="0021158B" w:rsidRPr="005529DF" w:rsidRDefault="00DC14D6" w:rsidP="0021158B">
      <w:pPr>
        <w:pStyle w:val="BodyText"/>
      </w:pPr>
      <w:r>
        <w:t xml:space="preserve">The </w:t>
      </w:r>
      <w:r w:rsidR="0021158B" w:rsidRPr="005529DF">
        <w:t>National Law also sets out guiding principles for the National Scheme as follows:</w:t>
      </w:r>
    </w:p>
    <w:p w:rsidR="0021158B" w:rsidRPr="005529DF" w:rsidRDefault="0021158B" w:rsidP="0021158B">
      <w:pPr>
        <w:spacing w:line="269" w:lineRule="auto"/>
        <w:ind w:left="1435" w:hanging="730"/>
        <w:rPr>
          <w:rFonts w:ascii="Times New Roman" w:hAnsi="Times New Roman" w:cs="Times New Roman"/>
        </w:rPr>
      </w:pPr>
      <w:r w:rsidRPr="005529DF">
        <w:rPr>
          <w:rFonts w:ascii="Times New Roman" w:hAnsi="Times New Roman" w:cs="Times New Roman"/>
          <w:i/>
        </w:rPr>
        <w:lastRenderedPageBreak/>
        <w:t xml:space="preserve">(a)  </w:t>
      </w:r>
      <w:r w:rsidRPr="005529DF">
        <w:rPr>
          <w:rFonts w:ascii="Times New Roman" w:hAnsi="Times New Roman" w:cs="Times New Roman"/>
          <w:i/>
        </w:rPr>
        <w:tab/>
      </w:r>
      <w:proofErr w:type="gramStart"/>
      <w:r w:rsidRPr="005529DF">
        <w:rPr>
          <w:rFonts w:ascii="Times New Roman" w:hAnsi="Times New Roman" w:cs="Times New Roman"/>
          <w:i/>
        </w:rPr>
        <w:t>the</w:t>
      </w:r>
      <w:proofErr w:type="gramEnd"/>
      <w:r w:rsidRPr="005529DF">
        <w:rPr>
          <w:rFonts w:ascii="Times New Roman" w:hAnsi="Times New Roman" w:cs="Times New Roman"/>
          <w:i/>
        </w:rPr>
        <w:t xml:space="preserve"> scheme is to operate in a transparent, accountable, efficient, effective and fair way;  </w:t>
      </w:r>
    </w:p>
    <w:p w:rsidR="0021158B" w:rsidRPr="005529DF" w:rsidRDefault="0021158B" w:rsidP="0021158B">
      <w:pPr>
        <w:numPr>
          <w:ilvl w:val="0"/>
          <w:numId w:val="31"/>
        </w:numPr>
        <w:spacing w:after="124" w:line="269" w:lineRule="auto"/>
        <w:ind w:hanging="720"/>
        <w:rPr>
          <w:rFonts w:ascii="Times New Roman" w:hAnsi="Times New Roman" w:cs="Times New Roman"/>
        </w:rPr>
      </w:pPr>
      <w:r w:rsidRPr="005529DF">
        <w:rPr>
          <w:rFonts w:ascii="Times New Roman" w:hAnsi="Times New Roman" w:cs="Times New Roman"/>
          <w:i/>
        </w:rPr>
        <w:t xml:space="preserve">fees required to be paid under the scheme are to be reasonable having regard to the efficient and effective operation of the scheme;  </w:t>
      </w:r>
    </w:p>
    <w:p w:rsidR="0021158B" w:rsidRPr="005529DF" w:rsidRDefault="0021158B" w:rsidP="0021158B">
      <w:pPr>
        <w:numPr>
          <w:ilvl w:val="0"/>
          <w:numId w:val="31"/>
        </w:numPr>
        <w:spacing w:after="124" w:line="269" w:lineRule="auto"/>
        <w:ind w:hanging="720"/>
        <w:rPr>
          <w:rFonts w:ascii="Times New Roman" w:hAnsi="Times New Roman" w:cs="Times New Roman"/>
        </w:rPr>
      </w:pPr>
      <w:proofErr w:type="gramStart"/>
      <w:r w:rsidRPr="005529DF">
        <w:rPr>
          <w:rFonts w:ascii="Times New Roman" w:hAnsi="Times New Roman" w:cs="Times New Roman"/>
          <w:i/>
        </w:rPr>
        <w:t>restrictions</w:t>
      </w:r>
      <w:proofErr w:type="gramEnd"/>
      <w:r w:rsidRPr="005529DF">
        <w:rPr>
          <w:rFonts w:ascii="Times New Roman" w:hAnsi="Times New Roman" w:cs="Times New Roman"/>
          <w:i/>
        </w:rPr>
        <w:t xml:space="preserve"> on the practice of a health profession are to be imposed under the scheme only if it is necessary to ensure health services are provided safely and are of an appropriate quality.</w:t>
      </w:r>
      <w:r w:rsidRPr="005529DF">
        <w:rPr>
          <w:rFonts w:ascii="Times New Roman" w:hAnsi="Times New Roman" w:cs="Times New Roman"/>
        </w:rPr>
        <w:t xml:space="preserve">  </w:t>
      </w:r>
    </w:p>
    <w:p w:rsidR="0021158B" w:rsidRPr="005529DF" w:rsidRDefault="0021158B" w:rsidP="0021158B">
      <w:pPr>
        <w:pStyle w:val="BodyText"/>
      </w:pPr>
      <w:r w:rsidRPr="005529DF">
        <w:t xml:space="preserve">In exercising its functions under the National Law, the </w:t>
      </w:r>
      <w:r w:rsidR="00D43AE1">
        <w:t>Nursing and Midwifery Board of Australia (</w:t>
      </w:r>
      <w:r w:rsidRPr="005529DF">
        <w:t>NMBA</w:t>
      </w:r>
      <w:r w:rsidR="00D43AE1">
        <w:t>)</w:t>
      </w:r>
      <w:r w:rsidRPr="005529DF">
        <w:t xml:space="preserve"> is required to exercise those functions having regard to the objectives and guiding principles of the National Scheme set out in Section 4 of the </w:t>
      </w:r>
      <w:r w:rsidR="00EF335E" w:rsidRPr="005529DF">
        <w:t xml:space="preserve">Act. </w:t>
      </w:r>
      <w:r w:rsidRPr="005529DF">
        <w:t xml:space="preserve"> </w:t>
      </w:r>
    </w:p>
    <w:p w:rsidR="0021158B" w:rsidRPr="005529DF" w:rsidRDefault="0021158B" w:rsidP="0021158B">
      <w:pPr>
        <w:pStyle w:val="BodyText"/>
      </w:pPr>
      <w:r w:rsidRPr="005529DF">
        <w:t xml:space="preserve">Section 35(1) of National Law sets out the functions of the Board, which include, but are not limited to the following: </w:t>
      </w:r>
    </w:p>
    <w:p w:rsidR="0021158B" w:rsidRPr="005529DF" w:rsidRDefault="0021158B" w:rsidP="0021158B">
      <w:pPr>
        <w:pStyle w:val="ListDash"/>
        <w:numPr>
          <w:ilvl w:val="0"/>
          <w:numId w:val="30"/>
        </w:numPr>
      </w:pPr>
      <w:r w:rsidRPr="005529DF">
        <w:t xml:space="preserve">registering suitably qualified and competent persons in the health profession and, if necessary, to impose conditions on registration of persons in the profession  </w:t>
      </w:r>
    </w:p>
    <w:p w:rsidR="0021158B" w:rsidRPr="005529DF" w:rsidRDefault="0021158B" w:rsidP="0021158B">
      <w:pPr>
        <w:pStyle w:val="ListDash"/>
        <w:numPr>
          <w:ilvl w:val="0"/>
          <w:numId w:val="30"/>
        </w:numPr>
      </w:pPr>
      <w:r w:rsidRPr="005529DF">
        <w:t xml:space="preserve">deciding the requirements for registration or endorsement of registration in the health profession  </w:t>
      </w:r>
    </w:p>
    <w:p w:rsidR="0021158B" w:rsidRPr="005529DF" w:rsidRDefault="0021158B" w:rsidP="0021158B">
      <w:pPr>
        <w:pStyle w:val="ListDash"/>
        <w:numPr>
          <w:ilvl w:val="0"/>
          <w:numId w:val="30"/>
        </w:numPr>
      </w:pPr>
      <w:r w:rsidRPr="005529DF">
        <w:t xml:space="preserve">developing or approving standards, codes and guidelines for the health profession </w:t>
      </w:r>
    </w:p>
    <w:p w:rsidR="0021158B" w:rsidRPr="005529DF" w:rsidRDefault="0021158B" w:rsidP="0021158B">
      <w:pPr>
        <w:pStyle w:val="ListDash"/>
        <w:numPr>
          <w:ilvl w:val="0"/>
          <w:numId w:val="30"/>
        </w:numPr>
      </w:pPr>
      <w:proofErr w:type="gramStart"/>
      <w:r w:rsidRPr="005529DF">
        <w:t>where</w:t>
      </w:r>
      <w:proofErr w:type="gramEnd"/>
      <w:r w:rsidRPr="005529DF">
        <w:t xml:space="preserve"> necessary, conducting panel hearings and referring serious matters to Tribunal hearings. </w:t>
      </w:r>
    </w:p>
    <w:p w:rsidR="0021158B" w:rsidRPr="005529DF" w:rsidRDefault="0021158B" w:rsidP="0021158B">
      <w:pPr>
        <w:pStyle w:val="BodyText"/>
      </w:pPr>
      <w:r w:rsidRPr="005529DF">
        <w:t xml:space="preserve">The National Law establishes a range of registration categories under which health </w:t>
      </w:r>
      <w:r w:rsidR="00EF335E" w:rsidRPr="005529DF">
        <w:t xml:space="preserve">practitioners </w:t>
      </w:r>
      <w:r w:rsidRPr="005529DF">
        <w:t xml:space="preserve">can practise in Australia. The NMBA can grant student registration to nurses and midwives undertaking an approved program of study. It also has powers to check an applicant's identity, criminal history and investigate an applicant. The NMBA may refuse, suspend or impose conditions on registration and accept undertakings from registrants. </w:t>
      </w:r>
    </w:p>
    <w:p w:rsidR="00070CFD" w:rsidRPr="005529DF" w:rsidRDefault="00070CFD" w:rsidP="0021158B">
      <w:pPr>
        <w:pStyle w:val="Heading2"/>
        <w:numPr>
          <w:ilvl w:val="1"/>
          <w:numId w:val="20"/>
        </w:numPr>
        <w:rPr>
          <w:rFonts w:ascii="Times New Roman" w:hAnsi="Times New Roman"/>
        </w:rPr>
      </w:pPr>
      <w:bookmarkStart w:id="63" w:name="_Toc419702937"/>
      <w:r w:rsidRPr="005529DF">
        <w:rPr>
          <w:rFonts w:ascii="Times New Roman" w:hAnsi="Times New Roman"/>
        </w:rPr>
        <w:lastRenderedPageBreak/>
        <w:t>Re</w:t>
      </w:r>
      <w:r w:rsidR="00397E15" w:rsidRPr="005529DF">
        <w:rPr>
          <w:rFonts w:ascii="Times New Roman" w:hAnsi="Times New Roman"/>
        </w:rPr>
        <w:t>g</w:t>
      </w:r>
      <w:r w:rsidRPr="005529DF">
        <w:rPr>
          <w:rFonts w:ascii="Times New Roman" w:hAnsi="Times New Roman"/>
        </w:rPr>
        <w:t>ulatory role in relation to impairment</w:t>
      </w:r>
      <w:bookmarkEnd w:id="63"/>
    </w:p>
    <w:p w:rsidR="00070CFD" w:rsidRPr="005529DF" w:rsidRDefault="00070CFD" w:rsidP="00070CFD">
      <w:pPr>
        <w:pStyle w:val="BodyText"/>
      </w:pPr>
      <w:r w:rsidRPr="005529DF">
        <w:t xml:space="preserve">In performing its regulatory functions </w:t>
      </w:r>
      <w:r w:rsidR="00230191">
        <w:t>under National Law</w:t>
      </w:r>
      <w:r w:rsidRPr="005529DF">
        <w:t xml:space="preserve">, the </w:t>
      </w:r>
      <w:r w:rsidR="00230191">
        <w:t>health practitioner regulatory boards</w:t>
      </w:r>
      <w:r w:rsidRPr="005529DF">
        <w:t xml:space="preserve"> </w:t>
      </w:r>
      <w:r w:rsidR="00230191">
        <w:t xml:space="preserve">are </w:t>
      </w:r>
      <w:r w:rsidRPr="005529DF">
        <w:t xml:space="preserve">required to take into account impairment or other health issues affecting health </w:t>
      </w:r>
      <w:r w:rsidR="00EF335E" w:rsidRPr="005529DF">
        <w:t>practitioners</w:t>
      </w:r>
      <w:r w:rsidRPr="005529DF">
        <w:t xml:space="preserve">.  Impairment is defined in Section 5 of National Law as follows: </w:t>
      </w:r>
    </w:p>
    <w:p w:rsidR="00070CFD" w:rsidRPr="005529DF" w:rsidRDefault="00070CFD" w:rsidP="00070CFD">
      <w:pPr>
        <w:spacing w:line="269" w:lineRule="auto"/>
        <w:ind w:left="705"/>
        <w:rPr>
          <w:rFonts w:ascii="Times New Roman" w:hAnsi="Times New Roman" w:cs="Times New Roman"/>
        </w:rPr>
      </w:pPr>
      <w:r w:rsidRPr="005529DF">
        <w:rPr>
          <w:rFonts w:ascii="Times New Roman" w:hAnsi="Times New Roman" w:cs="Times New Roman"/>
          <w:b/>
          <w:i/>
        </w:rPr>
        <w:t>Impairment</w:t>
      </w:r>
      <w:r w:rsidRPr="005529DF">
        <w:rPr>
          <w:rFonts w:ascii="Times New Roman" w:hAnsi="Times New Roman" w:cs="Times New Roman"/>
        </w:rPr>
        <w:t xml:space="preserve">, </w:t>
      </w:r>
      <w:r w:rsidRPr="005529DF">
        <w:rPr>
          <w:rFonts w:ascii="Times New Roman" w:hAnsi="Times New Roman" w:cs="Times New Roman"/>
          <w:i/>
        </w:rPr>
        <w:t xml:space="preserve">in relation to a person, means the person has a physical or mental impairment, disability, condition or disorder (including substance abuse or dependence) that detrimentally affects or is likely to detrimentally affect— </w:t>
      </w:r>
    </w:p>
    <w:p w:rsidR="00070CFD" w:rsidRPr="005529DF" w:rsidRDefault="00070CFD" w:rsidP="00070CFD">
      <w:pPr>
        <w:numPr>
          <w:ilvl w:val="0"/>
          <w:numId w:val="32"/>
        </w:numPr>
        <w:spacing w:after="46" w:line="269" w:lineRule="auto"/>
        <w:ind w:hanging="720"/>
        <w:rPr>
          <w:rFonts w:ascii="Times New Roman" w:hAnsi="Times New Roman" w:cs="Times New Roman"/>
        </w:rPr>
      </w:pPr>
      <w:r w:rsidRPr="005529DF">
        <w:rPr>
          <w:rFonts w:ascii="Times New Roman" w:hAnsi="Times New Roman" w:cs="Times New Roman"/>
          <w:i/>
        </w:rPr>
        <w:t xml:space="preserve">for a registered health practitioner or an applicant for registration in a health profession, the person’s capacity to practise the profession; or </w:t>
      </w:r>
    </w:p>
    <w:p w:rsidR="00070CFD" w:rsidRPr="005529DF" w:rsidRDefault="00070CFD" w:rsidP="00070CFD">
      <w:pPr>
        <w:numPr>
          <w:ilvl w:val="0"/>
          <w:numId w:val="32"/>
        </w:numPr>
        <w:spacing w:after="14" w:line="269" w:lineRule="auto"/>
        <w:ind w:hanging="720"/>
        <w:rPr>
          <w:rFonts w:ascii="Times New Roman" w:hAnsi="Times New Roman" w:cs="Times New Roman"/>
        </w:rPr>
      </w:pPr>
      <w:r w:rsidRPr="005529DF">
        <w:rPr>
          <w:rFonts w:ascii="Times New Roman" w:hAnsi="Times New Roman" w:cs="Times New Roman"/>
          <w:i/>
        </w:rPr>
        <w:t xml:space="preserve">for a student, the student’s capacity to undertake clinical training— </w:t>
      </w:r>
    </w:p>
    <w:p w:rsidR="00070CFD" w:rsidRPr="005529DF" w:rsidRDefault="00070CFD" w:rsidP="00070CFD">
      <w:pPr>
        <w:numPr>
          <w:ilvl w:val="1"/>
          <w:numId w:val="32"/>
        </w:numPr>
        <w:spacing w:after="57" w:line="269" w:lineRule="auto"/>
        <w:ind w:hanging="720"/>
        <w:rPr>
          <w:rFonts w:ascii="Times New Roman" w:hAnsi="Times New Roman" w:cs="Times New Roman"/>
        </w:rPr>
      </w:pPr>
      <w:r w:rsidRPr="005529DF">
        <w:rPr>
          <w:rFonts w:ascii="Times New Roman" w:hAnsi="Times New Roman" w:cs="Times New Roman"/>
          <w:i/>
        </w:rPr>
        <w:t xml:space="preserve">as part of the approved program of study in which the student is enrolled; or </w:t>
      </w:r>
    </w:p>
    <w:p w:rsidR="00CB1053" w:rsidRPr="007640DA" w:rsidRDefault="00070CFD" w:rsidP="00E87C30">
      <w:pPr>
        <w:numPr>
          <w:ilvl w:val="1"/>
          <w:numId w:val="32"/>
        </w:numPr>
        <w:spacing w:after="28" w:line="269" w:lineRule="auto"/>
        <w:ind w:hanging="720"/>
        <w:rPr>
          <w:rFonts w:ascii="Times New Roman" w:hAnsi="Times New Roman" w:cs="Times New Roman"/>
        </w:rPr>
      </w:pPr>
      <w:proofErr w:type="gramStart"/>
      <w:r w:rsidRPr="005529DF">
        <w:rPr>
          <w:rFonts w:ascii="Times New Roman" w:hAnsi="Times New Roman" w:cs="Times New Roman"/>
          <w:i/>
        </w:rPr>
        <w:t>arranged</w:t>
      </w:r>
      <w:proofErr w:type="gramEnd"/>
      <w:r w:rsidRPr="005529DF">
        <w:rPr>
          <w:rFonts w:ascii="Times New Roman" w:hAnsi="Times New Roman" w:cs="Times New Roman"/>
          <w:i/>
        </w:rPr>
        <w:t xml:space="preserve"> by an education provider. </w:t>
      </w:r>
    </w:p>
    <w:p w:rsidR="009E4E7F" w:rsidRPr="005529DF" w:rsidRDefault="009E4E7F" w:rsidP="009E4E7F">
      <w:pPr>
        <w:pStyle w:val="BodyText"/>
        <w:keepNext/>
        <w:keepLines/>
      </w:pPr>
      <w:r w:rsidRPr="007640DA">
        <w:t xml:space="preserve">The term impairment, as outlined above, is distinct from ‘incompetence’ and </w:t>
      </w:r>
      <w:r w:rsidR="00976F81">
        <w:t>u</w:t>
      </w:r>
      <w:r w:rsidR="0051251E">
        <w:t>nprofessional misconduct</w:t>
      </w:r>
      <w:r w:rsidR="00976F81">
        <w:t>.</w:t>
      </w:r>
      <w:r w:rsidRPr="007640DA">
        <w:t xml:space="preserve"> Incompetence is lacking the requisite skills, knowledge and qualities to perform effectively within the scope of one’s professional practice</w:t>
      </w:r>
      <w:r w:rsidR="00D43AE1">
        <w:t>, whereas p</w:t>
      </w:r>
      <w:r w:rsidR="0051251E">
        <w:t>rofessional misconduct</w:t>
      </w:r>
      <w:r w:rsidRPr="007640DA">
        <w:t xml:space="preserve"> is conduct that fails to conform to moral standards or policies</w:t>
      </w:r>
      <w:r w:rsidR="00D43AE1">
        <w:t xml:space="preserve"> (Kay and </w:t>
      </w:r>
      <w:proofErr w:type="spellStart"/>
      <w:r w:rsidR="00D43AE1">
        <w:t>Izenour</w:t>
      </w:r>
      <w:proofErr w:type="spellEnd"/>
      <w:r w:rsidR="00D43AE1">
        <w:t xml:space="preserve"> 2008)</w:t>
      </w:r>
      <w:r w:rsidRPr="007640DA">
        <w:t xml:space="preserve">. While the terms are distinct, practitioners with a health impairment </w:t>
      </w:r>
      <w:r w:rsidR="003E40E3">
        <w:t xml:space="preserve">can on </w:t>
      </w:r>
      <w:proofErr w:type="gramStart"/>
      <w:r w:rsidR="003E40E3">
        <w:t xml:space="preserve">occasion </w:t>
      </w:r>
      <w:r w:rsidR="003E40E3" w:rsidRPr="007640DA">
        <w:t xml:space="preserve"> </w:t>
      </w:r>
      <w:r w:rsidRPr="007640DA">
        <w:t>display</w:t>
      </w:r>
      <w:proofErr w:type="gramEnd"/>
      <w:r w:rsidRPr="007640DA">
        <w:t xml:space="preserve"> incompetent or </w:t>
      </w:r>
      <w:r w:rsidR="0051251E">
        <w:t>professional mis</w:t>
      </w:r>
      <w:r w:rsidRPr="007640DA">
        <w:t xml:space="preserve">conduct. </w:t>
      </w:r>
    </w:p>
    <w:p w:rsidR="009E4E7F" w:rsidRPr="00D25304" w:rsidRDefault="009E4E7F" w:rsidP="007640DA">
      <w:pPr>
        <w:pStyle w:val="BodyText"/>
      </w:pPr>
      <w:r w:rsidRPr="00D25304">
        <w:t xml:space="preserve">Specific details of the NMBA’s role in health impairment issues are outlined below:  </w:t>
      </w:r>
    </w:p>
    <w:p w:rsidR="009E4E7F" w:rsidRPr="00D25304" w:rsidRDefault="009E4E7F" w:rsidP="007640DA">
      <w:pPr>
        <w:pStyle w:val="ListDash"/>
      </w:pPr>
      <w:r w:rsidRPr="00D25304">
        <w:t>The NMBA may decide an individual is not a suitable person to be registered as a nurse or midwife if, in its opinion, "the individual has an impairment that would detrimentally affect the individual's capacity to practise the profession to such an extent that it would or may place the safety of the public at risk" (Section 55).</w:t>
      </w:r>
    </w:p>
    <w:p w:rsidR="00070CFD" w:rsidRPr="005529DF" w:rsidRDefault="00070CFD" w:rsidP="00070CFD">
      <w:pPr>
        <w:pStyle w:val="ListDash"/>
        <w:numPr>
          <w:ilvl w:val="0"/>
          <w:numId w:val="30"/>
        </w:numPr>
      </w:pPr>
      <w:r w:rsidRPr="005529DF">
        <w:lastRenderedPageBreak/>
        <w:t xml:space="preserve">A registered nurse or midwife who applies to renew his or her registration must complete a statement that includes a declaration that he or she does not have an impairment (Section 109). </w:t>
      </w:r>
    </w:p>
    <w:p w:rsidR="00070CFD" w:rsidRPr="005529DF" w:rsidRDefault="00625769" w:rsidP="00070CFD">
      <w:pPr>
        <w:pStyle w:val="ListDash"/>
        <w:numPr>
          <w:ilvl w:val="0"/>
          <w:numId w:val="30"/>
        </w:numPr>
      </w:pPr>
      <w:r>
        <w:t>AHPRA on behalf of t</w:t>
      </w:r>
      <w:r w:rsidRPr="005529DF">
        <w:t xml:space="preserve">he </w:t>
      </w:r>
      <w:r w:rsidR="00070CFD" w:rsidRPr="005529DF">
        <w:t>NMBA may investigate a registered nurse or midwife if it decides it is necessary or appropriate because the NMBA has received</w:t>
      </w:r>
      <w:r>
        <w:t xml:space="preserve"> </w:t>
      </w:r>
      <w:r w:rsidR="00070CFD" w:rsidRPr="005529DF">
        <w:t xml:space="preserve">a </w:t>
      </w:r>
      <w:r w:rsidR="0051251E">
        <w:t xml:space="preserve">health impairment </w:t>
      </w:r>
      <w:r w:rsidR="00070CFD" w:rsidRPr="005529DF">
        <w:t>notification or for any reason believes the practitioner or student has</w:t>
      </w:r>
      <w:r>
        <w:t>,</w:t>
      </w:r>
      <w:r w:rsidR="00070CFD" w:rsidRPr="005529DF">
        <w:t xml:space="preserve"> or may have</w:t>
      </w:r>
      <w:r>
        <w:t>,</w:t>
      </w:r>
      <w:r w:rsidR="00070CFD" w:rsidRPr="005529DF">
        <w:t xml:space="preserve"> an impairment (Section 160). </w:t>
      </w:r>
    </w:p>
    <w:p w:rsidR="00070CFD" w:rsidRPr="005529DF" w:rsidRDefault="00070CFD" w:rsidP="00070CFD">
      <w:pPr>
        <w:pStyle w:val="ListDash"/>
        <w:numPr>
          <w:ilvl w:val="0"/>
          <w:numId w:val="30"/>
        </w:numPr>
      </w:pPr>
      <w:r w:rsidRPr="005529DF">
        <w:t xml:space="preserve">The NMBA may take immediate action in relation </w:t>
      </w:r>
      <w:r w:rsidR="00625769">
        <w:t xml:space="preserve">to </w:t>
      </w:r>
      <w:r w:rsidRPr="005529DF">
        <w:t xml:space="preserve">a nurse or midwife’s registration if it reasonably believes that a nurse or midwife’s performance, health, conduct or impairment poses a serious risk to public health or safety (Section 156).  </w:t>
      </w:r>
    </w:p>
    <w:p w:rsidR="00E324DE" w:rsidRPr="005529DF" w:rsidRDefault="00E324DE" w:rsidP="00E324DE">
      <w:pPr>
        <w:pStyle w:val="Heading2"/>
        <w:numPr>
          <w:ilvl w:val="1"/>
          <w:numId w:val="20"/>
        </w:numPr>
        <w:rPr>
          <w:rFonts w:ascii="Times New Roman" w:hAnsi="Times New Roman"/>
        </w:rPr>
      </w:pPr>
      <w:bookmarkStart w:id="64" w:name="_Toc419702938"/>
      <w:r w:rsidRPr="005529DF">
        <w:rPr>
          <w:rFonts w:ascii="Times New Roman" w:hAnsi="Times New Roman"/>
        </w:rPr>
        <w:t>Mandatory notification</w:t>
      </w:r>
      <w:bookmarkEnd w:id="64"/>
      <w:r w:rsidRPr="005529DF">
        <w:rPr>
          <w:rFonts w:ascii="Times New Roman" w:hAnsi="Times New Roman"/>
        </w:rPr>
        <w:t xml:space="preserve"> </w:t>
      </w:r>
    </w:p>
    <w:p w:rsidR="00E324DE" w:rsidRPr="005529DF" w:rsidRDefault="00E324DE" w:rsidP="00E324DE">
      <w:pPr>
        <w:pStyle w:val="BodyText"/>
      </w:pPr>
      <w:r w:rsidRPr="005529DF">
        <w:t xml:space="preserve">The National Board's regulatory role is supported by </w:t>
      </w:r>
      <w:r w:rsidR="00D86867" w:rsidRPr="005529DF">
        <w:t xml:space="preserve">mandatory notification </w:t>
      </w:r>
      <w:r w:rsidRPr="005529DF">
        <w:t>provisions in the National Law</w:t>
      </w:r>
      <w:r w:rsidR="00D86867" w:rsidRPr="005529DF">
        <w:t xml:space="preserve">, </w:t>
      </w:r>
      <w:r w:rsidR="00D86867" w:rsidRPr="007640DA">
        <w:t xml:space="preserve">requiring all registered health practitioners </w:t>
      </w:r>
      <w:r w:rsidR="00625769">
        <w:t>to</w:t>
      </w:r>
      <w:r w:rsidR="00625769" w:rsidRPr="007640DA">
        <w:t xml:space="preserve"> </w:t>
      </w:r>
      <w:r w:rsidR="00D86867" w:rsidRPr="007640DA">
        <w:t>report a health practitioner who in their ‘reasonable belief’ poses a risk to the public</w:t>
      </w:r>
      <w:r w:rsidR="00D86867" w:rsidRPr="005529DF">
        <w:t>. H</w:t>
      </w:r>
      <w:r w:rsidRPr="005529DF">
        <w:t>ealth practitioners</w:t>
      </w:r>
      <w:r w:rsidR="00D86867" w:rsidRPr="005529DF">
        <w:t xml:space="preserve"> must notify AHPRA </w:t>
      </w:r>
      <w:r w:rsidRPr="005529DF">
        <w:t xml:space="preserve">as soon as </w:t>
      </w:r>
      <w:r w:rsidR="00A231E3" w:rsidRPr="005529DF">
        <w:t>practical</w:t>
      </w:r>
      <w:r w:rsidRPr="005529DF">
        <w:t xml:space="preserve"> after forming a reasonable belief in the course of practising their profession that a registered health practitioner </w:t>
      </w:r>
      <w:r w:rsidR="00477989">
        <w:t xml:space="preserve">or student </w:t>
      </w:r>
      <w:r w:rsidRPr="005529DF">
        <w:t xml:space="preserve">has </w:t>
      </w:r>
      <w:r w:rsidR="00477989">
        <w:t xml:space="preserve">exhibited </w:t>
      </w:r>
      <w:r w:rsidRPr="005529DF">
        <w:t xml:space="preserve"> conduct </w:t>
      </w:r>
      <w:r w:rsidR="00477989">
        <w:t xml:space="preserve">and/or demonstrated </w:t>
      </w:r>
      <w:r w:rsidRPr="005529DF">
        <w:t xml:space="preserve">an impairment that in the course of undertaking clinical </w:t>
      </w:r>
      <w:r w:rsidR="00477989">
        <w:t xml:space="preserve">practice or </w:t>
      </w:r>
      <w:r w:rsidRPr="005529DF">
        <w:t>training may place the public at substantial risk of harm</w:t>
      </w:r>
      <w:r w:rsidR="00EF335E" w:rsidRPr="005529DF">
        <w:t xml:space="preserve"> </w:t>
      </w:r>
      <w:r w:rsidRPr="005529DF">
        <w:t xml:space="preserve">(Section 141).  </w:t>
      </w:r>
    </w:p>
    <w:p w:rsidR="00E324DE" w:rsidRPr="005529DF" w:rsidRDefault="00E324DE" w:rsidP="00E324DE">
      <w:pPr>
        <w:pStyle w:val="BodyText"/>
      </w:pPr>
      <w:r w:rsidRPr="005529DF">
        <w:rPr>
          <w:i/>
        </w:rPr>
        <w:t>Notifiable conduct</w:t>
      </w:r>
      <w:r w:rsidR="00EF335E" w:rsidRPr="005529DF">
        <w:rPr>
          <w:i/>
        </w:rPr>
        <w:t xml:space="preserve"> </w:t>
      </w:r>
      <w:r w:rsidRPr="005529DF">
        <w:t>is defined as follows</w:t>
      </w:r>
      <w:r w:rsidR="00EF335E" w:rsidRPr="005529DF">
        <w:t xml:space="preserve"> (Section 5)</w:t>
      </w:r>
      <w:r w:rsidRPr="005529DF">
        <w:t xml:space="preserve">: </w:t>
      </w:r>
    </w:p>
    <w:p w:rsidR="00E324DE" w:rsidRPr="005529DF" w:rsidRDefault="00E324DE" w:rsidP="00E324DE">
      <w:pPr>
        <w:spacing w:after="168" w:line="269" w:lineRule="auto"/>
        <w:ind w:left="705"/>
        <w:rPr>
          <w:rFonts w:ascii="Times New Roman" w:hAnsi="Times New Roman" w:cs="Times New Roman"/>
        </w:rPr>
      </w:pPr>
      <w:r w:rsidRPr="005529DF">
        <w:rPr>
          <w:rFonts w:ascii="Times New Roman" w:hAnsi="Times New Roman" w:cs="Times New Roman"/>
          <w:b/>
          <w:i/>
        </w:rPr>
        <w:t>Notifiable conduct</w:t>
      </w:r>
      <w:r w:rsidRPr="005529DF">
        <w:rPr>
          <w:rFonts w:ascii="Times New Roman" w:hAnsi="Times New Roman" w:cs="Times New Roman"/>
          <w:i/>
        </w:rPr>
        <w:t xml:space="preserve">, in relation to a registered health practitioner, means the practitioner has— </w:t>
      </w:r>
    </w:p>
    <w:p w:rsidR="00E324DE" w:rsidRPr="005529DF" w:rsidRDefault="00E324DE" w:rsidP="00E324DE">
      <w:pPr>
        <w:spacing w:after="41" w:line="269" w:lineRule="auto"/>
        <w:ind w:left="1435" w:hanging="730"/>
        <w:rPr>
          <w:rFonts w:ascii="Times New Roman" w:hAnsi="Times New Roman" w:cs="Times New Roman"/>
        </w:rPr>
      </w:pPr>
      <w:r w:rsidRPr="005529DF">
        <w:rPr>
          <w:rFonts w:ascii="Times New Roman" w:hAnsi="Times New Roman" w:cs="Times New Roman"/>
          <w:i/>
        </w:rPr>
        <w:t>(a)</w:t>
      </w:r>
      <w:r w:rsidRPr="005529DF">
        <w:rPr>
          <w:rFonts w:ascii="Times New Roman" w:eastAsia="Arial" w:hAnsi="Times New Roman" w:cs="Times New Roman"/>
          <w:i/>
        </w:rPr>
        <w:t xml:space="preserve"> </w:t>
      </w:r>
      <w:r w:rsidRPr="005529DF">
        <w:rPr>
          <w:rFonts w:ascii="Times New Roman" w:eastAsia="Arial" w:hAnsi="Times New Roman" w:cs="Times New Roman"/>
          <w:i/>
        </w:rPr>
        <w:tab/>
      </w:r>
      <w:proofErr w:type="gramStart"/>
      <w:r w:rsidRPr="005529DF">
        <w:rPr>
          <w:rFonts w:ascii="Times New Roman" w:hAnsi="Times New Roman" w:cs="Times New Roman"/>
          <w:i/>
        </w:rPr>
        <w:t>practised</w:t>
      </w:r>
      <w:proofErr w:type="gramEnd"/>
      <w:r w:rsidRPr="005529DF">
        <w:rPr>
          <w:rFonts w:ascii="Times New Roman" w:hAnsi="Times New Roman" w:cs="Times New Roman"/>
          <w:i/>
        </w:rPr>
        <w:t xml:space="preserve"> the practitioner’s profession while intoxicated by alcohol or drugs; or […] </w:t>
      </w:r>
    </w:p>
    <w:p w:rsidR="00E324DE" w:rsidRPr="005529DF" w:rsidRDefault="00E324DE" w:rsidP="00E324DE">
      <w:pPr>
        <w:spacing w:after="40" w:line="269" w:lineRule="auto"/>
        <w:ind w:left="1435" w:hanging="730"/>
        <w:rPr>
          <w:rFonts w:ascii="Times New Roman" w:hAnsi="Times New Roman" w:cs="Times New Roman"/>
        </w:rPr>
      </w:pPr>
      <w:r w:rsidRPr="005529DF">
        <w:rPr>
          <w:rFonts w:ascii="Times New Roman" w:hAnsi="Times New Roman" w:cs="Times New Roman"/>
          <w:i/>
        </w:rPr>
        <w:t>(c)</w:t>
      </w:r>
      <w:r w:rsidRPr="005529DF">
        <w:rPr>
          <w:rFonts w:ascii="Times New Roman" w:eastAsia="Arial" w:hAnsi="Times New Roman" w:cs="Times New Roman"/>
        </w:rPr>
        <w:t xml:space="preserve"> </w:t>
      </w:r>
      <w:r w:rsidRPr="005529DF">
        <w:rPr>
          <w:rFonts w:ascii="Times New Roman" w:eastAsia="Arial" w:hAnsi="Times New Roman" w:cs="Times New Roman"/>
        </w:rPr>
        <w:tab/>
      </w:r>
      <w:proofErr w:type="gramStart"/>
      <w:r w:rsidRPr="005529DF">
        <w:rPr>
          <w:rFonts w:ascii="Times New Roman" w:hAnsi="Times New Roman" w:cs="Times New Roman"/>
          <w:i/>
        </w:rPr>
        <w:t>placed</w:t>
      </w:r>
      <w:proofErr w:type="gramEnd"/>
      <w:r w:rsidRPr="005529DF">
        <w:rPr>
          <w:rFonts w:ascii="Times New Roman" w:hAnsi="Times New Roman" w:cs="Times New Roman"/>
          <w:i/>
        </w:rPr>
        <w:t xml:space="preserve"> the public at risk of substantial harm in the practitioner’s practice of the profession because the practitioner has an impairment.</w:t>
      </w:r>
      <w:r w:rsidRPr="005529DF">
        <w:rPr>
          <w:rFonts w:ascii="Times New Roman" w:hAnsi="Times New Roman" w:cs="Times New Roman"/>
        </w:rPr>
        <w:t xml:space="preserve"> </w:t>
      </w:r>
    </w:p>
    <w:p w:rsidR="00E324DE" w:rsidRPr="005529DF" w:rsidRDefault="00E324DE" w:rsidP="00E324DE">
      <w:pPr>
        <w:pStyle w:val="BodyText"/>
      </w:pPr>
      <w:r w:rsidRPr="005529DF">
        <w:t xml:space="preserve">Division 3 of Part 8 also establishes provisions for voluntary notification on the grounds that a registered nurse or midwife has, or may have, an impairment. This Division does not require the notifier to </w:t>
      </w:r>
      <w:r w:rsidRPr="005529DF">
        <w:lastRenderedPageBreak/>
        <w:t xml:space="preserve">form a reasonable belief that the public may be at risk of harm. </w:t>
      </w:r>
    </w:p>
    <w:p w:rsidR="00346B34" w:rsidRDefault="00E324DE" w:rsidP="00E324DE">
      <w:pPr>
        <w:pStyle w:val="BodyText"/>
      </w:pPr>
      <w:r w:rsidRPr="005529DF">
        <w:t>Western Australia</w:t>
      </w:r>
      <w:r w:rsidR="0094590E">
        <w:t>n</w:t>
      </w:r>
      <w:r w:rsidRPr="005529DF">
        <w:t xml:space="preserve"> </w:t>
      </w:r>
      <w:r w:rsidR="00346B34">
        <w:t xml:space="preserve">health practitioners are not required to make a mandatory notification </w:t>
      </w:r>
      <w:r w:rsidR="001374EB">
        <w:t xml:space="preserve">of suspected impairment </w:t>
      </w:r>
      <w:r w:rsidR="0094590E">
        <w:t>but</w:t>
      </w:r>
      <w:r w:rsidR="00346B34">
        <w:t xml:space="preserve"> still have a professional duty to protect and promote public health and safety. </w:t>
      </w:r>
    </w:p>
    <w:p w:rsidR="00E324DE" w:rsidRPr="005529DF" w:rsidRDefault="00E324DE" w:rsidP="00E324DE">
      <w:pPr>
        <w:pStyle w:val="BodyText"/>
      </w:pPr>
      <w:r w:rsidRPr="005529DF">
        <w:t xml:space="preserve">Registered health practitioners in all jurisdictions are also exempt from the requirement to make a mandatory notification in certain circumstances, </w:t>
      </w:r>
      <w:r w:rsidR="00477989">
        <w:t>as</w:t>
      </w:r>
      <w:r w:rsidRPr="005529DF">
        <w:t xml:space="preserve"> listed in Section 141 of the National Law</w:t>
      </w:r>
      <w:r w:rsidR="00EF335E" w:rsidRPr="005529DF">
        <w:t xml:space="preserve"> (for example, if the health practitioner is employe</w:t>
      </w:r>
      <w:r w:rsidR="00101991">
        <w:t>d</w:t>
      </w:r>
      <w:r w:rsidR="00EF335E" w:rsidRPr="005529DF">
        <w:t xml:space="preserve"> by a medical indemnity insurer)</w:t>
      </w:r>
      <w:r w:rsidRPr="005529DF">
        <w:t xml:space="preserve">.  </w:t>
      </w:r>
    </w:p>
    <w:p w:rsidR="00B72C10" w:rsidRPr="005529DF" w:rsidRDefault="00B72C10" w:rsidP="00B72C10">
      <w:pPr>
        <w:pStyle w:val="Heading2"/>
        <w:numPr>
          <w:ilvl w:val="1"/>
          <w:numId w:val="20"/>
        </w:numPr>
        <w:rPr>
          <w:rFonts w:ascii="Times New Roman" w:hAnsi="Times New Roman"/>
        </w:rPr>
      </w:pPr>
      <w:bookmarkStart w:id="65" w:name="_Toc419702939"/>
      <w:r w:rsidRPr="005529DF">
        <w:rPr>
          <w:rFonts w:ascii="Times New Roman" w:hAnsi="Times New Roman"/>
        </w:rPr>
        <w:t>Regulatory role in delivery national health services</w:t>
      </w:r>
      <w:bookmarkEnd w:id="65"/>
      <w:r w:rsidRPr="005529DF">
        <w:rPr>
          <w:rFonts w:ascii="Times New Roman" w:hAnsi="Times New Roman"/>
        </w:rPr>
        <w:t xml:space="preserve"> </w:t>
      </w:r>
    </w:p>
    <w:p w:rsidR="0021158B" w:rsidRPr="005529DF" w:rsidRDefault="0021158B" w:rsidP="0021158B">
      <w:pPr>
        <w:pStyle w:val="BodyText"/>
      </w:pPr>
      <w:bookmarkStart w:id="66" w:name="_Toc418335724"/>
      <w:bookmarkStart w:id="67" w:name="_Toc418354500"/>
      <w:bookmarkStart w:id="68" w:name="_Toc418335725"/>
      <w:bookmarkEnd w:id="66"/>
      <w:bookmarkEnd w:id="67"/>
      <w:bookmarkEnd w:id="68"/>
      <w:r w:rsidRPr="005529DF">
        <w:t xml:space="preserve">The terms of reference for this review seek an examination of “the role the regulator may play in supporting national health programs … and … in supporting independent national referral, treatment and rehabilitation services for regulated health professionals in Australia”. </w:t>
      </w:r>
      <w:r w:rsidR="00070CFD" w:rsidRPr="005529DF">
        <w:t>T</w:t>
      </w:r>
      <w:r w:rsidRPr="005529DF">
        <w:t xml:space="preserve">he National Board's functions under section 35(2) include: </w:t>
      </w:r>
    </w:p>
    <w:p w:rsidR="0021158B" w:rsidRPr="005529DF" w:rsidRDefault="0021158B" w:rsidP="0021158B">
      <w:pPr>
        <w:spacing w:after="152" w:line="269" w:lineRule="auto"/>
        <w:ind w:left="705"/>
        <w:rPr>
          <w:rFonts w:ascii="Times New Roman" w:hAnsi="Times New Roman" w:cs="Times New Roman"/>
        </w:rPr>
      </w:pPr>
      <w:r w:rsidRPr="005529DF">
        <w:rPr>
          <w:rFonts w:ascii="Times New Roman" w:hAnsi="Times New Roman" w:cs="Times New Roman"/>
          <w:i/>
        </w:rPr>
        <w:t xml:space="preserve">- </w:t>
      </w:r>
      <w:proofErr w:type="gramStart"/>
      <w:r w:rsidRPr="005529DF">
        <w:rPr>
          <w:rFonts w:ascii="Times New Roman" w:hAnsi="Times New Roman" w:cs="Times New Roman"/>
          <w:i/>
        </w:rPr>
        <w:t>at</w:t>
      </w:r>
      <w:proofErr w:type="gramEnd"/>
      <w:r w:rsidRPr="005529DF">
        <w:rPr>
          <w:rFonts w:ascii="Times New Roman" w:hAnsi="Times New Roman" w:cs="Times New Roman"/>
          <w:i/>
        </w:rPr>
        <w:t xml:space="preserve"> the Board's discretion, to provide financial or other support for health programs for registered health practitioners and students.</w:t>
      </w:r>
      <w:r w:rsidRPr="005529DF">
        <w:rPr>
          <w:rFonts w:ascii="Times New Roman" w:hAnsi="Times New Roman" w:cs="Times New Roman"/>
        </w:rPr>
        <w:t xml:space="preserve"> </w:t>
      </w:r>
    </w:p>
    <w:p w:rsidR="0021158B" w:rsidRPr="005529DF" w:rsidRDefault="0021158B" w:rsidP="0021158B">
      <w:pPr>
        <w:pStyle w:val="BodyText"/>
      </w:pPr>
      <w:r w:rsidRPr="005529DF">
        <w:t>A</w:t>
      </w:r>
      <w:r w:rsidRPr="005529DF">
        <w:rPr>
          <w:i/>
        </w:rPr>
        <w:t xml:space="preserve"> health program</w:t>
      </w:r>
      <w:r w:rsidRPr="005529DF">
        <w:t xml:space="preserve"> is defined in the National Law to mean:  </w:t>
      </w:r>
    </w:p>
    <w:p w:rsidR="0021158B" w:rsidRPr="005529DF" w:rsidRDefault="0021158B" w:rsidP="0021158B">
      <w:pPr>
        <w:spacing w:after="182" w:line="269" w:lineRule="auto"/>
        <w:ind w:left="705"/>
        <w:rPr>
          <w:rFonts w:ascii="Times New Roman" w:hAnsi="Times New Roman" w:cs="Times New Roman"/>
        </w:rPr>
      </w:pPr>
      <w:proofErr w:type="gramStart"/>
      <w:r w:rsidRPr="005529DF">
        <w:rPr>
          <w:rFonts w:ascii="Times New Roman" w:hAnsi="Times New Roman" w:cs="Times New Roman"/>
          <w:i/>
        </w:rPr>
        <w:t>a</w:t>
      </w:r>
      <w:proofErr w:type="gramEnd"/>
      <w:r w:rsidRPr="005529DF">
        <w:rPr>
          <w:rFonts w:ascii="Times New Roman" w:hAnsi="Times New Roman" w:cs="Times New Roman"/>
          <w:i/>
        </w:rPr>
        <w:t xml:space="preserve"> program providing education, prevention, early intervention, treatment or rehabilitation services relating to physical or mental impairments, disabilities, conditions or disorders, including substance abuse or dependence.</w:t>
      </w:r>
      <w:r w:rsidRPr="005529DF">
        <w:rPr>
          <w:rFonts w:ascii="Times New Roman" w:hAnsi="Times New Roman" w:cs="Times New Roman"/>
        </w:rPr>
        <w:t xml:space="preserve"> </w:t>
      </w:r>
    </w:p>
    <w:p w:rsidR="00070CFD" w:rsidRPr="005529DF" w:rsidRDefault="0021158B" w:rsidP="005B72F2">
      <w:pPr>
        <w:pStyle w:val="BodyText"/>
        <w:rPr>
          <w:lang w:eastAsia="en-US"/>
        </w:rPr>
      </w:pPr>
      <w:r w:rsidRPr="005529DF">
        <w:t xml:space="preserve">The National Board's functions in respect of health programs for nurses and midwives are therefore defined by the National Law and, if exercised, must have regard to the objectives and guiding principles set out above. </w:t>
      </w:r>
      <w:r w:rsidR="00070CFD" w:rsidRPr="005529DF">
        <w:t xml:space="preserve">In particular, involvement in support services for nurses and midwives requires careful consideration of the NMBA’s legislated functions in relation to its paramount </w:t>
      </w:r>
      <w:r w:rsidR="00070CFD" w:rsidRPr="005529DF">
        <w:rPr>
          <w:lang w:eastAsia="en-US"/>
        </w:rPr>
        <w:t>guiding principle under section 3A:</w:t>
      </w:r>
    </w:p>
    <w:p w:rsidR="00070CFD" w:rsidRPr="005529DF" w:rsidRDefault="00070CFD" w:rsidP="00070CFD">
      <w:pPr>
        <w:spacing w:after="152" w:line="269" w:lineRule="auto"/>
        <w:ind w:left="705"/>
        <w:rPr>
          <w:rFonts w:ascii="Times New Roman" w:hAnsi="Times New Roman" w:cs="Times New Roman"/>
          <w:i/>
        </w:rPr>
      </w:pPr>
      <w:r w:rsidRPr="005529DF">
        <w:rPr>
          <w:rFonts w:ascii="Times New Roman" w:hAnsi="Times New Roman" w:cs="Times New Roman"/>
          <w:i/>
        </w:rPr>
        <w:lastRenderedPageBreak/>
        <w:t xml:space="preserve">The main principle for administering this Act is that the health and safety of the public are paramount. </w:t>
      </w:r>
    </w:p>
    <w:p w:rsidR="00346B34" w:rsidRDefault="00E324DE" w:rsidP="0021158B">
      <w:pPr>
        <w:pStyle w:val="BodyText"/>
      </w:pPr>
      <w:r w:rsidRPr="005529DF">
        <w:t>Therefore while there is provision under National Law for the NMBA to provide financial or other support for health programs</w:t>
      </w:r>
      <w:r w:rsidR="00733631" w:rsidRPr="005529DF">
        <w:t xml:space="preserve"> </w:t>
      </w:r>
      <w:r w:rsidRPr="005529DF">
        <w:t xml:space="preserve">that may assist a registered nurse or midwife with an impairment, it is important that </w:t>
      </w:r>
      <w:r w:rsidR="001374EB">
        <w:t xml:space="preserve">any such </w:t>
      </w:r>
      <w:r w:rsidR="00346B34">
        <w:t xml:space="preserve">regulator involvement does not </w:t>
      </w:r>
      <w:r w:rsidR="001374EB">
        <w:t xml:space="preserve">inadvertently </w:t>
      </w:r>
      <w:r w:rsidR="00346B34">
        <w:t>place increased risk to the public</w:t>
      </w:r>
      <w:r w:rsidR="001374EB">
        <w:t xml:space="preserve">. An example of this could be where </w:t>
      </w:r>
      <w:r w:rsidR="00346B34">
        <w:t>practitioners</w:t>
      </w:r>
      <w:r w:rsidR="00F36F96">
        <w:t xml:space="preserve"> or students</w:t>
      </w:r>
      <w:r w:rsidR="00346B34">
        <w:t xml:space="preserve"> delay seeking support for a health impairment </w:t>
      </w:r>
      <w:r w:rsidR="001374EB">
        <w:t>if they perceive the support to be not sufficiently independent from the regulator</w:t>
      </w:r>
      <w:r w:rsidR="00346B34">
        <w:t xml:space="preserve">.   </w:t>
      </w:r>
    </w:p>
    <w:p w:rsidR="0021158B" w:rsidRPr="005529DF" w:rsidRDefault="00B71A6E" w:rsidP="0021158B">
      <w:pPr>
        <w:pStyle w:val="Heading1"/>
        <w:numPr>
          <w:ilvl w:val="0"/>
          <w:numId w:val="20"/>
        </w:numPr>
        <w:rPr>
          <w:rFonts w:ascii="Times New Roman" w:hAnsi="Times New Roman"/>
        </w:rPr>
      </w:pPr>
      <w:bookmarkStart w:id="69" w:name="_Toc419702940"/>
      <w:bookmarkStart w:id="70" w:name="_Toc418498636"/>
      <w:bookmarkStart w:id="71" w:name="_Toc418502566"/>
      <w:bookmarkStart w:id="72" w:name="_Toc418502815"/>
      <w:bookmarkStart w:id="73" w:name="_Ref417903275"/>
      <w:bookmarkStart w:id="74" w:name="_Toc419702941"/>
      <w:bookmarkEnd w:id="69"/>
      <w:bookmarkEnd w:id="70"/>
      <w:bookmarkEnd w:id="71"/>
      <w:bookmarkEnd w:id="72"/>
      <w:r w:rsidRPr="005529DF">
        <w:rPr>
          <w:rFonts w:ascii="Times New Roman" w:hAnsi="Times New Roman"/>
        </w:rPr>
        <w:lastRenderedPageBreak/>
        <w:t>Current arrangements</w:t>
      </w:r>
      <w:bookmarkEnd w:id="73"/>
      <w:bookmarkEnd w:id="74"/>
    </w:p>
    <w:p w:rsidR="0021158B" w:rsidRPr="005529DF" w:rsidRDefault="0021158B" w:rsidP="0021158B">
      <w:pPr>
        <w:pStyle w:val="BodyText"/>
        <w:rPr>
          <w:i/>
        </w:rPr>
      </w:pPr>
      <w:r w:rsidRPr="005529DF">
        <w:rPr>
          <w:i/>
        </w:rPr>
        <w:t xml:space="preserve">This chapter outlines current arrangements for managing and supporting </w:t>
      </w:r>
      <w:r w:rsidR="00F36F96">
        <w:rPr>
          <w:i/>
        </w:rPr>
        <w:t>nurses and midwives with an impairment</w:t>
      </w:r>
      <w:r w:rsidRPr="005529DF">
        <w:rPr>
          <w:i/>
        </w:rPr>
        <w:t xml:space="preserve">, and the key issues </w:t>
      </w:r>
      <w:r w:rsidR="0097229D" w:rsidRPr="005529DF">
        <w:rPr>
          <w:i/>
        </w:rPr>
        <w:t>identified through the review</w:t>
      </w:r>
      <w:r w:rsidRPr="005529DF">
        <w:rPr>
          <w:i/>
        </w:rPr>
        <w:t xml:space="preserve">. </w:t>
      </w:r>
    </w:p>
    <w:p w:rsidR="0021158B" w:rsidRPr="005529DF" w:rsidRDefault="00D059D6" w:rsidP="0021158B">
      <w:pPr>
        <w:pStyle w:val="Heading2"/>
        <w:numPr>
          <w:ilvl w:val="1"/>
          <w:numId w:val="20"/>
        </w:numPr>
        <w:rPr>
          <w:rFonts w:ascii="Times New Roman" w:hAnsi="Times New Roman"/>
        </w:rPr>
      </w:pPr>
      <w:bookmarkStart w:id="75" w:name="_Toc418502568"/>
      <w:bookmarkStart w:id="76" w:name="_Toc418502817"/>
      <w:bookmarkStart w:id="77" w:name="_Toc418502569"/>
      <w:bookmarkStart w:id="78" w:name="_Toc418502818"/>
      <w:bookmarkStart w:id="79" w:name="_Toc418502570"/>
      <w:bookmarkStart w:id="80" w:name="_Toc418502819"/>
      <w:bookmarkStart w:id="81" w:name="_Toc418502571"/>
      <w:bookmarkStart w:id="82" w:name="_Toc418502820"/>
      <w:bookmarkStart w:id="83" w:name="_Toc419702942"/>
      <w:bookmarkEnd w:id="75"/>
      <w:bookmarkEnd w:id="76"/>
      <w:bookmarkEnd w:id="77"/>
      <w:bookmarkEnd w:id="78"/>
      <w:bookmarkEnd w:id="79"/>
      <w:bookmarkEnd w:id="80"/>
      <w:bookmarkEnd w:id="81"/>
      <w:bookmarkEnd w:id="82"/>
      <w:r w:rsidRPr="005529DF">
        <w:rPr>
          <w:rFonts w:ascii="Times New Roman" w:hAnsi="Times New Roman"/>
        </w:rPr>
        <w:t xml:space="preserve">Management </w:t>
      </w:r>
      <w:r w:rsidR="00B71A6E" w:rsidRPr="005529DF">
        <w:rPr>
          <w:rFonts w:ascii="Times New Roman" w:hAnsi="Times New Roman"/>
        </w:rPr>
        <w:t>of impairment</w:t>
      </w:r>
      <w:bookmarkEnd w:id="83"/>
      <w:r w:rsidR="00B71A6E" w:rsidRPr="005529DF">
        <w:rPr>
          <w:rFonts w:ascii="Times New Roman" w:hAnsi="Times New Roman"/>
        </w:rPr>
        <w:t xml:space="preserve"> </w:t>
      </w:r>
    </w:p>
    <w:p w:rsidR="00325E66" w:rsidRPr="005529DF" w:rsidRDefault="00B03C30" w:rsidP="00B73EB2">
      <w:pPr>
        <w:pStyle w:val="BodyText"/>
      </w:pPr>
      <w:r>
        <w:t>While</w:t>
      </w:r>
      <w:r w:rsidR="00B73EB2" w:rsidRPr="005529DF">
        <w:t xml:space="preserve"> the implementation of the National Scheme </w:t>
      </w:r>
      <w:r>
        <w:t xml:space="preserve">has </w:t>
      </w:r>
      <w:r w:rsidR="00346B34">
        <w:t xml:space="preserve">increased regulatory consistency, </w:t>
      </w:r>
      <w:r>
        <w:t xml:space="preserve">there is still some significant variation </w:t>
      </w:r>
      <w:r w:rsidRPr="005529DF">
        <w:t>between states and territories</w:t>
      </w:r>
      <w:r>
        <w:t xml:space="preserve"> in the </w:t>
      </w:r>
      <w:r w:rsidR="00B73EB2" w:rsidRPr="005529DF">
        <w:t xml:space="preserve">approaches to managing impaired practitioners. </w:t>
      </w:r>
    </w:p>
    <w:p w:rsidR="00B8126A" w:rsidRDefault="00B8126A" w:rsidP="0021158B">
      <w:pPr>
        <w:pStyle w:val="BodyText"/>
      </w:pPr>
      <w:r w:rsidRPr="005529DF">
        <w:t xml:space="preserve">The largest of the variations </w:t>
      </w:r>
      <w:r w:rsidR="00940C64">
        <w:t>are</w:t>
      </w:r>
      <w:r w:rsidRPr="005529DF">
        <w:t xml:space="preserve"> in New South Wales, and more recently Queensland, both </w:t>
      </w:r>
      <w:r>
        <w:t xml:space="preserve">of </w:t>
      </w:r>
      <w:r w:rsidRPr="005529DF">
        <w:t xml:space="preserve">which </w:t>
      </w:r>
      <w:r w:rsidR="004B62DD">
        <w:t>are</w:t>
      </w:r>
      <w:r w:rsidRPr="005529DF">
        <w:t xml:space="preserve"> ‘co-regulatory </w:t>
      </w:r>
      <w:r w:rsidR="004B62DD">
        <w:t>jurisdictions</w:t>
      </w:r>
      <w:r w:rsidRPr="005529DF">
        <w:t xml:space="preserve">’ </w:t>
      </w:r>
      <w:r w:rsidR="004B62DD">
        <w:t xml:space="preserve">as defined in the National Law and, as such, have different processes for </w:t>
      </w:r>
      <w:r>
        <w:t xml:space="preserve">notifications and complaints </w:t>
      </w:r>
      <w:r w:rsidR="004B62DD">
        <w:t>to those</w:t>
      </w:r>
      <w:r>
        <w:t xml:space="preserve"> of </w:t>
      </w:r>
      <w:r w:rsidR="004B62DD">
        <w:t xml:space="preserve">the </w:t>
      </w:r>
      <w:r>
        <w:t xml:space="preserve">other states and territories. </w:t>
      </w:r>
    </w:p>
    <w:p w:rsidR="00CF65AD" w:rsidRPr="005529DF" w:rsidRDefault="0021158B" w:rsidP="0021158B">
      <w:pPr>
        <w:pStyle w:val="BodyText"/>
      </w:pPr>
      <w:r w:rsidRPr="005529DF">
        <w:t>An overview of the broad arrangements of managing nurses and midwives with an impairment is provided in</w:t>
      </w:r>
      <w:r w:rsidR="00B2233D" w:rsidRPr="005529DF">
        <w:t xml:space="preserve"> </w:t>
      </w:r>
      <w:r w:rsidR="007538B8">
        <w:fldChar w:fldCharType="begin"/>
      </w:r>
      <w:r w:rsidR="007538B8">
        <w:instrText xml:space="preserve"> REF _Ref417897380 \h  \* MERGEFORMAT </w:instrText>
      </w:r>
      <w:r w:rsidR="007538B8">
        <w:fldChar w:fldCharType="separate"/>
      </w:r>
      <w:r w:rsidR="00B07965" w:rsidRPr="007640DA">
        <w:t xml:space="preserve">Table </w:t>
      </w:r>
      <w:r w:rsidR="00B07965">
        <w:t>1</w:t>
      </w:r>
      <w:r w:rsidR="007538B8">
        <w:fldChar w:fldCharType="end"/>
      </w:r>
      <w:r w:rsidR="00B2233D" w:rsidRPr="005529DF">
        <w:t xml:space="preserve">. </w:t>
      </w:r>
    </w:p>
    <w:p w:rsidR="00CF65AD" w:rsidRPr="005529DF" w:rsidRDefault="00CF65AD" w:rsidP="00222DE1">
      <w:pPr>
        <w:pStyle w:val="Caption"/>
        <w:keepNext w:val="0"/>
        <w:ind w:left="-3119" w:hanging="142"/>
        <w:rPr>
          <w:rStyle w:val="CaptionLabel"/>
          <w:rFonts w:ascii="Times New Roman" w:hAnsi="Times New Roman" w:cs="Times New Roman"/>
          <w:sz w:val="22"/>
          <w:szCs w:val="22"/>
          <w:lang w:eastAsia="en-AU"/>
        </w:rPr>
      </w:pPr>
      <w:bookmarkStart w:id="84" w:name="_Ref417897380"/>
      <w:bookmarkStart w:id="85" w:name="_Toc419702959"/>
      <w:r w:rsidRPr="007640DA">
        <w:rPr>
          <w:rFonts w:ascii="Times New Roman" w:hAnsi="Times New Roman" w:cs="Times New Roman"/>
        </w:rPr>
        <w:t xml:space="preserve">Table </w:t>
      </w:r>
      <w:r w:rsidR="004D1416" w:rsidRPr="007640DA">
        <w:rPr>
          <w:rFonts w:ascii="Times New Roman" w:hAnsi="Times New Roman" w:cs="Times New Roman"/>
        </w:rPr>
        <w:fldChar w:fldCharType="begin"/>
      </w:r>
      <w:r w:rsidRPr="005529DF">
        <w:rPr>
          <w:rFonts w:ascii="Times New Roman" w:hAnsi="Times New Roman" w:cs="Times New Roman"/>
        </w:rPr>
        <w:instrText xml:space="preserve"> SEQ Table \* ARABIC </w:instrText>
      </w:r>
      <w:r w:rsidR="004D1416" w:rsidRPr="007640DA">
        <w:rPr>
          <w:rFonts w:ascii="Times New Roman" w:hAnsi="Times New Roman" w:cs="Times New Roman"/>
        </w:rPr>
        <w:fldChar w:fldCharType="separate"/>
      </w:r>
      <w:r w:rsidR="00B07965">
        <w:rPr>
          <w:rFonts w:ascii="Times New Roman" w:hAnsi="Times New Roman" w:cs="Times New Roman"/>
          <w:noProof/>
        </w:rPr>
        <w:t>1</w:t>
      </w:r>
      <w:r w:rsidR="004D1416" w:rsidRPr="007640DA">
        <w:rPr>
          <w:rFonts w:ascii="Times New Roman" w:hAnsi="Times New Roman" w:cs="Times New Roman"/>
        </w:rPr>
        <w:fldChar w:fldCharType="end"/>
      </w:r>
      <w:bookmarkEnd w:id="84"/>
      <w:r w:rsidRPr="005529DF">
        <w:rPr>
          <w:rStyle w:val="CaptionLabel"/>
          <w:rFonts w:ascii="Times New Roman" w:hAnsi="Times New Roman" w:cs="Times New Roman"/>
        </w:rPr>
        <w:t xml:space="preserve">  Management</w:t>
      </w:r>
      <w:r w:rsidR="00126D2C" w:rsidRPr="005529DF">
        <w:rPr>
          <w:rStyle w:val="CaptionLabel"/>
          <w:rFonts w:ascii="Times New Roman" w:hAnsi="Times New Roman" w:cs="Times New Roman"/>
        </w:rPr>
        <w:t xml:space="preserve"> and </w:t>
      </w:r>
      <w:r w:rsidRPr="005529DF">
        <w:rPr>
          <w:rStyle w:val="CaptionLabel"/>
          <w:rFonts w:ascii="Times New Roman" w:hAnsi="Times New Roman" w:cs="Times New Roman"/>
        </w:rPr>
        <w:t xml:space="preserve">support process for all </w:t>
      </w:r>
      <w:r w:rsidR="00126D2C" w:rsidRPr="005529DF">
        <w:rPr>
          <w:rStyle w:val="CaptionLabel"/>
          <w:rFonts w:ascii="Times New Roman" w:hAnsi="Times New Roman" w:cs="Times New Roman"/>
        </w:rPr>
        <w:t xml:space="preserve">Australian </w:t>
      </w:r>
      <w:r w:rsidRPr="005529DF">
        <w:rPr>
          <w:rStyle w:val="CaptionLabel"/>
          <w:rFonts w:ascii="Times New Roman" w:hAnsi="Times New Roman" w:cs="Times New Roman"/>
        </w:rPr>
        <w:t>jurisdictions</w:t>
      </w:r>
      <w:bookmarkEnd w:id="85"/>
      <w:r w:rsidRPr="005529DF">
        <w:rPr>
          <w:rStyle w:val="CaptionLabel"/>
          <w:rFonts w:ascii="Times New Roman" w:hAnsi="Times New Roman" w:cs="Times New Roman"/>
        </w:rPr>
        <w:t xml:space="preserve"> </w:t>
      </w:r>
    </w:p>
    <w:tbl>
      <w:tblPr>
        <w:tblStyle w:val="ACILAllenTable"/>
        <w:tblW w:w="11341" w:type="dxa"/>
        <w:tblInd w:w="-3153" w:type="dxa"/>
        <w:tblLook w:val="04A0" w:firstRow="1" w:lastRow="0" w:firstColumn="1" w:lastColumn="0" w:noHBand="0" w:noVBand="1"/>
      </w:tblPr>
      <w:tblGrid>
        <w:gridCol w:w="1025"/>
        <w:gridCol w:w="3512"/>
        <w:gridCol w:w="3969"/>
        <w:gridCol w:w="2835"/>
      </w:tblGrid>
      <w:tr w:rsidR="00CF65AD" w:rsidRPr="005529DF" w:rsidTr="00102595">
        <w:trPr>
          <w:cnfStyle w:val="100000000000" w:firstRow="1" w:lastRow="0" w:firstColumn="0" w:lastColumn="0" w:oddVBand="0" w:evenVBand="0" w:oddHBand="0" w:evenHBand="0" w:firstRowFirstColumn="0" w:firstRowLastColumn="0" w:lastRowFirstColumn="0" w:lastRowLastColumn="0"/>
          <w:tblHeader/>
        </w:trPr>
        <w:tc>
          <w:tcPr>
            <w:tcW w:w="1025" w:type="dxa"/>
            <w:tcBorders>
              <w:top w:val="nil"/>
              <w:bottom w:val="single" w:sz="6" w:space="0" w:color="BFBFBF" w:themeColor="background1" w:themeShade="BF"/>
              <w:right w:val="single" w:sz="4" w:space="0" w:color="auto"/>
            </w:tcBorders>
          </w:tcPr>
          <w:p w:rsidR="00CF65AD" w:rsidRPr="005529DF" w:rsidRDefault="00CF65AD" w:rsidP="00610FBD">
            <w:pPr>
              <w:pStyle w:val="Source"/>
              <w:pBdr>
                <w:bottom w:val="none" w:sz="0" w:space="0" w:color="auto"/>
              </w:pBdr>
              <w:rPr>
                <w:rFonts w:ascii="Times New Roman" w:hAnsi="Times New Roman"/>
                <w:b/>
              </w:rPr>
            </w:pPr>
            <w:r w:rsidRPr="005529DF">
              <w:rPr>
                <w:rFonts w:ascii="Times New Roman" w:hAnsi="Times New Roman"/>
                <w:b/>
              </w:rPr>
              <w:t>Process</w:t>
            </w:r>
          </w:p>
        </w:tc>
        <w:tc>
          <w:tcPr>
            <w:tcW w:w="3512" w:type="dxa"/>
            <w:tcBorders>
              <w:top w:val="nil"/>
              <w:left w:val="single" w:sz="4" w:space="0" w:color="auto"/>
              <w:bottom w:val="single" w:sz="6" w:space="0" w:color="BFBFBF" w:themeColor="background1" w:themeShade="BF"/>
              <w:right w:val="single" w:sz="4" w:space="0" w:color="auto"/>
            </w:tcBorders>
          </w:tcPr>
          <w:p w:rsidR="00CF65AD" w:rsidRPr="005529DF" w:rsidRDefault="00CF65AD" w:rsidP="00610FBD">
            <w:pPr>
              <w:pStyle w:val="Source"/>
              <w:pBdr>
                <w:bottom w:val="none" w:sz="0" w:space="0" w:color="auto"/>
              </w:pBdr>
              <w:ind w:right="-107"/>
              <w:rPr>
                <w:rFonts w:ascii="Times New Roman" w:hAnsi="Times New Roman"/>
                <w:b/>
              </w:rPr>
            </w:pPr>
            <w:r w:rsidRPr="005529DF">
              <w:rPr>
                <w:rFonts w:ascii="Times New Roman" w:hAnsi="Times New Roman"/>
                <w:b/>
              </w:rPr>
              <w:t>All states/territories excluding NSW and Qld</w:t>
            </w:r>
          </w:p>
        </w:tc>
        <w:tc>
          <w:tcPr>
            <w:tcW w:w="3969" w:type="dxa"/>
            <w:tcBorders>
              <w:top w:val="nil"/>
              <w:left w:val="single" w:sz="4" w:space="0" w:color="auto"/>
              <w:bottom w:val="single" w:sz="6" w:space="0" w:color="BFBFBF" w:themeColor="background1" w:themeShade="BF"/>
              <w:right w:val="single" w:sz="4" w:space="0" w:color="auto"/>
            </w:tcBorders>
          </w:tcPr>
          <w:p w:rsidR="00CF65AD" w:rsidRPr="005529DF" w:rsidDel="001F4E36" w:rsidRDefault="00CF65AD" w:rsidP="00610FBD">
            <w:pPr>
              <w:pStyle w:val="Source"/>
              <w:pBdr>
                <w:bottom w:val="none" w:sz="0" w:space="0" w:color="auto"/>
              </w:pBdr>
              <w:ind w:right="-107"/>
              <w:jc w:val="center"/>
              <w:rPr>
                <w:rFonts w:ascii="Times New Roman" w:hAnsi="Times New Roman"/>
                <w:b/>
              </w:rPr>
            </w:pPr>
            <w:r w:rsidRPr="005529DF">
              <w:rPr>
                <w:rFonts w:ascii="Times New Roman" w:hAnsi="Times New Roman"/>
                <w:b/>
              </w:rPr>
              <w:t>New South Wales</w:t>
            </w:r>
          </w:p>
        </w:tc>
        <w:tc>
          <w:tcPr>
            <w:tcW w:w="2835" w:type="dxa"/>
            <w:tcBorders>
              <w:top w:val="nil"/>
              <w:left w:val="single" w:sz="4" w:space="0" w:color="auto"/>
              <w:bottom w:val="single" w:sz="6" w:space="0" w:color="BFBFBF" w:themeColor="background1" w:themeShade="BF"/>
            </w:tcBorders>
          </w:tcPr>
          <w:p w:rsidR="00CF65AD" w:rsidRPr="005529DF" w:rsidDel="001F4E36" w:rsidRDefault="00CF65AD" w:rsidP="00610FBD">
            <w:pPr>
              <w:pStyle w:val="Source"/>
              <w:pBdr>
                <w:bottom w:val="none" w:sz="0" w:space="0" w:color="auto"/>
              </w:pBdr>
              <w:ind w:right="-107"/>
              <w:jc w:val="center"/>
              <w:rPr>
                <w:rFonts w:ascii="Times New Roman" w:hAnsi="Times New Roman"/>
                <w:b/>
              </w:rPr>
            </w:pPr>
            <w:r w:rsidRPr="005529DF">
              <w:rPr>
                <w:rFonts w:ascii="Times New Roman" w:hAnsi="Times New Roman"/>
                <w:b/>
              </w:rPr>
              <w:t>Queensland</w:t>
            </w:r>
          </w:p>
        </w:tc>
      </w:tr>
      <w:tr w:rsidR="00CF65AD" w:rsidRPr="005529DF" w:rsidTr="00102595">
        <w:tc>
          <w:tcPr>
            <w:tcW w:w="1025" w:type="dxa"/>
            <w:tcBorders>
              <w:top w:val="single" w:sz="6" w:space="0" w:color="BFBFBF" w:themeColor="background1" w:themeShade="BF"/>
              <w:left w:val="single" w:sz="4" w:space="0" w:color="auto"/>
              <w:bottom w:val="nil"/>
              <w:right w:val="single" w:sz="4" w:space="0" w:color="auto"/>
            </w:tcBorders>
          </w:tcPr>
          <w:p w:rsidR="00CF65AD" w:rsidRPr="005529DF" w:rsidRDefault="00CF65AD" w:rsidP="00610FBD">
            <w:pPr>
              <w:pStyle w:val="Source"/>
              <w:pBdr>
                <w:bottom w:val="none" w:sz="0" w:space="0" w:color="auto"/>
              </w:pBdr>
              <w:rPr>
                <w:rFonts w:ascii="Times New Roman" w:hAnsi="Times New Roman"/>
                <w:b/>
              </w:rPr>
            </w:pPr>
            <w:r w:rsidRPr="005529DF">
              <w:rPr>
                <w:rFonts w:ascii="Times New Roman" w:hAnsi="Times New Roman"/>
                <w:b/>
              </w:rPr>
              <w:t xml:space="preserve">Referral </w:t>
            </w:r>
          </w:p>
        </w:tc>
        <w:tc>
          <w:tcPr>
            <w:tcW w:w="10316" w:type="dxa"/>
            <w:gridSpan w:val="3"/>
            <w:tcBorders>
              <w:top w:val="single" w:sz="6" w:space="0" w:color="BFBFBF" w:themeColor="background1" w:themeShade="BF"/>
              <w:left w:val="single" w:sz="4" w:space="0" w:color="auto"/>
              <w:bottom w:val="single" w:sz="4" w:space="0" w:color="auto"/>
              <w:right w:val="single" w:sz="4" w:space="0" w:color="auto"/>
            </w:tcBorders>
          </w:tcPr>
          <w:p w:rsidR="00CF65AD" w:rsidRPr="005529DF" w:rsidRDefault="00F23111" w:rsidP="00610FBD">
            <w:pPr>
              <w:pStyle w:val="Source"/>
              <w:pBdr>
                <w:bottom w:val="none" w:sz="0" w:space="0" w:color="auto"/>
              </w:pBdr>
              <w:jc w:val="center"/>
              <w:rPr>
                <w:rFonts w:ascii="Times New Roman" w:hAnsi="Times New Roman"/>
              </w:rPr>
            </w:pPr>
            <w:r w:rsidRPr="005529DF">
              <w:rPr>
                <w:rFonts w:ascii="Times New Roman" w:hAnsi="Times New Roman"/>
              </w:rPr>
              <w:t>Nurses and midwives</w:t>
            </w:r>
            <w:r w:rsidR="00CF65AD" w:rsidRPr="005529DF">
              <w:rPr>
                <w:rFonts w:ascii="Times New Roman" w:hAnsi="Times New Roman"/>
              </w:rPr>
              <w:t xml:space="preserve"> may be referred to a health support</w:t>
            </w:r>
            <w:r w:rsidR="00865917" w:rsidRPr="005529DF">
              <w:rPr>
                <w:rFonts w:ascii="Times New Roman" w:hAnsi="Times New Roman"/>
              </w:rPr>
              <w:t xml:space="preserve"> service</w:t>
            </w:r>
            <w:r w:rsidR="00CF65AD" w:rsidRPr="005529DF">
              <w:rPr>
                <w:rFonts w:ascii="Times New Roman" w:hAnsi="Times New Roman"/>
              </w:rPr>
              <w:t xml:space="preserve"> by other health practitioners, employers, family or friends. Alternatively they may choose to self-refer.</w:t>
            </w:r>
          </w:p>
        </w:tc>
      </w:tr>
      <w:tr w:rsidR="00CF65AD" w:rsidRPr="005529DF" w:rsidTr="00102595">
        <w:tc>
          <w:tcPr>
            <w:tcW w:w="1025" w:type="dxa"/>
            <w:tcBorders>
              <w:top w:val="nil"/>
              <w:left w:val="single" w:sz="4" w:space="0" w:color="auto"/>
              <w:bottom w:val="single" w:sz="4" w:space="0" w:color="auto"/>
              <w:right w:val="single" w:sz="4" w:space="0" w:color="auto"/>
            </w:tcBorders>
          </w:tcPr>
          <w:p w:rsidR="00CF65AD" w:rsidRPr="005529DF" w:rsidRDefault="00CF65AD" w:rsidP="00610FBD">
            <w:pPr>
              <w:pStyle w:val="Source"/>
              <w:pBdr>
                <w:bottom w:val="none" w:sz="0" w:space="0" w:color="auto"/>
              </w:pBdr>
              <w:rPr>
                <w:rFonts w:ascii="Times New Roman" w:hAnsi="Times New Roman"/>
                <w:b/>
              </w:rPr>
            </w:pPr>
            <w:r w:rsidRPr="005529DF">
              <w:rPr>
                <w:rFonts w:ascii="Times New Roman" w:hAnsi="Times New Roman"/>
                <w:b/>
              </w:rPr>
              <w:t>Notification</w:t>
            </w:r>
          </w:p>
        </w:tc>
        <w:tc>
          <w:tcPr>
            <w:tcW w:w="3512" w:type="dxa"/>
            <w:tcBorders>
              <w:top w:val="single" w:sz="4" w:space="0" w:color="auto"/>
              <w:left w:val="single" w:sz="4" w:space="0" w:color="auto"/>
              <w:bottom w:val="single" w:sz="4" w:space="0" w:color="auto"/>
              <w:right w:val="single" w:sz="4" w:space="0" w:color="auto"/>
            </w:tcBorders>
          </w:tcPr>
          <w:p w:rsidR="00CF65AD" w:rsidRPr="005529DF" w:rsidRDefault="00F23111" w:rsidP="00B85E8D">
            <w:pPr>
              <w:pStyle w:val="Source"/>
              <w:pBdr>
                <w:bottom w:val="none" w:sz="0" w:space="0" w:color="auto"/>
              </w:pBdr>
              <w:rPr>
                <w:rFonts w:ascii="Times New Roman" w:hAnsi="Times New Roman"/>
              </w:rPr>
            </w:pPr>
            <w:r w:rsidRPr="005529DF">
              <w:rPr>
                <w:rFonts w:ascii="Times New Roman" w:hAnsi="Times New Roman"/>
              </w:rPr>
              <w:t>Nurses and midwives</w:t>
            </w:r>
            <w:r w:rsidR="00CF65AD" w:rsidRPr="005529DF">
              <w:rPr>
                <w:rFonts w:ascii="Times New Roman" w:hAnsi="Times New Roman"/>
              </w:rPr>
              <w:t xml:space="preserve"> </w:t>
            </w:r>
            <w:r w:rsidR="0035383F" w:rsidRPr="005529DF">
              <w:rPr>
                <w:rFonts w:ascii="Times New Roman" w:hAnsi="Times New Roman"/>
              </w:rPr>
              <w:t>with a notifiable impairment</w:t>
            </w:r>
            <w:r w:rsidR="00865917" w:rsidRPr="005529DF">
              <w:rPr>
                <w:rFonts w:ascii="Times New Roman" w:hAnsi="Times New Roman"/>
              </w:rPr>
              <w:t xml:space="preserve"> are </w:t>
            </w:r>
            <w:r w:rsidR="00733631" w:rsidRPr="005529DF">
              <w:rPr>
                <w:rFonts w:ascii="Times New Roman" w:hAnsi="Times New Roman"/>
              </w:rPr>
              <w:t xml:space="preserve">reported </w:t>
            </w:r>
            <w:r w:rsidR="00865917" w:rsidRPr="005529DF">
              <w:rPr>
                <w:rFonts w:ascii="Times New Roman" w:hAnsi="Times New Roman"/>
              </w:rPr>
              <w:t xml:space="preserve">to </w:t>
            </w:r>
            <w:r w:rsidR="00CF65AD" w:rsidRPr="005529DF">
              <w:rPr>
                <w:rFonts w:ascii="Times New Roman" w:hAnsi="Times New Roman"/>
              </w:rPr>
              <w:t xml:space="preserve">AHPRA, who inform the relevant state/territory National Board. </w:t>
            </w:r>
            <w:r w:rsidR="00B85E8D">
              <w:rPr>
                <w:rFonts w:ascii="Times New Roman" w:hAnsi="Times New Roman"/>
              </w:rPr>
              <w:t>A</w:t>
            </w:r>
            <w:r w:rsidR="00CF65AD" w:rsidRPr="005529DF">
              <w:rPr>
                <w:rFonts w:ascii="Times New Roman" w:hAnsi="Times New Roman"/>
              </w:rPr>
              <w:t xml:space="preserve">ll jurisdictions have implemented </w:t>
            </w:r>
            <w:r w:rsidR="00D84BF8" w:rsidRPr="005529DF">
              <w:rPr>
                <w:rFonts w:ascii="Times New Roman" w:hAnsi="Times New Roman"/>
              </w:rPr>
              <w:t xml:space="preserve">mandatory </w:t>
            </w:r>
            <w:r w:rsidR="00CF65AD" w:rsidRPr="005529DF">
              <w:rPr>
                <w:rFonts w:ascii="Times New Roman" w:hAnsi="Times New Roman"/>
              </w:rPr>
              <w:t>notification</w:t>
            </w:r>
            <w:r w:rsidR="002F2479">
              <w:rPr>
                <w:rFonts w:ascii="Times New Roman" w:hAnsi="Times New Roman"/>
              </w:rPr>
              <w:t>s</w:t>
            </w:r>
            <w:r w:rsidR="00CF65AD" w:rsidRPr="005529DF">
              <w:rPr>
                <w:rFonts w:ascii="Times New Roman" w:hAnsi="Times New Roman"/>
              </w:rPr>
              <w:t xml:space="preserve"> as specified in the National Law</w:t>
            </w:r>
            <w:r w:rsidR="00B85E8D">
              <w:rPr>
                <w:rFonts w:ascii="Times New Roman" w:hAnsi="Times New Roman"/>
              </w:rPr>
              <w:t xml:space="preserve">, however, WA practitioners are exempt from mandatory notification. </w:t>
            </w:r>
          </w:p>
        </w:tc>
        <w:tc>
          <w:tcPr>
            <w:tcW w:w="3969" w:type="dxa"/>
            <w:tcBorders>
              <w:top w:val="single" w:sz="4" w:space="0" w:color="auto"/>
              <w:left w:val="single" w:sz="4" w:space="0" w:color="auto"/>
              <w:bottom w:val="single" w:sz="4" w:space="0" w:color="auto"/>
              <w:right w:val="single" w:sz="4" w:space="0" w:color="auto"/>
            </w:tcBorders>
          </w:tcPr>
          <w:p w:rsidR="00CF65AD" w:rsidRPr="005529DF" w:rsidRDefault="00F23111" w:rsidP="00E14BA0">
            <w:pPr>
              <w:pStyle w:val="Source"/>
              <w:pBdr>
                <w:bottom w:val="none" w:sz="0" w:space="0" w:color="auto"/>
              </w:pBdr>
              <w:rPr>
                <w:rFonts w:ascii="Times New Roman" w:hAnsi="Times New Roman"/>
              </w:rPr>
            </w:pPr>
            <w:r w:rsidRPr="005529DF">
              <w:rPr>
                <w:rFonts w:ascii="Times New Roman" w:hAnsi="Times New Roman"/>
              </w:rPr>
              <w:t xml:space="preserve">Nurses and midwives </w:t>
            </w:r>
            <w:r w:rsidR="00CF65AD" w:rsidRPr="005529DF">
              <w:rPr>
                <w:rFonts w:ascii="Times New Roman" w:hAnsi="Times New Roman"/>
              </w:rPr>
              <w:t>with a</w:t>
            </w:r>
            <w:r w:rsidR="00DD0220" w:rsidRPr="005529DF">
              <w:rPr>
                <w:rFonts w:ascii="Times New Roman" w:hAnsi="Times New Roman"/>
              </w:rPr>
              <w:t xml:space="preserve"> notifiable</w:t>
            </w:r>
            <w:r w:rsidR="00CF65AD" w:rsidRPr="005529DF">
              <w:rPr>
                <w:rFonts w:ascii="Times New Roman" w:hAnsi="Times New Roman"/>
              </w:rPr>
              <w:t xml:space="preserve"> impairment </w:t>
            </w:r>
            <w:r w:rsidR="00E14BA0">
              <w:rPr>
                <w:rFonts w:ascii="Times New Roman" w:hAnsi="Times New Roman"/>
              </w:rPr>
              <w:t>are</w:t>
            </w:r>
            <w:r w:rsidR="004B62DD">
              <w:rPr>
                <w:rFonts w:ascii="Times New Roman" w:hAnsi="Times New Roman"/>
              </w:rPr>
              <w:t xml:space="preserve"> </w:t>
            </w:r>
            <w:r w:rsidR="00733631" w:rsidRPr="005529DF">
              <w:rPr>
                <w:rFonts w:ascii="Times New Roman" w:hAnsi="Times New Roman"/>
              </w:rPr>
              <w:t xml:space="preserve">reported </w:t>
            </w:r>
            <w:r w:rsidR="00CF65AD" w:rsidRPr="005529DF">
              <w:rPr>
                <w:rFonts w:ascii="Times New Roman" w:hAnsi="Times New Roman"/>
              </w:rPr>
              <w:t xml:space="preserve">to the </w:t>
            </w:r>
            <w:r w:rsidR="003D5F0C">
              <w:rPr>
                <w:rFonts w:ascii="Times New Roman" w:hAnsi="Times New Roman"/>
              </w:rPr>
              <w:t>NSW</w:t>
            </w:r>
            <w:r w:rsidR="003D5F0C" w:rsidRPr="005529DF">
              <w:rPr>
                <w:rFonts w:ascii="Times New Roman" w:hAnsi="Times New Roman"/>
              </w:rPr>
              <w:t xml:space="preserve"> </w:t>
            </w:r>
            <w:r w:rsidR="00CF65AD" w:rsidRPr="005529DF">
              <w:rPr>
                <w:rFonts w:ascii="Times New Roman" w:hAnsi="Times New Roman"/>
              </w:rPr>
              <w:t>Health</w:t>
            </w:r>
            <w:r w:rsidR="003D5F0C">
              <w:rPr>
                <w:rFonts w:ascii="Times New Roman" w:hAnsi="Times New Roman"/>
              </w:rPr>
              <w:t xml:space="preserve"> Care Complaints Commission</w:t>
            </w:r>
            <w:r w:rsidR="00E14BA0">
              <w:rPr>
                <w:rFonts w:ascii="Times New Roman" w:hAnsi="Times New Roman"/>
              </w:rPr>
              <w:t>, but may</w:t>
            </w:r>
            <w:r w:rsidR="00B8126A">
              <w:rPr>
                <w:rFonts w:ascii="Times New Roman" w:hAnsi="Times New Roman"/>
              </w:rPr>
              <w:t xml:space="preserve"> also be reported to AHPRA and the Nursing and Midwifery Council. </w:t>
            </w:r>
          </w:p>
        </w:tc>
        <w:tc>
          <w:tcPr>
            <w:tcW w:w="2835" w:type="dxa"/>
            <w:tcBorders>
              <w:top w:val="single" w:sz="4" w:space="0" w:color="auto"/>
              <w:left w:val="single" w:sz="4" w:space="0" w:color="auto"/>
              <w:bottom w:val="single" w:sz="4" w:space="0" w:color="auto"/>
              <w:right w:val="single" w:sz="4" w:space="0" w:color="auto"/>
            </w:tcBorders>
          </w:tcPr>
          <w:p w:rsidR="00CF65AD" w:rsidRPr="005529DF" w:rsidRDefault="00F23111" w:rsidP="00E14BA0">
            <w:pPr>
              <w:pStyle w:val="Source"/>
              <w:pBdr>
                <w:bottom w:val="none" w:sz="0" w:space="0" w:color="auto"/>
              </w:pBdr>
              <w:rPr>
                <w:rFonts w:ascii="Times New Roman" w:hAnsi="Times New Roman"/>
              </w:rPr>
            </w:pPr>
            <w:r w:rsidRPr="005529DF">
              <w:rPr>
                <w:rFonts w:ascii="Times New Roman" w:hAnsi="Times New Roman"/>
              </w:rPr>
              <w:t xml:space="preserve">Nurses and midwives </w:t>
            </w:r>
            <w:r w:rsidR="00865917" w:rsidRPr="005529DF">
              <w:rPr>
                <w:rFonts w:ascii="Times New Roman" w:hAnsi="Times New Roman"/>
              </w:rPr>
              <w:t>with a notifiable impairment</w:t>
            </w:r>
            <w:r w:rsidR="00CF65AD" w:rsidRPr="005529DF">
              <w:rPr>
                <w:rFonts w:ascii="Times New Roman" w:hAnsi="Times New Roman"/>
              </w:rPr>
              <w:t xml:space="preserve"> are </w:t>
            </w:r>
            <w:r w:rsidR="00733631" w:rsidRPr="005529DF">
              <w:rPr>
                <w:rFonts w:ascii="Times New Roman" w:hAnsi="Times New Roman"/>
              </w:rPr>
              <w:t xml:space="preserve">reported </w:t>
            </w:r>
            <w:r w:rsidR="00CF65AD" w:rsidRPr="005529DF">
              <w:rPr>
                <w:rFonts w:ascii="Times New Roman" w:hAnsi="Times New Roman"/>
              </w:rPr>
              <w:t xml:space="preserve">to the </w:t>
            </w:r>
            <w:r w:rsidR="003D5F0C">
              <w:rPr>
                <w:rFonts w:ascii="Times New Roman" w:hAnsi="Times New Roman"/>
              </w:rPr>
              <w:t xml:space="preserve">Queensland </w:t>
            </w:r>
            <w:r w:rsidR="00CF65AD" w:rsidRPr="005529DF">
              <w:rPr>
                <w:rFonts w:ascii="Times New Roman" w:hAnsi="Times New Roman"/>
              </w:rPr>
              <w:t>Office of Health Ombudsman</w:t>
            </w:r>
            <w:r w:rsidR="003D5F0C">
              <w:rPr>
                <w:rFonts w:ascii="Times New Roman" w:hAnsi="Times New Roman"/>
              </w:rPr>
              <w:t xml:space="preserve"> who may refer the complaint to the National Board</w:t>
            </w:r>
            <w:r w:rsidR="00222DE1">
              <w:rPr>
                <w:rFonts w:ascii="Times New Roman" w:hAnsi="Times New Roman"/>
              </w:rPr>
              <w:t xml:space="preserve">. </w:t>
            </w:r>
            <w:r w:rsidR="00E14BA0">
              <w:rPr>
                <w:rFonts w:ascii="Times New Roman" w:hAnsi="Times New Roman"/>
              </w:rPr>
              <w:t>N</w:t>
            </w:r>
            <w:r w:rsidR="00222DE1">
              <w:rPr>
                <w:rFonts w:ascii="Times New Roman" w:hAnsi="Times New Roman"/>
              </w:rPr>
              <w:t xml:space="preserve">otifications may also be </w:t>
            </w:r>
            <w:r w:rsidR="00E14BA0">
              <w:rPr>
                <w:rFonts w:ascii="Times New Roman" w:hAnsi="Times New Roman"/>
              </w:rPr>
              <w:t>reported</w:t>
            </w:r>
            <w:r w:rsidR="00222DE1">
              <w:rPr>
                <w:rFonts w:ascii="Times New Roman" w:hAnsi="Times New Roman"/>
              </w:rPr>
              <w:t xml:space="preserve"> </w:t>
            </w:r>
            <w:r w:rsidR="00E14BA0">
              <w:rPr>
                <w:rFonts w:ascii="Times New Roman" w:hAnsi="Times New Roman"/>
              </w:rPr>
              <w:t>to</w:t>
            </w:r>
            <w:r w:rsidR="00222DE1">
              <w:rPr>
                <w:rFonts w:ascii="Times New Roman" w:hAnsi="Times New Roman"/>
              </w:rPr>
              <w:t xml:space="preserve"> the NMBA and AHPRA. </w:t>
            </w:r>
          </w:p>
        </w:tc>
      </w:tr>
      <w:tr w:rsidR="00CF65AD" w:rsidRPr="005529DF" w:rsidTr="00102595">
        <w:tc>
          <w:tcPr>
            <w:tcW w:w="1025" w:type="dxa"/>
            <w:tcBorders>
              <w:top w:val="single" w:sz="4" w:space="0" w:color="auto"/>
              <w:left w:val="single" w:sz="4" w:space="0" w:color="auto"/>
              <w:bottom w:val="single" w:sz="4" w:space="0" w:color="auto"/>
              <w:right w:val="single" w:sz="4" w:space="0" w:color="auto"/>
            </w:tcBorders>
          </w:tcPr>
          <w:p w:rsidR="00CF65AD" w:rsidRPr="005529DF" w:rsidDel="002E5C73" w:rsidRDefault="00CF65AD" w:rsidP="00610FBD">
            <w:pPr>
              <w:pStyle w:val="Source"/>
              <w:pBdr>
                <w:bottom w:val="none" w:sz="0" w:space="0" w:color="auto"/>
              </w:pBdr>
              <w:rPr>
                <w:rFonts w:ascii="Times New Roman" w:hAnsi="Times New Roman"/>
                <w:b/>
              </w:rPr>
            </w:pPr>
            <w:r w:rsidRPr="005529DF">
              <w:rPr>
                <w:rFonts w:ascii="Times New Roman" w:hAnsi="Times New Roman"/>
                <w:b/>
              </w:rPr>
              <w:t>Assessment</w:t>
            </w:r>
          </w:p>
        </w:tc>
        <w:tc>
          <w:tcPr>
            <w:tcW w:w="3512" w:type="dxa"/>
            <w:tcBorders>
              <w:top w:val="single" w:sz="4" w:space="0" w:color="auto"/>
              <w:left w:val="single" w:sz="4" w:space="0" w:color="auto"/>
              <w:bottom w:val="single" w:sz="4" w:space="0" w:color="auto"/>
              <w:right w:val="single" w:sz="4" w:space="0" w:color="auto"/>
            </w:tcBorders>
          </w:tcPr>
          <w:p w:rsidR="00CF65AD" w:rsidRPr="005529DF" w:rsidRDefault="00CF65AD" w:rsidP="00B85E8D">
            <w:pPr>
              <w:pStyle w:val="Source"/>
              <w:pBdr>
                <w:bottom w:val="none" w:sz="0" w:space="0" w:color="auto"/>
              </w:pBdr>
              <w:rPr>
                <w:rFonts w:ascii="Times New Roman" w:hAnsi="Times New Roman"/>
              </w:rPr>
            </w:pPr>
            <w:r w:rsidRPr="005529DF">
              <w:rPr>
                <w:rFonts w:ascii="Times New Roman" w:hAnsi="Times New Roman"/>
              </w:rPr>
              <w:t xml:space="preserve">If a </w:t>
            </w:r>
            <w:r w:rsidR="00B85E8D">
              <w:rPr>
                <w:rFonts w:ascii="Times New Roman" w:hAnsi="Times New Roman"/>
              </w:rPr>
              <w:t xml:space="preserve">notified </w:t>
            </w:r>
            <w:r w:rsidR="00F23111" w:rsidRPr="005529DF">
              <w:rPr>
                <w:rFonts w:ascii="Times New Roman" w:hAnsi="Times New Roman"/>
              </w:rPr>
              <w:t>nurse or midwife</w:t>
            </w:r>
            <w:r w:rsidR="003D5F0C">
              <w:rPr>
                <w:rFonts w:ascii="Times New Roman" w:hAnsi="Times New Roman"/>
              </w:rPr>
              <w:t xml:space="preserve"> </w:t>
            </w:r>
            <w:r w:rsidRPr="005529DF">
              <w:rPr>
                <w:rFonts w:ascii="Times New Roman" w:hAnsi="Times New Roman"/>
              </w:rPr>
              <w:t xml:space="preserve">is </w:t>
            </w:r>
            <w:r w:rsidR="00C76D93" w:rsidRPr="005529DF">
              <w:rPr>
                <w:rFonts w:ascii="Times New Roman" w:hAnsi="Times New Roman"/>
              </w:rPr>
              <w:t>suspected of</w:t>
            </w:r>
            <w:r w:rsidRPr="005529DF">
              <w:rPr>
                <w:rFonts w:ascii="Times New Roman" w:hAnsi="Times New Roman"/>
              </w:rPr>
              <w:t xml:space="preserve"> </w:t>
            </w:r>
            <w:r w:rsidR="00C76D93" w:rsidRPr="005529DF">
              <w:rPr>
                <w:rFonts w:ascii="Times New Roman" w:hAnsi="Times New Roman"/>
              </w:rPr>
              <w:t xml:space="preserve">having </w:t>
            </w:r>
            <w:r w:rsidRPr="005529DF">
              <w:rPr>
                <w:rFonts w:ascii="Times New Roman" w:hAnsi="Times New Roman"/>
              </w:rPr>
              <w:t xml:space="preserve">a health impairment, the </w:t>
            </w:r>
            <w:r w:rsidR="003D5F0C">
              <w:rPr>
                <w:rFonts w:ascii="Times New Roman" w:hAnsi="Times New Roman"/>
              </w:rPr>
              <w:t>NMBA</w:t>
            </w:r>
            <w:r w:rsidRPr="005529DF">
              <w:rPr>
                <w:rFonts w:ascii="Times New Roman" w:hAnsi="Times New Roman"/>
              </w:rPr>
              <w:t xml:space="preserve"> </w:t>
            </w:r>
            <w:r w:rsidR="003D5F0C">
              <w:rPr>
                <w:rFonts w:ascii="Times New Roman" w:hAnsi="Times New Roman"/>
              </w:rPr>
              <w:t>may</w:t>
            </w:r>
            <w:r w:rsidR="003D5F0C" w:rsidRPr="005529DF">
              <w:rPr>
                <w:rFonts w:ascii="Times New Roman" w:hAnsi="Times New Roman"/>
              </w:rPr>
              <w:t xml:space="preserve"> </w:t>
            </w:r>
            <w:r w:rsidR="003D5F0C">
              <w:rPr>
                <w:rFonts w:ascii="Times New Roman" w:hAnsi="Times New Roman"/>
              </w:rPr>
              <w:t>refer the registrant to a</w:t>
            </w:r>
            <w:r w:rsidRPr="005529DF">
              <w:rPr>
                <w:rFonts w:ascii="Times New Roman" w:hAnsi="Times New Roman"/>
              </w:rPr>
              <w:t xml:space="preserve"> medical practitioner and/or psychologist to undertake a health assessment. Findings from the health assessment are provided to</w:t>
            </w:r>
            <w:r w:rsidR="003D5F0C">
              <w:rPr>
                <w:rFonts w:ascii="Times New Roman" w:hAnsi="Times New Roman"/>
              </w:rPr>
              <w:t xml:space="preserve"> AHPRA and</w:t>
            </w:r>
            <w:r w:rsidRPr="005529DF">
              <w:rPr>
                <w:rFonts w:ascii="Times New Roman" w:hAnsi="Times New Roman"/>
              </w:rPr>
              <w:t xml:space="preserve"> the </w:t>
            </w:r>
            <w:r w:rsidR="003D5F0C">
              <w:rPr>
                <w:rFonts w:ascii="Times New Roman" w:hAnsi="Times New Roman"/>
              </w:rPr>
              <w:t>NMBA</w:t>
            </w:r>
            <w:r w:rsidRPr="005529DF">
              <w:rPr>
                <w:rFonts w:ascii="Times New Roman" w:hAnsi="Times New Roman"/>
              </w:rPr>
              <w:t xml:space="preserve"> and the health practitioner.</w:t>
            </w:r>
            <w:r w:rsidR="00B85E8D">
              <w:rPr>
                <w:rFonts w:ascii="Times New Roman" w:hAnsi="Times New Roman"/>
              </w:rPr>
              <w:t xml:space="preserve"> If the assessment reveals that the practitioner poses an immediate risk to the public, the Board will take action to suspend or place conditions on their registration. </w:t>
            </w:r>
          </w:p>
        </w:tc>
        <w:tc>
          <w:tcPr>
            <w:tcW w:w="3969" w:type="dxa"/>
            <w:tcBorders>
              <w:top w:val="single" w:sz="4" w:space="0" w:color="auto"/>
              <w:left w:val="single" w:sz="4" w:space="0" w:color="auto"/>
              <w:bottom w:val="single" w:sz="4" w:space="0" w:color="auto"/>
              <w:right w:val="single" w:sz="4" w:space="0" w:color="auto"/>
            </w:tcBorders>
          </w:tcPr>
          <w:p w:rsidR="00CF65AD" w:rsidRPr="005529DF" w:rsidRDefault="00CF65AD" w:rsidP="00BC782E">
            <w:pPr>
              <w:pStyle w:val="Tablebody"/>
              <w:keepNext w:val="0"/>
              <w:keepLines w:val="0"/>
              <w:rPr>
                <w:rFonts w:ascii="Times New Roman" w:hAnsi="Times New Roman"/>
              </w:rPr>
            </w:pPr>
            <w:r w:rsidRPr="005529DF">
              <w:rPr>
                <w:rFonts w:ascii="Times New Roman" w:hAnsi="Times New Roman"/>
              </w:rPr>
              <w:t xml:space="preserve">The </w:t>
            </w:r>
            <w:r w:rsidR="00BC782E">
              <w:rPr>
                <w:rFonts w:ascii="Times New Roman" w:hAnsi="Times New Roman"/>
              </w:rPr>
              <w:t>NSW Nursing and Midwifery</w:t>
            </w:r>
            <w:r w:rsidR="00BC782E" w:rsidRPr="005529DF">
              <w:rPr>
                <w:rFonts w:ascii="Times New Roman" w:hAnsi="Times New Roman"/>
              </w:rPr>
              <w:t xml:space="preserve"> </w:t>
            </w:r>
            <w:r w:rsidRPr="005529DF">
              <w:rPr>
                <w:rFonts w:ascii="Times New Roman" w:hAnsi="Times New Roman"/>
              </w:rPr>
              <w:t>Council may refer a health practitioner or student for a health assessment by a Council-appointed practitioner. The appointed assessor will produce report for a Council. The Council will consider the Health Assessment report and may decide to refer the matter to an Impaired Registrants Panel (IRP) for further inquiry.</w:t>
            </w:r>
          </w:p>
        </w:tc>
        <w:tc>
          <w:tcPr>
            <w:tcW w:w="2835" w:type="dxa"/>
            <w:tcBorders>
              <w:top w:val="single" w:sz="4" w:space="0" w:color="auto"/>
              <w:left w:val="single" w:sz="4" w:space="0" w:color="auto"/>
              <w:bottom w:val="single" w:sz="4" w:space="0" w:color="auto"/>
              <w:right w:val="single" w:sz="4" w:space="0" w:color="auto"/>
            </w:tcBorders>
          </w:tcPr>
          <w:p w:rsidR="00CF65AD" w:rsidRPr="005529DF" w:rsidRDefault="00CF65AD" w:rsidP="00610FBD">
            <w:pPr>
              <w:pStyle w:val="Source"/>
              <w:pBdr>
                <w:bottom w:val="none" w:sz="0" w:space="0" w:color="auto"/>
              </w:pBdr>
              <w:rPr>
                <w:rFonts w:ascii="Times New Roman" w:hAnsi="Times New Roman"/>
              </w:rPr>
            </w:pPr>
            <w:r w:rsidRPr="005529DF">
              <w:rPr>
                <w:rFonts w:ascii="Times New Roman" w:hAnsi="Times New Roman"/>
              </w:rPr>
              <w:t xml:space="preserve">See all other states/territories </w:t>
            </w:r>
          </w:p>
          <w:p w:rsidR="00CF65AD" w:rsidRPr="005529DF" w:rsidRDefault="00CF65AD" w:rsidP="00610FBD">
            <w:pPr>
              <w:pStyle w:val="Source"/>
              <w:pBdr>
                <w:bottom w:val="none" w:sz="0" w:space="0" w:color="auto"/>
              </w:pBdr>
              <w:rPr>
                <w:rFonts w:ascii="Times New Roman" w:hAnsi="Times New Roman"/>
              </w:rPr>
            </w:pPr>
          </w:p>
        </w:tc>
      </w:tr>
      <w:tr w:rsidR="00CF65AD" w:rsidRPr="005529DF" w:rsidTr="00102595">
        <w:tc>
          <w:tcPr>
            <w:tcW w:w="1025" w:type="dxa"/>
            <w:tcBorders>
              <w:top w:val="single" w:sz="4" w:space="0" w:color="auto"/>
              <w:left w:val="single" w:sz="4" w:space="0" w:color="auto"/>
              <w:bottom w:val="nil"/>
              <w:right w:val="single" w:sz="4" w:space="0" w:color="auto"/>
            </w:tcBorders>
          </w:tcPr>
          <w:p w:rsidR="00CF65AD" w:rsidRPr="005529DF" w:rsidRDefault="00CF65AD" w:rsidP="00610FBD">
            <w:pPr>
              <w:pStyle w:val="Source"/>
              <w:pBdr>
                <w:bottom w:val="none" w:sz="0" w:space="0" w:color="auto"/>
              </w:pBdr>
              <w:rPr>
                <w:rFonts w:ascii="Times New Roman" w:hAnsi="Times New Roman"/>
                <w:b/>
              </w:rPr>
            </w:pPr>
            <w:r w:rsidRPr="005529DF">
              <w:rPr>
                <w:rFonts w:ascii="Times New Roman" w:hAnsi="Times New Roman"/>
                <w:b/>
              </w:rPr>
              <w:t xml:space="preserve">Support </w:t>
            </w:r>
          </w:p>
        </w:tc>
        <w:tc>
          <w:tcPr>
            <w:tcW w:w="3512" w:type="dxa"/>
            <w:tcBorders>
              <w:top w:val="single" w:sz="4" w:space="0" w:color="auto"/>
              <w:left w:val="single" w:sz="4" w:space="0" w:color="auto"/>
              <w:bottom w:val="nil"/>
              <w:right w:val="single" w:sz="4" w:space="0" w:color="auto"/>
            </w:tcBorders>
          </w:tcPr>
          <w:p w:rsidR="00CF65AD" w:rsidRPr="005529DF" w:rsidRDefault="00CF65AD" w:rsidP="00B85E8D">
            <w:pPr>
              <w:pStyle w:val="Source"/>
              <w:pBdr>
                <w:bottom w:val="none" w:sz="0" w:space="0" w:color="auto"/>
              </w:pBdr>
              <w:rPr>
                <w:rFonts w:ascii="Times New Roman" w:hAnsi="Times New Roman"/>
              </w:rPr>
            </w:pPr>
            <w:r w:rsidRPr="005529DF">
              <w:rPr>
                <w:rFonts w:ascii="Times New Roman" w:hAnsi="Times New Roman"/>
              </w:rPr>
              <w:t xml:space="preserve">Nurses and midwives in all states/territories may have access to a range of support services such as EAPs, private practitioners and government </w:t>
            </w:r>
            <w:r w:rsidR="00BC782E">
              <w:rPr>
                <w:rFonts w:ascii="Times New Roman" w:hAnsi="Times New Roman"/>
              </w:rPr>
              <w:t>funded</w:t>
            </w:r>
            <w:r w:rsidR="00BC782E" w:rsidRPr="005529DF">
              <w:rPr>
                <w:rFonts w:ascii="Times New Roman" w:hAnsi="Times New Roman"/>
              </w:rPr>
              <w:t xml:space="preserve"> </w:t>
            </w:r>
            <w:r w:rsidRPr="005529DF">
              <w:rPr>
                <w:rFonts w:ascii="Times New Roman" w:hAnsi="Times New Roman"/>
              </w:rPr>
              <w:t>services. In Victoria</w:t>
            </w:r>
            <w:r w:rsidR="003D5F0C">
              <w:rPr>
                <w:rFonts w:ascii="Times New Roman" w:hAnsi="Times New Roman"/>
              </w:rPr>
              <w:t xml:space="preserve"> only, in addition to other services, </w:t>
            </w:r>
            <w:r w:rsidRPr="005529DF">
              <w:rPr>
                <w:rFonts w:ascii="Times New Roman" w:hAnsi="Times New Roman"/>
              </w:rPr>
              <w:t xml:space="preserve">nurses and midwives have access </w:t>
            </w:r>
            <w:proofErr w:type="gramStart"/>
            <w:r w:rsidRPr="005529DF">
              <w:rPr>
                <w:rFonts w:ascii="Times New Roman" w:hAnsi="Times New Roman"/>
              </w:rPr>
              <w:t xml:space="preserve">to </w:t>
            </w:r>
            <w:r w:rsidR="003D5F0C">
              <w:rPr>
                <w:rFonts w:ascii="Times New Roman" w:hAnsi="Times New Roman"/>
              </w:rPr>
              <w:t xml:space="preserve"> NMHPV</w:t>
            </w:r>
            <w:proofErr w:type="gramEnd"/>
            <w:r w:rsidR="00865917" w:rsidRPr="005529DF">
              <w:rPr>
                <w:rFonts w:ascii="Times New Roman" w:hAnsi="Times New Roman"/>
              </w:rPr>
              <w:t>,</w:t>
            </w:r>
            <w:r w:rsidRPr="005529DF">
              <w:rPr>
                <w:rFonts w:ascii="Times New Roman" w:hAnsi="Times New Roman"/>
              </w:rPr>
              <w:t xml:space="preserve"> </w:t>
            </w:r>
            <w:r w:rsidR="00B85E8D">
              <w:rPr>
                <w:rFonts w:ascii="Times New Roman" w:hAnsi="Times New Roman"/>
              </w:rPr>
              <w:t xml:space="preserve">which offer </w:t>
            </w:r>
            <w:r w:rsidRPr="005529DF">
              <w:rPr>
                <w:rFonts w:ascii="Times New Roman" w:hAnsi="Times New Roman"/>
              </w:rPr>
              <w:t>counselling, referrals and case management</w:t>
            </w:r>
            <w:r w:rsidR="003D5F0C">
              <w:rPr>
                <w:rFonts w:ascii="Times New Roman" w:hAnsi="Times New Roman"/>
              </w:rPr>
              <w:t xml:space="preserve"> services</w:t>
            </w:r>
            <w:r w:rsidRPr="005529DF">
              <w:rPr>
                <w:rFonts w:ascii="Times New Roman" w:hAnsi="Times New Roman"/>
              </w:rPr>
              <w:t xml:space="preserve">. </w:t>
            </w:r>
          </w:p>
        </w:tc>
        <w:tc>
          <w:tcPr>
            <w:tcW w:w="3969" w:type="dxa"/>
            <w:tcBorders>
              <w:top w:val="single" w:sz="4" w:space="0" w:color="auto"/>
              <w:left w:val="single" w:sz="4" w:space="0" w:color="auto"/>
              <w:bottom w:val="nil"/>
              <w:right w:val="single" w:sz="4" w:space="0" w:color="auto"/>
            </w:tcBorders>
          </w:tcPr>
          <w:p w:rsidR="00CF65AD" w:rsidRPr="005529DF" w:rsidRDefault="00CF65AD" w:rsidP="00610FBD">
            <w:pPr>
              <w:pStyle w:val="Source"/>
              <w:pBdr>
                <w:bottom w:val="none" w:sz="0" w:space="0" w:color="auto"/>
              </w:pBdr>
              <w:rPr>
                <w:rFonts w:ascii="Times New Roman" w:hAnsi="Times New Roman"/>
              </w:rPr>
            </w:pPr>
            <w:r w:rsidRPr="005529DF">
              <w:rPr>
                <w:rFonts w:ascii="Times New Roman" w:hAnsi="Times New Roman"/>
              </w:rPr>
              <w:t>Nurses and midwives have access to a range of services including EAPs, private practitioners</w:t>
            </w:r>
            <w:r w:rsidR="00865917" w:rsidRPr="005529DF">
              <w:rPr>
                <w:rFonts w:ascii="Times New Roman" w:hAnsi="Times New Roman"/>
              </w:rPr>
              <w:t xml:space="preserve"> and government funded services. </w:t>
            </w:r>
          </w:p>
          <w:p w:rsidR="00CF65AD" w:rsidRPr="005529DF" w:rsidRDefault="00CF65AD" w:rsidP="005B72F2">
            <w:pPr>
              <w:pStyle w:val="Tablebody"/>
              <w:keepNext w:val="0"/>
              <w:keepLines w:val="0"/>
              <w:rPr>
                <w:rFonts w:ascii="Times New Roman" w:hAnsi="Times New Roman"/>
              </w:rPr>
            </w:pPr>
          </w:p>
        </w:tc>
        <w:tc>
          <w:tcPr>
            <w:tcW w:w="2835" w:type="dxa"/>
            <w:tcBorders>
              <w:top w:val="single" w:sz="4" w:space="0" w:color="auto"/>
              <w:left w:val="single" w:sz="4" w:space="0" w:color="auto"/>
              <w:bottom w:val="nil"/>
              <w:right w:val="single" w:sz="4" w:space="0" w:color="auto"/>
            </w:tcBorders>
          </w:tcPr>
          <w:p w:rsidR="00CF65AD" w:rsidRPr="005529DF" w:rsidRDefault="00CF65AD" w:rsidP="00610FBD">
            <w:pPr>
              <w:pStyle w:val="Source"/>
              <w:pBdr>
                <w:bottom w:val="none" w:sz="0" w:space="0" w:color="auto"/>
              </w:pBdr>
              <w:rPr>
                <w:rFonts w:ascii="Times New Roman" w:hAnsi="Times New Roman"/>
              </w:rPr>
            </w:pPr>
            <w:r w:rsidRPr="005529DF">
              <w:rPr>
                <w:rFonts w:ascii="Times New Roman" w:hAnsi="Times New Roman"/>
              </w:rPr>
              <w:t xml:space="preserve">See New South Wales </w:t>
            </w:r>
          </w:p>
        </w:tc>
      </w:tr>
      <w:tr w:rsidR="00CF65AD" w:rsidRPr="005529DF" w:rsidTr="00102595">
        <w:tc>
          <w:tcPr>
            <w:tcW w:w="1025" w:type="dxa"/>
            <w:tcBorders>
              <w:top w:val="nil"/>
              <w:left w:val="single" w:sz="4" w:space="0" w:color="auto"/>
              <w:bottom w:val="single" w:sz="4" w:space="0" w:color="auto"/>
              <w:right w:val="single" w:sz="4" w:space="0" w:color="auto"/>
            </w:tcBorders>
          </w:tcPr>
          <w:p w:rsidR="00CF65AD" w:rsidRPr="005529DF" w:rsidRDefault="00CF65AD" w:rsidP="00610FBD">
            <w:pPr>
              <w:pStyle w:val="Source"/>
              <w:pBdr>
                <w:bottom w:val="none" w:sz="0" w:space="0" w:color="auto"/>
              </w:pBdr>
              <w:rPr>
                <w:rFonts w:ascii="Times New Roman" w:hAnsi="Times New Roman"/>
                <w:b/>
              </w:rPr>
            </w:pPr>
            <w:r w:rsidRPr="005529DF">
              <w:rPr>
                <w:rFonts w:ascii="Times New Roman" w:hAnsi="Times New Roman"/>
                <w:b/>
              </w:rPr>
              <w:lastRenderedPageBreak/>
              <w:t xml:space="preserve">Treatment </w:t>
            </w:r>
          </w:p>
        </w:tc>
        <w:tc>
          <w:tcPr>
            <w:tcW w:w="3512" w:type="dxa"/>
            <w:tcBorders>
              <w:top w:val="nil"/>
              <w:left w:val="single" w:sz="4" w:space="0" w:color="auto"/>
              <w:bottom w:val="single" w:sz="4" w:space="0" w:color="auto"/>
              <w:right w:val="single" w:sz="4" w:space="0" w:color="auto"/>
            </w:tcBorders>
          </w:tcPr>
          <w:p w:rsidR="00CF65AD" w:rsidRPr="005529DF" w:rsidRDefault="00F23111" w:rsidP="00610FBD">
            <w:pPr>
              <w:pStyle w:val="Source"/>
              <w:pBdr>
                <w:bottom w:val="none" w:sz="0" w:space="0" w:color="auto"/>
              </w:pBdr>
              <w:rPr>
                <w:rFonts w:ascii="Times New Roman" w:hAnsi="Times New Roman"/>
              </w:rPr>
            </w:pPr>
            <w:r w:rsidRPr="005529DF">
              <w:rPr>
                <w:rFonts w:ascii="Times New Roman" w:hAnsi="Times New Roman"/>
              </w:rPr>
              <w:t xml:space="preserve">Nurses and midwives </w:t>
            </w:r>
            <w:r w:rsidR="00CF65AD" w:rsidRPr="005529DF">
              <w:rPr>
                <w:rFonts w:ascii="Times New Roman" w:hAnsi="Times New Roman"/>
              </w:rPr>
              <w:t>are responsible for seeking their own treatment and payment of treatment</w:t>
            </w:r>
            <w:r w:rsidR="00865917" w:rsidRPr="005529DF">
              <w:rPr>
                <w:rFonts w:ascii="Times New Roman" w:hAnsi="Times New Roman"/>
              </w:rPr>
              <w:t xml:space="preserve">. </w:t>
            </w:r>
          </w:p>
        </w:tc>
        <w:tc>
          <w:tcPr>
            <w:tcW w:w="3969" w:type="dxa"/>
            <w:tcBorders>
              <w:top w:val="nil"/>
              <w:left w:val="single" w:sz="4" w:space="0" w:color="auto"/>
              <w:bottom w:val="single" w:sz="4" w:space="0" w:color="auto"/>
              <w:right w:val="single" w:sz="4" w:space="0" w:color="auto"/>
            </w:tcBorders>
          </w:tcPr>
          <w:p w:rsidR="00CF65AD" w:rsidRPr="005529DF" w:rsidRDefault="00CF65AD" w:rsidP="00610FBD">
            <w:pPr>
              <w:pStyle w:val="Source"/>
              <w:pBdr>
                <w:bottom w:val="none" w:sz="0" w:space="0" w:color="auto"/>
              </w:pBdr>
              <w:rPr>
                <w:rFonts w:ascii="Times New Roman" w:hAnsi="Times New Roman"/>
              </w:rPr>
            </w:pPr>
            <w:r w:rsidRPr="005529DF">
              <w:rPr>
                <w:rFonts w:ascii="Times New Roman" w:hAnsi="Times New Roman"/>
              </w:rPr>
              <w:t xml:space="preserve">See all other states/territories </w:t>
            </w:r>
          </w:p>
          <w:p w:rsidR="00CF65AD" w:rsidRPr="005529DF" w:rsidRDefault="00CF65AD" w:rsidP="00610FBD">
            <w:pPr>
              <w:pStyle w:val="Source"/>
              <w:pBdr>
                <w:bottom w:val="none" w:sz="0" w:space="0" w:color="auto"/>
              </w:pBdr>
              <w:rPr>
                <w:rFonts w:ascii="Times New Roman" w:hAnsi="Times New Roman"/>
              </w:rPr>
            </w:pPr>
          </w:p>
        </w:tc>
        <w:tc>
          <w:tcPr>
            <w:tcW w:w="2835" w:type="dxa"/>
            <w:tcBorders>
              <w:top w:val="nil"/>
              <w:left w:val="single" w:sz="4" w:space="0" w:color="auto"/>
              <w:bottom w:val="single" w:sz="4" w:space="0" w:color="auto"/>
              <w:right w:val="single" w:sz="4" w:space="0" w:color="auto"/>
            </w:tcBorders>
          </w:tcPr>
          <w:p w:rsidR="00CF65AD" w:rsidRPr="005529DF" w:rsidRDefault="00CF65AD" w:rsidP="00610FBD">
            <w:pPr>
              <w:pStyle w:val="Source"/>
              <w:pBdr>
                <w:bottom w:val="none" w:sz="0" w:space="0" w:color="auto"/>
              </w:pBdr>
              <w:rPr>
                <w:rFonts w:ascii="Times New Roman" w:hAnsi="Times New Roman"/>
              </w:rPr>
            </w:pPr>
            <w:r w:rsidRPr="005529DF">
              <w:rPr>
                <w:rFonts w:ascii="Times New Roman" w:hAnsi="Times New Roman"/>
              </w:rPr>
              <w:t xml:space="preserve">See all other states/territories </w:t>
            </w:r>
          </w:p>
          <w:p w:rsidR="00CF65AD" w:rsidRPr="005529DF" w:rsidRDefault="00CF65AD" w:rsidP="00610FBD">
            <w:pPr>
              <w:pStyle w:val="Source"/>
              <w:pBdr>
                <w:bottom w:val="none" w:sz="0" w:space="0" w:color="auto"/>
              </w:pBdr>
              <w:rPr>
                <w:rFonts w:ascii="Times New Roman" w:hAnsi="Times New Roman"/>
              </w:rPr>
            </w:pPr>
          </w:p>
        </w:tc>
      </w:tr>
      <w:tr w:rsidR="00CF65AD" w:rsidRPr="005529DF" w:rsidTr="00102595">
        <w:tc>
          <w:tcPr>
            <w:tcW w:w="1025" w:type="dxa"/>
            <w:tcBorders>
              <w:top w:val="single" w:sz="4" w:space="0" w:color="auto"/>
              <w:left w:val="single" w:sz="4" w:space="0" w:color="auto"/>
              <w:bottom w:val="single" w:sz="4" w:space="0" w:color="auto"/>
              <w:right w:val="single" w:sz="4" w:space="0" w:color="auto"/>
            </w:tcBorders>
          </w:tcPr>
          <w:p w:rsidR="00CF65AD" w:rsidRPr="005529DF" w:rsidRDefault="00CF65AD" w:rsidP="00610FBD">
            <w:pPr>
              <w:pStyle w:val="Source"/>
              <w:pBdr>
                <w:bottom w:val="none" w:sz="0" w:space="0" w:color="auto"/>
              </w:pBdr>
              <w:rPr>
                <w:rFonts w:ascii="Times New Roman" w:hAnsi="Times New Roman"/>
                <w:b/>
              </w:rPr>
            </w:pPr>
            <w:r w:rsidRPr="005529DF">
              <w:rPr>
                <w:rFonts w:ascii="Times New Roman" w:hAnsi="Times New Roman"/>
                <w:b/>
              </w:rPr>
              <w:t xml:space="preserve">Monitoring </w:t>
            </w:r>
          </w:p>
        </w:tc>
        <w:tc>
          <w:tcPr>
            <w:tcW w:w="3512" w:type="dxa"/>
            <w:tcBorders>
              <w:top w:val="single" w:sz="4" w:space="0" w:color="auto"/>
              <w:left w:val="single" w:sz="4" w:space="0" w:color="auto"/>
              <w:bottom w:val="single" w:sz="4" w:space="0" w:color="auto"/>
              <w:right w:val="single" w:sz="4" w:space="0" w:color="auto"/>
            </w:tcBorders>
          </w:tcPr>
          <w:p w:rsidR="00CF65AD" w:rsidRPr="005529DF" w:rsidRDefault="00CF65AD" w:rsidP="008762BC">
            <w:pPr>
              <w:pStyle w:val="Source"/>
              <w:pBdr>
                <w:bottom w:val="none" w:sz="0" w:space="0" w:color="auto"/>
              </w:pBdr>
              <w:rPr>
                <w:rFonts w:ascii="Times New Roman" w:hAnsi="Times New Roman"/>
              </w:rPr>
            </w:pPr>
            <w:r w:rsidRPr="005529DF">
              <w:rPr>
                <w:rFonts w:ascii="Times New Roman" w:hAnsi="Times New Roman"/>
              </w:rPr>
              <w:t xml:space="preserve">If a </w:t>
            </w:r>
            <w:r w:rsidR="00F23111" w:rsidRPr="005529DF">
              <w:rPr>
                <w:rFonts w:ascii="Times New Roman" w:hAnsi="Times New Roman"/>
              </w:rPr>
              <w:t>nurse or midwife</w:t>
            </w:r>
            <w:r w:rsidRPr="005529DF">
              <w:rPr>
                <w:rFonts w:ascii="Times New Roman" w:hAnsi="Times New Roman"/>
              </w:rPr>
              <w:t xml:space="preserve"> has an impairment, and conditions are placed on this person’s registration, </w:t>
            </w:r>
            <w:r w:rsidR="00E77D86">
              <w:rPr>
                <w:rFonts w:ascii="Times New Roman" w:hAnsi="Times New Roman"/>
              </w:rPr>
              <w:t>the NMBA</w:t>
            </w:r>
            <w:r w:rsidR="00E77D86" w:rsidRPr="005529DF">
              <w:rPr>
                <w:rFonts w:ascii="Times New Roman" w:hAnsi="Times New Roman"/>
              </w:rPr>
              <w:t xml:space="preserve"> </w:t>
            </w:r>
            <w:r w:rsidRPr="005529DF">
              <w:rPr>
                <w:rFonts w:ascii="Times New Roman" w:hAnsi="Times New Roman"/>
              </w:rPr>
              <w:t>will decide a review period for the conditions.  Monitoring conditions may include testing</w:t>
            </w:r>
            <w:r w:rsidR="00F36F96">
              <w:rPr>
                <w:rFonts w:ascii="Times New Roman" w:hAnsi="Times New Roman"/>
              </w:rPr>
              <w:t xml:space="preserve">, </w:t>
            </w:r>
            <w:r w:rsidRPr="005529DF">
              <w:rPr>
                <w:rFonts w:ascii="Times New Roman" w:hAnsi="Times New Roman"/>
              </w:rPr>
              <w:t xml:space="preserve">which is largely for those with an alcohol and/or substance abuse problem. </w:t>
            </w:r>
          </w:p>
        </w:tc>
        <w:tc>
          <w:tcPr>
            <w:tcW w:w="3969" w:type="dxa"/>
            <w:tcBorders>
              <w:top w:val="single" w:sz="4" w:space="0" w:color="auto"/>
              <w:left w:val="single" w:sz="4" w:space="0" w:color="auto"/>
              <w:bottom w:val="single" w:sz="4" w:space="0" w:color="auto"/>
              <w:right w:val="single" w:sz="4" w:space="0" w:color="auto"/>
            </w:tcBorders>
          </w:tcPr>
          <w:p w:rsidR="00CF65AD" w:rsidRPr="005529DF" w:rsidRDefault="00CF65AD" w:rsidP="00610FBD">
            <w:pPr>
              <w:pStyle w:val="Source"/>
              <w:pBdr>
                <w:bottom w:val="none" w:sz="0" w:space="0" w:color="auto"/>
              </w:pBdr>
              <w:rPr>
                <w:rFonts w:ascii="Times New Roman" w:hAnsi="Times New Roman"/>
              </w:rPr>
            </w:pPr>
            <w:r w:rsidRPr="005529DF">
              <w:rPr>
                <w:rFonts w:ascii="Times New Roman" w:hAnsi="Times New Roman"/>
              </w:rPr>
              <w:t xml:space="preserve">The Council monitors the </w:t>
            </w:r>
            <w:r w:rsidR="00F23111" w:rsidRPr="005529DF">
              <w:rPr>
                <w:rFonts w:ascii="Times New Roman" w:hAnsi="Times New Roman"/>
              </w:rPr>
              <w:t xml:space="preserve">nurse or midwife </w:t>
            </w:r>
            <w:r w:rsidRPr="005529DF">
              <w:rPr>
                <w:rFonts w:ascii="Times New Roman" w:hAnsi="Times New Roman"/>
              </w:rPr>
              <w:t>for a period of time that is negotiated between the health practitioner and the IRP.</w:t>
            </w:r>
          </w:p>
        </w:tc>
        <w:tc>
          <w:tcPr>
            <w:tcW w:w="2835" w:type="dxa"/>
            <w:tcBorders>
              <w:top w:val="single" w:sz="4" w:space="0" w:color="auto"/>
              <w:left w:val="single" w:sz="4" w:space="0" w:color="auto"/>
              <w:bottom w:val="single" w:sz="4" w:space="0" w:color="auto"/>
              <w:right w:val="single" w:sz="4" w:space="0" w:color="auto"/>
            </w:tcBorders>
          </w:tcPr>
          <w:p w:rsidR="00CF65AD" w:rsidRPr="005529DF" w:rsidRDefault="00CF65AD" w:rsidP="00610FBD">
            <w:pPr>
              <w:pStyle w:val="Source"/>
              <w:pBdr>
                <w:bottom w:val="none" w:sz="0" w:space="0" w:color="auto"/>
              </w:pBdr>
              <w:rPr>
                <w:rFonts w:ascii="Times New Roman" w:hAnsi="Times New Roman"/>
              </w:rPr>
            </w:pPr>
            <w:r w:rsidRPr="005529DF">
              <w:rPr>
                <w:rFonts w:ascii="Times New Roman" w:hAnsi="Times New Roman"/>
              </w:rPr>
              <w:t xml:space="preserve">See all other states/territories </w:t>
            </w:r>
          </w:p>
          <w:p w:rsidR="00CF65AD" w:rsidRPr="005529DF" w:rsidRDefault="00CF65AD" w:rsidP="00610FBD">
            <w:pPr>
              <w:pStyle w:val="Source"/>
              <w:pBdr>
                <w:bottom w:val="none" w:sz="0" w:space="0" w:color="auto"/>
              </w:pBdr>
              <w:rPr>
                <w:rFonts w:ascii="Times New Roman" w:hAnsi="Times New Roman"/>
              </w:rPr>
            </w:pPr>
            <w:r w:rsidRPr="005529DF">
              <w:rPr>
                <w:rFonts w:ascii="Times New Roman" w:hAnsi="Times New Roman"/>
              </w:rPr>
              <w:t xml:space="preserve">The OHO receive three-monthly reports on cases referred to AHPRA and is provided with additional reports upon request.  </w:t>
            </w:r>
          </w:p>
        </w:tc>
      </w:tr>
    </w:tbl>
    <w:p w:rsidR="00CF65AD" w:rsidRPr="005529DF" w:rsidRDefault="00CF65AD" w:rsidP="00222DE1">
      <w:pPr>
        <w:pStyle w:val="Source"/>
        <w:ind w:left="-3261" w:right="-708"/>
        <w:rPr>
          <w:rFonts w:ascii="Times New Roman" w:hAnsi="Times New Roman"/>
        </w:rPr>
      </w:pPr>
      <w:r w:rsidRPr="005529DF">
        <w:rPr>
          <w:rFonts w:ascii="Times New Roman" w:hAnsi="Times New Roman"/>
        </w:rPr>
        <w:t xml:space="preserve">Source: </w:t>
      </w:r>
      <w:r w:rsidRPr="005529DF">
        <w:rPr>
          <w:rFonts w:ascii="Times New Roman" w:hAnsi="Times New Roman"/>
          <w:i/>
        </w:rPr>
        <w:t>Health Practitioner Regulation National Law Act</w:t>
      </w:r>
      <w:r w:rsidRPr="005529DF">
        <w:rPr>
          <w:rFonts w:ascii="Times New Roman" w:hAnsi="Times New Roman"/>
        </w:rPr>
        <w:t xml:space="preserve"> (2009); NMHPV 2014; OHO 2013; AMA Queensland 2013; HCCC 2014; Health Professionals Council Authority (HPCA) 2012; Wardell 2009; NMCNSW 2014</w:t>
      </w:r>
    </w:p>
    <w:p w:rsidR="00D84BF8" w:rsidRPr="005529DF" w:rsidRDefault="00D84BF8" w:rsidP="00D84BF8">
      <w:pPr>
        <w:pStyle w:val="BodyText"/>
      </w:pPr>
      <w:r w:rsidRPr="005529DF">
        <w:t xml:space="preserve">Adding to the challenges of developing a consistent approach is that there </w:t>
      </w:r>
      <w:r w:rsidR="007C5131">
        <w:t>is</w:t>
      </w:r>
      <w:r w:rsidR="007C5131" w:rsidRPr="005529DF">
        <w:t xml:space="preserve"> </w:t>
      </w:r>
      <w:r w:rsidRPr="005529DF">
        <w:t xml:space="preserve">a range of other entities who can play a role in managing and supporting health practitioners with an impairment—including education providers, employers, health services, professional associations and colleges, and insurers. </w:t>
      </w:r>
    </w:p>
    <w:p w:rsidR="00422316" w:rsidRPr="007640DA" w:rsidRDefault="00422316" w:rsidP="005B72F2">
      <w:pPr>
        <w:pStyle w:val="Heading3"/>
        <w:keepNext w:val="0"/>
        <w:rPr>
          <w:rStyle w:val="reference-text"/>
          <w:rFonts w:ascii="Times New Roman" w:eastAsiaTheme="minorHAnsi" w:hAnsi="Times New Roman"/>
          <w:b w:val="0"/>
          <w:color w:val="auto"/>
          <w:sz w:val="16"/>
          <w:szCs w:val="28"/>
          <w:lang w:eastAsia="en-US"/>
        </w:rPr>
      </w:pPr>
      <w:bookmarkStart w:id="86" w:name="_Toc417387043"/>
      <w:bookmarkStart w:id="87" w:name="_Toc417387044"/>
      <w:bookmarkStart w:id="88" w:name="_Toc417903011"/>
      <w:bookmarkStart w:id="89" w:name="_Toc417903168"/>
      <w:bookmarkStart w:id="90" w:name="_Toc417904281"/>
      <w:bookmarkStart w:id="91" w:name="_Ref418415595"/>
      <w:bookmarkStart w:id="92" w:name="_Ref418583713"/>
      <w:bookmarkEnd w:id="86"/>
      <w:bookmarkEnd w:id="87"/>
      <w:r w:rsidRPr="007640DA">
        <w:rPr>
          <w:rStyle w:val="reference-text"/>
          <w:rFonts w:ascii="Times New Roman" w:hAnsi="Times New Roman"/>
          <w:szCs w:val="28"/>
          <w:lang w:eastAsia="en-US"/>
        </w:rPr>
        <w:t xml:space="preserve">Referral </w:t>
      </w:r>
      <w:r w:rsidR="0097229D" w:rsidRPr="007640DA">
        <w:rPr>
          <w:rStyle w:val="reference-text"/>
          <w:rFonts w:ascii="Times New Roman" w:hAnsi="Times New Roman"/>
          <w:szCs w:val="28"/>
          <w:lang w:eastAsia="en-US"/>
        </w:rPr>
        <w:t>and notification</w:t>
      </w:r>
      <w:bookmarkEnd w:id="88"/>
      <w:bookmarkEnd w:id="89"/>
      <w:bookmarkEnd w:id="90"/>
      <w:bookmarkEnd w:id="91"/>
      <w:bookmarkEnd w:id="92"/>
    </w:p>
    <w:p w:rsidR="00422316" w:rsidRPr="007640DA" w:rsidRDefault="00422316" w:rsidP="00422316">
      <w:pPr>
        <w:pStyle w:val="BodyText"/>
        <w:rPr>
          <w:i/>
        </w:rPr>
      </w:pPr>
      <w:r w:rsidRPr="007640DA">
        <w:rPr>
          <w:i/>
        </w:rPr>
        <w:t xml:space="preserve">The first stage in the treatment and rehabilitation of </w:t>
      </w:r>
      <w:r w:rsidR="00455B8F" w:rsidRPr="007640DA">
        <w:rPr>
          <w:i/>
        </w:rPr>
        <w:t>nurses and midwives with a health</w:t>
      </w:r>
      <w:r w:rsidRPr="007640DA">
        <w:rPr>
          <w:i/>
        </w:rPr>
        <w:t xml:space="preserve"> impairment is the identification of those </w:t>
      </w:r>
      <w:r w:rsidR="005F3E74" w:rsidRPr="007640DA">
        <w:rPr>
          <w:i/>
        </w:rPr>
        <w:t xml:space="preserve">practitioners </w:t>
      </w:r>
      <w:r w:rsidRPr="007640DA">
        <w:rPr>
          <w:i/>
        </w:rPr>
        <w:t>who may be at risk</w:t>
      </w:r>
      <w:r w:rsidR="00B85E8D">
        <w:rPr>
          <w:i/>
        </w:rPr>
        <w:t xml:space="preserve"> of impairment</w:t>
      </w:r>
      <w:r w:rsidRPr="007640DA">
        <w:rPr>
          <w:i/>
        </w:rPr>
        <w:t xml:space="preserve">, followed by referral </w:t>
      </w:r>
      <w:r w:rsidR="008762BC">
        <w:rPr>
          <w:i/>
        </w:rPr>
        <w:t xml:space="preserve">to a support service or </w:t>
      </w:r>
      <w:r w:rsidR="00E14BA0">
        <w:rPr>
          <w:i/>
        </w:rPr>
        <w:t>notification</w:t>
      </w:r>
      <w:r w:rsidR="008762BC">
        <w:rPr>
          <w:i/>
        </w:rPr>
        <w:t xml:space="preserve"> to the regulator. </w:t>
      </w:r>
      <w:r w:rsidRPr="007640DA">
        <w:rPr>
          <w:i/>
        </w:rPr>
        <w:t xml:space="preserve"> </w:t>
      </w:r>
    </w:p>
    <w:p w:rsidR="002C17D8" w:rsidRPr="005529DF" w:rsidRDefault="002C17D8" w:rsidP="002C17D8">
      <w:pPr>
        <w:pStyle w:val="BodyText"/>
      </w:pPr>
      <w:r w:rsidRPr="005529DF">
        <w:t>There is a difference between reporting (‘notification’ in the Australian context) and referral. Reporting means raising a concern about a potentially impaired practitioner with a regulator, on the understanding that investigation and potential regulatory action may follow. Referral means suggesting or directing that a practitioner engage with a service for impaired practitioners.</w:t>
      </w:r>
    </w:p>
    <w:p w:rsidR="00893E8D" w:rsidRPr="007640DA" w:rsidRDefault="00893E8D" w:rsidP="007640DA">
      <w:pPr>
        <w:pStyle w:val="SideQuoteSource"/>
        <w:framePr w:wrap="around"/>
      </w:pPr>
      <w:r w:rsidRPr="007640DA">
        <w:t>Many possible points of referral with self-referral considered the ideal</w:t>
      </w:r>
    </w:p>
    <w:p w:rsidR="00893E8D" w:rsidRPr="007640DA" w:rsidRDefault="00893E8D" w:rsidP="00102595">
      <w:pPr>
        <w:pStyle w:val="BodyText"/>
      </w:pPr>
      <w:r w:rsidRPr="007640DA">
        <w:t xml:space="preserve">The literature review and </w:t>
      </w:r>
      <w:r w:rsidR="00E14BA0">
        <w:t>feedback</w:t>
      </w:r>
      <w:r w:rsidR="00BC782E">
        <w:t xml:space="preserve"> from </w:t>
      </w:r>
      <w:r w:rsidRPr="007640DA">
        <w:t xml:space="preserve">stakeholder consultations highlight that there </w:t>
      </w:r>
      <w:r w:rsidR="00BC782E">
        <w:t>are</w:t>
      </w:r>
      <w:r w:rsidRPr="007640DA">
        <w:t xml:space="preserve"> a range of referral and reporting sources</w:t>
      </w:r>
      <w:r w:rsidR="00116CD1">
        <w:t xml:space="preserve"> in Australia</w:t>
      </w:r>
      <w:r w:rsidR="00570C97">
        <w:t>, as is the case internationally as well</w:t>
      </w:r>
      <w:r w:rsidRPr="007640DA">
        <w:t xml:space="preserve">. Prominent sources are employers, treating practitioners, family/friends, universities, colleagues as well as self-referral/reporting. </w:t>
      </w:r>
      <w:r w:rsidR="0081175D" w:rsidRPr="007640DA">
        <w:t xml:space="preserve"> Self-referral is widely </w:t>
      </w:r>
      <w:r w:rsidR="00570C97">
        <w:t>viewed</w:t>
      </w:r>
      <w:r w:rsidR="00570C97" w:rsidRPr="007640DA">
        <w:t xml:space="preserve"> </w:t>
      </w:r>
      <w:r w:rsidR="0081175D" w:rsidRPr="007640DA">
        <w:t xml:space="preserve">as the ideal method of referral to practitioner support services </w:t>
      </w:r>
      <w:r w:rsidR="00116CD1">
        <w:t xml:space="preserve">as it is </w:t>
      </w:r>
      <w:r w:rsidRPr="007640DA">
        <w:t>considered to demonstrate reduced stigma, practitioner acceptance that they have a problem and need help, motivation to change and faith in the quality and suitability of the service</w:t>
      </w:r>
      <w:r w:rsidR="00116CD1">
        <w:t xml:space="preserve"> (Kay and </w:t>
      </w:r>
      <w:proofErr w:type="spellStart"/>
      <w:r w:rsidR="00116CD1">
        <w:t>Izenour</w:t>
      </w:r>
      <w:proofErr w:type="spellEnd"/>
      <w:r w:rsidR="00116CD1">
        <w:t xml:space="preserve"> 2008; CRNBC 2012; Hamilton and Duncan 2012)</w:t>
      </w:r>
      <w:r w:rsidRPr="007640DA">
        <w:t>. Self-</w:t>
      </w:r>
      <w:r w:rsidRPr="007640DA">
        <w:lastRenderedPageBreak/>
        <w:t>referral may also pick up problems earlier, better protecting patients and the practitioner. It is also a lower-cost option, as it bypasses the costs associated with, for example, regulator investigation leading to referral</w:t>
      </w:r>
      <w:r w:rsidR="00116CD1">
        <w:t xml:space="preserve"> (Dunn 2005; CRNBC 2012)</w:t>
      </w:r>
      <w:r w:rsidR="00155217">
        <w:t>.</w:t>
      </w:r>
      <w:r w:rsidR="00905488" w:rsidRPr="007640DA">
        <w:t xml:space="preserve"> </w:t>
      </w:r>
    </w:p>
    <w:p w:rsidR="00935BB9" w:rsidRPr="007640DA" w:rsidRDefault="00560DE1" w:rsidP="00422316">
      <w:pPr>
        <w:pStyle w:val="BodyText"/>
      </w:pPr>
      <w:r w:rsidRPr="007640DA">
        <w:t>That s</w:t>
      </w:r>
      <w:r w:rsidR="00935BB9" w:rsidRPr="007640DA">
        <w:t xml:space="preserve">elf-referral </w:t>
      </w:r>
      <w:r w:rsidR="00C00661">
        <w:t>and</w:t>
      </w:r>
      <w:r w:rsidR="00BB742D" w:rsidRPr="007640DA">
        <w:t xml:space="preserve"> </w:t>
      </w:r>
      <w:r w:rsidR="00935BB9" w:rsidRPr="007640DA">
        <w:t xml:space="preserve">early identification </w:t>
      </w:r>
      <w:r w:rsidR="00C00661">
        <w:t xml:space="preserve">of a health impairment </w:t>
      </w:r>
      <w:r w:rsidR="00BC782E">
        <w:t>may reduce the likelihood</w:t>
      </w:r>
      <w:r w:rsidR="00C00661">
        <w:t xml:space="preserve"> or severity </w:t>
      </w:r>
      <w:r w:rsidR="00BC782E">
        <w:t>of</w:t>
      </w:r>
      <w:r w:rsidR="00C00661">
        <w:t xml:space="preserve"> the condition</w:t>
      </w:r>
      <w:r w:rsidR="00935BB9" w:rsidRPr="007640DA">
        <w:t xml:space="preserve"> </w:t>
      </w:r>
      <w:r w:rsidR="00BC782E">
        <w:t>impacting upon performance</w:t>
      </w:r>
      <w:r w:rsidR="00935BB9" w:rsidRPr="007640DA">
        <w:t xml:space="preserve"> and therefore </w:t>
      </w:r>
      <w:r w:rsidR="00BC782E">
        <w:t xml:space="preserve">may in turn </w:t>
      </w:r>
      <w:r w:rsidR="00935BB9" w:rsidRPr="007640DA">
        <w:t>decrease the number of notifications</w:t>
      </w:r>
      <w:r w:rsidRPr="007640DA">
        <w:t xml:space="preserve"> and </w:t>
      </w:r>
      <w:r w:rsidR="00BC782E">
        <w:t xml:space="preserve">potential </w:t>
      </w:r>
      <w:r w:rsidRPr="007640DA">
        <w:t>risk to the public</w:t>
      </w:r>
      <w:r w:rsidR="00935BB9" w:rsidRPr="007640DA">
        <w:t xml:space="preserve">. </w:t>
      </w:r>
    </w:p>
    <w:p w:rsidR="00935BB9" w:rsidRPr="007640DA" w:rsidRDefault="00935BB9" w:rsidP="007640DA">
      <w:pPr>
        <w:pStyle w:val="SideQuoteSource"/>
        <w:framePr w:wrap="around"/>
      </w:pPr>
      <w:r w:rsidRPr="007640DA">
        <w:t>Reluctance to identify or acknowledge impairment</w:t>
      </w:r>
    </w:p>
    <w:p w:rsidR="005B72F2" w:rsidRDefault="00903D67" w:rsidP="005B72F2">
      <w:pPr>
        <w:pStyle w:val="BodyText"/>
      </w:pPr>
      <w:r>
        <w:t>N</w:t>
      </w:r>
      <w:r w:rsidR="005B72F2" w:rsidRPr="005529DF">
        <w:t xml:space="preserve">urses and midwives who participated in the review </w:t>
      </w:r>
      <w:r w:rsidR="007744C1">
        <w:t xml:space="preserve">consistently </w:t>
      </w:r>
      <w:r w:rsidR="005B72F2" w:rsidRPr="005529DF">
        <w:t xml:space="preserve">highlighted </w:t>
      </w:r>
      <w:r w:rsidR="00B03C30">
        <w:t>a</w:t>
      </w:r>
      <w:r w:rsidR="00B03C30" w:rsidRPr="005529DF">
        <w:t xml:space="preserve"> </w:t>
      </w:r>
      <w:r w:rsidR="005B72F2" w:rsidRPr="005529DF">
        <w:t xml:space="preserve">lack of knowledge about where and how to seek support when they self-identify they have an impairment, identify an impairment in their colleagues, or are notified that they have been reported as having an impairment.  </w:t>
      </w:r>
    </w:p>
    <w:p w:rsidR="00155217" w:rsidRPr="005529DF" w:rsidRDefault="00155217" w:rsidP="00155217">
      <w:pPr>
        <w:pStyle w:val="Quote"/>
      </w:pPr>
      <w:r w:rsidRPr="005529DF">
        <w:t xml:space="preserve">As someone who has gone through a health impairment and had no support at the time I felt </w:t>
      </w:r>
      <w:proofErr w:type="gramStart"/>
      <w:r w:rsidRPr="005529DF">
        <w:t>very</w:t>
      </w:r>
      <w:proofErr w:type="gramEnd"/>
      <w:r w:rsidRPr="005529DF">
        <w:t xml:space="preserve"> let down by the system….I do believe first &amp; foremost that encouragement to access advice and support should be step one in the long recovery process for all Nurses &amp; Midwives with a Health Impairment.</w:t>
      </w:r>
    </w:p>
    <w:p w:rsidR="00155217" w:rsidRPr="005529DF" w:rsidRDefault="00155217" w:rsidP="00155217">
      <w:pPr>
        <w:pStyle w:val="QuoteSource"/>
      </w:pPr>
      <w:r w:rsidRPr="005529DF">
        <w:t xml:space="preserve">Nursing and Midwifery </w:t>
      </w:r>
      <w:r w:rsidR="00116CD1">
        <w:t xml:space="preserve">Health Impairment </w:t>
      </w:r>
      <w:r w:rsidRPr="005529DF">
        <w:t>Survey</w:t>
      </w:r>
      <w:r w:rsidRPr="005529DF" w:rsidDel="00102B44">
        <w:t xml:space="preserve"> </w:t>
      </w:r>
      <w:r w:rsidRPr="005529DF">
        <w:t>2015</w:t>
      </w:r>
    </w:p>
    <w:p w:rsidR="00155217" w:rsidRPr="005529DF" w:rsidRDefault="00155217" w:rsidP="00155217">
      <w:pPr>
        <w:pStyle w:val="Quote"/>
      </w:pPr>
      <w:r w:rsidRPr="005529DF">
        <w:t>I feel there is little or no support for health impaired nurses. Having suffered a mental health issue that took over 12 months to overcome I am now looking at a future without nursing.</w:t>
      </w:r>
    </w:p>
    <w:p w:rsidR="00155217" w:rsidRPr="005529DF" w:rsidRDefault="00155217" w:rsidP="00155217">
      <w:pPr>
        <w:pStyle w:val="QuoteSource"/>
      </w:pPr>
      <w:r w:rsidRPr="005529DF">
        <w:t xml:space="preserve">Nursing and Midwifery </w:t>
      </w:r>
      <w:r w:rsidR="00116CD1">
        <w:t xml:space="preserve">Health Impairment </w:t>
      </w:r>
      <w:r w:rsidRPr="005529DF">
        <w:t>Survey</w:t>
      </w:r>
      <w:r w:rsidRPr="005529DF" w:rsidDel="00102B44">
        <w:t xml:space="preserve"> </w:t>
      </w:r>
      <w:r w:rsidRPr="005529DF">
        <w:t>2015</w:t>
      </w:r>
    </w:p>
    <w:p w:rsidR="00422316" w:rsidRPr="007640DA" w:rsidRDefault="005B72F2" w:rsidP="00102595">
      <w:pPr>
        <w:pStyle w:val="BodyText"/>
      </w:pPr>
      <w:r w:rsidRPr="005529DF">
        <w:t xml:space="preserve">Difficulties in identifying impairment </w:t>
      </w:r>
      <w:r w:rsidR="00C00661">
        <w:t>are</w:t>
      </w:r>
      <w:r w:rsidR="00C00661" w:rsidRPr="005529DF">
        <w:t xml:space="preserve"> </w:t>
      </w:r>
      <w:r w:rsidRPr="005529DF">
        <w:t xml:space="preserve">not unique to nurses and midwives in Australia. </w:t>
      </w:r>
      <w:r w:rsidR="00422316" w:rsidRPr="007640DA">
        <w:t xml:space="preserve">As discussed in the literature review, identification of health impairment among </w:t>
      </w:r>
      <w:r w:rsidR="00976F81">
        <w:t xml:space="preserve">health practitioners </w:t>
      </w:r>
      <w:r w:rsidR="00422316" w:rsidRPr="007640DA">
        <w:t>can be extremely difficult</w:t>
      </w:r>
      <w:r w:rsidR="0081175D" w:rsidRPr="007640DA">
        <w:t xml:space="preserve"> </w:t>
      </w:r>
      <w:r w:rsidR="008762BC">
        <w:t xml:space="preserve">when </w:t>
      </w:r>
      <w:r w:rsidR="0081175D" w:rsidRPr="007640DA">
        <w:t>compared with the general population</w:t>
      </w:r>
      <w:r w:rsidR="008762BC">
        <w:t>,</w:t>
      </w:r>
      <w:r w:rsidR="0081175D" w:rsidRPr="007640DA">
        <w:t xml:space="preserve"> given</w:t>
      </w:r>
      <w:r w:rsidR="00116CD1">
        <w:t xml:space="preserve"> h</w:t>
      </w:r>
      <w:r w:rsidR="00422316" w:rsidRPr="005529DF">
        <w:t xml:space="preserve">ealth concerns in </w:t>
      </w:r>
      <w:r w:rsidR="002C17D8" w:rsidRPr="005529DF">
        <w:t>practi</w:t>
      </w:r>
      <w:r w:rsidR="005250A7" w:rsidRPr="005529DF">
        <w:t>ti</w:t>
      </w:r>
      <w:r w:rsidR="002C17D8" w:rsidRPr="005529DF">
        <w:t>oners</w:t>
      </w:r>
      <w:r w:rsidR="00422316" w:rsidRPr="005529DF">
        <w:t xml:space="preserve"> are often picked relatively late when the problem is already severe and entrenched. This has been attributed to denial and minimisation of the problem, stigma and shame, fear of consequences</w:t>
      </w:r>
      <w:r w:rsidR="008762BC">
        <w:t xml:space="preserve">, </w:t>
      </w:r>
      <w:r w:rsidR="00422316" w:rsidRPr="005529DF">
        <w:t>and doubts about the quality of care that would be provided</w:t>
      </w:r>
      <w:r w:rsidR="00116CD1">
        <w:t xml:space="preserve"> (</w:t>
      </w:r>
      <w:proofErr w:type="spellStart"/>
      <w:r w:rsidR="00116CD1">
        <w:t>Ponech</w:t>
      </w:r>
      <w:proofErr w:type="spellEnd"/>
      <w:r w:rsidR="00116CD1">
        <w:t xml:space="preserve"> 2000; </w:t>
      </w:r>
      <w:proofErr w:type="spellStart"/>
      <w:r w:rsidR="00116CD1">
        <w:t>Clode</w:t>
      </w:r>
      <w:proofErr w:type="spellEnd"/>
      <w:r w:rsidR="00116CD1">
        <w:t xml:space="preserve"> 2004; Dunn 2005)</w:t>
      </w:r>
      <w:r w:rsidR="00422316" w:rsidRPr="005529DF">
        <w:t>.</w:t>
      </w:r>
    </w:p>
    <w:p w:rsidR="00F453BB" w:rsidRPr="005529DF" w:rsidRDefault="00F453BB" w:rsidP="007640DA">
      <w:pPr>
        <w:pStyle w:val="SideQuoteSource"/>
        <w:framePr w:wrap="around"/>
      </w:pPr>
      <w:r w:rsidRPr="005529DF">
        <w:t xml:space="preserve">Stages within the notification process are not well known </w:t>
      </w:r>
    </w:p>
    <w:p w:rsidR="005B72F2" w:rsidRPr="005529DF" w:rsidRDefault="00116CD1" w:rsidP="005B72F2">
      <w:pPr>
        <w:pStyle w:val="BodyText"/>
      </w:pPr>
      <w:r>
        <w:t>N</w:t>
      </w:r>
      <w:r w:rsidR="005B72F2" w:rsidRPr="005529DF">
        <w:t xml:space="preserve">urses and midwives also expressed concern with the </w:t>
      </w:r>
      <w:r w:rsidR="005B72F2" w:rsidRPr="005529DF">
        <w:lastRenderedPageBreak/>
        <w:t xml:space="preserve">situation where the first </w:t>
      </w:r>
      <w:r w:rsidR="00903D67">
        <w:t>communication regarding</w:t>
      </w:r>
      <w:r w:rsidR="005B72F2" w:rsidRPr="005529DF">
        <w:t xml:space="preserve"> an impairment </w:t>
      </w:r>
      <w:r w:rsidR="00A53BBB">
        <w:t>may have been</w:t>
      </w:r>
      <w:r w:rsidR="00A53BBB" w:rsidRPr="005529DF">
        <w:t xml:space="preserve"> </w:t>
      </w:r>
      <w:r w:rsidR="005B72F2" w:rsidRPr="005529DF">
        <w:t xml:space="preserve">through a </w:t>
      </w:r>
      <w:r w:rsidR="00903D67">
        <w:t xml:space="preserve">formal </w:t>
      </w:r>
      <w:r w:rsidR="005B72F2" w:rsidRPr="005529DF">
        <w:t>notification from the regulator. This can be a distressing event</w:t>
      </w:r>
      <w:r w:rsidR="00A53BBB">
        <w:t xml:space="preserve"> in itself, which may be exacerbated by </w:t>
      </w:r>
      <w:r w:rsidR="005B72F2" w:rsidRPr="005529DF">
        <w:t xml:space="preserve">there </w:t>
      </w:r>
      <w:r w:rsidR="00A53BBB">
        <w:t>being a lack of awareness or</w:t>
      </w:r>
      <w:r w:rsidR="005B72F2" w:rsidRPr="005529DF">
        <w:t xml:space="preserve"> </w:t>
      </w:r>
      <w:r w:rsidR="00A53BBB" w:rsidRPr="005529DF">
        <w:t>underst</w:t>
      </w:r>
      <w:r w:rsidR="00A53BBB">
        <w:t>anding of the</w:t>
      </w:r>
      <w:r w:rsidR="00A53BBB" w:rsidRPr="005529DF">
        <w:t xml:space="preserve"> </w:t>
      </w:r>
      <w:r w:rsidR="00A53BBB">
        <w:t>processes to follow</w:t>
      </w:r>
      <w:r w:rsidR="00A53BBB" w:rsidRPr="005529DF">
        <w:t xml:space="preserve"> </w:t>
      </w:r>
      <w:r w:rsidR="005B72F2" w:rsidRPr="005529DF">
        <w:t xml:space="preserve">or first </w:t>
      </w:r>
      <w:r w:rsidR="00C00661">
        <w:t xml:space="preserve">point </w:t>
      </w:r>
      <w:r w:rsidR="005B72F2" w:rsidRPr="005529DF">
        <w:t xml:space="preserve">of call for the practitioner. </w:t>
      </w:r>
    </w:p>
    <w:p w:rsidR="005B72F2" w:rsidRPr="007640DA" w:rsidRDefault="00F453BB" w:rsidP="003D3157">
      <w:pPr>
        <w:pStyle w:val="BodyText"/>
      </w:pPr>
      <w:r w:rsidRPr="005529DF">
        <w:t xml:space="preserve">Discussions with AHPRA Notification Directors and State Managers reinforced these issues by confirming the </w:t>
      </w:r>
      <w:r w:rsidR="00535072">
        <w:t xml:space="preserve">apparent </w:t>
      </w:r>
      <w:r w:rsidRPr="005529DF">
        <w:t xml:space="preserve">limited knowledge nurses and midwives have in regard to the notification process and their responsibilities upon being notified.  </w:t>
      </w:r>
    </w:p>
    <w:p w:rsidR="005B72F2" w:rsidRPr="007640DA" w:rsidRDefault="005B72F2" w:rsidP="007640DA">
      <w:pPr>
        <w:pStyle w:val="SideQuoteSource"/>
        <w:framePr w:wrap="around"/>
      </w:pPr>
      <w:r w:rsidRPr="007640DA">
        <w:t>Mandatory notification is often misunderstood</w:t>
      </w:r>
    </w:p>
    <w:p w:rsidR="003D3157" w:rsidRPr="007640DA" w:rsidRDefault="00F453BB" w:rsidP="003D3157">
      <w:pPr>
        <w:pStyle w:val="BodyText"/>
      </w:pPr>
      <w:r w:rsidRPr="007640DA">
        <w:t xml:space="preserve">Misunderstanding regarding the application of mandatory reporting is also an issue for nurses and midwives. </w:t>
      </w:r>
      <w:r w:rsidR="00627D24" w:rsidRPr="007640DA">
        <w:t>They reported being unclear on mandatory notification thresholds</w:t>
      </w:r>
      <w:r w:rsidR="007744C1">
        <w:t xml:space="preserve">, </w:t>
      </w:r>
      <w:r w:rsidR="00570C97">
        <w:t xml:space="preserve">which can lead to </w:t>
      </w:r>
      <w:r w:rsidR="00891416">
        <w:t xml:space="preserve">the reporting of </w:t>
      </w:r>
      <w:r w:rsidR="00627D24" w:rsidRPr="007640DA">
        <w:t>pr</w:t>
      </w:r>
      <w:r w:rsidR="00905488" w:rsidRPr="007640DA">
        <w:t>actitioners</w:t>
      </w:r>
      <w:r w:rsidR="00627D24" w:rsidRPr="007640DA">
        <w:t xml:space="preserve"> </w:t>
      </w:r>
      <w:r w:rsidR="007F1BE5" w:rsidRPr="007640DA">
        <w:t>whose</w:t>
      </w:r>
      <w:r w:rsidR="00627D24" w:rsidRPr="007640DA">
        <w:t xml:space="preserve"> impairment does not place the public at risk</w:t>
      </w:r>
      <w:r w:rsidR="00905488" w:rsidRPr="007640DA">
        <w:t xml:space="preserve">. </w:t>
      </w:r>
      <w:r w:rsidR="00891416">
        <w:t>This may help explain</w:t>
      </w:r>
      <w:r w:rsidR="007F1BE5" w:rsidRPr="007640DA">
        <w:t xml:space="preserve"> why</w:t>
      </w:r>
      <w:r w:rsidR="003D3157" w:rsidRPr="007640DA">
        <w:t xml:space="preserve">, for nurses and midwives, just under 70 per cent </w:t>
      </w:r>
      <w:r w:rsidR="007F1BE5" w:rsidRPr="007640DA">
        <w:t xml:space="preserve">of </w:t>
      </w:r>
      <w:r w:rsidR="00535072">
        <w:t xml:space="preserve">all </w:t>
      </w:r>
      <w:r w:rsidR="007F1BE5" w:rsidRPr="007640DA">
        <w:t>notifications</w:t>
      </w:r>
      <w:r w:rsidR="00535072">
        <w:t xml:space="preserve">, of which a proportion are related to impairment, </w:t>
      </w:r>
      <w:r w:rsidR="003D3157" w:rsidRPr="007640DA">
        <w:t>require no further action (AHPRA 2015).</w:t>
      </w:r>
    </w:p>
    <w:p w:rsidR="003D3157" w:rsidRPr="007640DA" w:rsidRDefault="008E20F3" w:rsidP="003D3157">
      <w:pPr>
        <w:pStyle w:val="BodyText"/>
      </w:pPr>
      <w:r>
        <w:t xml:space="preserve">The review found that </w:t>
      </w:r>
      <w:r w:rsidR="00E661B8" w:rsidRPr="007640DA">
        <w:t xml:space="preserve">health impairment cases among health practitioners </w:t>
      </w:r>
      <w:r>
        <w:t xml:space="preserve">often </w:t>
      </w:r>
      <w:r w:rsidR="00E661B8" w:rsidRPr="007640DA">
        <w:t>do not require attention from the regulator.</w:t>
      </w:r>
      <w:r w:rsidR="00CB1053" w:rsidRPr="007640DA">
        <w:t xml:space="preserve"> This includes the nursing population where 10 per cent of the profession have a substance</w:t>
      </w:r>
      <w:r w:rsidR="00454984" w:rsidRPr="007640DA">
        <w:t xml:space="preserve"> abuse disorder, b</w:t>
      </w:r>
      <w:r w:rsidR="00CB1053" w:rsidRPr="007640DA">
        <w:t>ut only 6 per cent have a condition severe enough to interfere with their immediate ability to practise (</w:t>
      </w:r>
      <w:proofErr w:type="spellStart"/>
      <w:r>
        <w:t>Ponech</w:t>
      </w:r>
      <w:proofErr w:type="spellEnd"/>
      <w:r>
        <w:t xml:space="preserve"> 2000 &amp; Brown </w:t>
      </w:r>
      <w:r w:rsidRPr="00C633E5">
        <w:rPr>
          <w:i/>
        </w:rPr>
        <w:t>et al</w:t>
      </w:r>
      <w:r>
        <w:t xml:space="preserve"> 2002</w:t>
      </w:r>
      <w:r w:rsidR="00CB1053" w:rsidRPr="007640DA">
        <w:t xml:space="preserve">). </w:t>
      </w:r>
      <w:r w:rsidR="003D3157" w:rsidRPr="007640DA">
        <w:t xml:space="preserve">Victoria’s </w:t>
      </w:r>
      <w:proofErr w:type="gramStart"/>
      <w:r w:rsidR="003D3157" w:rsidRPr="007640DA">
        <w:t>Nursing</w:t>
      </w:r>
      <w:proofErr w:type="gramEnd"/>
      <w:r w:rsidR="003D3157" w:rsidRPr="007640DA">
        <w:t xml:space="preserve"> and Midwifery Health Program (NMHPV) noted that the majority of their cases are stress-related and approximately only 5 per cent involve the </w:t>
      </w:r>
      <w:r w:rsidR="00905488" w:rsidRPr="007640DA">
        <w:t>NMBA</w:t>
      </w:r>
      <w:r w:rsidR="003D3157" w:rsidRPr="007640DA">
        <w:t>. Similar statistics were found for British Columbia’s Early Intervention Program (Canada) and New South Wales’ Medical Benevolent Association.</w:t>
      </w:r>
      <w:r w:rsidR="00454984" w:rsidRPr="007640DA">
        <w:t xml:space="preserve"> What these figures show is that </w:t>
      </w:r>
      <w:r w:rsidR="001E5FBA" w:rsidRPr="007640DA">
        <w:t xml:space="preserve">many </w:t>
      </w:r>
      <w:r w:rsidR="00454984" w:rsidRPr="007640DA">
        <w:t xml:space="preserve">health practitioners, including nurses and midwives, can practise safely with an illness and/or a disability. </w:t>
      </w:r>
    </w:p>
    <w:p w:rsidR="003D3157" w:rsidRPr="007640DA" w:rsidRDefault="00A05605" w:rsidP="007640DA">
      <w:pPr>
        <w:pStyle w:val="SideQuoteSource"/>
        <w:framePr w:wrap="around"/>
      </w:pPr>
      <w:r w:rsidRPr="007640DA">
        <w:t>Few</w:t>
      </w:r>
      <w:r w:rsidR="003D3157" w:rsidRPr="007640DA">
        <w:t xml:space="preserve"> formal </w:t>
      </w:r>
      <w:r w:rsidR="00F12B00" w:rsidRPr="007640DA">
        <w:t xml:space="preserve">referral </w:t>
      </w:r>
      <w:r w:rsidR="003D3157" w:rsidRPr="007640DA">
        <w:t xml:space="preserve">agreements </w:t>
      </w:r>
      <w:r w:rsidR="00C32831" w:rsidRPr="007640DA">
        <w:t xml:space="preserve">between regulators and health </w:t>
      </w:r>
      <w:r w:rsidR="00D84EB7" w:rsidRPr="007640DA">
        <w:t>programs/</w:t>
      </w:r>
      <w:r w:rsidR="00C32831" w:rsidRPr="007640DA">
        <w:t xml:space="preserve">services </w:t>
      </w:r>
    </w:p>
    <w:p w:rsidR="00E6708B" w:rsidRPr="005529DF" w:rsidRDefault="00D84EB7" w:rsidP="00E6708B">
      <w:pPr>
        <w:pStyle w:val="BodyText"/>
        <w:rPr>
          <w:i/>
        </w:rPr>
      </w:pPr>
      <w:r w:rsidRPr="005529DF">
        <w:t xml:space="preserve">In relation to referral to health services, </w:t>
      </w:r>
      <w:r w:rsidR="00046894">
        <w:t xml:space="preserve">national and international </w:t>
      </w:r>
      <w:r w:rsidR="003D3157" w:rsidRPr="005529DF">
        <w:t xml:space="preserve">literature </w:t>
      </w:r>
      <w:r w:rsidR="00E6708B" w:rsidRPr="005529DF">
        <w:t>identified four broad models</w:t>
      </w:r>
      <w:r w:rsidR="000F3A43">
        <w:t xml:space="preserve"> </w:t>
      </w:r>
      <w:r w:rsidR="00E6708B" w:rsidRPr="005529DF">
        <w:t xml:space="preserve">of </w:t>
      </w:r>
      <w:r w:rsidR="00E6708B" w:rsidRPr="005529DF">
        <w:lastRenderedPageBreak/>
        <w:t>referral and reporting between health programs/services and regulators</w:t>
      </w:r>
      <w:r w:rsidRPr="005529DF">
        <w:t>. These</w:t>
      </w:r>
      <w:r w:rsidR="00E6708B" w:rsidRPr="005529DF">
        <w:t xml:space="preserve"> tak</w:t>
      </w:r>
      <w:r w:rsidRPr="005529DF">
        <w:t>e</w:t>
      </w:r>
      <w:r w:rsidR="00E6708B" w:rsidRPr="005529DF">
        <w:t xml:space="preserve"> into account the presence or absence of (a) a formal public agreement, (b) mandatory </w:t>
      </w:r>
      <w:r w:rsidR="00FB7EAA" w:rsidRPr="005529DF">
        <w:t>no</w:t>
      </w:r>
      <w:r w:rsidR="0064240C" w:rsidRPr="005529DF">
        <w:t>ti</w:t>
      </w:r>
      <w:r w:rsidR="00FB7EAA" w:rsidRPr="005529DF">
        <w:t>fication</w:t>
      </w:r>
      <w:r w:rsidR="00E6708B" w:rsidRPr="005529DF">
        <w:t xml:space="preserve"> and (c) ‘shielding’ of clients.</w:t>
      </w:r>
    </w:p>
    <w:p w:rsidR="00E6708B" w:rsidRPr="005529DF" w:rsidRDefault="00FB7EAA" w:rsidP="00E6708B">
      <w:pPr>
        <w:pStyle w:val="BodyText"/>
      </w:pPr>
      <w:r w:rsidRPr="005529DF">
        <w:t xml:space="preserve">The most </w:t>
      </w:r>
      <w:r w:rsidR="00DA271F" w:rsidRPr="005529DF">
        <w:t xml:space="preserve">common </w:t>
      </w:r>
      <w:r w:rsidR="00946E92" w:rsidRPr="005529DF">
        <w:t xml:space="preserve">model </w:t>
      </w:r>
      <w:r w:rsidR="00C32831" w:rsidRPr="005529DF">
        <w:t xml:space="preserve">in Australia </w:t>
      </w:r>
      <w:r w:rsidR="00DA271F" w:rsidRPr="005529DF">
        <w:t xml:space="preserve">is mandatory notification without any formal agreement, as </w:t>
      </w:r>
      <w:r w:rsidR="00E6708B" w:rsidRPr="005529DF">
        <w:t>seen</w:t>
      </w:r>
      <w:r w:rsidR="00DA271F" w:rsidRPr="005529DF">
        <w:t>,</w:t>
      </w:r>
      <w:r w:rsidR="00E6708B" w:rsidRPr="005529DF">
        <w:t xml:space="preserve"> </w:t>
      </w:r>
      <w:r w:rsidR="00DA271F" w:rsidRPr="005529DF">
        <w:t xml:space="preserve">for example, </w:t>
      </w:r>
      <w:r w:rsidR="00E6708B" w:rsidRPr="005529DF">
        <w:t xml:space="preserve">in the operation of the various Doctors Health Advisory phone support lines (except WA), and services offered by Medical Benevolent Associations and </w:t>
      </w:r>
      <w:r w:rsidR="00155217">
        <w:t>EAPs</w:t>
      </w:r>
      <w:r w:rsidR="00C32831" w:rsidRPr="005529DF">
        <w:t xml:space="preserve">. </w:t>
      </w:r>
      <w:r w:rsidR="00E6708B" w:rsidRPr="005529DF">
        <w:t xml:space="preserve">Under this model, clinicians working within the program or service are bound by mandatory </w:t>
      </w:r>
      <w:r w:rsidRPr="005529DF">
        <w:t>notification</w:t>
      </w:r>
      <w:r w:rsidR="00E6708B" w:rsidRPr="005529DF">
        <w:t xml:space="preserve"> requirements with respect to </w:t>
      </w:r>
      <w:r w:rsidR="00155217">
        <w:t>program</w:t>
      </w:r>
      <w:r w:rsidR="00E6708B" w:rsidRPr="005529DF">
        <w:t xml:space="preserve"> clients, without a formal agreement with the regulator to guide them.</w:t>
      </w:r>
      <w:r w:rsidR="00E6708B" w:rsidRPr="005529DF">
        <w:rPr>
          <w:i/>
        </w:rPr>
        <w:t xml:space="preserve"> </w:t>
      </w:r>
      <w:r w:rsidR="00E6708B" w:rsidRPr="005529DF">
        <w:t xml:space="preserve">This </w:t>
      </w:r>
      <w:r w:rsidR="005439BF">
        <w:t>wa</w:t>
      </w:r>
      <w:r w:rsidR="00A05605" w:rsidRPr="005529DF">
        <w:t xml:space="preserve">s reported </w:t>
      </w:r>
      <w:r w:rsidR="00CB43DC">
        <w:t>as resulting in</w:t>
      </w:r>
      <w:r w:rsidR="00E6708B" w:rsidRPr="005529DF">
        <w:t xml:space="preserve"> service operators, staff, clients, potential clients, external treating practitioners, reporters and potential reporters </w:t>
      </w:r>
      <w:r w:rsidR="00CB43DC">
        <w:t xml:space="preserve">being </w:t>
      </w:r>
      <w:r w:rsidR="00E6708B" w:rsidRPr="005529DF">
        <w:t>uncertain about the role reporting to the regulator plays. Inconsistent application and interpretation of reporting requirements have been reported, with some practitioners considering program compliance to negate the need to report, while others do not</w:t>
      </w:r>
      <w:r w:rsidR="00C32831" w:rsidRPr="005529DF">
        <w:t xml:space="preserve"> (</w:t>
      </w:r>
      <w:r w:rsidR="00F0345E">
        <w:t>Whelan 2009</w:t>
      </w:r>
      <w:r w:rsidR="00C32831" w:rsidRPr="005529DF">
        <w:t xml:space="preserve">). </w:t>
      </w:r>
    </w:p>
    <w:p w:rsidR="00893E8D" w:rsidRPr="007640DA" w:rsidRDefault="00E6708B" w:rsidP="005B72F2">
      <w:pPr>
        <w:pStyle w:val="BodyText"/>
      </w:pPr>
      <w:r w:rsidRPr="005529DF">
        <w:t xml:space="preserve">The contract between the </w:t>
      </w:r>
      <w:r w:rsidR="00C32831" w:rsidRPr="005529DF">
        <w:t xml:space="preserve">NMHPV </w:t>
      </w:r>
      <w:r w:rsidRPr="005529DF">
        <w:t xml:space="preserve">and the </w:t>
      </w:r>
      <w:r w:rsidR="00C32831" w:rsidRPr="005529DF">
        <w:t>NMBA</w:t>
      </w:r>
      <w:r w:rsidRPr="005529DF">
        <w:t xml:space="preserve"> </w:t>
      </w:r>
      <w:r w:rsidR="00DA271F" w:rsidRPr="005529DF">
        <w:t>is a form of formal agreement with shielding, containing</w:t>
      </w:r>
      <w:r w:rsidRPr="005529DF">
        <w:t xml:space="preserve"> some references to operational issues, including referral and reporting. </w:t>
      </w:r>
      <w:r w:rsidR="00F0345E">
        <w:t xml:space="preserve">However, </w:t>
      </w:r>
      <w:r w:rsidR="00F0345E" w:rsidRPr="00585A11">
        <w:t>unlike equivalent arrangemen</w:t>
      </w:r>
      <w:r w:rsidR="00F0345E">
        <w:t xml:space="preserve">ts in North American programs, </w:t>
      </w:r>
      <w:r w:rsidR="00881146">
        <w:t>the</w:t>
      </w:r>
      <w:r w:rsidR="00F0345E" w:rsidRPr="00585A11">
        <w:t xml:space="preserve"> details of the arrangement are not public</w:t>
      </w:r>
      <w:r w:rsidR="00891416">
        <w:t>l</w:t>
      </w:r>
      <w:r w:rsidR="00F0345E" w:rsidRPr="00585A11">
        <w:t xml:space="preserve">y available. </w:t>
      </w:r>
      <w:r w:rsidR="00881146">
        <w:t>The</w:t>
      </w:r>
      <w:r w:rsidR="00F0345E" w:rsidRPr="00585A11">
        <w:t xml:space="preserve"> website for NMHPV and the associated publications make no mention of mandatory reporting, or how it interacts with the program </w:t>
      </w:r>
      <w:r w:rsidR="004D1416" w:rsidRPr="00585A11">
        <w:fldChar w:fldCharType="begin"/>
      </w:r>
      <w:r w:rsidR="00F0345E" w:rsidRPr="00585A11">
        <w:instrText xml:space="preserve"> ADDIN EN.CITE &lt;EndNote&gt;&lt;Cite&gt;&lt;Author&gt;Nursing and Midwifery Health Program Victoria&lt;/Author&gt;&lt;Year&gt;2014&lt;/Year&gt;&lt;RecNum&gt;681&lt;/RecNum&gt;&lt;DisplayText&gt;(Nursing and Midwifery Health Program Victoria 2014)&lt;/DisplayText&gt;&lt;record&gt;&lt;rec-number&gt;681&lt;/rec-number&gt;&lt;foreign-keys&gt;&lt;key app="EN" db-id="xaa9zsz95p2zv4efraqpe05ivw2prw2t2s20" timestamp="1405427222"&gt;681&lt;/key&gt;&lt;/foreign-keys&gt;&lt;ref-type name="Web Page"&gt;12&lt;/ref-type&gt;&lt;contributors&gt;&lt;authors&gt;&lt;author&gt;Nursing and Midwifery Health Program Victoria,&lt;/author&gt;&lt;/authors&gt;&lt;/contributors&gt;&lt;titles&gt;&lt;title&gt;Nursing and Midwifery Health Program Victoria&lt;/title&gt;&lt;/titles&gt;&lt;dates&gt;&lt;year&gt;2014&lt;/year&gt;&lt;/dates&gt;&lt;urls&gt;&lt;related-urls&gt;&lt;url&gt;http://www.nmhp.org.au/NMHP/Welcome.html&lt;/url&gt;&lt;/related-urls&gt;&lt;/urls&gt;&lt;/record&gt;&lt;/Cite&gt;&lt;/EndNote&gt;</w:instrText>
      </w:r>
      <w:r w:rsidR="004D1416" w:rsidRPr="00585A11">
        <w:fldChar w:fldCharType="separate"/>
      </w:r>
      <w:r w:rsidR="00F0345E" w:rsidRPr="00585A11">
        <w:rPr>
          <w:noProof/>
        </w:rPr>
        <w:t>(</w:t>
      </w:r>
      <w:hyperlink w:anchor="_ENREF_142" w:tooltip="Nursing and Midwifery Health Program Victoria, 2014 #681" w:history="1">
        <w:r w:rsidR="00F0345E">
          <w:rPr>
            <w:noProof/>
          </w:rPr>
          <w:t xml:space="preserve">NMHPV </w:t>
        </w:r>
        <w:r w:rsidR="00F0345E" w:rsidRPr="00585A11">
          <w:rPr>
            <w:noProof/>
          </w:rPr>
          <w:t>2014</w:t>
        </w:r>
      </w:hyperlink>
      <w:r w:rsidR="00F0345E" w:rsidRPr="00585A11">
        <w:rPr>
          <w:noProof/>
        </w:rPr>
        <w:t>)</w:t>
      </w:r>
      <w:r w:rsidR="004D1416" w:rsidRPr="00585A11">
        <w:fldChar w:fldCharType="end"/>
      </w:r>
      <w:r w:rsidR="00F0345E" w:rsidRPr="00585A11">
        <w:t xml:space="preserve">. </w:t>
      </w:r>
      <w:r w:rsidR="00881146">
        <w:t>This</w:t>
      </w:r>
      <w:r w:rsidR="00F0345E" w:rsidRPr="00585A11">
        <w:t xml:space="preserve"> may contribute to uncertainty about the program</w:t>
      </w:r>
      <w:r w:rsidR="00881146">
        <w:t xml:space="preserve"> and, in turn, </w:t>
      </w:r>
      <w:r w:rsidR="00F0345E" w:rsidRPr="00585A11">
        <w:t xml:space="preserve">prevent nurses and midwives from seeking </w:t>
      </w:r>
      <w:r w:rsidR="00881146">
        <w:t xml:space="preserve">its </w:t>
      </w:r>
      <w:r w:rsidR="00F0345E" w:rsidRPr="00585A11">
        <w:t>help.</w:t>
      </w:r>
    </w:p>
    <w:p w:rsidR="00422316" w:rsidRPr="007640DA" w:rsidRDefault="00422316" w:rsidP="00B2233D">
      <w:pPr>
        <w:pStyle w:val="Heading3"/>
        <w:rPr>
          <w:rFonts w:ascii="Times New Roman" w:hAnsi="Times New Roman"/>
        </w:rPr>
      </w:pPr>
      <w:bookmarkStart w:id="93" w:name="_Toc417903012"/>
      <w:bookmarkStart w:id="94" w:name="_Toc417903169"/>
      <w:bookmarkStart w:id="95" w:name="_Toc417904282"/>
      <w:r w:rsidRPr="007640DA">
        <w:rPr>
          <w:rFonts w:ascii="Times New Roman" w:hAnsi="Times New Roman"/>
        </w:rPr>
        <w:t>Assessment</w:t>
      </w:r>
      <w:bookmarkEnd w:id="93"/>
      <w:bookmarkEnd w:id="94"/>
      <w:bookmarkEnd w:id="95"/>
    </w:p>
    <w:p w:rsidR="00422316" w:rsidRPr="007640DA" w:rsidRDefault="00422316" w:rsidP="00422316">
      <w:pPr>
        <w:pStyle w:val="BodyText"/>
        <w:rPr>
          <w:i/>
        </w:rPr>
      </w:pPr>
      <w:r w:rsidRPr="007640DA">
        <w:rPr>
          <w:i/>
        </w:rPr>
        <w:t>After referral</w:t>
      </w:r>
      <w:r w:rsidR="00046894">
        <w:rPr>
          <w:i/>
        </w:rPr>
        <w:t xml:space="preserve"> to a support service</w:t>
      </w:r>
      <w:r w:rsidR="00954A72">
        <w:rPr>
          <w:i/>
        </w:rPr>
        <w:t xml:space="preserve"> or </w:t>
      </w:r>
      <w:r w:rsidRPr="007640DA">
        <w:rPr>
          <w:i/>
        </w:rPr>
        <w:t>reporting</w:t>
      </w:r>
      <w:r w:rsidR="00046894">
        <w:rPr>
          <w:i/>
        </w:rPr>
        <w:t xml:space="preserve"> to a regulator</w:t>
      </w:r>
      <w:r w:rsidR="00954A72">
        <w:rPr>
          <w:i/>
        </w:rPr>
        <w:t>,</w:t>
      </w:r>
      <w:r w:rsidRPr="007640DA">
        <w:rPr>
          <w:i/>
        </w:rPr>
        <w:t xml:space="preserve"> the next stage is assessment to determine the nature of impairment (if any) and possible treatment options. </w:t>
      </w:r>
    </w:p>
    <w:p w:rsidR="002A316C" w:rsidRPr="007640DA" w:rsidRDefault="00A05605" w:rsidP="002A316C">
      <w:pPr>
        <w:pStyle w:val="BodyText"/>
      </w:pPr>
      <w:r w:rsidRPr="007640DA">
        <w:t>There are t</w:t>
      </w:r>
      <w:r w:rsidR="002A316C" w:rsidRPr="007640DA">
        <w:t xml:space="preserve">wo broad types of assessment </w:t>
      </w:r>
      <w:r w:rsidRPr="007640DA">
        <w:t xml:space="preserve">that </w:t>
      </w:r>
      <w:r w:rsidR="002A316C" w:rsidRPr="007640DA">
        <w:t>are relevant to evaluating health practitioners who are suspected of having a health impairment</w:t>
      </w:r>
      <w:r w:rsidRPr="007640DA">
        <w:t>—</w:t>
      </w:r>
      <w:r w:rsidR="002A316C" w:rsidRPr="007640DA">
        <w:t xml:space="preserve">health assessments and performance assessments. </w:t>
      </w:r>
    </w:p>
    <w:p w:rsidR="002A316C" w:rsidRPr="007640DA" w:rsidRDefault="002A316C" w:rsidP="005B72F2">
      <w:pPr>
        <w:pStyle w:val="ListDash"/>
        <w:numPr>
          <w:ilvl w:val="0"/>
          <w:numId w:val="0"/>
        </w:numPr>
      </w:pPr>
      <w:r w:rsidRPr="007640DA">
        <w:lastRenderedPageBreak/>
        <w:t>Health assessments</w:t>
      </w:r>
      <w:r w:rsidRPr="005529DF">
        <w:t xml:space="preserve"> may include cognitive testing, psychiatric evaluation, psychological profiling, and physical examination and/or medical tests. </w:t>
      </w:r>
      <w:r w:rsidR="00A05605" w:rsidRPr="005529DF">
        <w:t>These</w:t>
      </w:r>
      <w:r w:rsidRPr="005529DF">
        <w:t xml:space="preserve"> can establish the existence of a health issue, but </w:t>
      </w:r>
      <w:r w:rsidR="00D324FD">
        <w:t>do not necessarily</w:t>
      </w:r>
      <w:r w:rsidRPr="005529DF">
        <w:t xml:space="preserve"> establish the existence of an impairment of professional performance</w:t>
      </w:r>
      <w:r w:rsidR="00A05605" w:rsidRPr="005529DF">
        <w:t xml:space="preserve">, as </w:t>
      </w:r>
      <w:r w:rsidRPr="005529DF">
        <w:t xml:space="preserve">many practitioners with disabilities or health issues can practise safely, with or without adjustments to their work practice. </w:t>
      </w:r>
    </w:p>
    <w:p w:rsidR="00EB3240" w:rsidRPr="007640DA" w:rsidRDefault="00EB3240" w:rsidP="007640DA">
      <w:pPr>
        <w:pStyle w:val="SideQuoteSource"/>
        <w:framePr w:wrap="around"/>
      </w:pPr>
      <w:r w:rsidRPr="007640DA">
        <w:t>Unclear whether appropriate links are being made between performance and health issues</w:t>
      </w:r>
      <w:r w:rsidRPr="007640DA" w:rsidDel="0056021E">
        <w:t xml:space="preserve"> </w:t>
      </w:r>
    </w:p>
    <w:p w:rsidR="00DB16C3" w:rsidRDefault="002A316C">
      <w:pPr>
        <w:pStyle w:val="BodyText"/>
      </w:pPr>
      <w:r w:rsidRPr="005529DF">
        <w:t>Although there</w:t>
      </w:r>
      <w:r w:rsidR="00422316" w:rsidRPr="005529DF">
        <w:t xml:space="preserve"> are well established separate assessments to determine the existence of health issues and performance issues, </w:t>
      </w:r>
      <w:r w:rsidR="00422316" w:rsidRPr="007640DA">
        <w:t xml:space="preserve">techniques and standards for identifying whether health impairment issues may be causing or contributing to a performance problem are more contentious. </w:t>
      </w:r>
      <w:r w:rsidR="00DB16C3">
        <w:t>Further, me</w:t>
      </w:r>
      <w:r w:rsidR="008100BE" w:rsidRPr="005529DF">
        <w:t xml:space="preserve">thods for whether a confirmed health issue impacts, or has a significant pressing potential to impact, on professional practice or performance are less standardised than those for detecting the presence of health issues. They tend to focus on competence or communication concerns rather than the impact of an impairment on clinical performance </w:t>
      </w:r>
      <w:r w:rsidR="008100BE" w:rsidRPr="005529DF">
        <w:rPr>
          <w:i/>
          <w:iCs/>
        </w:rPr>
        <w:t>per se.</w:t>
      </w:r>
      <w:r w:rsidR="00DB16C3">
        <w:rPr>
          <w:i/>
          <w:iCs/>
        </w:rPr>
        <w:t xml:space="preserve"> </w:t>
      </w:r>
      <w:r w:rsidR="00DB16C3" w:rsidRPr="007640DA">
        <w:t>More literature is needed to improve clarity in this area</w:t>
      </w:r>
      <w:r w:rsidR="00DB16C3">
        <w:t xml:space="preserve"> (Humphrey 2010; Thompson </w:t>
      </w:r>
      <w:r w:rsidR="00DB16C3" w:rsidRPr="00FC5366">
        <w:rPr>
          <w:i/>
        </w:rPr>
        <w:t>et al</w:t>
      </w:r>
      <w:r w:rsidR="00DB16C3">
        <w:t xml:space="preserve"> 2009)</w:t>
      </w:r>
      <w:r w:rsidR="00DB16C3" w:rsidRPr="007640DA">
        <w:t>.</w:t>
      </w:r>
    </w:p>
    <w:p w:rsidR="005D6848" w:rsidRPr="007640DA" w:rsidRDefault="003D31D9" w:rsidP="005D6848">
      <w:pPr>
        <w:pStyle w:val="BodyText"/>
      </w:pPr>
      <w:r w:rsidRPr="007640DA">
        <w:t>Support services</w:t>
      </w:r>
      <w:r w:rsidR="006018E3">
        <w:t xml:space="preserve"> may</w:t>
      </w:r>
      <w:r w:rsidRPr="007640DA">
        <w:t xml:space="preserve"> employ</w:t>
      </w:r>
      <w:r w:rsidR="00AB5DAB" w:rsidRPr="007640DA">
        <w:t xml:space="preserve"> clinical staff such as mental health and/or addiction nurses, general practitioners or psychologists</w:t>
      </w:r>
      <w:r w:rsidR="006018E3">
        <w:t xml:space="preserve"> to undertake assessments</w:t>
      </w:r>
      <w:r w:rsidR="00AB5DAB" w:rsidRPr="007640DA">
        <w:t xml:space="preserve">. Others refer potential clients to external practitioners for assessments. </w:t>
      </w:r>
      <w:r w:rsidR="005D6848" w:rsidRPr="007640DA">
        <w:t xml:space="preserve">Ideally, the specialty of the assessor is aligned with the nature of the practitioner’s impairment, though practitioners who present with one concern are often found to have other less obvious issues. </w:t>
      </w:r>
    </w:p>
    <w:p w:rsidR="009264F6" w:rsidRPr="007640DA" w:rsidRDefault="00E77D86" w:rsidP="005D6848">
      <w:pPr>
        <w:pStyle w:val="BodyText"/>
      </w:pPr>
      <w:r>
        <w:t xml:space="preserve">The NMBA may require a nurse or midwife or nursing/midwifery student who has been notified to </w:t>
      </w:r>
      <w:r w:rsidR="009264F6" w:rsidRPr="007640DA">
        <w:t>undergo an initial health assessment</w:t>
      </w:r>
      <w:r>
        <w:t xml:space="preserve"> if the NMBA reasonably believes that the practitioner/student has, or may have, an impairment (s</w:t>
      </w:r>
      <w:r w:rsidR="00954A72">
        <w:t xml:space="preserve">ection </w:t>
      </w:r>
      <w:r>
        <w:t>169 National Law). The assessment involves</w:t>
      </w:r>
      <w:r w:rsidR="009264F6" w:rsidRPr="007640DA">
        <w:t xml:space="preserve"> either a medical, physical, psychiatric or psychological examination. In all jurisdictions, with the exception of the Northern Territory, the state/territory National Board is responsible for appointing a health practitioner to undertake the assessment. Generally this involves a </w:t>
      </w:r>
      <w:r w:rsidR="009264F6" w:rsidRPr="007640DA">
        <w:lastRenderedPageBreak/>
        <w:t xml:space="preserve">medical practitioner or psychologist, who is not a member of the National Board. </w:t>
      </w:r>
    </w:p>
    <w:p w:rsidR="00AB5DAB" w:rsidRPr="007640DA" w:rsidRDefault="005D6848" w:rsidP="005D6848">
      <w:pPr>
        <w:pStyle w:val="BodyText"/>
      </w:pPr>
      <w:r w:rsidRPr="007640DA">
        <w:t xml:space="preserve">Overall, stakeholders considered that the current </w:t>
      </w:r>
      <w:r w:rsidR="00752F74" w:rsidRPr="007640DA">
        <w:t xml:space="preserve">regulatory </w:t>
      </w:r>
      <w:r w:rsidRPr="007640DA">
        <w:t>assessment process in each state and territory works reasonably well and should be maintained.</w:t>
      </w:r>
      <w:r w:rsidR="001F3DC3" w:rsidRPr="007640DA">
        <w:t xml:space="preserve"> </w:t>
      </w:r>
      <w:r w:rsidRPr="007640DA">
        <w:t xml:space="preserve"> </w:t>
      </w:r>
      <w:r w:rsidR="001F3DC3" w:rsidRPr="007640DA">
        <w:t>One area, however, frequently raised was in relation to</w:t>
      </w:r>
      <w:r w:rsidR="00A9016C">
        <w:t xml:space="preserve"> concerns related to</w:t>
      </w:r>
      <w:r w:rsidR="001F3DC3" w:rsidRPr="007640DA">
        <w:t xml:space="preserve"> information sharing between health support services and AHPRA</w:t>
      </w:r>
      <w:r w:rsidR="00E77D86">
        <w:t>/NMBA</w:t>
      </w:r>
      <w:r w:rsidR="001F3DC3" w:rsidRPr="007640DA">
        <w:t>.</w:t>
      </w:r>
    </w:p>
    <w:p w:rsidR="00AB5DAB" w:rsidRPr="007640DA" w:rsidRDefault="00AB5DAB" w:rsidP="007640DA">
      <w:pPr>
        <w:pStyle w:val="SideQuoteSource"/>
        <w:framePr w:wrap="around"/>
      </w:pPr>
      <w:r w:rsidRPr="007640DA">
        <w:t xml:space="preserve">Regulator access to support service information varies </w:t>
      </w:r>
    </w:p>
    <w:p w:rsidR="006D3BF2" w:rsidRPr="007640DA" w:rsidRDefault="006D3BF2" w:rsidP="002F1212">
      <w:pPr>
        <w:pStyle w:val="BodyText"/>
      </w:pPr>
      <w:r w:rsidRPr="007640DA">
        <w:t xml:space="preserve">Regulators, both nationally and internationally, can potentially receive </w:t>
      </w:r>
      <w:r w:rsidR="006018E3">
        <w:t>selected</w:t>
      </w:r>
      <w:r w:rsidR="006018E3" w:rsidRPr="007640DA">
        <w:t xml:space="preserve"> </w:t>
      </w:r>
      <w:r w:rsidRPr="007640DA">
        <w:t xml:space="preserve">information about the findings of an assessment undertaken by a support service. </w:t>
      </w:r>
      <w:r w:rsidR="006018E3">
        <w:t>While t</w:t>
      </w:r>
      <w:r w:rsidRPr="007640DA">
        <w:t xml:space="preserve">he frequency and depth of such information sharing vary substantially, typically they fall into the following four groups: </w:t>
      </w:r>
    </w:p>
    <w:p w:rsidR="002F1212" w:rsidRPr="007640DA" w:rsidRDefault="002F1212" w:rsidP="002F1212">
      <w:pPr>
        <w:pStyle w:val="ListDash"/>
      </w:pPr>
      <w:r w:rsidRPr="007640DA">
        <w:rPr>
          <w:i/>
        </w:rPr>
        <w:t>Universal initial access:</w:t>
      </w:r>
      <w:r w:rsidRPr="007640DA">
        <w:t xml:space="preserve"> </w:t>
      </w:r>
      <w:r w:rsidRPr="005529DF">
        <w:t xml:space="preserve">where the regulator administers case management programs, or uses a regulator management approach (see section </w:t>
      </w:r>
      <w:r w:rsidR="007538B8">
        <w:fldChar w:fldCharType="begin"/>
      </w:r>
      <w:r w:rsidR="007538B8">
        <w:instrText xml:space="preserve"> REF _Ref417749105 \n \h  \* MERGEFORMAT </w:instrText>
      </w:r>
      <w:r w:rsidR="007538B8">
        <w:fldChar w:fldCharType="separate"/>
      </w:r>
      <w:r w:rsidR="00B07965">
        <w:t>3.1.3</w:t>
      </w:r>
      <w:r w:rsidR="007538B8">
        <w:fldChar w:fldCharType="end"/>
      </w:r>
      <w:r w:rsidRPr="005529DF">
        <w:t xml:space="preserve">). In these cases, full information on the outcome of the assessment is available to the regulator and is used to determine next steps in the process. </w:t>
      </w:r>
    </w:p>
    <w:p w:rsidR="002F1212" w:rsidRPr="007640DA" w:rsidRDefault="002F1212" w:rsidP="002F1212">
      <w:pPr>
        <w:pStyle w:val="ListDash"/>
      </w:pPr>
      <w:r w:rsidRPr="005529DF">
        <w:rPr>
          <w:i/>
        </w:rPr>
        <w:t>Access upon infringement:</w:t>
      </w:r>
      <w:r w:rsidRPr="005529DF">
        <w:t xml:space="preserve"> where there is provision within the formal agreement with the regulator that certain information about the client, including assessment findings, may be shared with the regulator if the client breaks the terms of their contract (i.e. is ‘non-compliant’). This model is most common among case management programs in North America which utilise treatment and/or management contracts to formalise their expectations of clients.</w:t>
      </w:r>
    </w:p>
    <w:p w:rsidR="002F1212" w:rsidRPr="007640DA" w:rsidRDefault="002F1212" w:rsidP="002F1212">
      <w:pPr>
        <w:pStyle w:val="ListDash"/>
      </w:pPr>
      <w:r w:rsidRPr="005529DF">
        <w:rPr>
          <w:i/>
        </w:rPr>
        <w:t>Access where mandated:</w:t>
      </w:r>
      <w:r w:rsidRPr="005529DF">
        <w:t xml:space="preserve"> where rules regarding</w:t>
      </w:r>
      <w:r w:rsidR="005D53D1">
        <w:t xml:space="preserve"> </w:t>
      </w:r>
      <w:r w:rsidRPr="007640DA">
        <w:t>in</w:t>
      </w:r>
      <w:r w:rsidRPr="005529DF">
        <w:t>formation-sharing vary based on the entry path of the client into the program. In these circumstances, access about the assessment outcomes of clients is automatically accessible to the regulator in</w:t>
      </w:r>
      <w:r w:rsidR="005D6848" w:rsidRPr="005529DF">
        <w:t xml:space="preserve"> cases where the</w:t>
      </w:r>
      <w:r w:rsidRPr="005529DF">
        <w:t xml:space="preserve"> clients’ participation was mandated by an order of that regulator.</w:t>
      </w:r>
    </w:p>
    <w:p w:rsidR="00422316" w:rsidRPr="007640DA" w:rsidRDefault="002F1212" w:rsidP="005B72F2">
      <w:pPr>
        <w:pStyle w:val="ListDash"/>
      </w:pPr>
      <w:r w:rsidRPr="005529DF">
        <w:rPr>
          <w:i/>
        </w:rPr>
        <w:t>Access in case of public risk:</w:t>
      </w:r>
      <w:r w:rsidRPr="005529DF">
        <w:t xml:space="preserve"> </w:t>
      </w:r>
      <w:r w:rsidR="005D6848" w:rsidRPr="005529DF">
        <w:t>where</w:t>
      </w:r>
      <w:r w:rsidRPr="005529DF">
        <w:t xml:space="preserve"> the program reserves the right (of which clients are clearly informed) to report clients who are believed to pose a serious risk to public and/or patient safety.</w:t>
      </w:r>
      <w:r w:rsidR="00F15AB8" w:rsidRPr="005529DF">
        <w:t xml:space="preserve"> This type of access reflects information</w:t>
      </w:r>
      <w:r w:rsidR="005D53D1">
        <w:t>-</w:t>
      </w:r>
      <w:r w:rsidR="00F15AB8" w:rsidRPr="005529DF">
        <w:t xml:space="preserve"> </w:t>
      </w:r>
      <w:r w:rsidR="00F15AB8" w:rsidRPr="005529DF">
        <w:lastRenderedPageBreak/>
        <w:t xml:space="preserve">sharing protocols between Australian support services (with the exception of WA) and the regulator, as a result of mandatory notification. </w:t>
      </w:r>
    </w:p>
    <w:p w:rsidR="00422316" w:rsidRPr="007640DA" w:rsidRDefault="00422316" w:rsidP="00B2233D">
      <w:pPr>
        <w:pStyle w:val="Heading3"/>
        <w:rPr>
          <w:rFonts w:ascii="Times New Roman" w:hAnsi="Times New Roman"/>
        </w:rPr>
      </w:pPr>
      <w:bookmarkStart w:id="96" w:name="_Ref417749105"/>
      <w:bookmarkStart w:id="97" w:name="_Toc417903013"/>
      <w:bookmarkStart w:id="98" w:name="_Toc417903170"/>
      <w:bookmarkStart w:id="99" w:name="_Toc417904283"/>
      <w:bookmarkEnd w:id="96"/>
      <w:bookmarkEnd w:id="97"/>
      <w:bookmarkEnd w:id="98"/>
      <w:bookmarkEnd w:id="99"/>
      <w:r w:rsidRPr="007640DA">
        <w:rPr>
          <w:rFonts w:ascii="Times New Roman" w:hAnsi="Times New Roman"/>
        </w:rPr>
        <w:t xml:space="preserve">Support and treatment </w:t>
      </w:r>
    </w:p>
    <w:p w:rsidR="00422316" w:rsidRPr="007640DA" w:rsidRDefault="00455B8F" w:rsidP="00422316">
      <w:pPr>
        <w:pStyle w:val="BodyText"/>
        <w:rPr>
          <w:i/>
        </w:rPr>
      </w:pPr>
      <w:r w:rsidRPr="007640DA">
        <w:rPr>
          <w:i/>
        </w:rPr>
        <w:t xml:space="preserve">Nurse and midwives </w:t>
      </w:r>
      <w:r w:rsidR="00422316" w:rsidRPr="007640DA">
        <w:rPr>
          <w:i/>
        </w:rPr>
        <w:t xml:space="preserve">with a health impairment may be referred to a support </w:t>
      </w:r>
      <w:r w:rsidR="009264F6" w:rsidRPr="007640DA">
        <w:rPr>
          <w:i/>
        </w:rPr>
        <w:t xml:space="preserve">service </w:t>
      </w:r>
      <w:r w:rsidR="00D059D6" w:rsidRPr="007640DA">
        <w:rPr>
          <w:i/>
        </w:rPr>
        <w:t xml:space="preserve">and/or treatment </w:t>
      </w:r>
      <w:r w:rsidR="00422316" w:rsidRPr="007640DA">
        <w:rPr>
          <w:i/>
        </w:rPr>
        <w:t xml:space="preserve">for assistance. </w:t>
      </w:r>
    </w:p>
    <w:p w:rsidR="0076506C" w:rsidRPr="007640DA" w:rsidRDefault="0076506C" w:rsidP="00B2134D">
      <w:pPr>
        <w:pStyle w:val="BodyText"/>
      </w:pPr>
      <w:r w:rsidRPr="007640DA">
        <w:t xml:space="preserve">While not a primary responsibility of the regulator, support and treatment services are an important component </w:t>
      </w:r>
      <w:r w:rsidR="009264F6" w:rsidRPr="007640DA">
        <w:t xml:space="preserve">in the rehabilitation of a nurse or midwife with a health impairment. </w:t>
      </w:r>
    </w:p>
    <w:p w:rsidR="0076506C" w:rsidRPr="007640DA" w:rsidRDefault="0076506C" w:rsidP="007640DA">
      <w:pPr>
        <w:pStyle w:val="SideQuoteSource"/>
        <w:framePr w:wrap="around"/>
      </w:pPr>
      <w:r w:rsidRPr="007640DA">
        <w:t xml:space="preserve">The range of current support services are not well understood or are not adequately meeting nursing and midwifery needs </w:t>
      </w:r>
    </w:p>
    <w:p w:rsidR="00B2134D" w:rsidRPr="007640DA" w:rsidRDefault="00B2134D" w:rsidP="00B2134D">
      <w:pPr>
        <w:pStyle w:val="BodyText"/>
      </w:pPr>
      <w:r w:rsidRPr="007640DA">
        <w:t xml:space="preserve">Australian nurses and midwives do have access to a range of support services including EAPs, government drug/mental health services, private health practitioners and other employer-related services. Victoria has a specific support service </w:t>
      </w:r>
      <w:r w:rsidR="00996477">
        <w:t>providing an initial point of contact, referral and case management support for</w:t>
      </w:r>
      <w:r w:rsidRPr="007640DA">
        <w:t xml:space="preserve"> the nursing and midwifery profession, known as the NMHPV</w:t>
      </w:r>
      <w:r w:rsidR="009D1A3A">
        <w:t>. The NMHPV also provides a range of online resources for nurses and midwives (</w:t>
      </w:r>
      <w:r w:rsidR="00C2088E">
        <w:t>such as the</w:t>
      </w:r>
      <w:r w:rsidR="009D1A3A">
        <w:t xml:space="preserve"> NMHP model of care, </w:t>
      </w:r>
      <w:r w:rsidR="00C2088E">
        <w:t xml:space="preserve">and </w:t>
      </w:r>
      <w:r w:rsidR="009D1A3A">
        <w:t>assessments undertaken by the program) and employers (</w:t>
      </w:r>
      <w:r w:rsidR="00C2088E">
        <w:t>including</w:t>
      </w:r>
      <w:r w:rsidR="009D1A3A">
        <w:t xml:space="preserve"> guidelines for supporting an employee with a health impairment). </w:t>
      </w:r>
      <w:r w:rsidRPr="007640DA">
        <w:t xml:space="preserve">There is no </w:t>
      </w:r>
      <w:r w:rsidR="00996477">
        <w:t>specific nursing and midwifery</w:t>
      </w:r>
      <w:r w:rsidR="00996477" w:rsidRPr="007640DA">
        <w:t xml:space="preserve"> </w:t>
      </w:r>
      <w:r w:rsidRPr="007640DA">
        <w:t>service in other jurisdictions</w:t>
      </w:r>
      <w:r w:rsidR="00996477">
        <w:t xml:space="preserve">, although the ANMF have reported that the </w:t>
      </w:r>
      <w:r w:rsidR="00954A72">
        <w:t>s</w:t>
      </w:r>
      <w:r w:rsidR="00996477">
        <w:t xml:space="preserve">tate and </w:t>
      </w:r>
      <w:r w:rsidR="00954A72">
        <w:t>t</w:t>
      </w:r>
      <w:r w:rsidR="00996477">
        <w:t>erritory branches do field a number of initial enquiries from members and employers in regard to health impairment in the nursing and midwifery profession</w:t>
      </w:r>
      <w:r w:rsidRPr="007640DA">
        <w:t xml:space="preserve">. </w:t>
      </w:r>
    </w:p>
    <w:p w:rsidR="00B2134D" w:rsidRPr="007640DA" w:rsidRDefault="00B2134D" w:rsidP="00B2134D">
      <w:pPr>
        <w:pStyle w:val="BodyText"/>
      </w:pPr>
      <w:r w:rsidRPr="007640DA">
        <w:t xml:space="preserve">Consultations with Australian nurses and midwives </w:t>
      </w:r>
      <w:r w:rsidR="00F83797" w:rsidRPr="007640DA">
        <w:t xml:space="preserve">consistently </w:t>
      </w:r>
      <w:r w:rsidR="00C165B4">
        <w:t>highlighted</w:t>
      </w:r>
      <w:r w:rsidRPr="007640DA">
        <w:t xml:space="preserve">, however, that many are either not aware of available support services or feel that the available services are not </w:t>
      </w:r>
      <w:r w:rsidR="00C165B4" w:rsidRPr="007640DA">
        <w:t>adequate</w:t>
      </w:r>
      <w:r w:rsidR="00C165B4">
        <w:t xml:space="preserve"> to </w:t>
      </w:r>
      <w:r w:rsidRPr="007640DA">
        <w:t>meet their needs (examined further in section</w:t>
      </w:r>
      <w:r w:rsidR="00155217">
        <w:t xml:space="preserve"> </w:t>
      </w:r>
      <w:r w:rsidR="004D1416">
        <w:fldChar w:fldCharType="begin"/>
      </w:r>
      <w:r w:rsidR="00155217">
        <w:instrText xml:space="preserve"> REF _Ref418671377 \n \h </w:instrText>
      </w:r>
      <w:r w:rsidR="004D1416">
        <w:fldChar w:fldCharType="separate"/>
      </w:r>
      <w:r w:rsidR="00B07965">
        <w:t>3.2</w:t>
      </w:r>
      <w:r w:rsidR="004D1416">
        <w:fldChar w:fldCharType="end"/>
      </w:r>
      <w:r w:rsidRPr="007640DA">
        <w:t xml:space="preserve">). </w:t>
      </w:r>
      <w:r w:rsidR="005D53D1">
        <w:t>T</w:t>
      </w:r>
      <w:r w:rsidR="00C165B4">
        <w:t>he</w:t>
      </w:r>
      <w:r w:rsidRPr="007640DA">
        <w:t xml:space="preserve"> services they considered ‘essential’ to be delivered well were: referral to other health practitioners; assistance in re-entering the workforce; and education (or prevention) services to raise awareness of health impairment issues. </w:t>
      </w:r>
    </w:p>
    <w:p w:rsidR="00CB2D94" w:rsidRPr="007640DA" w:rsidRDefault="00422316" w:rsidP="00B2134D">
      <w:pPr>
        <w:pStyle w:val="BodyText"/>
      </w:pPr>
      <w:r w:rsidRPr="007640DA">
        <w:t>The literature highlight</w:t>
      </w:r>
      <w:r w:rsidR="0076506C" w:rsidRPr="007640DA">
        <w:t>s</w:t>
      </w:r>
      <w:r w:rsidRPr="007640DA">
        <w:t xml:space="preserve"> four broad categories of support services</w:t>
      </w:r>
      <w:r w:rsidR="00CB2D94" w:rsidRPr="007640DA">
        <w:t xml:space="preserve">: </w:t>
      </w:r>
    </w:p>
    <w:p w:rsidR="00CB2D94" w:rsidRPr="005529DF" w:rsidRDefault="00CB2D94" w:rsidP="00CB2D94">
      <w:pPr>
        <w:pStyle w:val="ListDash"/>
      </w:pPr>
      <w:r w:rsidRPr="005529DF">
        <w:rPr>
          <w:i/>
        </w:rPr>
        <w:lastRenderedPageBreak/>
        <w:t>Phone support line:</w:t>
      </w:r>
      <w:r w:rsidRPr="005529DF">
        <w:t xml:space="preserve"> ‘Hotlines’ which affected practitioners and/or concerned other</w:t>
      </w:r>
      <w:r w:rsidR="00AA17E4" w:rsidRPr="005529DF">
        <w:t>s</w:t>
      </w:r>
      <w:r w:rsidRPr="005529DF">
        <w:t xml:space="preserve"> can ring for support, information and referral. Calls are typically anonymous</w:t>
      </w:r>
      <w:r w:rsidR="009D1A3A">
        <w:t xml:space="preserve">. </w:t>
      </w:r>
    </w:p>
    <w:p w:rsidR="00CB2D94" w:rsidRPr="005529DF" w:rsidRDefault="00146A64" w:rsidP="00CB2D94">
      <w:pPr>
        <w:pStyle w:val="ListDash"/>
      </w:pPr>
      <w:r w:rsidRPr="005529DF">
        <w:rPr>
          <w:i/>
        </w:rPr>
        <w:t>Referral and counselling servic</w:t>
      </w:r>
      <w:r w:rsidRPr="005529DF">
        <w:t xml:space="preserve">e: </w:t>
      </w:r>
      <w:r w:rsidR="009D1A3A">
        <w:t xml:space="preserve">whereby affected practitioner have voluntary, brief contact with the service, which offers referral and occasionally limited therapeutic services such as counselling. </w:t>
      </w:r>
      <w:r w:rsidR="00CB2D94" w:rsidRPr="005529DF">
        <w:t xml:space="preserve"> </w:t>
      </w:r>
    </w:p>
    <w:p w:rsidR="00CB2D94" w:rsidRPr="005529DF" w:rsidRDefault="00CB2D94" w:rsidP="00CB2D94">
      <w:pPr>
        <w:pStyle w:val="ListDash"/>
      </w:pPr>
      <w:r w:rsidRPr="005529DF">
        <w:rPr>
          <w:i/>
        </w:rPr>
        <w:t>Case management:</w:t>
      </w:r>
      <w:r w:rsidRPr="005529DF">
        <w:t xml:space="preserve"> Specialised services which manage and coordinate the practitioner’s longer term involvement in an intensive, formal program of assessment, treatment and rehabilitation, monitoring and often agreed restrictions on practice. Typically these services may have a formal relationship with regulators. </w:t>
      </w:r>
    </w:p>
    <w:p w:rsidR="009506F6" w:rsidRPr="005529DF" w:rsidRDefault="00CB2D94" w:rsidP="00200BDC">
      <w:pPr>
        <w:pStyle w:val="ListDash"/>
      </w:pPr>
      <w:r w:rsidRPr="005529DF">
        <w:rPr>
          <w:i/>
        </w:rPr>
        <w:t>Regulator management:</w:t>
      </w:r>
      <w:r w:rsidRPr="005529DF">
        <w:t xml:space="preserve"> </w:t>
      </w:r>
      <w:r w:rsidR="00D42F23" w:rsidRPr="005529DF">
        <w:t>W</w:t>
      </w:r>
      <w:r w:rsidRPr="005529DF">
        <w:t xml:space="preserve">here affected practitioners who come to the regulator’s attention are directly assisted to access assessment, treatment, rehabilitation and monitoring. This service is linked to the regulator and can be offered as an alternative to discipline. </w:t>
      </w:r>
    </w:p>
    <w:p w:rsidR="00CB2D94" w:rsidRPr="007640DA" w:rsidRDefault="00CB2D94" w:rsidP="007640DA">
      <w:pPr>
        <w:pStyle w:val="SideQuoteSource"/>
        <w:framePr w:wrap="around"/>
      </w:pPr>
      <w:r w:rsidRPr="007640DA">
        <w:t xml:space="preserve">Case management is considered a highly effective form of support  </w:t>
      </w:r>
    </w:p>
    <w:p w:rsidR="00CB2D94" w:rsidRPr="007640DA" w:rsidRDefault="004C1E45" w:rsidP="001B3D40">
      <w:pPr>
        <w:pStyle w:val="BodyText"/>
      </w:pPr>
      <w:r>
        <w:t>Of the four main categories of support services listed above, c</w:t>
      </w:r>
      <w:r w:rsidR="00422316" w:rsidRPr="007640DA">
        <w:t xml:space="preserve">ase management is viewed as the most </w:t>
      </w:r>
      <w:r>
        <w:t>effective</w:t>
      </w:r>
      <w:r w:rsidRPr="007640DA">
        <w:t xml:space="preserve"> </w:t>
      </w:r>
      <w:r w:rsidR="00422316" w:rsidRPr="007640DA">
        <w:t xml:space="preserve">form of support </w:t>
      </w:r>
      <w:r>
        <w:t>as evidenced</w:t>
      </w:r>
      <w:r w:rsidR="00422316" w:rsidRPr="007640DA">
        <w:t xml:space="preserve"> in the literature</w:t>
      </w:r>
      <w:r>
        <w:t xml:space="preserve">. This has been attributed to </w:t>
      </w:r>
      <w:r w:rsidR="00DB16C3">
        <w:t>i</w:t>
      </w:r>
      <w:r w:rsidR="00CB2D94" w:rsidRPr="007640DA">
        <w:t xml:space="preserve">ts </w:t>
      </w:r>
      <w:r w:rsidR="00016415" w:rsidRPr="007640DA">
        <w:t xml:space="preserve">intensity, </w:t>
      </w:r>
      <w:r w:rsidR="00DB16C3">
        <w:t>which</w:t>
      </w:r>
      <w:r w:rsidR="00016415" w:rsidRPr="007640DA">
        <w:t xml:space="preserve"> includes extensive assessment and individualisation, high continuity of care, long-term monitoring and follow-up and intensive support, treatment and rehabilitation, including crisis and inpatient options. It also promotes public protection through putting agreed and/or voluntary work restrictions in place, enabling regulator action in cases of serious risk and having formal agreements with the regulator</w:t>
      </w:r>
      <w:r w:rsidR="000E107F">
        <w:t xml:space="preserve"> (</w:t>
      </w:r>
      <w:proofErr w:type="spellStart"/>
      <w:r w:rsidR="000E107F">
        <w:t>Gray</w:t>
      </w:r>
      <w:proofErr w:type="spellEnd"/>
      <w:r w:rsidR="000E107F">
        <w:t xml:space="preserve"> 2006). </w:t>
      </w:r>
    </w:p>
    <w:p w:rsidR="00E505CD" w:rsidRPr="007640DA" w:rsidRDefault="00E505CD" w:rsidP="00422316">
      <w:pPr>
        <w:pStyle w:val="BodyText"/>
      </w:pPr>
      <w:r w:rsidRPr="007640DA">
        <w:t xml:space="preserve">While details vary between case management services, typical treatment-related roles </w:t>
      </w:r>
      <w:r w:rsidR="002A316C" w:rsidRPr="007640DA">
        <w:t xml:space="preserve">include: </w:t>
      </w:r>
      <w:r w:rsidRPr="007640DA">
        <w:t xml:space="preserve"> </w:t>
      </w:r>
    </w:p>
    <w:p w:rsidR="00E505CD" w:rsidRPr="007640DA" w:rsidRDefault="00E505CD" w:rsidP="005B72F2">
      <w:pPr>
        <w:pStyle w:val="ListDash"/>
      </w:pPr>
      <w:r w:rsidRPr="007640DA">
        <w:t>using assessment findings to develop a management and treatment plan</w:t>
      </w:r>
    </w:p>
    <w:p w:rsidR="00E505CD" w:rsidRPr="007640DA" w:rsidRDefault="00E505CD" w:rsidP="005B72F2">
      <w:pPr>
        <w:pStyle w:val="ListDash"/>
      </w:pPr>
      <w:r w:rsidRPr="007640DA">
        <w:t>creating an agreement or contract with the client, based on the treatment plan</w:t>
      </w:r>
    </w:p>
    <w:p w:rsidR="00E505CD" w:rsidRPr="007640DA" w:rsidRDefault="00E505CD" w:rsidP="005B72F2">
      <w:pPr>
        <w:pStyle w:val="ListDash"/>
      </w:pPr>
      <w:r w:rsidRPr="007640DA">
        <w:t>assisting the client to arrange and coordinate the treatment plan including referrals to appropriate treatment</w:t>
      </w:r>
      <w:r w:rsidR="00AA17E4" w:rsidRPr="007640DA">
        <w:t xml:space="preserve"> services, and </w:t>
      </w:r>
      <w:r w:rsidRPr="007640DA">
        <w:t xml:space="preserve">monitoring compliance with treatment and management programs </w:t>
      </w:r>
    </w:p>
    <w:p w:rsidR="00E505CD" w:rsidRPr="007640DA" w:rsidRDefault="00E505CD" w:rsidP="005B72F2">
      <w:pPr>
        <w:pStyle w:val="ListDash"/>
      </w:pPr>
      <w:r w:rsidRPr="007640DA">
        <w:lastRenderedPageBreak/>
        <w:t>developing and implementing response plans when relapse or other significant negative events occur</w:t>
      </w:r>
    </w:p>
    <w:p w:rsidR="00E505CD" w:rsidRPr="007640DA" w:rsidRDefault="00E505CD" w:rsidP="005B72F2">
      <w:pPr>
        <w:pStyle w:val="ListDash"/>
      </w:pPr>
      <w:r w:rsidRPr="007640DA">
        <w:t>negotiati</w:t>
      </w:r>
      <w:r w:rsidR="005D53D1">
        <w:t>ng</w:t>
      </w:r>
      <w:r w:rsidRPr="007640DA">
        <w:t xml:space="preserve"> alterations to treatment and management plans as appropriate</w:t>
      </w:r>
    </w:p>
    <w:p w:rsidR="00E505CD" w:rsidRPr="007640DA" w:rsidRDefault="00E505CD" w:rsidP="005B72F2">
      <w:pPr>
        <w:pStyle w:val="ListDash"/>
      </w:pPr>
      <w:r w:rsidRPr="007640DA">
        <w:t>ar</w:t>
      </w:r>
      <w:r w:rsidR="00AA17E4" w:rsidRPr="007640DA">
        <w:t xml:space="preserve">ranging re-assessment of clients </w:t>
      </w:r>
      <w:r w:rsidRPr="007640DA">
        <w:t xml:space="preserve">reaching the end of service participation </w:t>
      </w:r>
    </w:p>
    <w:p w:rsidR="00E505CD" w:rsidRPr="007640DA" w:rsidRDefault="00E505CD" w:rsidP="005B72F2">
      <w:pPr>
        <w:pStyle w:val="ListDash"/>
      </w:pPr>
      <w:proofErr w:type="gramStart"/>
      <w:r w:rsidRPr="007640DA">
        <w:t>facilitating</w:t>
      </w:r>
      <w:proofErr w:type="gramEnd"/>
      <w:r w:rsidRPr="007640DA">
        <w:t xml:space="preserve"> return-to-work efforts. </w:t>
      </w:r>
    </w:p>
    <w:p w:rsidR="00EA0BD6" w:rsidRPr="007640DA" w:rsidRDefault="00C33F5F">
      <w:pPr>
        <w:pStyle w:val="BodyText"/>
      </w:pPr>
      <w:r w:rsidRPr="007640DA">
        <w:t>These s</w:t>
      </w:r>
      <w:r w:rsidR="00EA0BD6" w:rsidRPr="007640DA">
        <w:t xml:space="preserve">ervice elements </w:t>
      </w:r>
      <w:r w:rsidRPr="007640DA">
        <w:t>are considered to</w:t>
      </w:r>
      <w:r w:rsidR="00EA0BD6" w:rsidRPr="007640DA">
        <w:t xml:space="preserve"> align with best practice principles in managing practitioners with a health impairment</w:t>
      </w:r>
      <w:r w:rsidR="00954A72">
        <w:t xml:space="preserve">, which are </w:t>
      </w:r>
      <w:r w:rsidR="00EA0BD6" w:rsidRPr="007640DA">
        <w:t>‘managing risk in a proportionate manner’, ‘protect[</w:t>
      </w:r>
      <w:proofErr w:type="spellStart"/>
      <w:r w:rsidR="00EA0BD6" w:rsidRPr="007640DA">
        <w:t>ing</w:t>
      </w:r>
      <w:proofErr w:type="spellEnd"/>
      <w:r w:rsidR="00EA0BD6" w:rsidRPr="007640DA">
        <w:t>] the public from harm’</w:t>
      </w:r>
      <w:r w:rsidR="00AA17E4" w:rsidRPr="007640DA">
        <w:t>,</w:t>
      </w:r>
      <w:r w:rsidR="00EA0BD6" w:rsidRPr="007640DA">
        <w:t xml:space="preserve"> and ‘evidence-based and tailored to the needs of health practitioners’ (</w:t>
      </w:r>
      <w:r w:rsidR="000E107F">
        <w:t>Fletcher 2001; Medi</w:t>
      </w:r>
      <w:r w:rsidR="009C145B">
        <w:t>cal Council of New Zealand 2011</w:t>
      </w:r>
      <w:r w:rsidR="000E107F">
        <w:t>; CRNBC 2012; General Medical Council 2014</w:t>
      </w:r>
      <w:r w:rsidR="00EA0BD6" w:rsidRPr="007640DA">
        <w:t xml:space="preserve">). </w:t>
      </w:r>
    </w:p>
    <w:p w:rsidR="00422316" w:rsidRPr="007640DA" w:rsidRDefault="00422316" w:rsidP="007640DA">
      <w:pPr>
        <w:pStyle w:val="SideQuoteSource"/>
        <w:framePr w:wrap="around"/>
      </w:pPr>
      <w:r w:rsidRPr="007640DA">
        <w:t xml:space="preserve">Support services </w:t>
      </w:r>
      <w:r w:rsidR="00455B8F" w:rsidRPr="007640DA">
        <w:t>typically</w:t>
      </w:r>
      <w:r w:rsidRPr="007640DA">
        <w:t xml:space="preserve"> exclude treatment</w:t>
      </w:r>
    </w:p>
    <w:p w:rsidR="00422316" w:rsidRPr="007640DA" w:rsidRDefault="00C33F5F" w:rsidP="00A41FF1">
      <w:pPr>
        <w:pStyle w:val="BodyText"/>
      </w:pPr>
      <w:r w:rsidRPr="007640DA">
        <w:t>The literature indicates that s</w:t>
      </w:r>
      <w:r w:rsidR="00422316" w:rsidRPr="007640DA">
        <w:t xml:space="preserve">upport services </w:t>
      </w:r>
      <w:r w:rsidR="00455B8F" w:rsidRPr="007640DA">
        <w:t xml:space="preserve">generally </w:t>
      </w:r>
      <w:r w:rsidR="00422316" w:rsidRPr="007640DA">
        <w:t xml:space="preserve">do not provide clinical treatment for </w:t>
      </w:r>
      <w:r w:rsidR="00455B8F" w:rsidRPr="007640DA">
        <w:t>nurses and midwives</w:t>
      </w:r>
      <w:r w:rsidR="00422316" w:rsidRPr="007640DA">
        <w:t xml:space="preserve"> with </w:t>
      </w:r>
      <w:r w:rsidR="004C1E45" w:rsidRPr="007640DA">
        <w:t>a</w:t>
      </w:r>
      <w:r w:rsidR="004C1E45">
        <w:t xml:space="preserve"> health</w:t>
      </w:r>
      <w:r w:rsidR="004C1E45" w:rsidRPr="007640DA">
        <w:t xml:space="preserve"> </w:t>
      </w:r>
      <w:r w:rsidR="00422316" w:rsidRPr="007640DA">
        <w:t xml:space="preserve">impairment, with the exception of in-house counselling. </w:t>
      </w:r>
      <w:r w:rsidR="00A41FF1" w:rsidRPr="007640DA">
        <w:t>R</w:t>
      </w:r>
      <w:r w:rsidR="00455B8F" w:rsidRPr="007640DA">
        <w:t xml:space="preserve">ather </w:t>
      </w:r>
      <w:r w:rsidR="00A41FF1" w:rsidRPr="007640DA">
        <w:t xml:space="preserve">they </w:t>
      </w:r>
      <w:r w:rsidR="00455B8F" w:rsidRPr="007640DA">
        <w:t>provid</w:t>
      </w:r>
      <w:r w:rsidR="00A41FF1" w:rsidRPr="007640DA">
        <w:t>e</w:t>
      </w:r>
      <w:r w:rsidR="00455B8F" w:rsidRPr="007640DA">
        <w:t xml:space="preserve"> </w:t>
      </w:r>
      <w:r w:rsidR="00422316" w:rsidRPr="007640DA">
        <w:t>coordinati</w:t>
      </w:r>
      <w:r w:rsidR="005D53D1">
        <w:t>on</w:t>
      </w:r>
      <w:r w:rsidR="00422316" w:rsidRPr="007640DA">
        <w:t>, referral</w:t>
      </w:r>
      <w:r w:rsidR="004C1E45">
        <w:t xml:space="preserve"> service to other health professionals or specialist services</w:t>
      </w:r>
      <w:r w:rsidR="00422316" w:rsidRPr="007640DA">
        <w:t xml:space="preserve"> </w:t>
      </w:r>
      <w:r w:rsidR="005D53D1">
        <w:t xml:space="preserve">and </w:t>
      </w:r>
      <w:r w:rsidR="00422316" w:rsidRPr="007640DA">
        <w:t xml:space="preserve">administrative and monitoring </w:t>
      </w:r>
      <w:r w:rsidR="00455B8F" w:rsidRPr="007640DA">
        <w:t>assistance</w:t>
      </w:r>
      <w:r w:rsidR="00B2134D" w:rsidRPr="007640DA">
        <w:t xml:space="preserve">. In addition, the services </w:t>
      </w:r>
      <w:r w:rsidR="0014312C" w:rsidRPr="007640DA">
        <w:t>tend</w:t>
      </w:r>
      <w:r w:rsidR="003D31D9" w:rsidRPr="007640DA">
        <w:t xml:space="preserve"> </w:t>
      </w:r>
      <w:r w:rsidR="0014312C" w:rsidRPr="007640DA">
        <w:t>to</w:t>
      </w:r>
      <w:r w:rsidR="003D31D9" w:rsidRPr="007640DA">
        <w:t xml:space="preserve"> </w:t>
      </w:r>
      <w:r w:rsidR="00422316" w:rsidRPr="007640DA">
        <w:t>specia</w:t>
      </w:r>
      <w:r w:rsidR="0014312C" w:rsidRPr="007640DA">
        <w:t>lise according to</w:t>
      </w:r>
      <w:r w:rsidR="00422316" w:rsidRPr="007640DA">
        <w:t xml:space="preserve">: </w:t>
      </w:r>
    </w:p>
    <w:p w:rsidR="00422316" w:rsidRPr="007640DA" w:rsidRDefault="00422316" w:rsidP="00B2233D">
      <w:pPr>
        <w:pStyle w:val="ListDash"/>
      </w:pPr>
      <w:r w:rsidRPr="007640DA">
        <w:rPr>
          <w:i/>
        </w:rPr>
        <w:t>Geographic area</w:t>
      </w:r>
      <w:r w:rsidRPr="007640DA">
        <w:rPr>
          <w:b/>
        </w:rPr>
        <w:t>:</w:t>
      </w:r>
      <w:r w:rsidRPr="007640DA">
        <w:t xml:space="preserve"> In the US, Canada and the Australia, state or province-based programs are the norm. </w:t>
      </w:r>
      <w:r w:rsidR="0014312C" w:rsidRPr="007640DA">
        <w:t xml:space="preserve">The literature provides little comment </w:t>
      </w:r>
      <w:r w:rsidRPr="007640DA">
        <w:t xml:space="preserve">on the relative merits of a state-based or national approach. </w:t>
      </w:r>
    </w:p>
    <w:p w:rsidR="00422316" w:rsidRPr="007640DA" w:rsidRDefault="00422316" w:rsidP="00B2233D">
      <w:pPr>
        <w:pStyle w:val="ListDash"/>
      </w:pPr>
      <w:r w:rsidRPr="007640DA">
        <w:rPr>
          <w:i/>
        </w:rPr>
        <w:t>Impairment type</w:t>
      </w:r>
      <w:r w:rsidRPr="007640DA">
        <w:t>: Many support services limit the scope of impairments they cover, however, substance misuse was specifically covered by all service</w:t>
      </w:r>
      <w:r w:rsidR="0014312C" w:rsidRPr="007640DA">
        <w:t>s</w:t>
      </w:r>
      <w:r w:rsidRPr="007640DA">
        <w:t xml:space="preserve"> identified in the </w:t>
      </w:r>
      <w:r w:rsidR="00AA17E4" w:rsidRPr="007640DA">
        <w:t>L</w:t>
      </w:r>
      <w:r w:rsidRPr="007640DA">
        <w:t xml:space="preserve">iterature </w:t>
      </w:r>
      <w:r w:rsidR="00AA17E4" w:rsidRPr="007640DA">
        <w:t>R</w:t>
      </w:r>
      <w:r w:rsidRPr="007640DA">
        <w:t xml:space="preserve">eview. </w:t>
      </w:r>
    </w:p>
    <w:p w:rsidR="00422316" w:rsidRPr="007640DA" w:rsidRDefault="00422316" w:rsidP="00B2233D">
      <w:pPr>
        <w:pStyle w:val="ListDash"/>
      </w:pPr>
      <w:r w:rsidRPr="007640DA">
        <w:rPr>
          <w:i/>
        </w:rPr>
        <w:t>Profession</w:t>
      </w:r>
      <w:r w:rsidRPr="007640DA">
        <w:t xml:space="preserve">: All support services reviewed </w:t>
      </w:r>
      <w:r w:rsidR="00146A64" w:rsidRPr="007640DA">
        <w:t xml:space="preserve">with the literature </w:t>
      </w:r>
      <w:r w:rsidRPr="007640DA">
        <w:t xml:space="preserve">were, to some extent, specific to health practitioners. Some were specific to one or two health professions, while others were open to those working in a range of health-related occupations. </w:t>
      </w:r>
    </w:p>
    <w:p w:rsidR="0027775D" w:rsidRPr="007640DA" w:rsidRDefault="0027775D" w:rsidP="007640DA">
      <w:pPr>
        <w:pStyle w:val="SideQuoteSource"/>
        <w:framePr w:wrap="around"/>
      </w:pPr>
      <w:r w:rsidRPr="007640DA">
        <w:t xml:space="preserve">Meaningful outcomes </w:t>
      </w:r>
      <w:r w:rsidR="00226851" w:rsidRPr="007640DA">
        <w:t xml:space="preserve">data </w:t>
      </w:r>
      <w:r w:rsidRPr="007640DA">
        <w:t>on service participation are limited</w:t>
      </w:r>
    </w:p>
    <w:p w:rsidR="00EA0BD6" w:rsidRPr="007640DA" w:rsidRDefault="00EC38F7" w:rsidP="005B72F2">
      <w:pPr>
        <w:pStyle w:val="BodyText"/>
      </w:pPr>
      <w:r>
        <w:t>T</w:t>
      </w:r>
      <w:r w:rsidRPr="009C008C">
        <w:t>he literature is sparse</w:t>
      </w:r>
      <w:r w:rsidRPr="00D25304">
        <w:t xml:space="preserve"> </w:t>
      </w:r>
      <w:r>
        <w:t>i</w:t>
      </w:r>
      <w:r w:rsidR="0076506C" w:rsidRPr="007640DA">
        <w:t xml:space="preserve">n relation to </w:t>
      </w:r>
      <w:r>
        <w:t>measurable</w:t>
      </w:r>
      <w:r w:rsidRPr="007640DA">
        <w:t xml:space="preserve"> </w:t>
      </w:r>
      <w:r w:rsidR="0076506C" w:rsidRPr="007640DA">
        <w:t xml:space="preserve">outcomes of health services for </w:t>
      </w:r>
      <w:r w:rsidR="0076506C" w:rsidRPr="007640DA">
        <w:lastRenderedPageBreak/>
        <w:t>clients</w:t>
      </w:r>
      <w:r>
        <w:t xml:space="preserve"> but</w:t>
      </w:r>
      <w:r w:rsidR="0034605F" w:rsidRPr="007640DA">
        <w:t xml:space="preserve"> does </w:t>
      </w:r>
      <w:r w:rsidR="0028611D" w:rsidRPr="007640DA">
        <w:t>discuss</w:t>
      </w:r>
      <w:r w:rsidR="0034605F" w:rsidRPr="007640DA">
        <w:t xml:space="preserve"> the </w:t>
      </w:r>
      <w:r w:rsidR="00FB46D9" w:rsidRPr="007640DA">
        <w:t>following</w:t>
      </w:r>
      <w:r>
        <w:t xml:space="preserve"> as the key outcome indicators</w:t>
      </w:r>
      <w:r w:rsidR="00AA17E4" w:rsidRPr="007640DA">
        <w:t xml:space="preserve">: </w:t>
      </w:r>
      <w:r w:rsidR="00FB46D9" w:rsidRPr="007640DA">
        <w:t xml:space="preserve"> </w:t>
      </w:r>
    </w:p>
    <w:p w:rsidR="00FB46D9" w:rsidRPr="007640DA" w:rsidRDefault="00FB46D9">
      <w:pPr>
        <w:pStyle w:val="ListDash"/>
      </w:pPr>
      <w:r w:rsidRPr="007640DA">
        <w:rPr>
          <w:i/>
        </w:rPr>
        <w:t>Recovery:</w:t>
      </w:r>
      <w:r w:rsidRPr="007640DA">
        <w:t xml:space="preserve"> total (without relapse); total (with relapse); no longer a risk to patients, abstinence from substance abuse; non-recovery; and death</w:t>
      </w:r>
      <w:r w:rsidR="001911FB" w:rsidRPr="007640DA">
        <w:t xml:space="preserve">. </w:t>
      </w:r>
    </w:p>
    <w:p w:rsidR="001911FB" w:rsidRPr="007640DA" w:rsidRDefault="00FB46D9">
      <w:pPr>
        <w:pStyle w:val="ListDash"/>
      </w:pPr>
      <w:r w:rsidRPr="007640DA">
        <w:rPr>
          <w:i/>
        </w:rPr>
        <w:t>Registration:</w:t>
      </w:r>
      <w:r w:rsidRPr="007640DA">
        <w:t xml:space="preserve"> kept (without </w:t>
      </w:r>
      <w:r w:rsidR="001911FB" w:rsidRPr="007640DA">
        <w:t>restrictions</w:t>
      </w:r>
      <w:r w:rsidRPr="007640DA">
        <w:t>)</w:t>
      </w:r>
      <w:r w:rsidR="001911FB" w:rsidRPr="007640DA">
        <w:t>; kept (with restrictions); revoked or suspended; surrendered; and converted to non-</w:t>
      </w:r>
      <w:r w:rsidR="00883B4C">
        <w:t>practising</w:t>
      </w:r>
      <w:r w:rsidR="00B17E32" w:rsidRPr="007640DA">
        <w:t xml:space="preserve">. </w:t>
      </w:r>
      <w:r w:rsidR="001911FB" w:rsidRPr="007640DA">
        <w:t xml:space="preserve"> </w:t>
      </w:r>
    </w:p>
    <w:p w:rsidR="00FB46D9" w:rsidRPr="007640DA" w:rsidRDefault="001911FB">
      <w:pPr>
        <w:pStyle w:val="ListDash"/>
      </w:pPr>
      <w:r w:rsidRPr="007640DA">
        <w:rPr>
          <w:i/>
        </w:rPr>
        <w:t>Program completion:</w:t>
      </w:r>
      <w:r w:rsidRPr="007640DA">
        <w:t xml:space="preserve"> program completed; failure to complete (voluntary exit); failure to complete (involuntary discharge);</w:t>
      </w:r>
      <w:r w:rsidR="00B17E32" w:rsidRPr="007640DA">
        <w:t xml:space="preserve"> failure to engage at beginning. </w:t>
      </w:r>
      <w:r w:rsidRPr="007640DA">
        <w:t xml:space="preserve"> </w:t>
      </w:r>
    </w:p>
    <w:p w:rsidR="00200BDC" w:rsidRPr="007640DA" w:rsidRDefault="001911FB" w:rsidP="00200BDC">
      <w:pPr>
        <w:pStyle w:val="ListDash"/>
      </w:pPr>
      <w:r w:rsidRPr="007640DA">
        <w:rPr>
          <w:i/>
        </w:rPr>
        <w:t>Work status:</w:t>
      </w:r>
      <w:r w:rsidRPr="007640DA">
        <w:t xml:space="preserve"> remained in work; returned to work; able to return to work, planning to return; able to return to work, not planning to return; and unable to return to work. </w:t>
      </w:r>
    </w:p>
    <w:p w:rsidR="00EC38F7" w:rsidRDefault="0028611D" w:rsidP="005B72F2">
      <w:pPr>
        <w:pStyle w:val="ListDash"/>
        <w:numPr>
          <w:ilvl w:val="0"/>
          <w:numId w:val="0"/>
        </w:numPr>
      </w:pPr>
      <w:r w:rsidRPr="005529DF">
        <w:t>In particular, c</w:t>
      </w:r>
      <w:r w:rsidR="00200BDC" w:rsidRPr="005529DF">
        <w:t>lients with substance use disorders in practitioner health programs recover at much higher rates than members of the general population undergoing substance use disorder treatment (as defined by abstinence at five years)</w:t>
      </w:r>
      <w:r w:rsidRPr="005529DF">
        <w:t xml:space="preserve">. </w:t>
      </w:r>
    </w:p>
    <w:p w:rsidR="00EC38F7" w:rsidRDefault="00EC38F7" w:rsidP="005B72F2">
      <w:pPr>
        <w:pStyle w:val="ListDash"/>
        <w:numPr>
          <w:ilvl w:val="0"/>
          <w:numId w:val="0"/>
        </w:numPr>
      </w:pPr>
      <w:r>
        <w:t>O</w:t>
      </w:r>
      <w:r w:rsidR="0028611D" w:rsidRPr="005529DF">
        <w:t xml:space="preserve">ptimistic estimates of recovery rate in the general population undergoing treatment generally range from 40 per cent to 60 per cent yet, for example, the average recovery rate for the US practitioner health programs (PHP’s) is 88 per cent at five years. </w:t>
      </w:r>
      <w:r w:rsidR="00F04163" w:rsidRPr="005529DF">
        <w:t>Similarly, t</w:t>
      </w:r>
      <w:r w:rsidR="0028611D" w:rsidRPr="005529DF">
        <w:t xml:space="preserve">he three-year recovery rate for UK-PHP is 79 per cent. The risk of relapse </w:t>
      </w:r>
      <w:r w:rsidR="00F04163" w:rsidRPr="005529DF">
        <w:t>was also found to be lower</w:t>
      </w:r>
      <w:r w:rsidR="0028611D" w:rsidRPr="005529DF">
        <w:t xml:space="preserve"> in practitioners (Page 40, Literature Review).</w:t>
      </w:r>
    </w:p>
    <w:p w:rsidR="00F04163" w:rsidRPr="007640DA" w:rsidRDefault="00F04163" w:rsidP="005B72F2">
      <w:pPr>
        <w:pStyle w:val="ListDash"/>
        <w:numPr>
          <w:ilvl w:val="0"/>
          <w:numId w:val="0"/>
        </w:numPr>
      </w:pPr>
      <w:r w:rsidRPr="005529DF">
        <w:t xml:space="preserve">In contrast, recovery from mental health issues, physical illness, cognitive impairment, ageing and disability was more difficult to define or in some cases not medically possible. </w:t>
      </w:r>
    </w:p>
    <w:p w:rsidR="00422316" w:rsidRPr="007640DA" w:rsidRDefault="00422316" w:rsidP="00B2233D">
      <w:pPr>
        <w:pStyle w:val="Heading3"/>
        <w:rPr>
          <w:rFonts w:ascii="Times New Roman" w:hAnsi="Times New Roman"/>
        </w:rPr>
      </w:pPr>
      <w:bookmarkStart w:id="100" w:name="_Toc417903014"/>
      <w:bookmarkStart w:id="101" w:name="_Toc417903171"/>
      <w:bookmarkStart w:id="102" w:name="_Toc417904284"/>
      <w:bookmarkEnd w:id="100"/>
      <w:bookmarkEnd w:id="101"/>
      <w:bookmarkEnd w:id="102"/>
      <w:r w:rsidRPr="007640DA">
        <w:rPr>
          <w:rFonts w:ascii="Times New Roman" w:hAnsi="Times New Roman"/>
        </w:rPr>
        <w:t xml:space="preserve">Monitoring and rehabilitation </w:t>
      </w:r>
    </w:p>
    <w:p w:rsidR="00422316" w:rsidRPr="007640DA" w:rsidRDefault="00F23111" w:rsidP="00422316">
      <w:pPr>
        <w:pStyle w:val="BodyText"/>
      </w:pPr>
      <w:r w:rsidRPr="005529DF">
        <w:rPr>
          <w:i/>
        </w:rPr>
        <w:t xml:space="preserve">Nurses </w:t>
      </w:r>
      <w:r w:rsidR="00AA17E4" w:rsidRPr="005529DF">
        <w:rPr>
          <w:i/>
        </w:rPr>
        <w:t xml:space="preserve">and </w:t>
      </w:r>
      <w:r w:rsidRPr="005529DF">
        <w:rPr>
          <w:i/>
        </w:rPr>
        <w:t>midwives</w:t>
      </w:r>
      <w:r w:rsidRPr="005529DF">
        <w:t xml:space="preserve"> </w:t>
      </w:r>
      <w:r w:rsidR="00422316" w:rsidRPr="007640DA">
        <w:rPr>
          <w:i/>
        </w:rPr>
        <w:t xml:space="preserve">who have been notified and had conditions placed upon their registration are typically monitored over a specific period of time. </w:t>
      </w:r>
      <w:r w:rsidR="00F3492A" w:rsidRPr="007640DA">
        <w:rPr>
          <w:i/>
        </w:rPr>
        <w:t xml:space="preserve">Nurses and midwives </w:t>
      </w:r>
      <w:r w:rsidR="00422316" w:rsidRPr="007640DA">
        <w:rPr>
          <w:i/>
        </w:rPr>
        <w:t>who have not come to the attention of the regulator but who are accessing a support service may also be monitored by that service</w:t>
      </w:r>
      <w:r w:rsidR="00422316" w:rsidRPr="007640DA">
        <w:t>.</w:t>
      </w:r>
    </w:p>
    <w:p w:rsidR="00422316" w:rsidRPr="007640DA" w:rsidRDefault="00422316" w:rsidP="00422316">
      <w:pPr>
        <w:pStyle w:val="BodyText"/>
      </w:pPr>
      <w:r w:rsidRPr="007640DA">
        <w:lastRenderedPageBreak/>
        <w:t xml:space="preserve">Monitoring strategies used by regulators and </w:t>
      </w:r>
      <w:r w:rsidR="009B2820" w:rsidRPr="007640DA">
        <w:t>the services available from health programs</w:t>
      </w:r>
      <w:r w:rsidR="00AA17E4" w:rsidRPr="007640DA">
        <w:t>/support services</w:t>
      </w:r>
      <w:r w:rsidRPr="007640DA">
        <w:t xml:space="preserve"> </w:t>
      </w:r>
      <w:r w:rsidR="008939C8" w:rsidRPr="007640DA">
        <w:t xml:space="preserve">can </w:t>
      </w:r>
      <w:r w:rsidRPr="007640DA">
        <w:t>overlap</w:t>
      </w:r>
      <w:r w:rsidR="009B2820" w:rsidRPr="007640DA">
        <w:t xml:space="preserve"> in areas such as </w:t>
      </w:r>
      <w:r w:rsidRPr="007640DA">
        <w:t xml:space="preserve">regular drug testing, treating practitioner feedback, medical monitoring and personal progress reports by clients. </w:t>
      </w:r>
    </w:p>
    <w:p w:rsidR="00422316" w:rsidRPr="007640DA" w:rsidRDefault="00422316" w:rsidP="00422316">
      <w:pPr>
        <w:pStyle w:val="ListDash"/>
        <w:numPr>
          <w:ilvl w:val="0"/>
          <w:numId w:val="0"/>
        </w:numPr>
      </w:pPr>
      <w:r w:rsidRPr="007640DA">
        <w:t xml:space="preserve">In Australia, regulators are responsible for determining a monitoring period for </w:t>
      </w:r>
      <w:r w:rsidR="00F3492A" w:rsidRPr="007640DA">
        <w:t>nurses and midwives</w:t>
      </w:r>
      <w:r w:rsidRPr="007640DA">
        <w:t xml:space="preserve"> who have been notified and had conditions placed upon their registration. </w:t>
      </w:r>
      <w:r w:rsidR="009B2820" w:rsidRPr="007640DA">
        <w:t>T</w:t>
      </w:r>
      <w:r w:rsidRPr="007640DA">
        <w:t xml:space="preserve">he costs associated with meeting monitoring requirements </w:t>
      </w:r>
      <w:r w:rsidR="00181D7D" w:rsidRPr="007640DA">
        <w:t xml:space="preserve">are the responsibility of the affected nurse </w:t>
      </w:r>
      <w:r w:rsidR="00AA17E4" w:rsidRPr="007640DA">
        <w:t>or</w:t>
      </w:r>
      <w:r w:rsidR="00181D7D" w:rsidRPr="007640DA">
        <w:t xml:space="preserve"> midwife</w:t>
      </w:r>
      <w:r w:rsidRPr="007640DA">
        <w:t xml:space="preserve">. </w:t>
      </w:r>
      <w:r w:rsidR="009B2820" w:rsidRPr="007640DA">
        <w:t>I</w:t>
      </w:r>
      <w:r w:rsidRPr="007640DA">
        <w:t xml:space="preserve">n </w:t>
      </w:r>
      <w:r w:rsidR="00313B3F" w:rsidRPr="007640DA">
        <w:t xml:space="preserve">other countries, such as </w:t>
      </w:r>
      <w:r w:rsidRPr="007640DA">
        <w:t xml:space="preserve">the United States and the United Kingdom, health insurers and health professional unions may also contribute to these costs. </w:t>
      </w:r>
    </w:p>
    <w:p w:rsidR="008939C8" w:rsidRPr="007640DA" w:rsidRDefault="00666D1C" w:rsidP="007640DA">
      <w:pPr>
        <w:pStyle w:val="SideQuoteSource"/>
        <w:framePr w:wrap="around"/>
      </w:pPr>
      <w:r w:rsidRPr="007640DA">
        <w:t xml:space="preserve">Monitoring costs can place significant financial pressure on the nurse or midwife </w:t>
      </w:r>
    </w:p>
    <w:p w:rsidR="00F34912" w:rsidRPr="007640DA" w:rsidRDefault="00181D7D" w:rsidP="005B72F2">
      <w:pPr>
        <w:spacing w:before="120" w:after="120" w:line="280" w:lineRule="exact"/>
        <w:rPr>
          <w:rFonts w:ascii="Times New Roman" w:hAnsi="Times New Roman" w:cs="Times New Roman"/>
        </w:rPr>
      </w:pPr>
      <w:r w:rsidRPr="007640DA">
        <w:rPr>
          <w:rFonts w:ascii="Times New Roman" w:hAnsi="Times New Roman" w:cs="Times New Roman"/>
        </w:rPr>
        <w:t>It was widely acknowledged throughout</w:t>
      </w:r>
      <w:r w:rsidR="003D31D9" w:rsidRPr="007640DA">
        <w:rPr>
          <w:rFonts w:ascii="Times New Roman" w:hAnsi="Times New Roman" w:cs="Times New Roman"/>
        </w:rPr>
        <w:t xml:space="preserve"> the</w:t>
      </w:r>
      <w:r w:rsidRPr="007640DA">
        <w:rPr>
          <w:rFonts w:ascii="Times New Roman" w:hAnsi="Times New Roman" w:cs="Times New Roman"/>
        </w:rPr>
        <w:t xml:space="preserve"> review consultations that the high costs associated with meeting monitoring requirements </w:t>
      </w:r>
      <w:r w:rsidR="009B2820" w:rsidRPr="007640DA">
        <w:rPr>
          <w:rFonts w:ascii="Times New Roman" w:hAnsi="Times New Roman" w:cs="Times New Roman"/>
        </w:rPr>
        <w:t xml:space="preserve">can </w:t>
      </w:r>
      <w:r w:rsidRPr="007640DA">
        <w:rPr>
          <w:rFonts w:ascii="Times New Roman" w:hAnsi="Times New Roman" w:cs="Times New Roman"/>
        </w:rPr>
        <w:t xml:space="preserve">place significant financial pressure on the nurse </w:t>
      </w:r>
      <w:r w:rsidR="00AA17E4" w:rsidRPr="007640DA">
        <w:rPr>
          <w:rFonts w:ascii="Times New Roman" w:hAnsi="Times New Roman" w:cs="Times New Roman"/>
        </w:rPr>
        <w:t>or</w:t>
      </w:r>
      <w:r w:rsidR="00B2233D" w:rsidRPr="007640DA">
        <w:rPr>
          <w:rFonts w:ascii="Times New Roman" w:hAnsi="Times New Roman" w:cs="Times New Roman"/>
        </w:rPr>
        <w:t xml:space="preserve"> midwife.</w:t>
      </w:r>
      <w:r w:rsidR="00F34912" w:rsidRPr="007640DA">
        <w:rPr>
          <w:rFonts w:ascii="Times New Roman" w:hAnsi="Times New Roman" w:cs="Times New Roman"/>
        </w:rPr>
        <w:t xml:space="preserve"> </w:t>
      </w:r>
      <w:r w:rsidR="00F34912" w:rsidRPr="007640DA">
        <w:rPr>
          <w:rFonts w:ascii="Times New Roman" w:eastAsia="Times New Roman" w:hAnsi="Times New Roman" w:cs="Times New Roman"/>
          <w:lang w:eastAsia="en-AU"/>
        </w:rPr>
        <w:t>Costs to clients can include the following:</w:t>
      </w:r>
    </w:p>
    <w:p w:rsidR="00F34912" w:rsidRPr="007640DA" w:rsidRDefault="00F34912" w:rsidP="009740EA">
      <w:pPr>
        <w:pStyle w:val="ListDash"/>
      </w:pPr>
      <w:r w:rsidRPr="007640DA">
        <w:t xml:space="preserve">assessments and reports </w:t>
      </w:r>
    </w:p>
    <w:p w:rsidR="00F34912" w:rsidRPr="007640DA" w:rsidRDefault="00F34912" w:rsidP="009C147D">
      <w:pPr>
        <w:pStyle w:val="ListDash"/>
      </w:pPr>
      <w:r w:rsidRPr="007640DA">
        <w:t>compliance with treatment conditions on licen</w:t>
      </w:r>
      <w:r w:rsidR="00EB491C">
        <w:t>c</w:t>
      </w:r>
      <w:r w:rsidRPr="007640DA">
        <w:t xml:space="preserve">e/registration (e.g. counselling) </w:t>
      </w:r>
    </w:p>
    <w:p w:rsidR="00F34912" w:rsidRPr="007640DA" w:rsidRDefault="00F34912">
      <w:pPr>
        <w:pStyle w:val="ListDash"/>
      </w:pPr>
      <w:r w:rsidRPr="007640DA">
        <w:t>compliance with monitoring conditions on licen</w:t>
      </w:r>
      <w:r w:rsidR="00EB491C">
        <w:t>c</w:t>
      </w:r>
      <w:r w:rsidRPr="007640DA">
        <w:t xml:space="preserve">e/registration (e.g. urine testing) </w:t>
      </w:r>
    </w:p>
    <w:p w:rsidR="00F34912" w:rsidRPr="007640DA" w:rsidRDefault="00F34912">
      <w:pPr>
        <w:pStyle w:val="ListDash"/>
      </w:pPr>
      <w:r w:rsidRPr="007640DA">
        <w:t xml:space="preserve">travel costs to comply with conditions </w:t>
      </w:r>
    </w:p>
    <w:p w:rsidR="00034713" w:rsidRDefault="00F34912" w:rsidP="00500001">
      <w:pPr>
        <w:pStyle w:val="ListDash"/>
      </w:pPr>
      <w:r w:rsidRPr="007640DA">
        <w:t>income loss</w:t>
      </w:r>
    </w:p>
    <w:p w:rsidR="00F34912" w:rsidRPr="007640DA" w:rsidRDefault="00F34912" w:rsidP="00500001">
      <w:pPr>
        <w:pStyle w:val="ListDash"/>
      </w:pPr>
      <w:proofErr w:type="gramStart"/>
      <w:r w:rsidRPr="007640DA">
        <w:t>legal</w:t>
      </w:r>
      <w:proofErr w:type="gramEnd"/>
      <w:r w:rsidRPr="007640DA">
        <w:t xml:space="preserve"> advice, representation and court/tribunal costs. </w:t>
      </w:r>
    </w:p>
    <w:p w:rsidR="00EC38F7" w:rsidRDefault="00034713" w:rsidP="007640DA">
      <w:pPr>
        <w:pStyle w:val="BodyText"/>
        <w:keepNext/>
        <w:keepLines/>
      </w:pPr>
      <w:r>
        <w:lastRenderedPageBreak/>
        <w:t>P</w:t>
      </w:r>
      <w:r w:rsidR="002B2CD8" w:rsidRPr="007640DA">
        <w:t xml:space="preserve">rivate </w:t>
      </w:r>
      <w:proofErr w:type="gramStart"/>
      <w:r w:rsidR="002B2CD8" w:rsidRPr="007640DA">
        <w:t>sessions</w:t>
      </w:r>
      <w:proofErr w:type="gramEnd"/>
      <w:r w:rsidR="002B2CD8" w:rsidRPr="007640DA">
        <w:t xml:space="preserve"> with a medical practitioner can range between $75-$300 per session (without </w:t>
      </w:r>
      <w:r w:rsidR="00AA17E4" w:rsidRPr="007640DA">
        <w:t xml:space="preserve">a </w:t>
      </w:r>
      <w:r w:rsidR="002B2CD8" w:rsidRPr="007640DA">
        <w:t>Medicare</w:t>
      </w:r>
      <w:r w:rsidR="00AA17E4" w:rsidRPr="007640DA">
        <w:t xml:space="preserve"> subsidy</w:t>
      </w:r>
      <w:r w:rsidR="002B2CD8" w:rsidRPr="007640DA">
        <w:t>), while drug test</w:t>
      </w:r>
      <w:r w:rsidR="00F276BC" w:rsidRPr="007640DA">
        <w:t xml:space="preserve">s can cost up to $500 per test. </w:t>
      </w:r>
    </w:p>
    <w:p w:rsidR="00034713" w:rsidRPr="005B74C9" w:rsidRDefault="00F276BC" w:rsidP="007640DA">
      <w:pPr>
        <w:pStyle w:val="BodyText"/>
        <w:keepNext/>
        <w:keepLines/>
      </w:pPr>
      <w:r w:rsidRPr="007640DA">
        <w:t xml:space="preserve">High costs, such as these, </w:t>
      </w:r>
      <w:r w:rsidR="00B2233D" w:rsidRPr="007640DA">
        <w:t xml:space="preserve">can have an adverse impact on both the levels of early self-referral as well as the length of the rehabilitation </w:t>
      </w:r>
      <w:r w:rsidR="00313B3F" w:rsidRPr="007640DA">
        <w:t xml:space="preserve">or recovery </w:t>
      </w:r>
      <w:r w:rsidR="00B2233D" w:rsidRPr="007640DA">
        <w:t>process</w:t>
      </w:r>
      <w:r w:rsidR="00CA0619">
        <w:t xml:space="preserve">, potentially </w:t>
      </w:r>
      <w:r w:rsidR="00034713" w:rsidRPr="005529DF">
        <w:t xml:space="preserve">resulting in an escalation of the impairment </w:t>
      </w:r>
      <w:r w:rsidR="00CA0619">
        <w:t>and hence risk to the nurse or midwife</w:t>
      </w:r>
      <w:r w:rsidR="00034713" w:rsidRPr="005529DF">
        <w:t xml:space="preserve"> and the public.</w:t>
      </w:r>
    </w:p>
    <w:p w:rsidR="0021158B" w:rsidRPr="005529DF" w:rsidRDefault="00666D1C" w:rsidP="00666D1C">
      <w:pPr>
        <w:pStyle w:val="Heading2"/>
        <w:keepLines/>
        <w:rPr>
          <w:rFonts w:ascii="Times New Roman" w:hAnsi="Times New Roman"/>
        </w:rPr>
      </w:pPr>
      <w:bookmarkStart w:id="103" w:name="_Toc417891901"/>
      <w:bookmarkStart w:id="104" w:name="_Ref418358032"/>
      <w:bookmarkStart w:id="105" w:name="_Ref418671377"/>
      <w:bookmarkStart w:id="106" w:name="_Toc419702943"/>
      <w:bookmarkEnd w:id="103"/>
      <w:r w:rsidRPr="005529DF">
        <w:rPr>
          <w:rFonts w:ascii="Times New Roman" w:hAnsi="Times New Roman"/>
        </w:rPr>
        <w:t>Support</w:t>
      </w:r>
      <w:bookmarkEnd w:id="104"/>
      <w:r w:rsidR="00B71A6E" w:rsidRPr="005529DF">
        <w:rPr>
          <w:rFonts w:ascii="Times New Roman" w:hAnsi="Times New Roman"/>
        </w:rPr>
        <w:t>ing impairment</w:t>
      </w:r>
      <w:bookmarkEnd w:id="105"/>
      <w:bookmarkEnd w:id="106"/>
      <w:r w:rsidR="00B71A6E" w:rsidRPr="005529DF">
        <w:rPr>
          <w:rFonts w:ascii="Times New Roman" w:hAnsi="Times New Roman"/>
        </w:rPr>
        <w:t xml:space="preserve"> </w:t>
      </w:r>
    </w:p>
    <w:p w:rsidR="007E0AAE" w:rsidRPr="005529DF" w:rsidRDefault="007E0AAE" w:rsidP="00B27E2A">
      <w:pPr>
        <w:pStyle w:val="BodyText"/>
        <w:keepNext/>
        <w:keepLines/>
      </w:pPr>
      <w:r w:rsidRPr="005529DF">
        <w:t xml:space="preserve">As discussed earlier in section </w:t>
      </w:r>
      <w:r w:rsidR="007538B8">
        <w:fldChar w:fldCharType="begin"/>
      </w:r>
      <w:r w:rsidR="007538B8">
        <w:instrText xml:space="preserve"> REF _Ref417749105 \w \h  \* MERGEFORMAT </w:instrText>
      </w:r>
      <w:r w:rsidR="007538B8">
        <w:fldChar w:fldCharType="separate"/>
      </w:r>
      <w:r w:rsidR="00B07965">
        <w:t>3.1.3</w:t>
      </w:r>
      <w:r w:rsidR="007538B8">
        <w:fldChar w:fldCharType="end"/>
      </w:r>
      <w:r w:rsidRPr="005529DF">
        <w:t xml:space="preserve">, one of the strongest </w:t>
      </w:r>
      <w:r w:rsidR="00F83797" w:rsidRPr="005529DF">
        <w:t>themes raised in the</w:t>
      </w:r>
      <w:r w:rsidRPr="005529DF">
        <w:t xml:space="preserve"> review </w:t>
      </w:r>
      <w:r w:rsidR="00F83797" w:rsidRPr="005529DF">
        <w:t xml:space="preserve">has been </w:t>
      </w:r>
      <w:r w:rsidRPr="005529DF">
        <w:t xml:space="preserve">in relation to the </w:t>
      </w:r>
      <w:r w:rsidR="00C2088E">
        <w:t>awareness</w:t>
      </w:r>
      <w:r w:rsidR="00C2088E" w:rsidRPr="005529DF">
        <w:t xml:space="preserve"> </w:t>
      </w:r>
      <w:r w:rsidR="00C2088E">
        <w:t xml:space="preserve">and </w:t>
      </w:r>
      <w:r w:rsidRPr="005529DF">
        <w:t>adequacy of current support services available</w:t>
      </w:r>
      <w:r w:rsidR="007B3407">
        <w:t xml:space="preserve"> </w:t>
      </w:r>
      <w:r w:rsidRPr="005529DF">
        <w:t xml:space="preserve">to nurses </w:t>
      </w:r>
      <w:r w:rsidR="00F276BC" w:rsidRPr="005529DF">
        <w:t>and</w:t>
      </w:r>
      <w:r w:rsidRPr="005529DF">
        <w:t xml:space="preserve"> midwives with a health impairment</w:t>
      </w:r>
      <w:r w:rsidR="009C145B">
        <w:t xml:space="preserve">. </w:t>
      </w:r>
    </w:p>
    <w:p w:rsidR="0021158B" w:rsidRPr="005529DF" w:rsidRDefault="0021158B" w:rsidP="0021158B">
      <w:pPr>
        <w:pStyle w:val="BodyText"/>
      </w:pPr>
      <w:r w:rsidRPr="005529DF">
        <w:t xml:space="preserve">Commonly used services were identified in the Nursing and Midwifery </w:t>
      </w:r>
      <w:r w:rsidR="00497B27">
        <w:t xml:space="preserve">Health Impairment </w:t>
      </w:r>
      <w:r w:rsidRPr="005529DF">
        <w:t xml:space="preserve">Survey and are provided in </w:t>
      </w:r>
      <w:r w:rsidR="007538B8">
        <w:fldChar w:fldCharType="begin"/>
      </w:r>
      <w:r w:rsidR="007538B8">
        <w:instrText xml:space="preserve"> REF _Ref415482023 \h  \* MERGEFORMAT </w:instrText>
      </w:r>
      <w:r w:rsidR="007538B8">
        <w:fldChar w:fldCharType="separate"/>
      </w:r>
      <w:r w:rsidR="00B07965" w:rsidRPr="005529DF">
        <w:t xml:space="preserve">Figure </w:t>
      </w:r>
      <w:r w:rsidR="00B07965">
        <w:t>1</w:t>
      </w:r>
      <w:r w:rsidR="007538B8">
        <w:fldChar w:fldCharType="end"/>
      </w:r>
      <w:r w:rsidR="000461D2" w:rsidRPr="005529DF">
        <w:t xml:space="preserve"> below</w:t>
      </w:r>
      <w:r w:rsidR="00344FEA" w:rsidRPr="005529DF">
        <w:t xml:space="preserve">. </w:t>
      </w:r>
    </w:p>
    <w:p w:rsidR="0021158B" w:rsidRPr="005529DF" w:rsidRDefault="0021158B" w:rsidP="000461D2">
      <w:pPr>
        <w:pStyle w:val="Caption"/>
        <w:framePr w:w="9921" w:hSpace="181" w:wrap="notBeside" w:vAnchor="text" w:hAnchor="text" w:x="-2550" w:y="1"/>
        <w:ind w:left="3544"/>
        <w:rPr>
          <w:rFonts w:ascii="Times New Roman" w:hAnsi="Times New Roman" w:cs="Times New Roman"/>
        </w:rPr>
      </w:pPr>
      <w:bookmarkStart w:id="107" w:name="_Ref415482023"/>
      <w:bookmarkStart w:id="108" w:name="_Toc419702957"/>
      <w:r w:rsidRPr="005529DF">
        <w:rPr>
          <w:rFonts w:ascii="Times New Roman" w:hAnsi="Times New Roman" w:cs="Times New Roman"/>
        </w:rPr>
        <w:t xml:space="preserve">Figure </w:t>
      </w:r>
      <w:r w:rsidR="004D1416" w:rsidRPr="007640DA">
        <w:rPr>
          <w:rFonts w:ascii="Times New Roman" w:hAnsi="Times New Roman" w:cs="Times New Roman"/>
        </w:rPr>
        <w:fldChar w:fldCharType="begin"/>
      </w:r>
      <w:r w:rsidRPr="005529DF">
        <w:rPr>
          <w:rFonts w:ascii="Times New Roman" w:hAnsi="Times New Roman" w:cs="Times New Roman"/>
        </w:rPr>
        <w:instrText xml:space="preserve"> SEQ Figure \* ARABIC  </w:instrText>
      </w:r>
      <w:r w:rsidR="004D1416" w:rsidRPr="007640DA">
        <w:rPr>
          <w:rFonts w:ascii="Times New Roman" w:hAnsi="Times New Roman" w:cs="Times New Roman"/>
        </w:rPr>
        <w:fldChar w:fldCharType="separate"/>
      </w:r>
      <w:r w:rsidR="00B07965">
        <w:rPr>
          <w:rFonts w:ascii="Times New Roman" w:hAnsi="Times New Roman" w:cs="Times New Roman"/>
          <w:noProof/>
        </w:rPr>
        <w:t>1</w:t>
      </w:r>
      <w:r w:rsidR="004D1416" w:rsidRPr="007640DA">
        <w:rPr>
          <w:rFonts w:ascii="Times New Roman" w:hAnsi="Times New Roman" w:cs="Times New Roman"/>
        </w:rPr>
        <w:fldChar w:fldCharType="end"/>
      </w:r>
      <w:bookmarkEnd w:id="107"/>
      <w:r w:rsidRPr="005529DF">
        <w:rPr>
          <w:rFonts w:ascii="Times New Roman" w:hAnsi="Times New Roman" w:cs="Times New Roman"/>
        </w:rPr>
        <w:tab/>
      </w:r>
      <w:r w:rsidRPr="005529DF">
        <w:rPr>
          <w:rStyle w:val="CaptionLabel"/>
          <w:rFonts w:ascii="Times New Roman" w:hAnsi="Times New Roman" w:cs="Times New Roman"/>
        </w:rPr>
        <w:t>Which services are you currently aware of that nurses and midwives with a health impairment access in your jurisdiction? (n=9,019)</w:t>
      </w:r>
      <w:bookmarkEnd w:id="108"/>
    </w:p>
    <w:tbl>
      <w:tblPr>
        <w:tblW w:w="3713" w:type="pct"/>
        <w:tblInd w:w="2552"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7367"/>
      </w:tblGrid>
      <w:tr w:rsidR="0021158B" w:rsidRPr="005529DF" w:rsidTr="005B72F2">
        <w:tc>
          <w:tcPr>
            <w:tcW w:w="5000" w:type="pct"/>
          </w:tcPr>
          <w:p w:rsidR="0021158B" w:rsidRPr="005529DF" w:rsidRDefault="0021158B" w:rsidP="005B72F2">
            <w:pPr>
              <w:pStyle w:val="SmallDeltasRightAligned"/>
              <w:keepNext/>
              <w:keepLines/>
              <w:framePr w:w="9921" w:hSpace="181" w:wrap="notBeside" w:vAnchor="text" w:hAnchor="text" w:x="-2550" w:y="1"/>
              <w:ind w:left="2444"/>
              <w:rPr>
                <w:rFonts w:ascii="Times New Roman" w:hAnsi="Times New Roman" w:cs="Times New Roman"/>
              </w:rPr>
            </w:pPr>
            <w:r w:rsidRPr="00D25304">
              <w:rPr>
                <w:rFonts w:ascii="Times New Roman" w:hAnsi="Times New Roman" w:cs="Times New Roman"/>
                <w:noProof/>
                <w:lang w:eastAsia="en-AU"/>
              </w:rPr>
              <w:drawing>
                <wp:inline distT="0" distB="0" distL="0" distR="0">
                  <wp:extent cx="481585" cy="2346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ILALLEN_MASTERLOGO_DELTAS_PURPLE_TRANS small -dal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1585" cy="234696"/>
                          </a:xfrm>
                          <a:prstGeom prst="rect">
                            <a:avLst/>
                          </a:prstGeom>
                        </pic:spPr>
                      </pic:pic>
                    </a:graphicData>
                  </a:graphic>
                </wp:inline>
              </w:drawing>
            </w:r>
          </w:p>
        </w:tc>
      </w:tr>
      <w:tr w:rsidR="0021158B" w:rsidRPr="005529DF" w:rsidTr="005B72F2">
        <w:tblPrEx>
          <w:tblCellMar>
            <w:left w:w="108" w:type="dxa"/>
            <w:right w:w="108" w:type="dxa"/>
          </w:tblCellMar>
        </w:tblPrEx>
        <w:tc>
          <w:tcPr>
            <w:tcW w:w="5000" w:type="pct"/>
          </w:tcPr>
          <w:p w:rsidR="0021158B" w:rsidRPr="005529DF" w:rsidRDefault="00D150EF" w:rsidP="009C147D">
            <w:pPr>
              <w:pStyle w:val="Figure"/>
              <w:keepLines/>
              <w:framePr w:w="9921" w:hSpace="181" w:wrap="notBeside" w:vAnchor="text" w:hAnchor="text" w:x="-2550" w:y="1"/>
            </w:pPr>
            <w:r w:rsidRPr="00D25304">
              <w:rPr>
                <w:noProof/>
                <w:lang w:eastAsia="en-AU"/>
              </w:rPr>
              <w:drawing>
                <wp:inline distT="0" distB="0" distL="0" distR="0">
                  <wp:extent cx="4540885" cy="1922780"/>
                  <wp:effectExtent l="0" t="0" r="0" b="127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tc>
      </w:tr>
    </w:tbl>
    <w:p w:rsidR="0021158B" w:rsidRPr="005529DF" w:rsidRDefault="0021158B" w:rsidP="000461D2">
      <w:pPr>
        <w:pStyle w:val="Source"/>
        <w:framePr w:w="9921" w:hSpace="181" w:wrap="notBeside" w:vAnchor="text" w:hAnchor="text" w:x="-2550" w:y="1"/>
        <w:ind w:left="2552"/>
        <w:rPr>
          <w:rFonts w:ascii="Times New Roman" w:hAnsi="Times New Roman"/>
        </w:rPr>
      </w:pPr>
      <w:r w:rsidRPr="005529DF">
        <w:rPr>
          <w:rFonts w:ascii="Times New Roman" w:hAnsi="Times New Roman"/>
        </w:rPr>
        <w:t xml:space="preserve">Note: Responses are greater than 9,019 as respondents could choose more than one response. </w:t>
      </w:r>
    </w:p>
    <w:p w:rsidR="0021158B" w:rsidRPr="005529DF" w:rsidRDefault="0021158B" w:rsidP="000461D2">
      <w:pPr>
        <w:pStyle w:val="Source"/>
        <w:framePr w:w="9921" w:hSpace="181" w:wrap="notBeside" w:vAnchor="text" w:hAnchor="text" w:x="-2550" w:y="1"/>
        <w:ind w:left="2552"/>
        <w:rPr>
          <w:rFonts w:ascii="Times New Roman" w:hAnsi="Times New Roman"/>
        </w:rPr>
      </w:pPr>
      <w:r w:rsidRPr="005529DF">
        <w:rPr>
          <w:rFonts w:ascii="Times New Roman" w:hAnsi="Times New Roman"/>
        </w:rPr>
        <w:t>Source: Nursing and Midwifery</w:t>
      </w:r>
      <w:r w:rsidR="00497B27">
        <w:rPr>
          <w:rFonts w:ascii="Times New Roman" w:hAnsi="Times New Roman"/>
        </w:rPr>
        <w:t xml:space="preserve"> Health Impairment</w:t>
      </w:r>
      <w:r w:rsidRPr="005529DF">
        <w:rPr>
          <w:rFonts w:ascii="Times New Roman" w:hAnsi="Times New Roman"/>
        </w:rPr>
        <w:t xml:space="preserve"> Survey</w:t>
      </w:r>
      <w:r w:rsidRPr="005529DF" w:rsidDel="008B168C">
        <w:rPr>
          <w:rFonts w:ascii="Times New Roman" w:hAnsi="Times New Roman"/>
        </w:rPr>
        <w:t xml:space="preserve"> </w:t>
      </w:r>
    </w:p>
    <w:p w:rsidR="00CA0619" w:rsidRPr="005529DF" w:rsidRDefault="00CA0619" w:rsidP="00CA0619">
      <w:pPr>
        <w:pStyle w:val="BodyText"/>
      </w:pPr>
      <w:r w:rsidRPr="005529DF">
        <w:t xml:space="preserve">EAPs are the most recognised source of support across the country with 28 per cent of respondents indicating knowledge of this form of support followed by treating health practitioners (25 per cent). Government mental health, and drug and alcohol services, are to a lesser extent also considered as sources of support (page 66, Stakeholder Report). </w:t>
      </w:r>
    </w:p>
    <w:p w:rsidR="0096359F" w:rsidRDefault="0096359F" w:rsidP="00CA0619">
      <w:pPr>
        <w:pStyle w:val="BodyText"/>
      </w:pPr>
      <w:r>
        <w:t>While positive feedback was received in relation to a range of support services, such as government services, EAPs, as well as services provided by the NMHPV, overall there was significant dissatisfaction expressed with current arrangements. For example, i</w:t>
      </w:r>
      <w:r w:rsidR="00CA0619" w:rsidRPr="005529DF">
        <w:t xml:space="preserve">n relation to EAPs, feedback from stakeholders consulted suggests that </w:t>
      </w:r>
      <w:r w:rsidR="007B3407" w:rsidRPr="005529DF">
        <w:t>the</w:t>
      </w:r>
      <w:r w:rsidR="007B3407">
        <w:t xml:space="preserve"> programs </w:t>
      </w:r>
      <w:r w:rsidR="00954A72">
        <w:t>have</w:t>
      </w:r>
      <w:r w:rsidR="00CA0619" w:rsidRPr="005529DF">
        <w:t xml:space="preserve"> a broad focus and, in general, do not </w:t>
      </w:r>
      <w:r w:rsidR="007B3407">
        <w:t>provide</w:t>
      </w:r>
      <w:r w:rsidR="007B3407" w:rsidRPr="005529DF">
        <w:t xml:space="preserve"> </w:t>
      </w:r>
      <w:r w:rsidR="00CA0619" w:rsidRPr="005529DF">
        <w:t>specialised personnel to address the particular needs of</w:t>
      </w:r>
      <w:r w:rsidR="007B3407">
        <w:t xml:space="preserve"> health</w:t>
      </w:r>
      <w:r w:rsidR="00CA0619" w:rsidRPr="005529DF">
        <w:t xml:space="preserve"> impaired nurses and midwives. Moreover, as EAPs are generally employer financed, some employees </w:t>
      </w:r>
      <w:r w:rsidR="007B3407">
        <w:t>indicated a</w:t>
      </w:r>
      <w:r w:rsidR="00CA0619" w:rsidRPr="005529DF">
        <w:t xml:space="preserve"> reluctan</w:t>
      </w:r>
      <w:r w:rsidR="007B3407">
        <w:t>ce</w:t>
      </w:r>
      <w:r w:rsidR="00CA0619" w:rsidRPr="005529DF">
        <w:t xml:space="preserve"> to use them</w:t>
      </w:r>
      <w:r w:rsidR="007B3407">
        <w:t xml:space="preserve"> given concerns about confidentiality</w:t>
      </w:r>
      <w:r w:rsidR="00CA0619" w:rsidRPr="005529DF">
        <w:t xml:space="preserve">.  </w:t>
      </w:r>
      <w:r w:rsidR="00655EEC">
        <w:t xml:space="preserve">In </w:t>
      </w:r>
      <w:r w:rsidR="00C2088E">
        <w:t>relation</w:t>
      </w:r>
      <w:r w:rsidR="00655EEC">
        <w:t xml:space="preserve"> to private treating health practitioners, nurses and midwives indicated </w:t>
      </w:r>
      <w:r w:rsidR="00655EEC">
        <w:lastRenderedPageBreak/>
        <w:t xml:space="preserve">that this source of support was limited due to the high costs involved. </w:t>
      </w:r>
    </w:p>
    <w:p w:rsidR="0021158B" w:rsidRPr="005529DF" w:rsidRDefault="001A327F" w:rsidP="0021158B">
      <w:pPr>
        <w:pStyle w:val="BodyText"/>
      </w:pPr>
      <w:r>
        <w:t>As t</w:t>
      </w:r>
      <w:r w:rsidR="0096359F">
        <w:t xml:space="preserve">here is limited </w:t>
      </w:r>
      <w:r w:rsidR="00C2088E">
        <w:t xml:space="preserve">publicly available </w:t>
      </w:r>
      <w:r w:rsidR="0096359F">
        <w:t xml:space="preserve">information regarding these services, </w:t>
      </w:r>
      <w:r w:rsidR="00B27E2A">
        <w:t xml:space="preserve">the assessments </w:t>
      </w:r>
      <w:r w:rsidR="00954A72">
        <w:t xml:space="preserve">outlined above </w:t>
      </w:r>
      <w:r>
        <w:t>reflect</w:t>
      </w:r>
      <w:r w:rsidR="00E717A4" w:rsidRPr="005529DF">
        <w:t xml:space="preserve"> </w:t>
      </w:r>
      <w:r w:rsidR="00F6188A">
        <w:t xml:space="preserve">specific </w:t>
      </w:r>
      <w:r w:rsidR="00080458" w:rsidRPr="005529DF">
        <w:t xml:space="preserve">stakeholder perspectives and </w:t>
      </w:r>
      <w:r w:rsidR="00F6188A">
        <w:t xml:space="preserve">need to be </w:t>
      </w:r>
      <w:r w:rsidR="000F4F11">
        <w:t xml:space="preserve">considered in the context of </w:t>
      </w:r>
      <w:r w:rsidR="00F6188A">
        <w:t xml:space="preserve">other </w:t>
      </w:r>
      <w:r w:rsidR="00446955">
        <w:t xml:space="preserve">broader </w:t>
      </w:r>
      <w:r w:rsidR="00080458" w:rsidRPr="005529DF">
        <w:t>observations as discussed below.</w:t>
      </w:r>
    </w:p>
    <w:p w:rsidR="006C38EF" w:rsidRPr="005529DF" w:rsidRDefault="00883B4C" w:rsidP="007640DA">
      <w:pPr>
        <w:pStyle w:val="SideQuoteSource"/>
        <w:framePr w:wrap="around"/>
      </w:pPr>
      <w:r>
        <w:t>Support arrangements vary across jurisdictions</w:t>
      </w:r>
    </w:p>
    <w:p w:rsidR="0021158B" w:rsidRPr="005529DF" w:rsidRDefault="00883B4C" w:rsidP="0021158B">
      <w:pPr>
        <w:pStyle w:val="BodyText"/>
      </w:pPr>
      <w:r>
        <w:t>S</w:t>
      </w:r>
      <w:r w:rsidR="0021158B" w:rsidRPr="005529DF">
        <w:t xml:space="preserve">upport arrangements can vary widely across and within jurisdictions, especially between rural, regional and metropolitan settings. </w:t>
      </w:r>
      <w:r w:rsidR="000E1CFC">
        <w:t>In addition to individual treating practitioners, s</w:t>
      </w:r>
      <w:r w:rsidR="0021158B" w:rsidRPr="005529DF">
        <w:t>ome branches of the ANMF are considered to provide an effective ‘first point of support’, as does the NMHPV</w:t>
      </w:r>
      <w:r w:rsidR="00446955">
        <w:t xml:space="preserve"> for those who were aware of it</w:t>
      </w:r>
      <w:r w:rsidR="0021158B" w:rsidRPr="005529DF">
        <w:t xml:space="preserve">, but access to greater guidance </w:t>
      </w:r>
      <w:r w:rsidR="00B27E2A">
        <w:t>in the form of</w:t>
      </w:r>
      <w:r w:rsidR="00B27E2A" w:rsidRPr="005529DF">
        <w:t xml:space="preserve"> </w:t>
      </w:r>
      <w:r w:rsidR="0021158B" w:rsidRPr="005529DF">
        <w:t xml:space="preserve">example situations and responses would assist nurses and midwives to better understand the options available to them. </w:t>
      </w:r>
    </w:p>
    <w:p w:rsidR="0021158B" w:rsidRPr="005529DF" w:rsidRDefault="000E1CFC" w:rsidP="0021158B">
      <w:pPr>
        <w:pStyle w:val="BodyText"/>
      </w:pPr>
      <w:r>
        <w:t>The variability of experience</w:t>
      </w:r>
      <w:r w:rsidR="0021158B" w:rsidRPr="005529DF">
        <w:t xml:space="preserve"> </w:t>
      </w:r>
      <w:r w:rsidR="00883B4C">
        <w:t>is</w:t>
      </w:r>
      <w:r w:rsidR="0021158B" w:rsidRPr="005529DF">
        <w:t xml:space="preserve"> supported by the Nursing and Midwifery </w:t>
      </w:r>
      <w:r w:rsidR="00B27E2A">
        <w:t xml:space="preserve">Health Impairment </w:t>
      </w:r>
      <w:r w:rsidR="0021158B" w:rsidRPr="005529DF">
        <w:t>Survey</w:t>
      </w:r>
      <w:r w:rsidR="0021158B" w:rsidRPr="005529DF" w:rsidDel="008B168C">
        <w:t xml:space="preserve"> </w:t>
      </w:r>
      <w:r w:rsidR="0021158B" w:rsidRPr="005529DF">
        <w:t>(n=9,117) which found that only 2</w:t>
      </w:r>
      <w:r w:rsidR="00E717A4" w:rsidRPr="005529DF">
        <w:t>2</w:t>
      </w:r>
      <w:r w:rsidR="0021158B" w:rsidRPr="005529DF">
        <w:t xml:space="preserve"> per cent of respondents are satisfied with current support arrangements. It is noted that </w:t>
      </w:r>
      <w:r w:rsidR="009C147D" w:rsidRPr="005529DF">
        <w:t>contrary to the positive feedback received through direct consultations regarding the</w:t>
      </w:r>
      <w:r w:rsidR="00080458" w:rsidRPr="005529DF">
        <w:t xml:space="preserve"> NMPHV, </w:t>
      </w:r>
      <w:r w:rsidR="0021158B" w:rsidRPr="005529DF">
        <w:t>this figure did not statistically differ for Victorian respondents</w:t>
      </w:r>
      <w:r w:rsidR="00080458" w:rsidRPr="005529DF">
        <w:t xml:space="preserve">. </w:t>
      </w:r>
      <w:r w:rsidR="00F0149B" w:rsidRPr="005529DF">
        <w:t>This suggests that other factors were at play, such as the respondents’ awareness of the service or the nature of the services received. The existence of a state-wide support service was clearly not of itself sufficient for this group. It is possible that improving awareness of this program may go some way to increasing satisfaction levels reported among Victorian respondents.</w:t>
      </w:r>
    </w:p>
    <w:p w:rsidR="006C38EF" w:rsidRPr="005529DF" w:rsidRDefault="006C38EF" w:rsidP="007640DA">
      <w:pPr>
        <w:pStyle w:val="SideQuoteSource"/>
        <w:framePr w:wrap="around"/>
      </w:pPr>
      <w:r w:rsidRPr="005529DF">
        <w:t>Variable workplace support</w:t>
      </w:r>
    </w:p>
    <w:p w:rsidR="0021158B" w:rsidRPr="005529DF" w:rsidRDefault="0021158B" w:rsidP="00BE17C2">
      <w:pPr>
        <w:pStyle w:val="BodyText"/>
      </w:pPr>
      <w:r w:rsidRPr="005529DF">
        <w:t>Nurses and midwives consulted also considered a supportive workplace environment to be critical, but that this can vary significantly across employers and individuals within the organisation. While nurses and midwives working in large private/public hospitals have access to</w:t>
      </w:r>
      <w:r w:rsidR="00212456">
        <w:t xml:space="preserve"> services provide</w:t>
      </w:r>
      <w:r w:rsidR="00B27E2A">
        <w:t xml:space="preserve">d </w:t>
      </w:r>
      <w:r w:rsidR="00212456">
        <w:t>by the</w:t>
      </w:r>
      <w:r w:rsidRPr="005529DF">
        <w:t xml:space="preserve"> Human Resource Departments, </w:t>
      </w:r>
      <w:r w:rsidR="00212456">
        <w:t>it was</w:t>
      </w:r>
      <w:r w:rsidR="00212456" w:rsidRPr="005529DF">
        <w:t xml:space="preserve"> </w:t>
      </w:r>
      <w:r w:rsidRPr="005529DF">
        <w:t xml:space="preserve">reported that personnel may have varying </w:t>
      </w:r>
      <w:r w:rsidRPr="005529DF">
        <w:lastRenderedPageBreak/>
        <w:t xml:space="preserve">knowledge of and experience in dealing with impairment.  </w:t>
      </w:r>
      <w:r w:rsidR="00212456">
        <w:t>Feedback from stakeholders consulted</w:t>
      </w:r>
      <w:r w:rsidR="00212456" w:rsidRPr="005529DF">
        <w:t xml:space="preserve"> </w:t>
      </w:r>
      <w:r w:rsidRPr="005529DF">
        <w:t>indicated that mechanism</w:t>
      </w:r>
      <w:r w:rsidR="00212456">
        <w:t>s</w:t>
      </w:r>
      <w:r w:rsidRPr="005529DF">
        <w:t xml:space="preserve"> or </w:t>
      </w:r>
      <w:r w:rsidR="00212456" w:rsidRPr="005529DF">
        <w:t>polic</w:t>
      </w:r>
      <w:r w:rsidR="00212456">
        <w:t>ies</w:t>
      </w:r>
      <w:r w:rsidR="00212456" w:rsidRPr="005529DF">
        <w:t xml:space="preserve"> </w:t>
      </w:r>
      <w:r w:rsidRPr="005529DF">
        <w:t xml:space="preserve">to encourage greater consistency in </w:t>
      </w:r>
      <w:r w:rsidR="00B27E2A">
        <w:t>workplace responses to health impairment, whether notifiable or not, would assi</w:t>
      </w:r>
      <w:r w:rsidR="00800A93">
        <w:t xml:space="preserve">st nurses and midwives manage their impairment from referral/reporting to rehabilitation. </w:t>
      </w:r>
      <w:r w:rsidRPr="005529DF">
        <w:t xml:space="preserve">Ensuring clear systems and protocols for dealing with impairment </w:t>
      </w:r>
      <w:r w:rsidR="009C147D" w:rsidRPr="005529DF">
        <w:t xml:space="preserve">is </w:t>
      </w:r>
      <w:r w:rsidRPr="005529DF">
        <w:t xml:space="preserve">highlighted in the </w:t>
      </w:r>
      <w:r w:rsidR="009C147D" w:rsidRPr="005529DF">
        <w:t>literature</w:t>
      </w:r>
      <w:r w:rsidRPr="005529DF">
        <w:t xml:space="preserve"> as vital to ensuring patient safety (</w:t>
      </w:r>
      <w:proofErr w:type="spellStart"/>
      <w:r w:rsidR="00160235">
        <w:t>Leape</w:t>
      </w:r>
      <w:proofErr w:type="spellEnd"/>
      <w:r w:rsidR="00160235">
        <w:t xml:space="preserve"> and </w:t>
      </w:r>
      <w:proofErr w:type="spellStart"/>
      <w:r w:rsidR="00160235">
        <w:t>Fromson</w:t>
      </w:r>
      <w:proofErr w:type="spellEnd"/>
      <w:r w:rsidR="00160235">
        <w:t xml:space="preserve"> 2006). </w:t>
      </w:r>
      <w:r w:rsidRPr="005529DF">
        <w:t xml:space="preserve">   </w:t>
      </w:r>
    </w:p>
    <w:p w:rsidR="0021158B" w:rsidRDefault="0021158B" w:rsidP="0021158B">
      <w:pPr>
        <w:pStyle w:val="BodyText"/>
      </w:pPr>
      <w:r w:rsidRPr="005529DF">
        <w:t xml:space="preserve">There was also a common view that the </w:t>
      </w:r>
      <w:r w:rsidR="00212456">
        <w:t xml:space="preserve">potential and </w:t>
      </w:r>
      <w:r w:rsidRPr="005529DF">
        <w:t xml:space="preserve">significant career and cost </w:t>
      </w:r>
      <w:r w:rsidR="00212456" w:rsidRPr="005529DF">
        <w:t>i</w:t>
      </w:r>
      <w:r w:rsidR="00212456">
        <w:t>mplications</w:t>
      </w:r>
      <w:r w:rsidR="00212456" w:rsidRPr="005529DF">
        <w:t xml:space="preserve"> </w:t>
      </w:r>
      <w:r w:rsidRPr="005529DF">
        <w:t xml:space="preserve">for the practitioner with </w:t>
      </w:r>
      <w:r w:rsidR="00212456">
        <w:t>an</w:t>
      </w:r>
      <w:r w:rsidRPr="005529DF">
        <w:t xml:space="preserve"> impairment may discourage early workplace dialogue regarding the issue</w:t>
      </w:r>
      <w:r w:rsidR="00212456">
        <w:t>. This</w:t>
      </w:r>
      <w:r w:rsidRPr="005529DF">
        <w:t xml:space="preserve"> may</w:t>
      </w:r>
      <w:r w:rsidR="00212456">
        <w:t xml:space="preserve"> in turn</w:t>
      </w:r>
      <w:r w:rsidRPr="005529DF">
        <w:t xml:space="preserve"> ultimately </w:t>
      </w:r>
      <w:r w:rsidR="00597274">
        <w:t xml:space="preserve">present a </w:t>
      </w:r>
      <w:r w:rsidRPr="005529DF">
        <w:t>greater risk for the public</w:t>
      </w:r>
      <w:r w:rsidR="00597274">
        <w:t xml:space="preserve"> if the impairment is not managed</w:t>
      </w:r>
      <w:r w:rsidRPr="005529DF">
        <w:t>. As such, approach</w:t>
      </w:r>
      <w:r w:rsidR="00597274">
        <w:t>es</w:t>
      </w:r>
      <w:r w:rsidRPr="005529DF">
        <w:t xml:space="preserve"> by employers which </w:t>
      </w:r>
      <w:r w:rsidR="00597274">
        <w:t>are</w:t>
      </w:r>
      <w:r w:rsidR="00597274" w:rsidRPr="005529DF">
        <w:t xml:space="preserve"> </w:t>
      </w:r>
      <w:r w:rsidRPr="005529DF">
        <w:t>supportive and encourage earlier identification</w:t>
      </w:r>
      <w:r w:rsidR="00597274">
        <w:t xml:space="preserve"> and management, </w:t>
      </w:r>
      <w:r w:rsidRPr="005529DF">
        <w:t xml:space="preserve">could prevent escalation of the impairment to the point where notification under the National Law </w:t>
      </w:r>
      <w:r w:rsidR="00E717A4" w:rsidRPr="005529DF">
        <w:t>is</w:t>
      </w:r>
      <w:r w:rsidRPr="005529DF">
        <w:t xml:space="preserve"> required. </w:t>
      </w:r>
    </w:p>
    <w:p w:rsidR="00E22FCF" w:rsidRPr="005529DF" w:rsidRDefault="0064734F" w:rsidP="0021158B">
      <w:pPr>
        <w:pStyle w:val="BodyText"/>
      </w:pPr>
      <w:r>
        <w:t>Importantly, t</w:t>
      </w:r>
      <w:r w:rsidRPr="005529DF">
        <w:t xml:space="preserve">he Nursing and Midwifery </w:t>
      </w:r>
      <w:r>
        <w:t xml:space="preserve">Health Impairment </w:t>
      </w:r>
      <w:r w:rsidRPr="005529DF">
        <w:t xml:space="preserve">Survey </w:t>
      </w:r>
      <w:r>
        <w:t>responses strongly supported</w:t>
      </w:r>
      <w:r w:rsidRPr="005529DF">
        <w:t xml:space="preserve"> employer involvement in </w:t>
      </w:r>
      <w:r w:rsidRPr="00707BFA">
        <w:t>support services and monitoring strategies</w:t>
      </w:r>
      <w:r>
        <w:t>, with</w:t>
      </w:r>
      <w:r w:rsidRPr="005529DF">
        <w:t xml:space="preserve"> just under 90 per cent of respondents </w:t>
      </w:r>
      <w:r w:rsidR="00D631AA">
        <w:t>believing</w:t>
      </w:r>
      <w:r w:rsidRPr="005529DF">
        <w:t xml:space="preserve"> that the employer should either be ‘fully’ or ‘partially’ responsible for funding these services. </w:t>
      </w:r>
      <w:r w:rsidR="00F83CDC">
        <w:t>There was a similar level of response for government involvement in funding these services, though it is unclear the extent to which this was due to government acting as the employer.</w:t>
      </w:r>
    </w:p>
    <w:p w:rsidR="006C38EF" w:rsidRPr="005529DF" w:rsidRDefault="00883B4C" w:rsidP="007640DA">
      <w:pPr>
        <w:pStyle w:val="SideQuoteSource"/>
        <w:framePr w:wrap="around"/>
      </w:pPr>
      <w:r>
        <w:t>Lack of national consistency in regulatory decisions and outcomes</w:t>
      </w:r>
    </w:p>
    <w:p w:rsidR="0021158B" w:rsidRPr="005529DF" w:rsidRDefault="0021158B" w:rsidP="0021158B">
      <w:pPr>
        <w:pStyle w:val="BodyText"/>
      </w:pPr>
      <w:r w:rsidRPr="005529DF">
        <w:t>The issue of national consistency was also raised, but was considered to be more in relation to the regulatory decisions and outcomes</w:t>
      </w:r>
      <w:r w:rsidR="00D96014">
        <w:t>.  T</w:t>
      </w:r>
      <w:r w:rsidRPr="005529DF">
        <w:t xml:space="preserve">hat is, </w:t>
      </w:r>
      <w:r w:rsidR="000D30EE">
        <w:t xml:space="preserve">it was more important </w:t>
      </w:r>
      <w:r w:rsidR="000E1CFC">
        <w:t xml:space="preserve">that </w:t>
      </w:r>
      <w:r w:rsidRPr="005529DF">
        <w:t xml:space="preserve">action taken against </w:t>
      </w:r>
      <w:r w:rsidR="00F3492A" w:rsidRPr="005529DF">
        <w:t xml:space="preserve">nurses </w:t>
      </w:r>
      <w:r w:rsidR="00E717A4" w:rsidRPr="005529DF">
        <w:t>or</w:t>
      </w:r>
      <w:r w:rsidR="00F3492A" w:rsidRPr="005529DF">
        <w:t xml:space="preserve"> midwives</w:t>
      </w:r>
      <w:r w:rsidRPr="005529DF">
        <w:t xml:space="preserve"> who have been notified </w:t>
      </w:r>
      <w:r w:rsidR="00D96014">
        <w:t xml:space="preserve">should </w:t>
      </w:r>
      <w:r w:rsidRPr="005529DF">
        <w:t>be dealt with in a consistent manner</w:t>
      </w:r>
      <w:r w:rsidR="00D96014">
        <w:t>, rather</w:t>
      </w:r>
      <w:r w:rsidR="00655EEC">
        <w:t xml:space="preserve"> </w:t>
      </w:r>
      <w:r w:rsidRPr="005529DF">
        <w:t xml:space="preserve">than in </w:t>
      </w:r>
      <w:r w:rsidR="000D30EE">
        <w:t xml:space="preserve">standardising </w:t>
      </w:r>
      <w:r w:rsidRPr="005529DF">
        <w:t xml:space="preserve">the actual processes and governance of managing and supporting impairment </w:t>
      </w:r>
      <w:r w:rsidRPr="005529DF">
        <w:rPr>
          <w:i/>
        </w:rPr>
        <w:t>per se</w:t>
      </w:r>
      <w:r w:rsidRPr="005529DF">
        <w:t xml:space="preserve">. Notwithstanding, </w:t>
      </w:r>
      <w:r w:rsidR="009C147D" w:rsidRPr="005529DF">
        <w:t xml:space="preserve">it was generally held that </w:t>
      </w:r>
      <w:r w:rsidRPr="005529DF">
        <w:t>support services available should be broadly consistent</w:t>
      </w:r>
      <w:r w:rsidR="00E717A4" w:rsidRPr="005529DF">
        <w:t xml:space="preserve"> and </w:t>
      </w:r>
      <w:r w:rsidR="009C147D" w:rsidRPr="005529DF">
        <w:t>in line with the move to a national regulatory approach</w:t>
      </w:r>
      <w:r w:rsidRPr="005529DF">
        <w:t>.</w:t>
      </w:r>
      <w:r w:rsidR="00800A93">
        <w:t xml:space="preserve"> </w:t>
      </w:r>
      <w:r w:rsidR="000D30EE">
        <w:t>The NMHPV in Victoria was commonly cited as an example of where current support services are not nationally consistent.</w:t>
      </w:r>
      <w:r w:rsidR="00800A93">
        <w:t xml:space="preserve"> </w:t>
      </w:r>
    </w:p>
    <w:p w:rsidR="0021158B" w:rsidRPr="005529DF" w:rsidRDefault="0021158B" w:rsidP="0021158B">
      <w:pPr>
        <w:pStyle w:val="Heading2"/>
        <w:numPr>
          <w:ilvl w:val="1"/>
          <w:numId w:val="20"/>
        </w:numPr>
        <w:rPr>
          <w:rFonts w:ascii="Times New Roman" w:hAnsi="Times New Roman"/>
        </w:rPr>
      </w:pPr>
      <w:bookmarkStart w:id="109" w:name="_Ref418510221"/>
      <w:bookmarkStart w:id="110" w:name="_Toc419702944"/>
      <w:r w:rsidRPr="005529DF">
        <w:rPr>
          <w:rFonts w:ascii="Times New Roman" w:hAnsi="Times New Roman"/>
        </w:rPr>
        <w:lastRenderedPageBreak/>
        <w:t xml:space="preserve">The specific </w:t>
      </w:r>
      <w:r w:rsidR="00B71A6E" w:rsidRPr="005529DF">
        <w:rPr>
          <w:rFonts w:ascii="Times New Roman" w:hAnsi="Times New Roman"/>
        </w:rPr>
        <w:t>needs of</w:t>
      </w:r>
      <w:bookmarkEnd w:id="109"/>
      <w:r w:rsidRPr="005529DF">
        <w:rPr>
          <w:rFonts w:ascii="Times New Roman" w:hAnsi="Times New Roman"/>
        </w:rPr>
        <w:t xml:space="preserve"> nurses and midwives</w:t>
      </w:r>
      <w:bookmarkEnd w:id="110"/>
      <w:r w:rsidRPr="005529DF">
        <w:rPr>
          <w:rFonts w:ascii="Times New Roman" w:hAnsi="Times New Roman"/>
        </w:rPr>
        <w:t xml:space="preserve"> </w:t>
      </w:r>
    </w:p>
    <w:p w:rsidR="00BD5BD6" w:rsidRPr="005529DF" w:rsidRDefault="00A22110">
      <w:pPr>
        <w:pStyle w:val="BodyText"/>
      </w:pPr>
      <w:r w:rsidRPr="005529DF">
        <w:t xml:space="preserve">Like many </w:t>
      </w:r>
      <w:r w:rsidR="00800A93">
        <w:t xml:space="preserve">comparatively </w:t>
      </w:r>
      <w:r w:rsidRPr="005529DF">
        <w:t>socio-economically advantaged groups, health practitioners</w:t>
      </w:r>
      <w:r w:rsidR="00800A93">
        <w:t xml:space="preserve">, in general, </w:t>
      </w:r>
      <w:r w:rsidRPr="005529DF">
        <w:t xml:space="preserve">are healthier </w:t>
      </w:r>
      <w:r w:rsidR="008C6D64">
        <w:t xml:space="preserve">and tend to live longer </w:t>
      </w:r>
      <w:r w:rsidRPr="005529DF">
        <w:t xml:space="preserve">on average </w:t>
      </w:r>
      <w:r w:rsidR="008C6D64">
        <w:t xml:space="preserve">than the general population </w:t>
      </w:r>
      <w:r w:rsidRPr="005529DF">
        <w:t>according to measures of physical health</w:t>
      </w:r>
      <w:r w:rsidR="00800A93">
        <w:t xml:space="preserve"> (</w:t>
      </w:r>
      <w:proofErr w:type="spellStart"/>
      <w:r w:rsidR="00BF4731">
        <w:t>Shannaf</w:t>
      </w:r>
      <w:r w:rsidR="00800A93">
        <w:t>e</w:t>
      </w:r>
      <w:r w:rsidR="00BF4731">
        <w:t>lt</w:t>
      </w:r>
      <w:proofErr w:type="spellEnd"/>
      <w:r w:rsidR="00800A93">
        <w:t xml:space="preserve"> </w:t>
      </w:r>
      <w:r w:rsidR="00800A93" w:rsidRPr="00C633E5">
        <w:rPr>
          <w:i/>
        </w:rPr>
        <w:t>et al</w:t>
      </w:r>
      <w:r w:rsidR="00800A93">
        <w:t xml:space="preserve"> 2003 &amp; </w:t>
      </w:r>
      <w:proofErr w:type="spellStart"/>
      <w:r w:rsidR="00800A93">
        <w:t>Clode</w:t>
      </w:r>
      <w:proofErr w:type="spellEnd"/>
      <w:r w:rsidR="00800A93">
        <w:t xml:space="preserve"> 2004</w:t>
      </w:r>
      <w:r w:rsidR="00BF4731">
        <w:t xml:space="preserve">; Frank </w:t>
      </w:r>
      <w:r w:rsidR="00BF4731" w:rsidRPr="00C633E5">
        <w:rPr>
          <w:i/>
        </w:rPr>
        <w:t>et al</w:t>
      </w:r>
      <w:r w:rsidR="00BF4731">
        <w:t xml:space="preserve"> 2000</w:t>
      </w:r>
      <w:r w:rsidR="00800A93">
        <w:t>)</w:t>
      </w:r>
      <w:r w:rsidRPr="005529DF">
        <w:t>. However, they are not immune to physical illness and disabilities that may impact on their work, including degenerative conditions</w:t>
      </w:r>
      <w:r w:rsidR="00800A93">
        <w:t xml:space="preserve"> (</w:t>
      </w:r>
      <w:proofErr w:type="spellStart"/>
      <w:r w:rsidR="00800A93">
        <w:t>Clode</w:t>
      </w:r>
      <w:proofErr w:type="spellEnd"/>
      <w:r w:rsidR="00800A93">
        <w:t xml:space="preserve"> 2004; Kay and </w:t>
      </w:r>
      <w:proofErr w:type="spellStart"/>
      <w:r w:rsidR="00800A93">
        <w:t>Izenour</w:t>
      </w:r>
      <w:proofErr w:type="spellEnd"/>
      <w:r w:rsidR="00800A93">
        <w:t xml:space="preserve"> 2008</w:t>
      </w:r>
      <w:r w:rsidR="00BD5BD6">
        <w:t>)</w:t>
      </w:r>
      <w:r w:rsidR="00E717A4" w:rsidRPr="005529DF">
        <w:t>.</w:t>
      </w:r>
      <w:r w:rsidRPr="005529DF">
        <w:t xml:space="preserve"> </w:t>
      </w:r>
      <w:r w:rsidR="00D13543" w:rsidRPr="005529DF">
        <w:t>Prominent health conditions causing impairment among the health practitioner population are</w:t>
      </w:r>
      <w:r w:rsidR="00C72733" w:rsidRPr="005529DF">
        <w:t xml:space="preserve"> physical health and disability, ageing, mental health and substance use and addition</w:t>
      </w:r>
      <w:r w:rsidR="00800A93">
        <w:t xml:space="preserve">. </w:t>
      </w:r>
    </w:p>
    <w:p w:rsidR="00BD5BD6" w:rsidRPr="001B3D40" w:rsidRDefault="00BD5BD6" w:rsidP="001B3D40">
      <w:pPr>
        <w:pStyle w:val="SideQuote"/>
        <w:framePr w:wrap="around"/>
        <w:jc w:val="right"/>
        <w:rPr>
          <w:i/>
        </w:rPr>
      </w:pPr>
      <w:r w:rsidRPr="001B3D40">
        <w:rPr>
          <w:i/>
        </w:rPr>
        <w:t>Nurses and midwives are high</w:t>
      </w:r>
      <w:r w:rsidR="000D30EE">
        <w:rPr>
          <w:i/>
        </w:rPr>
        <w:t>ly</w:t>
      </w:r>
      <w:r w:rsidRPr="001B3D40">
        <w:rPr>
          <w:i/>
        </w:rPr>
        <w:t xml:space="preserve"> susceptible to a health impairment </w:t>
      </w:r>
    </w:p>
    <w:p w:rsidR="0021158B" w:rsidRPr="005529DF" w:rsidRDefault="005E50F3" w:rsidP="001B3D40">
      <w:pPr>
        <w:pStyle w:val="BodyText"/>
      </w:pPr>
      <w:r w:rsidRPr="005529DF">
        <w:t>The</w:t>
      </w:r>
      <w:r w:rsidR="00946D23" w:rsidRPr="005529DF">
        <w:t xml:space="preserve"> literature </w:t>
      </w:r>
      <w:r w:rsidRPr="005529DF">
        <w:t>indicates</w:t>
      </w:r>
      <w:r w:rsidR="003D31D9" w:rsidRPr="005529DF">
        <w:t xml:space="preserve"> </w:t>
      </w:r>
      <w:r w:rsidR="00E717A4" w:rsidRPr="005529DF">
        <w:t xml:space="preserve">that </w:t>
      </w:r>
      <w:r w:rsidR="00946D23" w:rsidRPr="005529DF">
        <w:t>nurses and midwives are particularly susceptible to health impairment, when compared to the wider health practitioner population</w:t>
      </w:r>
      <w:r w:rsidR="001032C2">
        <w:t xml:space="preserve"> (</w:t>
      </w:r>
      <w:proofErr w:type="spellStart"/>
      <w:r w:rsidR="001032C2">
        <w:t>Vecchio</w:t>
      </w:r>
      <w:proofErr w:type="spellEnd"/>
      <w:r w:rsidR="001032C2">
        <w:t xml:space="preserve"> </w:t>
      </w:r>
      <w:r w:rsidR="001032C2" w:rsidRPr="001B3D40">
        <w:rPr>
          <w:i/>
        </w:rPr>
        <w:t>et al</w:t>
      </w:r>
      <w:r w:rsidR="001032C2">
        <w:t xml:space="preserve"> 2010; Mayhew 2000; American Nurses Association 2011; </w:t>
      </w:r>
      <w:proofErr w:type="spellStart"/>
      <w:r w:rsidR="001032C2">
        <w:t>Adriaenssens</w:t>
      </w:r>
      <w:proofErr w:type="spellEnd"/>
      <w:r w:rsidR="001032C2">
        <w:t xml:space="preserve"> </w:t>
      </w:r>
      <w:r w:rsidR="001032C2" w:rsidRPr="001B3D40">
        <w:rPr>
          <w:i/>
        </w:rPr>
        <w:t>et al</w:t>
      </w:r>
      <w:r w:rsidR="001032C2">
        <w:t xml:space="preserve"> 2012; Boyle 2011; Campbell 2013)</w:t>
      </w:r>
      <w:r w:rsidR="00946D23" w:rsidRPr="005529DF">
        <w:t xml:space="preserve">. </w:t>
      </w:r>
      <w:r w:rsidRPr="005529DF">
        <w:t>I</w:t>
      </w:r>
      <w:r w:rsidR="00E717A4" w:rsidRPr="005529DF">
        <w:t xml:space="preserve">n particular, </w:t>
      </w:r>
      <w:r w:rsidR="0021158B" w:rsidRPr="005529DF">
        <w:t>the stressful nature associated with nursing and to a lesser extent midwifery</w:t>
      </w:r>
      <w:r w:rsidR="00CD0F18">
        <w:t xml:space="preserve"> is highlighted with a number of</w:t>
      </w:r>
      <w:r w:rsidR="0021158B" w:rsidRPr="005529DF">
        <w:t xml:space="preserve"> key characteristics described below.</w:t>
      </w:r>
    </w:p>
    <w:p w:rsidR="00E27CC1" w:rsidRPr="005529DF" w:rsidRDefault="0021158B" w:rsidP="001B3D40">
      <w:pPr>
        <w:pStyle w:val="ListDash"/>
        <w:numPr>
          <w:ilvl w:val="0"/>
          <w:numId w:val="0"/>
        </w:numPr>
      </w:pPr>
      <w:r w:rsidRPr="005529DF">
        <w:t>Research undertaken by the Australian Safety and Compensation Council in 2008</w:t>
      </w:r>
      <w:r w:rsidR="00CF4690">
        <w:t xml:space="preserve"> for example, </w:t>
      </w:r>
      <w:r w:rsidRPr="005529DF">
        <w:t>revealed that Australian nurses are exposed to a number of occupational hazards. The study note</w:t>
      </w:r>
      <w:r w:rsidR="008C6D64">
        <w:t>d</w:t>
      </w:r>
      <w:r w:rsidRPr="005529DF">
        <w:t xml:space="preserve"> that 50 per cent of respondents had sustained at least one work related injury or disease that require</w:t>
      </w:r>
      <w:r w:rsidR="008C6D64">
        <w:t>d</w:t>
      </w:r>
      <w:r w:rsidRPr="005529DF">
        <w:t xml:space="preserve"> time off work (most common injuries/diseases were musculoskeletal, stress and bullying).</w:t>
      </w:r>
      <w:r w:rsidR="0052196E">
        <w:t xml:space="preserve"> </w:t>
      </w:r>
    </w:p>
    <w:p w:rsidR="0021158B" w:rsidRPr="005529DF" w:rsidRDefault="0021158B" w:rsidP="005B72F2">
      <w:pPr>
        <w:pStyle w:val="ListDash"/>
        <w:numPr>
          <w:ilvl w:val="0"/>
          <w:numId w:val="0"/>
        </w:numPr>
      </w:pPr>
      <w:proofErr w:type="spellStart"/>
      <w:r w:rsidRPr="005529DF">
        <w:t>Vecchio</w:t>
      </w:r>
      <w:proofErr w:type="spellEnd"/>
      <w:r w:rsidRPr="005529DF">
        <w:t xml:space="preserve"> </w:t>
      </w:r>
      <w:r w:rsidRPr="005529DF">
        <w:rPr>
          <w:i/>
        </w:rPr>
        <w:t>et al</w:t>
      </w:r>
      <w:r w:rsidRPr="005529DF">
        <w:t xml:space="preserve"> (2010) noted that nurses are at high risk of work-related injury due to the physically demanding role in their work, which has a significant impact on the </w:t>
      </w:r>
      <w:r w:rsidR="00654319" w:rsidRPr="005529DF">
        <w:t xml:space="preserve">practitioner’s </w:t>
      </w:r>
      <w:r w:rsidRPr="005529DF">
        <w:t xml:space="preserve">health and wellbeing. </w:t>
      </w:r>
    </w:p>
    <w:p w:rsidR="00C13C11" w:rsidRPr="005529DF" w:rsidRDefault="0021158B" w:rsidP="005B72F2">
      <w:pPr>
        <w:pStyle w:val="BodyText"/>
      </w:pPr>
      <w:r w:rsidRPr="005529DF">
        <w:t>The American Nurses Association (2011) found nurses ranked fifth in the most number of work days missed due to occupational injuries and illnesses.</w:t>
      </w:r>
    </w:p>
    <w:p w:rsidR="0021158B" w:rsidRPr="005529DF" w:rsidRDefault="00AB67E2" w:rsidP="005B72F2">
      <w:pPr>
        <w:pStyle w:val="ListDash"/>
        <w:numPr>
          <w:ilvl w:val="0"/>
          <w:numId w:val="0"/>
        </w:numPr>
      </w:pPr>
      <w:r w:rsidRPr="005529DF">
        <w:t xml:space="preserve">A </w:t>
      </w:r>
      <w:r w:rsidR="0021158B" w:rsidRPr="005529DF">
        <w:t xml:space="preserve">report by Mayhew (2000) identified nursing as the occupation group at most risk of violence in the workplace in Australia. Further, O’Connell </w:t>
      </w:r>
      <w:r w:rsidR="0021158B" w:rsidRPr="005529DF">
        <w:rPr>
          <w:i/>
        </w:rPr>
        <w:t>et al</w:t>
      </w:r>
      <w:r w:rsidR="0021158B" w:rsidRPr="005529DF">
        <w:t xml:space="preserve"> </w:t>
      </w:r>
      <w:r w:rsidR="0021158B" w:rsidRPr="005529DF">
        <w:lastRenderedPageBreak/>
        <w:t>(2000) found that 95 per cent of nurses have experienced repeated episodes of verbal aggression</w:t>
      </w:r>
      <w:r w:rsidR="00CF4690">
        <w:t xml:space="preserve"> as supported by comments in the project’s </w:t>
      </w:r>
      <w:r w:rsidR="00CF4690">
        <w:rPr>
          <w:i/>
        </w:rPr>
        <w:t xml:space="preserve">Nursing and Midwifery </w:t>
      </w:r>
      <w:r w:rsidR="0052196E">
        <w:rPr>
          <w:i/>
        </w:rPr>
        <w:t xml:space="preserve">Health Impairment </w:t>
      </w:r>
      <w:r w:rsidR="00CF4690">
        <w:rPr>
          <w:i/>
        </w:rPr>
        <w:t>Survey</w:t>
      </w:r>
      <w:r w:rsidR="0021158B" w:rsidRPr="005529DF">
        <w:t xml:space="preserve">. </w:t>
      </w:r>
    </w:p>
    <w:p w:rsidR="00AB67E2" w:rsidRPr="005529DF" w:rsidRDefault="00FA27DB" w:rsidP="005B72F2">
      <w:pPr>
        <w:pStyle w:val="Quote"/>
      </w:pPr>
      <w:r w:rsidRPr="005529DF">
        <w:t>It is a real problem within the workplace that bullying and harassment is rampant.</w:t>
      </w:r>
    </w:p>
    <w:p w:rsidR="00883B4C" w:rsidRPr="005529DF" w:rsidRDefault="00883B4C" w:rsidP="00883B4C">
      <w:pPr>
        <w:pStyle w:val="QuoteSource"/>
      </w:pPr>
      <w:r>
        <w:t xml:space="preserve">Nursing and Midwifery </w:t>
      </w:r>
      <w:r w:rsidR="0052196E">
        <w:t xml:space="preserve">Health Impairment </w:t>
      </w:r>
      <w:r w:rsidRPr="005529DF">
        <w:t>Survey 2015</w:t>
      </w:r>
    </w:p>
    <w:p w:rsidR="0021158B" w:rsidRPr="005529DF" w:rsidRDefault="0021158B" w:rsidP="005B72F2">
      <w:pPr>
        <w:pStyle w:val="ListDash"/>
        <w:numPr>
          <w:ilvl w:val="0"/>
          <w:numId w:val="0"/>
        </w:numPr>
      </w:pPr>
      <w:proofErr w:type="spellStart"/>
      <w:r w:rsidRPr="005529DF">
        <w:t>Adriaenssens</w:t>
      </w:r>
      <w:proofErr w:type="spellEnd"/>
      <w:r w:rsidRPr="005529DF">
        <w:t xml:space="preserve"> </w:t>
      </w:r>
      <w:r w:rsidRPr="005529DF">
        <w:rPr>
          <w:i/>
        </w:rPr>
        <w:t>et al</w:t>
      </w:r>
      <w:r w:rsidRPr="005529DF">
        <w:t xml:space="preserve"> 2012 found that nurses, and in particular emergency nurses, were confronted frequently with traumatic events (such as death or serious injury of a child/adolescent), which has meant approximately one-third of nurses met sub-clinical levels of anxiety, depression and somatic complaints and 8.5 per cent met clinical levels of post-traumatic stress disorder (PTSD).</w:t>
      </w:r>
    </w:p>
    <w:p w:rsidR="00FA27DB" w:rsidRPr="005529DF" w:rsidRDefault="00FA27DB">
      <w:pPr>
        <w:pStyle w:val="Quote"/>
      </w:pPr>
      <w:r w:rsidRPr="005529DF">
        <w:t>Too many nurses retiring from nursing traumatised and exhausted.</w:t>
      </w:r>
    </w:p>
    <w:p w:rsidR="0052196E" w:rsidRPr="005529DF" w:rsidRDefault="0052196E" w:rsidP="0052196E">
      <w:pPr>
        <w:pStyle w:val="QuoteSource"/>
      </w:pPr>
      <w:r>
        <w:t xml:space="preserve">Nursing and Midwifery Health Impairment </w:t>
      </w:r>
      <w:r w:rsidRPr="005529DF">
        <w:t>Survey 2015</w:t>
      </w:r>
    </w:p>
    <w:p w:rsidR="0021158B" w:rsidRDefault="0021158B" w:rsidP="007640DA">
      <w:pPr>
        <w:pStyle w:val="BodyText"/>
      </w:pPr>
      <w:r w:rsidRPr="005529DF">
        <w:t xml:space="preserve">British and Canadian studies have shown that the level of PTSD among emergency nurses is around 20 per cent. This figure increases to 25-33 per cent in American studies (Helps 1997; </w:t>
      </w:r>
      <w:proofErr w:type="spellStart"/>
      <w:r w:rsidRPr="005529DF">
        <w:t>Clohessy</w:t>
      </w:r>
      <w:proofErr w:type="spellEnd"/>
      <w:r w:rsidRPr="005529DF">
        <w:t xml:space="preserve"> &amp; Ehlers 1999; </w:t>
      </w:r>
      <w:proofErr w:type="spellStart"/>
      <w:r w:rsidRPr="005529DF">
        <w:t>Laposa</w:t>
      </w:r>
      <w:proofErr w:type="spellEnd"/>
      <w:r w:rsidRPr="005529DF">
        <w:t xml:space="preserve"> </w:t>
      </w:r>
      <w:r w:rsidRPr="00875480">
        <w:rPr>
          <w:i/>
        </w:rPr>
        <w:t>et al</w:t>
      </w:r>
      <w:r w:rsidRPr="005529DF">
        <w:t xml:space="preserve"> 2003; Gates </w:t>
      </w:r>
      <w:r w:rsidRPr="00875480">
        <w:rPr>
          <w:i/>
        </w:rPr>
        <w:t>et al</w:t>
      </w:r>
      <w:r w:rsidRPr="005529DF">
        <w:t xml:space="preserve"> 2011; Dominguez-Gomez &amp; Rutledge 2009).</w:t>
      </w:r>
    </w:p>
    <w:p w:rsidR="005A6FEC" w:rsidRPr="005529DF" w:rsidRDefault="005A6FEC" w:rsidP="007640DA">
      <w:pPr>
        <w:pStyle w:val="SideQuoteSource"/>
        <w:framePr w:wrap="around"/>
      </w:pPr>
      <w:r>
        <w:t>Shift work, complexity, moral distress and compassion fatigue</w:t>
      </w:r>
    </w:p>
    <w:p w:rsidR="0021158B" w:rsidRPr="005529DF" w:rsidRDefault="0021158B" w:rsidP="007640DA">
      <w:pPr>
        <w:pStyle w:val="BodyText"/>
      </w:pPr>
      <w:r w:rsidRPr="005529DF">
        <w:t xml:space="preserve">Shift work is frequently highlighted in the literature as a key factor impacting </w:t>
      </w:r>
      <w:r w:rsidR="00CF4690">
        <w:t xml:space="preserve">upon </w:t>
      </w:r>
      <w:r w:rsidRPr="005529DF">
        <w:t>the performance of nurses. For example, research into the impact of shift work (and associated sleep deprivation) has shown numerous negative outcomes in physical, psychological and social areas (</w:t>
      </w:r>
      <w:proofErr w:type="spellStart"/>
      <w:r w:rsidRPr="005529DF">
        <w:t>Admi</w:t>
      </w:r>
      <w:proofErr w:type="spellEnd"/>
      <w:r w:rsidRPr="005529DF">
        <w:t xml:space="preserve"> </w:t>
      </w:r>
      <w:r w:rsidRPr="00875480">
        <w:rPr>
          <w:i/>
        </w:rPr>
        <w:t>et al</w:t>
      </w:r>
      <w:r w:rsidRPr="005529DF">
        <w:t xml:space="preserve"> 2008).</w:t>
      </w:r>
    </w:p>
    <w:p w:rsidR="0021158B" w:rsidRPr="005529DF" w:rsidRDefault="0021158B" w:rsidP="007640DA">
      <w:pPr>
        <w:pStyle w:val="BodyText"/>
      </w:pPr>
      <w:r w:rsidRPr="005529DF">
        <w:t xml:space="preserve">The extent and complexity of </w:t>
      </w:r>
      <w:r w:rsidR="00CF4690">
        <w:t xml:space="preserve">nursing and midwifery role </w:t>
      </w:r>
      <w:r w:rsidRPr="005529DF">
        <w:t xml:space="preserve">responsibilities </w:t>
      </w:r>
      <w:r w:rsidR="008C6D64">
        <w:t>are</w:t>
      </w:r>
      <w:r w:rsidR="008C6D64" w:rsidRPr="005529DF">
        <w:t xml:space="preserve"> </w:t>
      </w:r>
      <w:r w:rsidRPr="005529DF">
        <w:t>broad, including ensuring hospitals meet compliance regulations (for example, risk management, and quality driving incident reporting).</w:t>
      </w:r>
      <w:r w:rsidR="002349C8" w:rsidRPr="005529DF">
        <w:t xml:space="preserve"> </w:t>
      </w:r>
      <w:r w:rsidR="00883B4C">
        <w:t>Additionally, t</w:t>
      </w:r>
      <w:r w:rsidRPr="005529DF">
        <w:t xml:space="preserve">he role as a front line service within the health profession, often </w:t>
      </w:r>
      <w:r w:rsidR="00883B4C">
        <w:t xml:space="preserve">requires </w:t>
      </w:r>
      <w:r w:rsidRPr="005529DF">
        <w:t xml:space="preserve">managing parents, families and carers in traumatic circumstances (Roberts </w:t>
      </w:r>
      <w:r w:rsidRPr="00875480">
        <w:rPr>
          <w:i/>
        </w:rPr>
        <w:t>et al</w:t>
      </w:r>
      <w:r w:rsidRPr="005529DF">
        <w:t xml:space="preserve"> 2012). </w:t>
      </w:r>
    </w:p>
    <w:p w:rsidR="0021158B" w:rsidRPr="005529DF" w:rsidRDefault="0021158B" w:rsidP="0021158B">
      <w:pPr>
        <w:pStyle w:val="BodyText"/>
      </w:pPr>
      <w:r w:rsidRPr="005529DF">
        <w:t xml:space="preserve">Other factors raised in recent literature include moral distress and in particular ‘compassion fatigue’. Compassion fatigue relates to when a nurse </w:t>
      </w:r>
      <w:r w:rsidRPr="005529DF">
        <w:lastRenderedPageBreak/>
        <w:t xml:space="preserve">‘psychologically withdraws and becomes disengaged from the caring nature of the job’ (Roberts </w:t>
      </w:r>
      <w:r w:rsidRPr="005529DF">
        <w:rPr>
          <w:i/>
        </w:rPr>
        <w:t>et al</w:t>
      </w:r>
      <w:r w:rsidRPr="005529DF">
        <w:t xml:space="preserve"> 2012). The topic has garnered intense interest from researchers in recent years, particularly during the Mid Staffordshire Trust Inquiry, which investigated the poor care delivered by the Stafford Hospital between January 2005 and March 2009 (Campbell 2013). </w:t>
      </w:r>
    </w:p>
    <w:p w:rsidR="00DB072B" w:rsidRPr="007640DA" w:rsidRDefault="0021158B" w:rsidP="0021158B">
      <w:pPr>
        <w:pStyle w:val="BodyText"/>
        <w:rPr>
          <w:rStyle w:val="reference-text"/>
        </w:rPr>
      </w:pPr>
      <w:r w:rsidRPr="005529DF">
        <w:t>Nurses are particularly susceptible to compassion fatigue due to their role as first responders where they “become partners, rather than observers, in patients’ health care journeys” (Boyle 2011). For example, a 2010 study found that approximately 82 per cent of emergency nurses had moderate to high levels of burnout, and nearly 86 per cent had moderate to high levels of compassion fatigue (</w:t>
      </w:r>
      <w:r w:rsidRPr="007640DA">
        <w:rPr>
          <w:rStyle w:val="reference-text"/>
        </w:rPr>
        <w:t xml:space="preserve">Hooper </w:t>
      </w:r>
      <w:r w:rsidRPr="007640DA">
        <w:rPr>
          <w:rStyle w:val="reference-text"/>
          <w:i/>
        </w:rPr>
        <w:t>et al</w:t>
      </w:r>
      <w:r w:rsidRPr="007640DA">
        <w:rPr>
          <w:rStyle w:val="reference-text"/>
        </w:rPr>
        <w:t xml:space="preserve"> 2010).</w:t>
      </w:r>
    </w:p>
    <w:p w:rsidR="002349C8" w:rsidRPr="005529DF" w:rsidRDefault="002349C8" w:rsidP="002349C8">
      <w:pPr>
        <w:pStyle w:val="BodyText"/>
        <w:rPr>
          <w:sz w:val="21"/>
          <w:szCs w:val="21"/>
          <w:lang w:eastAsia="zh-CN"/>
        </w:rPr>
      </w:pPr>
      <w:r w:rsidRPr="005529DF">
        <w:t>The above pressures and employment related stresses faced were also underlined in the Nursing and Midwifery</w:t>
      </w:r>
      <w:r w:rsidR="00497B27">
        <w:t xml:space="preserve"> Health Impairment</w:t>
      </w:r>
      <w:r w:rsidRPr="005529DF">
        <w:t xml:space="preserve"> Survey: </w:t>
      </w:r>
    </w:p>
    <w:p w:rsidR="002349C8" w:rsidRPr="005529DF" w:rsidRDefault="002349C8" w:rsidP="002349C8">
      <w:pPr>
        <w:pStyle w:val="Quote"/>
      </w:pPr>
      <w:r w:rsidRPr="005529DF">
        <w:t>Most nurses at some stage will have stressful events at work and will get sick without realising the link.  Burnout is a real problem at work but is not seen as unusual as it happens so often it becomes the "norm".</w:t>
      </w:r>
    </w:p>
    <w:p w:rsidR="002349C8" w:rsidRPr="005529DF" w:rsidRDefault="002349C8" w:rsidP="002349C8">
      <w:pPr>
        <w:pStyle w:val="Quote"/>
      </w:pPr>
    </w:p>
    <w:p w:rsidR="002349C8" w:rsidRPr="005529DF" w:rsidRDefault="002349C8" w:rsidP="002349C8">
      <w:pPr>
        <w:pStyle w:val="Quote"/>
      </w:pPr>
      <w:r w:rsidRPr="005529DF">
        <w:t>The workload of the nurses has increased dramatically and we are being forced to look after patients outside our specialty because beds are not available in their own units. This has had a huge effect on morale, sick leave and stress.</w:t>
      </w:r>
    </w:p>
    <w:p w:rsidR="002349C8" w:rsidRPr="005529DF" w:rsidRDefault="002349C8" w:rsidP="002349C8">
      <w:pPr>
        <w:pStyle w:val="Quote"/>
      </w:pPr>
    </w:p>
    <w:p w:rsidR="002349C8" w:rsidRPr="005529DF" w:rsidRDefault="002349C8" w:rsidP="002349C8">
      <w:pPr>
        <w:pStyle w:val="Quote"/>
      </w:pPr>
      <w:r w:rsidRPr="005529DF">
        <w:t xml:space="preserve">I believe that due to the type of stress encountered in our field education on coping strategies and available support services which are confidential would be of benefit to many staff. </w:t>
      </w:r>
    </w:p>
    <w:p w:rsidR="002349C8" w:rsidRPr="005529DF" w:rsidRDefault="002349C8" w:rsidP="002349C8">
      <w:pPr>
        <w:pStyle w:val="QuoteSource"/>
      </w:pPr>
    </w:p>
    <w:p w:rsidR="002349C8" w:rsidRPr="005529DF" w:rsidRDefault="002349C8" w:rsidP="002349C8">
      <w:pPr>
        <w:pStyle w:val="Quote"/>
      </w:pPr>
      <w:r w:rsidRPr="005529DF">
        <w:t xml:space="preserve">There should be more focus on prevention and management of stress, especially in Aged Care. Nurses in Aged Care are very stressed and overworked. </w:t>
      </w:r>
    </w:p>
    <w:p w:rsidR="002349C8" w:rsidRPr="005529DF" w:rsidRDefault="002349C8" w:rsidP="002349C8">
      <w:pPr>
        <w:pStyle w:val="QuoteSource"/>
      </w:pPr>
    </w:p>
    <w:p w:rsidR="002349C8" w:rsidRPr="005529DF" w:rsidRDefault="002349C8" w:rsidP="005B72F2">
      <w:pPr>
        <w:pStyle w:val="QuoteSource"/>
      </w:pPr>
      <w:r w:rsidRPr="005529DF">
        <w:t xml:space="preserve">Nursing and Midwifery </w:t>
      </w:r>
      <w:r w:rsidR="0052196E">
        <w:t xml:space="preserve">Health Impairment </w:t>
      </w:r>
      <w:r w:rsidRPr="005529DF">
        <w:t>Survey</w:t>
      </w:r>
      <w:r w:rsidRPr="005529DF" w:rsidDel="00102B44">
        <w:t xml:space="preserve"> </w:t>
      </w:r>
      <w:r w:rsidRPr="005529DF">
        <w:t>2015</w:t>
      </w:r>
    </w:p>
    <w:p w:rsidR="002349C8" w:rsidRPr="005529DF" w:rsidRDefault="00AD68FA">
      <w:pPr>
        <w:pStyle w:val="BodyText"/>
      </w:pPr>
      <w:r w:rsidRPr="005529DF">
        <w:t xml:space="preserve">The above evidence </w:t>
      </w:r>
      <w:r w:rsidR="00CD78EA" w:rsidRPr="005529DF">
        <w:t>indicates</w:t>
      </w:r>
      <w:r w:rsidRPr="005529DF">
        <w:t xml:space="preserve"> that nurses and midwives face </w:t>
      </w:r>
      <w:r w:rsidR="00CD78EA" w:rsidRPr="005529DF">
        <w:t xml:space="preserve">work-related conditions </w:t>
      </w:r>
      <w:r w:rsidRPr="005529DF">
        <w:t>that</w:t>
      </w:r>
      <w:r w:rsidR="00CD78EA" w:rsidRPr="005529DF">
        <w:t xml:space="preserve">, as outlined at the start of this chapter, lead to heightened risks of impairment for the public, themselves and their profession.  As such, this </w:t>
      </w:r>
      <w:r w:rsidRPr="005529DF">
        <w:t>place</w:t>
      </w:r>
      <w:r w:rsidR="00CD78EA" w:rsidRPr="005529DF">
        <w:t>s</w:t>
      </w:r>
      <w:r w:rsidRPr="005529DF">
        <w:t xml:space="preserve"> specific importance </w:t>
      </w:r>
      <w:r w:rsidRPr="005529DF">
        <w:lastRenderedPageBreak/>
        <w:t xml:space="preserve">on </w:t>
      </w:r>
      <w:r w:rsidR="00CD78EA" w:rsidRPr="005529DF">
        <w:t xml:space="preserve">having in place </w:t>
      </w:r>
      <w:r w:rsidR="00AA5F0D">
        <w:t xml:space="preserve">both </w:t>
      </w:r>
      <w:r w:rsidR="00CD78EA" w:rsidRPr="005529DF">
        <w:t xml:space="preserve">effective </w:t>
      </w:r>
      <w:r w:rsidR="00017F7F" w:rsidRPr="005529DF">
        <w:t xml:space="preserve">support as well as </w:t>
      </w:r>
      <w:r w:rsidRPr="005529DF">
        <w:t xml:space="preserve">management </w:t>
      </w:r>
      <w:r w:rsidR="00CD78EA" w:rsidRPr="005529DF">
        <w:t>arrangements.</w:t>
      </w:r>
    </w:p>
    <w:p w:rsidR="000E59C7" w:rsidRPr="007640DA" w:rsidRDefault="001275C2" w:rsidP="000E59C7">
      <w:pPr>
        <w:pStyle w:val="Heading2"/>
        <w:rPr>
          <w:rFonts w:ascii="Times New Roman" w:hAnsi="Times New Roman"/>
        </w:rPr>
      </w:pPr>
      <w:bookmarkStart w:id="111" w:name="_Toc419702945"/>
      <w:r w:rsidRPr="007640DA">
        <w:rPr>
          <w:rFonts w:ascii="Times New Roman" w:hAnsi="Times New Roman"/>
        </w:rPr>
        <w:t>Regulatory considerations</w:t>
      </w:r>
      <w:bookmarkEnd w:id="111"/>
      <w:r w:rsidRPr="007640DA">
        <w:rPr>
          <w:rFonts w:ascii="Times New Roman" w:hAnsi="Times New Roman"/>
        </w:rPr>
        <w:t xml:space="preserve"> </w:t>
      </w:r>
    </w:p>
    <w:p w:rsidR="00017F7F" w:rsidRPr="007640DA" w:rsidRDefault="000E59C7" w:rsidP="000E59C7">
      <w:pPr>
        <w:pStyle w:val="BodyText"/>
      </w:pPr>
      <w:r w:rsidRPr="007640DA">
        <w:t xml:space="preserve">There was a </w:t>
      </w:r>
      <w:r w:rsidR="00C36377" w:rsidRPr="007640DA">
        <w:t xml:space="preserve">consistent </w:t>
      </w:r>
      <w:r w:rsidRPr="007640DA">
        <w:t xml:space="preserve">view among all stakeholders that the regulator </w:t>
      </w:r>
      <w:r w:rsidR="00CF4690">
        <w:t>has</w:t>
      </w:r>
      <w:r w:rsidRPr="007640DA">
        <w:t xml:space="preserve"> an important role in </w:t>
      </w:r>
      <w:r w:rsidR="00CF4690">
        <w:t>relation to the</w:t>
      </w:r>
      <w:r w:rsidR="00017F7F" w:rsidRPr="007640DA">
        <w:t xml:space="preserve"> </w:t>
      </w:r>
      <w:r w:rsidRPr="007640DA">
        <w:t xml:space="preserve">notification, assessment, monitoring and rehabilitation of </w:t>
      </w:r>
      <w:r w:rsidR="00F3492A" w:rsidRPr="007640DA">
        <w:t>nurses and midwives</w:t>
      </w:r>
      <w:r w:rsidRPr="007640DA">
        <w:t xml:space="preserve"> with a health impairment from the perspective of its core function in protecting the public. </w:t>
      </w:r>
    </w:p>
    <w:p w:rsidR="00AA5F0D" w:rsidRPr="005B74C9" w:rsidRDefault="00AA5F0D" w:rsidP="007640DA">
      <w:pPr>
        <w:pStyle w:val="SideQuoteSource"/>
        <w:framePr w:wrap="around"/>
      </w:pPr>
      <w:r w:rsidRPr="005B74C9">
        <w:t>Independence from support services</w:t>
      </w:r>
      <w:r w:rsidRPr="005B74C9" w:rsidDel="000F57CF">
        <w:t xml:space="preserve"> </w:t>
      </w:r>
      <w:r w:rsidRPr="005B74C9">
        <w:t>is paramount</w:t>
      </w:r>
    </w:p>
    <w:p w:rsidR="000E59C7" w:rsidRPr="007640DA" w:rsidRDefault="000D30EE" w:rsidP="000E59C7">
      <w:pPr>
        <w:pStyle w:val="BodyText"/>
      </w:pPr>
      <w:r>
        <w:t>With regard</w:t>
      </w:r>
      <w:r w:rsidR="00017F7F" w:rsidRPr="007640DA">
        <w:t xml:space="preserve"> to support services</w:t>
      </w:r>
      <w:r w:rsidR="00272B97">
        <w:t xml:space="preserve"> for nurses and midwives with an impairment</w:t>
      </w:r>
      <w:r w:rsidR="000E59C7" w:rsidRPr="007640DA">
        <w:t xml:space="preserve">, </w:t>
      </w:r>
      <w:r w:rsidR="00272B97">
        <w:t>results from the stakeholder</w:t>
      </w:r>
      <w:r w:rsidR="00272B97" w:rsidRPr="007640DA">
        <w:t xml:space="preserve"> </w:t>
      </w:r>
      <w:r w:rsidR="00C36377" w:rsidRPr="007640DA">
        <w:t xml:space="preserve">consultations </w:t>
      </w:r>
      <w:r w:rsidR="000E59C7" w:rsidRPr="007640DA">
        <w:t xml:space="preserve">indicated it </w:t>
      </w:r>
      <w:r>
        <w:t>is</w:t>
      </w:r>
      <w:r w:rsidR="008C6D64">
        <w:t xml:space="preserve"> </w:t>
      </w:r>
      <w:r w:rsidR="000E59C7" w:rsidRPr="007640DA">
        <w:t xml:space="preserve">important that </w:t>
      </w:r>
      <w:r w:rsidR="00AA1585" w:rsidRPr="007640DA">
        <w:t xml:space="preserve">any related </w:t>
      </w:r>
      <w:r w:rsidR="000E59C7" w:rsidRPr="007640DA">
        <w:t>support services be provided independently</w:t>
      </w:r>
      <w:r w:rsidR="00272B97">
        <w:t xml:space="preserve"> </w:t>
      </w:r>
      <w:r w:rsidR="00C47613">
        <w:t>of the</w:t>
      </w:r>
      <w:r w:rsidR="00272B97">
        <w:t xml:space="preserve"> regulator</w:t>
      </w:r>
      <w:r w:rsidR="000E59C7" w:rsidRPr="007640DA">
        <w:t xml:space="preserve">. </w:t>
      </w:r>
      <w:r w:rsidR="00272B97">
        <w:t>Respondents expressed the view that c</w:t>
      </w:r>
      <w:r w:rsidR="000E59C7" w:rsidRPr="007640DA">
        <w:t xml:space="preserve">lose association of the regulator with </w:t>
      </w:r>
      <w:r w:rsidR="00272B97">
        <w:t xml:space="preserve">health impairment </w:t>
      </w:r>
      <w:r w:rsidR="000E59C7" w:rsidRPr="007640DA">
        <w:t>support services</w:t>
      </w:r>
      <w:r w:rsidR="00272B97">
        <w:t xml:space="preserve"> for nurses and midwives, may</w:t>
      </w:r>
      <w:r w:rsidR="000E59C7" w:rsidRPr="007640DA">
        <w:t xml:space="preserve"> </w:t>
      </w:r>
      <w:r w:rsidR="006D7D68">
        <w:t xml:space="preserve">deter </w:t>
      </w:r>
      <w:r w:rsidR="00272B97">
        <w:t>registrants</w:t>
      </w:r>
      <w:r w:rsidR="006D7D68">
        <w:t>/students</w:t>
      </w:r>
      <w:r w:rsidR="000E59C7" w:rsidRPr="007640DA">
        <w:t xml:space="preserve"> from seeking such </w:t>
      </w:r>
      <w:r w:rsidR="00272B97">
        <w:t xml:space="preserve">assistance, primarily </w:t>
      </w:r>
      <w:r w:rsidR="000E59C7" w:rsidRPr="007640DA">
        <w:t xml:space="preserve">due to fear of notification. As </w:t>
      </w:r>
      <w:r w:rsidR="00272B97">
        <w:t>suggested</w:t>
      </w:r>
      <w:r w:rsidR="00272B97" w:rsidRPr="007640DA">
        <w:t xml:space="preserve"> </w:t>
      </w:r>
      <w:r w:rsidR="000E59C7" w:rsidRPr="007640DA">
        <w:t xml:space="preserve">earlier, this may prevent early identification and intervention </w:t>
      </w:r>
      <w:r w:rsidR="00272B97">
        <w:t xml:space="preserve">in the treatment and management of health impairment, prior to there being any need to submit a notification in regard to the health practitioner’s performance. </w:t>
      </w:r>
      <w:r w:rsidR="000E59C7" w:rsidRPr="007640DA">
        <w:t xml:space="preserve">  </w:t>
      </w:r>
    </w:p>
    <w:p w:rsidR="000E59C7" w:rsidRPr="007640DA" w:rsidRDefault="000E59C7" w:rsidP="007640DA">
      <w:pPr>
        <w:pStyle w:val="SideQuoteSource"/>
        <w:framePr w:wrap="around"/>
      </w:pPr>
      <w:r w:rsidRPr="007640DA">
        <w:t xml:space="preserve">Regulatory linkages with support services </w:t>
      </w:r>
      <w:r w:rsidR="0064240C" w:rsidRPr="007640DA">
        <w:t>do exist</w:t>
      </w:r>
    </w:p>
    <w:p w:rsidR="00A14C3B" w:rsidRPr="007640DA" w:rsidRDefault="00C36377">
      <w:pPr>
        <w:pStyle w:val="BodyText"/>
      </w:pPr>
      <w:r w:rsidRPr="007640DA">
        <w:t xml:space="preserve">Notwithstanding the </w:t>
      </w:r>
      <w:r w:rsidR="00D23BA9">
        <w:t xml:space="preserve">identified </w:t>
      </w:r>
      <w:r w:rsidRPr="007640DA">
        <w:t xml:space="preserve">need for </w:t>
      </w:r>
      <w:r w:rsidR="00D23BA9">
        <w:t xml:space="preserve">regulator </w:t>
      </w:r>
      <w:r w:rsidRPr="007640DA">
        <w:t>independence</w:t>
      </w:r>
      <w:r w:rsidR="00D23BA9">
        <w:t xml:space="preserve"> in the management of health practitioner impairment</w:t>
      </w:r>
      <w:r w:rsidRPr="007640DA">
        <w:t>, t</w:t>
      </w:r>
      <w:r w:rsidR="000E59C7" w:rsidRPr="007640DA">
        <w:t>he literature</w:t>
      </w:r>
      <w:r w:rsidR="00D23BA9">
        <w:t xml:space="preserve"> did</w:t>
      </w:r>
      <w:r w:rsidR="000E59C7" w:rsidRPr="007640DA">
        <w:t xml:space="preserve"> </w:t>
      </w:r>
      <w:r w:rsidR="0028356E">
        <w:t>identify</w:t>
      </w:r>
      <w:r w:rsidR="00D23BA9">
        <w:t xml:space="preserve"> </w:t>
      </w:r>
      <w:r w:rsidR="000E59C7" w:rsidRPr="007640DA">
        <w:t xml:space="preserve">five main types of </w:t>
      </w:r>
      <w:r w:rsidR="00017F7F" w:rsidRPr="007640DA">
        <w:t xml:space="preserve">possible </w:t>
      </w:r>
      <w:r w:rsidR="000E59C7" w:rsidRPr="007640DA">
        <w:t>regulator activity in support services</w:t>
      </w:r>
      <w:r w:rsidR="00D23BA9">
        <w:t xml:space="preserve">. Specifically, </w:t>
      </w:r>
      <w:r w:rsidR="000E59C7" w:rsidRPr="007640DA">
        <w:t>these are, public promotion and endorsement</w:t>
      </w:r>
      <w:r w:rsidR="00D23BA9">
        <w:t>;</w:t>
      </w:r>
      <w:r w:rsidR="000E59C7" w:rsidRPr="007640DA">
        <w:t xml:space="preserve"> cross-referral</w:t>
      </w:r>
      <w:r w:rsidR="00D23BA9">
        <w:t>;</w:t>
      </w:r>
      <w:r w:rsidR="000E59C7" w:rsidRPr="007640DA">
        <w:t xml:space="preserve"> funding</w:t>
      </w:r>
      <w:r w:rsidR="00D23BA9">
        <w:t>;</w:t>
      </w:r>
      <w:r w:rsidR="000E59C7" w:rsidRPr="007640DA">
        <w:t xml:space="preserve"> formal agreement</w:t>
      </w:r>
      <w:r w:rsidR="00D23BA9">
        <w:t>;</w:t>
      </w:r>
      <w:r w:rsidR="000E59C7" w:rsidRPr="007640DA">
        <w:t xml:space="preserve"> and program provision</w:t>
      </w:r>
      <w:r w:rsidR="00A14C3B" w:rsidRPr="007640DA">
        <w:t xml:space="preserve"> </w:t>
      </w:r>
      <w:r w:rsidR="000E59C7" w:rsidRPr="007640DA">
        <w:t>(</w:t>
      </w:r>
      <w:r w:rsidR="0052196E">
        <w:t xml:space="preserve">CRNBC 2012; Department of Licensing and Regulatory Affairs 2014; Fletcher 2001; </w:t>
      </w:r>
      <w:proofErr w:type="spellStart"/>
      <w:r w:rsidR="0052196E">
        <w:t>Bohigian</w:t>
      </w:r>
      <w:proofErr w:type="spellEnd"/>
      <w:r w:rsidR="0052196E">
        <w:t xml:space="preserve"> </w:t>
      </w:r>
      <w:r w:rsidR="0052196E" w:rsidRPr="001B3D40">
        <w:rPr>
          <w:i/>
        </w:rPr>
        <w:t>et al</w:t>
      </w:r>
      <w:r w:rsidR="0052196E">
        <w:t xml:space="preserve"> 2002; Brown &amp; </w:t>
      </w:r>
      <w:proofErr w:type="spellStart"/>
      <w:r w:rsidR="0052196E">
        <w:t>Schneidman</w:t>
      </w:r>
      <w:proofErr w:type="spellEnd"/>
      <w:r w:rsidR="0052196E">
        <w:t xml:space="preserve"> 2004; Fletcher &amp; </w:t>
      </w:r>
      <w:proofErr w:type="spellStart"/>
      <w:r w:rsidR="0052196E">
        <w:t>Ronis</w:t>
      </w:r>
      <w:proofErr w:type="spellEnd"/>
      <w:r w:rsidR="0052196E">
        <w:t xml:space="preserve"> 2005; Smith 2013</w:t>
      </w:r>
      <w:r w:rsidR="000E59C7" w:rsidRPr="007640DA">
        <w:t>)</w:t>
      </w:r>
      <w:r w:rsidR="00A14C3B" w:rsidRPr="007640DA">
        <w:t xml:space="preserve">. </w:t>
      </w:r>
      <w:r w:rsidR="0028356E">
        <w:t>Analysis of</w:t>
      </w:r>
      <w:r w:rsidR="00D23BA9">
        <w:t xml:space="preserve"> </w:t>
      </w:r>
      <w:r w:rsidR="00A14C3B" w:rsidRPr="007640DA">
        <w:t>Australia</w:t>
      </w:r>
      <w:r w:rsidR="0028356E">
        <w:t>n</w:t>
      </w:r>
      <w:r w:rsidR="00A14C3B" w:rsidRPr="007640DA">
        <w:t xml:space="preserve"> and international models</w:t>
      </w:r>
      <w:r w:rsidR="00D23BA9">
        <w:t xml:space="preserve"> </w:t>
      </w:r>
      <w:r w:rsidR="0028356E">
        <w:t>revealed</w:t>
      </w:r>
      <w:r w:rsidR="00A14C3B" w:rsidRPr="007640DA">
        <w:t xml:space="preserve"> var</w:t>
      </w:r>
      <w:r w:rsidR="00AA1585" w:rsidRPr="007640DA">
        <w:t>ying</w:t>
      </w:r>
      <w:r w:rsidR="00A14C3B" w:rsidRPr="007640DA">
        <w:t xml:space="preserve"> combinations of </w:t>
      </w:r>
      <w:r w:rsidR="00D23BA9" w:rsidRPr="007640DA">
        <w:t>the</w:t>
      </w:r>
      <w:r w:rsidR="00D23BA9">
        <w:t xml:space="preserve"> following</w:t>
      </w:r>
      <w:r w:rsidR="00D23BA9" w:rsidRPr="007640DA">
        <w:t xml:space="preserve"> </w:t>
      </w:r>
      <w:r w:rsidR="00A14C3B" w:rsidRPr="007640DA">
        <w:t>activities</w:t>
      </w:r>
      <w:r w:rsidR="00D23BA9">
        <w:t xml:space="preserve">: </w:t>
      </w:r>
      <w:r w:rsidR="00A14C3B" w:rsidRPr="007640DA">
        <w:t xml:space="preserve"> </w:t>
      </w:r>
    </w:p>
    <w:p w:rsidR="00D23BA9" w:rsidRPr="00BE17C2" w:rsidRDefault="00A14C3B" w:rsidP="00BE17C2">
      <w:pPr>
        <w:pStyle w:val="ListDash"/>
        <w:rPr>
          <w:i/>
        </w:rPr>
      </w:pPr>
      <w:r w:rsidRPr="001B3D40">
        <w:rPr>
          <w:i/>
        </w:rPr>
        <w:t xml:space="preserve">Promotion and endorsement of programs and services: </w:t>
      </w:r>
    </w:p>
    <w:p w:rsidR="00A14C3B" w:rsidRPr="005529DF" w:rsidRDefault="00A14C3B" w:rsidP="001B3D40">
      <w:pPr>
        <w:pStyle w:val="ListDash2"/>
      </w:pPr>
      <w:r w:rsidRPr="005529DF">
        <w:t>For example, the Department of Licensing and Regulatory Affairs of Michigan actively promotes the Michigan Health Professional Recovery Program on its website</w:t>
      </w:r>
      <w:r w:rsidR="009446AC" w:rsidRPr="005529DF">
        <w:t xml:space="preserve">. </w:t>
      </w:r>
    </w:p>
    <w:p w:rsidR="00D23BA9" w:rsidRPr="001B3D40" w:rsidRDefault="00A14C3B">
      <w:pPr>
        <w:pStyle w:val="ListDash"/>
        <w:rPr>
          <w:i/>
        </w:rPr>
      </w:pPr>
      <w:r w:rsidRPr="001B3D40">
        <w:rPr>
          <w:i/>
        </w:rPr>
        <w:lastRenderedPageBreak/>
        <w:t>Referral of specific practitioners to programs and services</w:t>
      </w:r>
      <w:r w:rsidRPr="001B3D40">
        <w:rPr>
          <w:b/>
          <w:i/>
        </w:rPr>
        <w:t>:</w:t>
      </w:r>
      <w:r w:rsidRPr="001B3D40">
        <w:rPr>
          <w:i/>
        </w:rPr>
        <w:t xml:space="preserve"> </w:t>
      </w:r>
    </w:p>
    <w:p w:rsidR="00A14C3B" w:rsidRPr="005529DF" w:rsidRDefault="00A14C3B" w:rsidP="001B3D40">
      <w:pPr>
        <w:pStyle w:val="ListDash2"/>
        <w:rPr>
          <w:i/>
        </w:rPr>
      </w:pPr>
      <w:r w:rsidRPr="005529DF">
        <w:t>For example, the UK’s General Medical Council and General Dental Council both have formal memorandums of understanding with the NHS Practitioner Health Programme, which encourages the Councils to discuss potentially impaired practitioners with program staff with a view to potential referral.</w:t>
      </w:r>
    </w:p>
    <w:p w:rsidR="00C47613" w:rsidRPr="00BE17C2" w:rsidRDefault="00A14C3B">
      <w:pPr>
        <w:pStyle w:val="ListDash"/>
        <w:rPr>
          <w:i/>
        </w:rPr>
      </w:pPr>
      <w:r w:rsidRPr="001B3D40">
        <w:rPr>
          <w:i/>
        </w:rPr>
        <w:t xml:space="preserve">Funding part or all of programs and services: </w:t>
      </w:r>
    </w:p>
    <w:p w:rsidR="00A14C3B" w:rsidRPr="005529DF" w:rsidRDefault="00A14C3B" w:rsidP="001B3D40">
      <w:pPr>
        <w:pStyle w:val="ListDash2"/>
      </w:pPr>
      <w:r w:rsidRPr="005529DF">
        <w:t xml:space="preserve">For example the </w:t>
      </w:r>
      <w:r w:rsidR="00C47613">
        <w:t xml:space="preserve">Early Intervention Program for Nurses in British Columbia is funded by the College of Registered Nurses British Columbia (CRNBC). </w:t>
      </w:r>
    </w:p>
    <w:p w:rsidR="00410879" w:rsidRDefault="00A14C3B">
      <w:pPr>
        <w:pStyle w:val="ListDash"/>
      </w:pPr>
      <w:r w:rsidRPr="005529DF">
        <w:rPr>
          <w:i/>
        </w:rPr>
        <w:t>Maintaining formal agreements with programs or services</w:t>
      </w:r>
      <w:r w:rsidR="00410879">
        <w:rPr>
          <w:i/>
        </w:rPr>
        <w:t>.</w:t>
      </w:r>
      <w:r w:rsidRPr="005529DF">
        <w:rPr>
          <w:i/>
        </w:rPr>
        <w:t xml:space="preserve"> </w:t>
      </w:r>
      <w:r w:rsidRPr="005529DF">
        <w:t>These agreements usually cover issues that include information-sharing and confidentiality</w:t>
      </w:r>
      <w:r w:rsidR="00410879">
        <w:t>:</w:t>
      </w:r>
      <w:r w:rsidRPr="005529DF">
        <w:t xml:space="preserve"> </w:t>
      </w:r>
    </w:p>
    <w:p w:rsidR="00A14C3B" w:rsidRPr="005529DF" w:rsidRDefault="00A14C3B" w:rsidP="00C633E5">
      <w:pPr>
        <w:pStyle w:val="ListDash2"/>
      </w:pPr>
      <w:r w:rsidRPr="005529DF">
        <w:t xml:space="preserve">For example, all </w:t>
      </w:r>
      <w:r w:rsidR="009446AC" w:rsidRPr="005529DF">
        <w:t>US Physician Health Programs</w:t>
      </w:r>
      <w:r w:rsidRPr="005529DF">
        <w:t xml:space="preserve"> have formal agreements with relevant regulators that provide a degree of ‘shielding’ from reporting to the regulator and/or disciplinary action for compliant participants. </w:t>
      </w:r>
    </w:p>
    <w:p w:rsidR="00410879" w:rsidRPr="00BE17C2" w:rsidRDefault="00A14C3B">
      <w:pPr>
        <w:pStyle w:val="ListDash"/>
        <w:rPr>
          <w:i/>
        </w:rPr>
      </w:pPr>
      <w:r w:rsidRPr="001B3D40">
        <w:rPr>
          <w:i/>
        </w:rPr>
        <w:t>Providing part or all of programs and services</w:t>
      </w:r>
      <w:r w:rsidR="00CB5238">
        <w:rPr>
          <w:i/>
        </w:rPr>
        <w:t>:</w:t>
      </w:r>
    </w:p>
    <w:p w:rsidR="00A14C3B" w:rsidRPr="005529DF" w:rsidRDefault="00C47613" w:rsidP="001B3D40">
      <w:pPr>
        <w:pStyle w:val="ListDash2"/>
      </w:pPr>
      <w:r>
        <w:t xml:space="preserve">For example, the CRNBC’s Early Intervention Program is provided by the nursing regulator. </w:t>
      </w:r>
    </w:p>
    <w:p w:rsidR="000E59C7" w:rsidRPr="005529DF" w:rsidRDefault="000E59C7" w:rsidP="000E59C7">
      <w:pPr>
        <w:pStyle w:val="BodyText"/>
      </w:pPr>
      <w:r w:rsidRPr="005529DF">
        <w:t xml:space="preserve">Worldwide, support services have varying arrangements regarding information-sharing with the regulator. A distinguishing feature of the different models is whether a formal agreement is in place regarding information-sharing, reporting and referral. Furthermore, major differences are seen in the nature of such agreements, including provisions regarding mandatory </w:t>
      </w:r>
      <w:r w:rsidR="00991BA3" w:rsidRPr="005529DF">
        <w:t>notification</w:t>
      </w:r>
      <w:r w:rsidRPr="005529DF">
        <w:t>, sharing of client information with the regulator, coercion and ‘shielding’ of practitioners.</w:t>
      </w:r>
    </w:p>
    <w:p w:rsidR="000E59C7" w:rsidRPr="005529DF" w:rsidRDefault="00C36377" w:rsidP="000E59C7">
      <w:pPr>
        <w:pStyle w:val="BodyText"/>
      </w:pPr>
      <w:r w:rsidRPr="005529DF">
        <w:t>Further to the discussion</w:t>
      </w:r>
      <w:r w:rsidR="0064240C" w:rsidRPr="005529DF">
        <w:t xml:space="preserve"> in section </w:t>
      </w:r>
      <w:r w:rsidR="007538B8">
        <w:fldChar w:fldCharType="begin"/>
      </w:r>
      <w:r w:rsidR="007538B8">
        <w:instrText xml:space="preserve"> REF _Ref418415595 \w \h  \* MERGEFORMAT </w:instrText>
      </w:r>
      <w:r w:rsidR="007538B8">
        <w:fldChar w:fldCharType="separate"/>
      </w:r>
      <w:r w:rsidR="00B07965">
        <w:t>3.1.1</w:t>
      </w:r>
      <w:r w:rsidR="007538B8">
        <w:fldChar w:fldCharType="end"/>
      </w:r>
      <w:r w:rsidR="0064240C" w:rsidRPr="005529DF">
        <w:t>, t</w:t>
      </w:r>
      <w:r w:rsidR="000E59C7" w:rsidRPr="005529DF">
        <w:t xml:space="preserve">he literature shows that it is common for health </w:t>
      </w:r>
      <w:r w:rsidR="00301CA5" w:rsidRPr="005529DF">
        <w:t xml:space="preserve">support services </w:t>
      </w:r>
      <w:r w:rsidR="000E59C7" w:rsidRPr="005529DF">
        <w:t xml:space="preserve">to have some limited contact with a regulator as long as </w:t>
      </w:r>
      <w:r w:rsidR="0064240C" w:rsidRPr="005529DF">
        <w:t>the</w:t>
      </w:r>
      <w:r w:rsidR="000E59C7" w:rsidRPr="005529DF">
        <w:t xml:space="preserve"> practitioner is compliant with treatment contracts and/or </w:t>
      </w:r>
      <w:r w:rsidR="00885E0E" w:rsidRPr="005529DF">
        <w:t xml:space="preserve">support service </w:t>
      </w:r>
      <w:r w:rsidR="000E59C7" w:rsidRPr="005529DF">
        <w:t xml:space="preserve">recommendations. In some models, this is formalised through a ‘shielding’ provision. In other cases, it occurs informally, through people choosing not to report health practitioners to the regulator if they are compliant with health </w:t>
      </w:r>
      <w:r w:rsidR="00885E0E" w:rsidRPr="005529DF">
        <w:t>support services</w:t>
      </w:r>
      <w:r w:rsidR="000E59C7" w:rsidRPr="005529DF">
        <w:t>.</w:t>
      </w:r>
    </w:p>
    <w:p w:rsidR="0021158B" w:rsidRPr="007640DA" w:rsidRDefault="00F831AE" w:rsidP="0021158B">
      <w:pPr>
        <w:pStyle w:val="Heading1"/>
        <w:numPr>
          <w:ilvl w:val="0"/>
          <w:numId w:val="20"/>
        </w:numPr>
        <w:rPr>
          <w:rFonts w:ascii="Times New Roman" w:hAnsi="Times New Roman"/>
        </w:rPr>
      </w:pPr>
      <w:bookmarkStart w:id="112" w:name="_Toc419702946"/>
      <w:bookmarkStart w:id="113" w:name="_Toc417891906"/>
      <w:bookmarkStart w:id="114" w:name="_Toc417891907"/>
      <w:bookmarkStart w:id="115" w:name="_Toc417891908"/>
      <w:bookmarkStart w:id="116" w:name="_Toc415387531"/>
      <w:bookmarkStart w:id="117" w:name="_Toc415387532"/>
      <w:bookmarkStart w:id="118" w:name="_Toc415387533"/>
      <w:bookmarkStart w:id="119" w:name="_Toc415387534"/>
      <w:bookmarkStart w:id="120" w:name="_Toc415387535"/>
      <w:bookmarkStart w:id="121" w:name="_Toc415387536"/>
      <w:bookmarkStart w:id="122" w:name="_Toc415387537"/>
      <w:bookmarkStart w:id="123" w:name="_Toc415387538"/>
      <w:bookmarkStart w:id="124" w:name="_Toc415387539"/>
      <w:bookmarkStart w:id="125" w:name="_Toc415387540"/>
      <w:bookmarkStart w:id="126" w:name="_Toc415387541"/>
      <w:bookmarkStart w:id="127" w:name="_Toc415387542"/>
      <w:bookmarkStart w:id="128" w:name="_Toc415387543"/>
      <w:bookmarkStart w:id="129" w:name="_Toc415387544"/>
      <w:bookmarkStart w:id="130" w:name="_Toc415387545"/>
      <w:bookmarkStart w:id="131" w:name="_Toc415387546"/>
      <w:bookmarkStart w:id="132" w:name="_Toc415387547"/>
      <w:bookmarkStart w:id="133" w:name="_Toc415387548"/>
      <w:bookmarkStart w:id="134" w:name="_Toc415387549"/>
      <w:bookmarkStart w:id="135" w:name="_Toc415387550"/>
      <w:bookmarkStart w:id="136" w:name="_Toc415387551"/>
      <w:bookmarkStart w:id="137" w:name="_Toc415387552"/>
      <w:bookmarkStart w:id="138" w:name="_Toc415387553"/>
      <w:bookmarkStart w:id="139" w:name="_Toc415387554"/>
      <w:bookmarkStart w:id="140" w:name="_Toc415387555"/>
      <w:bookmarkStart w:id="141" w:name="_Toc415387556"/>
      <w:bookmarkStart w:id="142" w:name="_Toc415387557"/>
      <w:bookmarkStart w:id="143" w:name="_Toc415387558"/>
      <w:bookmarkStart w:id="144" w:name="_Toc415387559"/>
      <w:bookmarkStart w:id="145" w:name="_Toc415387560"/>
      <w:bookmarkStart w:id="146" w:name="_Toc415387561"/>
      <w:bookmarkStart w:id="147" w:name="_Toc415387562"/>
      <w:bookmarkStart w:id="148" w:name="_Toc415387563"/>
      <w:bookmarkStart w:id="149" w:name="_Toc415387564"/>
      <w:bookmarkStart w:id="150" w:name="_Toc415387565"/>
      <w:bookmarkStart w:id="151" w:name="_Toc415387566"/>
      <w:bookmarkStart w:id="152" w:name="_Toc417891910"/>
      <w:bookmarkStart w:id="153" w:name="_Toc417891911"/>
      <w:bookmarkStart w:id="154" w:name="_Toc417387093"/>
      <w:bookmarkStart w:id="155" w:name="_Toc417387094"/>
      <w:bookmarkStart w:id="156" w:name="_Toc417387095"/>
      <w:bookmarkStart w:id="157" w:name="_Toc417387096"/>
      <w:bookmarkStart w:id="158" w:name="_Toc417387097"/>
      <w:bookmarkStart w:id="159" w:name="_Toc417387098"/>
      <w:bookmarkStart w:id="160" w:name="_Toc417387099"/>
      <w:bookmarkStart w:id="161" w:name="_Toc417387100"/>
      <w:bookmarkStart w:id="162" w:name="_Toc417387101"/>
      <w:bookmarkStart w:id="163" w:name="_Toc417387102"/>
      <w:bookmarkStart w:id="164" w:name="_Toc417387103"/>
      <w:bookmarkStart w:id="165" w:name="_Toc419702947"/>
      <w:bookmarkStart w:id="166" w:name="_Ref417387372"/>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rsidRPr="007640DA">
        <w:rPr>
          <w:rFonts w:ascii="Times New Roman" w:hAnsi="Times New Roman"/>
        </w:rPr>
        <w:lastRenderedPageBreak/>
        <w:t xml:space="preserve">Potential </w:t>
      </w:r>
      <w:r w:rsidR="00B71A6E" w:rsidRPr="007640DA">
        <w:rPr>
          <w:rFonts w:ascii="Times New Roman" w:hAnsi="Times New Roman"/>
        </w:rPr>
        <w:t>enhancements</w:t>
      </w:r>
      <w:bookmarkEnd w:id="165"/>
      <w:r w:rsidR="0021158B" w:rsidRPr="007640DA">
        <w:rPr>
          <w:rFonts w:ascii="Times New Roman" w:hAnsi="Times New Roman"/>
        </w:rPr>
        <w:t xml:space="preserve"> </w:t>
      </w:r>
      <w:bookmarkEnd w:id="166"/>
    </w:p>
    <w:p w:rsidR="00306DFE" w:rsidRPr="005529DF" w:rsidRDefault="0021158B" w:rsidP="0021158B">
      <w:pPr>
        <w:pStyle w:val="BodyText"/>
        <w:rPr>
          <w:i/>
        </w:rPr>
      </w:pPr>
      <w:r w:rsidRPr="007640DA">
        <w:rPr>
          <w:i/>
        </w:rPr>
        <w:t xml:space="preserve">This chapter </w:t>
      </w:r>
      <w:r w:rsidR="00880413" w:rsidRPr="007640DA">
        <w:rPr>
          <w:i/>
        </w:rPr>
        <w:t xml:space="preserve">outlines </w:t>
      </w:r>
      <w:r w:rsidR="00F831AE" w:rsidRPr="007640DA">
        <w:rPr>
          <w:i/>
        </w:rPr>
        <w:t xml:space="preserve">potential </w:t>
      </w:r>
      <w:r w:rsidR="00306DFE" w:rsidRPr="007640DA">
        <w:rPr>
          <w:i/>
        </w:rPr>
        <w:t xml:space="preserve">areas for </w:t>
      </w:r>
      <w:r w:rsidR="005F6673" w:rsidRPr="007640DA">
        <w:rPr>
          <w:i/>
        </w:rPr>
        <w:t xml:space="preserve">attention </w:t>
      </w:r>
      <w:r w:rsidR="00306DFE" w:rsidRPr="007640DA">
        <w:rPr>
          <w:i/>
        </w:rPr>
        <w:t xml:space="preserve">in the management and support process for </w:t>
      </w:r>
      <w:r w:rsidR="00BC4465" w:rsidRPr="007640DA">
        <w:rPr>
          <w:i/>
        </w:rPr>
        <w:t>nurses and midwives</w:t>
      </w:r>
      <w:r w:rsidR="00306DFE" w:rsidRPr="007640DA">
        <w:rPr>
          <w:i/>
        </w:rPr>
        <w:t xml:space="preserve"> with a health impairment. It also </w:t>
      </w:r>
      <w:r w:rsidR="00C1535E" w:rsidRPr="007640DA">
        <w:rPr>
          <w:i/>
        </w:rPr>
        <w:t xml:space="preserve">considers the </w:t>
      </w:r>
      <w:r w:rsidR="00306DFE" w:rsidRPr="007640DA">
        <w:rPr>
          <w:i/>
        </w:rPr>
        <w:t xml:space="preserve">roles </w:t>
      </w:r>
      <w:r w:rsidR="00C1535E" w:rsidRPr="007640DA">
        <w:rPr>
          <w:i/>
        </w:rPr>
        <w:t xml:space="preserve">that </w:t>
      </w:r>
      <w:r w:rsidR="00BC4465" w:rsidRPr="007640DA">
        <w:rPr>
          <w:i/>
        </w:rPr>
        <w:t xml:space="preserve">various </w:t>
      </w:r>
      <w:r w:rsidR="00306DFE" w:rsidRPr="007640DA">
        <w:rPr>
          <w:i/>
        </w:rPr>
        <w:t>stakeholder</w:t>
      </w:r>
      <w:r w:rsidR="00BC4465" w:rsidRPr="007640DA">
        <w:rPr>
          <w:i/>
        </w:rPr>
        <w:t>s</w:t>
      </w:r>
      <w:r w:rsidR="00306DFE" w:rsidRPr="007640DA">
        <w:rPr>
          <w:i/>
        </w:rPr>
        <w:t xml:space="preserve"> could undertake </w:t>
      </w:r>
      <w:r w:rsidR="00C1535E" w:rsidRPr="007640DA">
        <w:rPr>
          <w:i/>
        </w:rPr>
        <w:t>in the</w:t>
      </w:r>
      <w:r w:rsidR="00306DFE" w:rsidRPr="007640DA">
        <w:rPr>
          <w:i/>
        </w:rPr>
        <w:t xml:space="preserve"> proposed </w:t>
      </w:r>
      <w:r w:rsidR="00F84524" w:rsidRPr="007640DA">
        <w:rPr>
          <w:i/>
        </w:rPr>
        <w:t>service elements.</w:t>
      </w:r>
      <w:r w:rsidR="0068680B" w:rsidRPr="005529DF">
        <w:rPr>
          <w:i/>
        </w:rPr>
        <w:t xml:space="preserve"> Lastly, costs and benefits for each area for attention have been calculated, in order to determine whether the proposed service elements represent a value for money intervention. </w:t>
      </w:r>
      <w:r w:rsidR="00F84524" w:rsidRPr="005529DF">
        <w:rPr>
          <w:i/>
        </w:rPr>
        <w:t xml:space="preserve"> </w:t>
      </w:r>
      <w:r w:rsidR="00306DFE" w:rsidRPr="005529DF">
        <w:rPr>
          <w:i/>
        </w:rPr>
        <w:t xml:space="preserve"> </w:t>
      </w:r>
    </w:p>
    <w:p w:rsidR="001E38FB" w:rsidRPr="005529DF" w:rsidRDefault="001E38FB" w:rsidP="001E38FB">
      <w:pPr>
        <w:pStyle w:val="Heading2"/>
        <w:keepLines/>
        <w:rPr>
          <w:rFonts w:ascii="Times New Roman" w:hAnsi="Times New Roman"/>
        </w:rPr>
      </w:pPr>
      <w:bookmarkStart w:id="167" w:name="_Toc419702948"/>
      <w:r w:rsidRPr="005529DF">
        <w:rPr>
          <w:rFonts w:ascii="Times New Roman" w:hAnsi="Times New Roman"/>
        </w:rPr>
        <w:t>Risks of impairment</w:t>
      </w:r>
      <w:bookmarkEnd w:id="167"/>
      <w:r w:rsidRPr="005529DF">
        <w:rPr>
          <w:rFonts w:ascii="Times New Roman" w:hAnsi="Times New Roman"/>
        </w:rPr>
        <w:t xml:space="preserve"> </w:t>
      </w:r>
    </w:p>
    <w:p w:rsidR="001E38FB" w:rsidRDefault="001E38FB" w:rsidP="001E38FB">
      <w:pPr>
        <w:pStyle w:val="BodyText"/>
      </w:pPr>
      <w:r w:rsidRPr="005529DF">
        <w:t xml:space="preserve">Potential service enhancements to current </w:t>
      </w:r>
      <w:r w:rsidR="006D7D68">
        <w:t xml:space="preserve">national </w:t>
      </w:r>
      <w:r w:rsidRPr="005529DF">
        <w:t xml:space="preserve">arrangements are all aimed at reducing the risk associated with impairment, specifically, the risk to patients, practitioners </w:t>
      </w:r>
      <w:r w:rsidR="00FC3A85" w:rsidRPr="005529DF">
        <w:t>and the wider health profession</w:t>
      </w:r>
      <w:r w:rsidRPr="005529DF">
        <w:t xml:space="preserve">. </w:t>
      </w:r>
    </w:p>
    <w:p w:rsidR="00186B88" w:rsidRPr="00C633E5" w:rsidRDefault="00186B88" w:rsidP="00C633E5">
      <w:pPr>
        <w:pStyle w:val="SideQuote"/>
        <w:framePr w:wrap="around"/>
        <w:jc w:val="right"/>
        <w:rPr>
          <w:i/>
        </w:rPr>
      </w:pPr>
      <w:r w:rsidRPr="00C633E5">
        <w:rPr>
          <w:i/>
        </w:rPr>
        <w:t>Risk</w:t>
      </w:r>
      <w:r w:rsidR="00EE4397">
        <w:rPr>
          <w:i/>
        </w:rPr>
        <w:t>s</w:t>
      </w:r>
      <w:r w:rsidRPr="00C633E5">
        <w:rPr>
          <w:i/>
        </w:rPr>
        <w:t xml:space="preserve"> to the public </w:t>
      </w:r>
    </w:p>
    <w:p w:rsidR="00186B88" w:rsidRPr="005529DF" w:rsidRDefault="00186B88" w:rsidP="001E38FB">
      <w:pPr>
        <w:pStyle w:val="BodyText"/>
      </w:pPr>
      <w:r w:rsidRPr="00585A11">
        <w:t>By definition, impaired practitioners pose a potential risk to their patients due to their inability to safely, competently and professional</w:t>
      </w:r>
      <w:r>
        <w:t xml:space="preserve">ly </w:t>
      </w:r>
      <w:r w:rsidRPr="00585A11">
        <w:t>practi</w:t>
      </w:r>
      <w:r>
        <w:t>s</w:t>
      </w:r>
      <w:r w:rsidRPr="00585A11">
        <w:t xml:space="preserve">e </w:t>
      </w:r>
      <w:r w:rsidR="004D1416" w:rsidRPr="00585A11">
        <w:fldChar w:fldCharType="begin"/>
      </w:r>
      <w:r w:rsidRPr="00585A11">
        <w:instrText xml:space="preserve"> ADDIN EN.CITE &lt;EndNote&gt;&lt;Cite&gt;&lt;Author&gt;Fletcher&lt;/Author&gt;&lt;Year&gt;2001&lt;/Year&gt;&lt;RecNum&gt;298&lt;/RecNum&gt;&lt;DisplayText&gt;(Fletcher 2001, Hamilton and Duncan 2012)&lt;/DisplayText&gt;&lt;record&gt;&lt;rec-number&gt;298&lt;/rec-number&gt;&lt;foreign-keys&gt;&lt;key app="EN" db-id="xaa9zsz95p2zv4efraqpe05ivw2prw2t2s20" timestamp="1401782798"&gt;298&lt;/key&gt;&lt;/foreign-keys&gt;&lt;ref-type name="Journal Article"&gt;17&lt;/ref-type&gt;&lt;contributors&gt;&lt;authors&gt;&lt;author&gt;Fletcher, Carol E&lt;/author&gt;&lt;/authors&gt;&lt;/contributors&gt;&lt;titles&gt;&lt;title&gt;Michigan&amp;apos;s unique approach to treating impaired health care professionals&lt;/title&gt;&lt;secondary-title&gt;Journal of addictive diseases&lt;/secondary-title&gt;&lt;/titles&gt;&lt;periodical&gt;&lt;full-title&gt;J Addict Dis&lt;/full-title&gt;&lt;abbr-1&gt;Journal of addictive diseases&lt;/abbr-1&gt;&lt;/periodical&gt;&lt;pages&gt;101-116&lt;/pages&gt;&lt;volume&gt;20&lt;/volume&gt;&lt;number&gt;4&lt;/number&gt;&lt;dates&gt;&lt;year&gt;2001&lt;/year&gt;&lt;/dates&gt;&lt;isbn&gt;1055-0887&lt;/isbn&gt;&lt;urls&gt;&lt;related-urls&gt;&lt;url&gt;http://www.tandfonline.com.ezp.lib.unimelb.edu.au/doi/pdf/10.1300/J069v20n04_09&lt;/url&gt;&lt;/related-urls&gt;&lt;/urls&gt;&lt;/record&gt;&lt;/Cite&gt;&lt;Cite&gt;&lt;Author&gt;Hamilton&lt;/Author&gt;&lt;Year&gt;2012&lt;/Year&gt;&lt;RecNum&gt;619&lt;/RecNum&gt;&lt;record&gt;&lt;rec-number&gt;619&lt;/rec-number&gt;&lt;foreign-keys&gt;&lt;key app="EN" db-id="xaa9zsz95p2zv4efraqpe05ivw2prw2t2s20" timestamp="1404367671"&gt;619&lt;/key&gt;&lt;/foreign-keys&gt;&lt;ref-type name="Report"&gt;27&lt;/ref-type&gt;&lt;contributors&gt;&lt;authors&gt;&lt;author&gt;Hamilton, B.&lt;/author&gt;&lt;author&gt;Duncan, R.&lt;/author&gt;&lt;/authors&gt;&lt;tertiary-authors&gt;&lt;author&gt;University of Melbourne&lt;/author&gt;&lt;/tertiary-authors&gt;&lt;/contributors&gt;&lt;titles&gt;&lt;title&gt;Evaluation of the Nursing and Midwifery Health Program&lt;/title&gt;&lt;/titles&gt;&lt;dates&gt;&lt;year&gt;2012&lt;/year&gt;&lt;/dates&gt;&lt;urls&gt;&lt;related-urls&gt;&lt;url&gt;http://www.nmhp.org.au/documents/UoM-Report-31DEC2012.pdf&lt;/url&gt;&lt;/related-urls&gt;&lt;/urls&gt;&lt;/record&gt;&lt;/Cite&gt;&lt;/EndNote&gt;</w:instrText>
      </w:r>
      <w:r w:rsidR="004D1416" w:rsidRPr="00585A11">
        <w:fldChar w:fldCharType="separate"/>
      </w:r>
      <w:r w:rsidRPr="00585A11">
        <w:rPr>
          <w:noProof/>
        </w:rPr>
        <w:t>(</w:t>
      </w:r>
      <w:hyperlink w:anchor="_ENREF_63" w:tooltip="Fletcher, 2001 #298" w:history="1">
        <w:r w:rsidRPr="00585A11">
          <w:rPr>
            <w:noProof/>
          </w:rPr>
          <w:t>Fletcher 2001</w:t>
        </w:r>
      </w:hyperlink>
      <w:r w:rsidRPr="00585A11">
        <w:rPr>
          <w:noProof/>
        </w:rPr>
        <w:t xml:space="preserve">, </w:t>
      </w:r>
      <w:hyperlink w:anchor="_ENREF_81" w:tooltip="Hamilton, 2012 #619" w:history="1">
        <w:r w:rsidRPr="00585A11">
          <w:rPr>
            <w:noProof/>
          </w:rPr>
          <w:t>Hamilton and Duncan 2012</w:t>
        </w:r>
      </w:hyperlink>
      <w:r w:rsidRPr="00585A11">
        <w:rPr>
          <w:noProof/>
        </w:rPr>
        <w:t>)</w:t>
      </w:r>
      <w:r w:rsidR="004D1416" w:rsidRPr="00585A11">
        <w:fldChar w:fldCharType="end"/>
      </w:r>
      <w:r w:rsidRPr="00585A11">
        <w:t xml:space="preserve">. The claim is made in much of the literature that impaired practitioners can and do cause direct harm to patients </w:t>
      </w:r>
      <w:r w:rsidR="004D1416" w:rsidRPr="00585A11">
        <w:fldChar w:fldCharType="begin">
          <w:fldData xml:space="preserve">PEVuZE5vdGU+PENpdGU+PEF1dGhvcj5EdW5uPC9BdXRob3I+PFllYXI+MjAwNTwvWWVhcj48UmVj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</w:fldData>
        </w:fldChar>
      </w:r>
      <w:r w:rsidRPr="00585A11">
        <w:instrText xml:space="preserve"> ADDIN EN.CITE </w:instrText>
      </w:r>
      <w:r w:rsidR="004D1416" w:rsidRPr="00585A11">
        <w:fldChar w:fldCharType="begin">
          <w:fldData xml:space="preserve">PEVuZE5vdGU+PENpdGU+PEF1dGhvcj5EdW5uPC9BdXRob3I+PFllYXI+MjAwNTwvWWVhcj48UmVj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</w:fldData>
        </w:fldChar>
      </w:r>
      <w:r w:rsidRPr="00585A11">
        <w:instrText xml:space="preserve"> ADDIN EN.CITE.DATA </w:instrText>
      </w:r>
      <w:r w:rsidR="004D1416" w:rsidRPr="00585A11">
        <w:fldChar w:fldCharType="end"/>
      </w:r>
      <w:r w:rsidR="004D1416" w:rsidRPr="00585A11">
        <w:fldChar w:fldCharType="separate"/>
      </w:r>
      <w:r w:rsidRPr="00585A11">
        <w:rPr>
          <w:noProof/>
        </w:rPr>
        <w:t>(</w:t>
      </w:r>
      <w:hyperlink w:anchor="_ENREF_63" w:tooltip="Fletcher, 2001 #298" w:history="1">
        <w:r w:rsidRPr="00585A11">
          <w:rPr>
            <w:noProof/>
          </w:rPr>
          <w:t>Fletcher 2001</w:t>
        </w:r>
      </w:hyperlink>
      <w:r>
        <w:rPr>
          <w:noProof/>
        </w:rPr>
        <w:t>;</w:t>
      </w:r>
      <w:r w:rsidR="00BA7144">
        <w:rPr>
          <w:noProof/>
        </w:rPr>
        <w:t xml:space="preserve"> </w:t>
      </w:r>
      <w:hyperlink w:anchor="_ENREF_51" w:tooltip="Dunn, 2005 #279" w:history="1">
        <w:r w:rsidRPr="00585A11">
          <w:rPr>
            <w:noProof/>
          </w:rPr>
          <w:t>Dunn 2005</w:t>
        </w:r>
      </w:hyperlink>
      <w:r>
        <w:rPr>
          <w:noProof/>
        </w:rPr>
        <w:t xml:space="preserve">; </w:t>
      </w:r>
      <w:hyperlink w:anchor="_ENREF_81" w:tooltip="Hamilton, 2012 #619" w:history="1">
        <w:r w:rsidRPr="00585A11">
          <w:rPr>
            <w:noProof/>
          </w:rPr>
          <w:t>Hamilton and Duncan 2012</w:t>
        </w:r>
      </w:hyperlink>
      <w:r w:rsidRPr="00585A11">
        <w:rPr>
          <w:noProof/>
        </w:rPr>
        <w:t>)</w:t>
      </w:r>
      <w:r w:rsidR="004D1416" w:rsidRPr="00585A11">
        <w:fldChar w:fldCharType="end"/>
      </w:r>
      <w:r w:rsidRPr="00585A11">
        <w:t>.</w:t>
      </w:r>
    </w:p>
    <w:p w:rsidR="001E38FB" w:rsidRPr="00BA7144" w:rsidRDefault="00186B88" w:rsidP="00C633E5">
      <w:pPr>
        <w:pStyle w:val="BodyText"/>
      </w:pPr>
      <w:r w:rsidRPr="00585A11">
        <w:t xml:space="preserve">There are high-profile legal and regulatory cases where impaired practitioners have harmed patients </w:t>
      </w:r>
      <w:r w:rsidR="004D1416" w:rsidRPr="00585A11">
        <w:fldChar w:fldCharType="begin"/>
      </w:r>
      <w:r w:rsidRPr="00585A11">
        <w:instrText xml:space="preserve"> ADDIN EN.CITE &lt;EndNote&gt;&lt;Cite&gt;&lt;Author&gt;Robinson&lt;/Author&gt;&lt;Year&gt;2014&lt;/Year&gt;&lt;RecNum&gt;627&lt;/RecNum&gt;&lt;DisplayText&gt;(Robinson 2014, Russell 2014)&lt;/DisplayText&gt;&lt;record&gt;&lt;rec-number&gt;627&lt;/rec-number&gt;&lt;foreign-keys&gt;&lt;key app="EN" db-id="xaa9zsz95p2zv4efraqpe05ivw2prw2t2s20" timestamp="1404798767"&gt;627&lt;/key&gt;&lt;/foreign-keys&gt;&lt;ref-type name="Newspaper Article"&gt;23&lt;/ref-type&gt;&lt;contributors&gt;&lt;authors&gt;&lt;author&gt;Robinson, Georgina&lt;/author&gt;&lt;/authors&gt;&lt;/contributors&gt;&lt;titles&gt;&lt;title&gt;Disgraced surgeon Suresh Nair left a trail of shattered lives&lt;/title&gt;&lt;secondary-title&gt;The Sydney Morning Herald&lt;/secondary-title&gt;&lt;/titles&gt;&lt;dates&gt;&lt;year&gt;2014&lt;/year&gt;&lt;pub-dates&gt;&lt;date&gt;May 26&lt;/date&gt;&lt;/pub-dates&gt;&lt;/dates&gt;&lt;urls&gt;&lt;related-urls&gt;&lt;url&gt;http://www.smh.com.au/nsw/disgraced-surgeon-suresh-nair-left-a-trail-of-shattered-lives-20140525-38wut.html&lt;/url&gt;&lt;/related-urls&gt;&lt;/urls&gt;&lt;access-date&gt;July 8 2014&lt;/access-date&gt;&lt;/record&gt;&lt;/Cite&gt;&lt;Cite&gt;&lt;Author&gt;Russell&lt;/Author&gt;&lt;Year&gt;2014&lt;/Year&gt;&lt;RecNum&gt;628&lt;/RecNum&gt;&lt;record&gt;&lt;rec-number&gt;628&lt;/rec-number&gt;&lt;foreign-keys&gt;&lt;key app="EN" db-id="xaa9zsz95p2zv4efraqpe05ivw2prw2t2s20" timestamp="1404798981"&gt;628&lt;/key&gt;&lt;/foreign-keys&gt;&lt;ref-type name="Newspaper Article"&gt;23&lt;/ref-type&gt;&lt;contributors&gt;&lt;authors&gt;&lt;author&gt;Russell, Mark&lt;/author&gt;&lt;/authors&gt;&lt;/contributors&gt;&lt;titles&gt;&lt;title&gt;Judge signs off on Hepatitis C class action against anaesthetist James Latham Peters&lt;/title&gt;&lt;secondary-title&gt;The Age&lt;/secondary-title&gt;&lt;/titles&gt;&lt;dates&gt;&lt;year&gt;2014&lt;/year&gt;&lt;pub-dates&gt;&lt;date&gt;June 5&lt;/date&gt;&lt;/pub-dates&gt;&lt;/dates&gt;&lt;urls&gt;&lt;related-urls&gt;&lt;url&gt;http://www.theage.com.au/victoria/judge-signs-off-on-hepatitis-c-class-action-against--anaesthetist-james-latham-peters-20140605-39k9a.html&lt;/url&gt;&lt;/related-urls&gt;&lt;/urls&gt;&lt;access-date&gt;July 7 2014&lt;/access-date&gt;&lt;/record&gt;&lt;/Cite&gt;&lt;/EndNote&gt;</w:instrText>
      </w:r>
      <w:r w:rsidR="004D1416" w:rsidRPr="00585A11">
        <w:fldChar w:fldCharType="separate"/>
      </w:r>
      <w:r w:rsidRPr="00585A11">
        <w:rPr>
          <w:noProof/>
        </w:rPr>
        <w:t>(</w:t>
      </w:r>
      <w:hyperlink w:anchor="_ENREF_155" w:tooltip="Robinson, 2014 #627" w:history="1">
        <w:r w:rsidRPr="00585A11">
          <w:rPr>
            <w:noProof/>
          </w:rPr>
          <w:t>Robinson 2014</w:t>
        </w:r>
      </w:hyperlink>
      <w:r>
        <w:rPr>
          <w:noProof/>
        </w:rPr>
        <w:t xml:space="preserve"> &amp; </w:t>
      </w:r>
      <w:hyperlink w:anchor="_ENREF_166" w:tooltip="Russell, 2014 #628" w:history="1">
        <w:r w:rsidRPr="00585A11">
          <w:rPr>
            <w:noProof/>
          </w:rPr>
          <w:t>Russell 2014</w:t>
        </w:r>
      </w:hyperlink>
      <w:r w:rsidRPr="00585A11">
        <w:rPr>
          <w:noProof/>
        </w:rPr>
        <w:t>)</w:t>
      </w:r>
      <w:r w:rsidR="004D1416" w:rsidRPr="00585A11">
        <w:fldChar w:fldCharType="end"/>
      </w:r>
      <w:r w:rsidRPr="00585A11">
        <w:t xml:space="preserve">. Drawing on Australian examples, the harm in such cases includes major clinical errors and ‘botched’ procedures </w:t>
      </w:r>
      <w:r w:rsidR="004D1416" w:rsidRPr="00585A11">
        <w:fldChar w:fldCharType="begin"/>
      </w:r>
      <w:r w:rsidRPr="00585A11">
        <w:instrText xml:space="preserve"> ADDIN EN.CITE &lt;EndNote&gt;&lt;Cite&gt;&lt;Author&gt;Robinson&lt;/Author&gt;&lt;Year&gt;2014&lt;/Year&gt;&lt;RecNum&gt;627&lt;/RecNum&gt;&lt;DisplayText&gt;(Robinson 2014)&lt;/DisplayText&gt;&lt;record&gt;&lt;rec-number&gt;627&lt;/rec-number&gt;&lt;foreign-keys&gt;&lt;key app="EN" db-id="xaa9zsz95p2zv4efraqpe05ivw2prw2t2s20" timestamp="1404798767"&gt;627&lt;/key&gt;&lt;/foreign-keys&gt;&lt;ref-type name="Newspaper Article"&gt;23&lt;/ref-type&gt;&lt;contributors&gt;&lt;authors&gt;&lt;author&gt;Robinson, Georgina&lt;/author&gt;&lt;/authors&gt;&lt;/contributors&gt;&lt;titles&gt;&lt;title&gt;Disgraced surgeon Suresh Nair left a trail of shattered lives&lt;/title&gt;&lt;secondary-title&gt;The Sydney Morning Herald&lt;/secondary-title&gt;&lt;/titles&gt;&lt;dates&gt;&lt;year&gt;2014&lt;/year&gt;&lt;pub-dates&gt;&lt;date&gt;May 26&lt;/date&gt;&lt;/pub-dates&gt;&lt;/dates&gt;&lt;urls&gt;&lt;related-urls&gt;&lt;url&gt;http://www.smh.com.au/nsw/disgraced-surgeon-suresh-nair-left-a-trail-of-shattered-lives-20140525-38wut.html&lt;/url&gt;&lt;/related-urls&gt;&lt;/urls&gt;&lt;access-date&gt;July 8 2014&lt;/access-date&gt;&lt;/record&gt;&lt;/Cite&gt;&lt;/EndNote&gt;</w:instrText>
      </w:r>
      <w:r w:rsidR="004D1416" w:rsidRPr="00585A11">
        <w:fldChar w:fldCharType="separate"/>
      </w:r>
      <w:r w:rsidRPr="00585A11">
        <w:rPr>
          <w:noProof/>
        </w:rPr>
        <w:t>(</w:t>
      </w:r>
      <w:hyperlink w:anchor="_ENREF_155" w:tooltip="Robinson, 2014 #627" w:history="1">
        <w:r w:rsidRPr="00585A11">
          <w:rPr>
            <w:noProof/>
          </w:rPr>
          <w:t>Robinson 2014</w:t>
        </w:r>
      </w:hyperlink>
      <w:r w:rsidRPr="00585A11">
        <w:rPr>
          <w:noProof/>
        </w:rPr>
        <w:t>)</w:t>
      </w:r>
      <w:r w:rsidR="004D1416" w:rsidRPr="00585A11">
        <w:fldChar w:fldCharType="end"/>
      </w:r>
      <w:r w:rsidRPr="00585A11">
        <w:t xml:space="preserve">, infection of patients with blood-borne diseases via needle re-use </w:t>
      </w:r>
      <w:r w:rsidR="004D1416" w:rsidRPr="00585A11">
        <w:fldChar w:fldCharType="begin"/>
      </w:r>
      <w:r w:rsidRPr="00585A11">
        <w:instrText xml:space="preserve"> ADDIN EN.CITE &lt;EndNote&gt;&lt;Cite&gt;&lt;Author&gt;Russell&lt;/Author&gt;&lt;Year&gt;2014&lt;/Year&gt;&lt;RecNum&gt;628&lt;/RecNum&gt;&lt;DisplayText&gt;(Russell 2014)&lt;/DisplayText&gt;&lt;record&gt;&lt;rec-number&gt;628&lt;/rec-number&gt;&lt;foreign-keys&gt;&lt;key app="EN" db-id="xaa9zsz95p2zv4efraqpe05ivw2prw2t2s20" timestamp="1404798981"&gt;628&lt;/key&gt;&lt;/foreign-keys&gt;&lt;ref-type name="Newspaper Article"&gt;23&lt;/ref-type&gt;&lt;contributors&gt;&lt;authors&gt;&lt;author&gt;Russell, Mark&lt;/author&gt;&lt;/authors&gt;&lt;/contributors&gt;&lt;titles&gt;&lt;title&gt;Judge signs off on Hepatitis C class action against anaesthetist James Latham Peters&lt;/title&gt;&lt;secondary-title&gt;The Age&lt;/secondary-title&gt;&lt;/titles&gt;&lt;dates&gt;&lt;year&gt;2014&lt;/year&gt;&lt;pub-dates&gt;&lt;date&gt;June 5&lt;/date&gt;&lt;/pub-dates&gt;&lt;/dates&gt;&lt;urls&gt;&lt;related-urls&gt;&lt;url&gt;http://www.theage.com.au/victoria/judge-signs-off-on-hepatitis-c-class-action-against--anaesthetist-james-latham-peters-20140605-39k9a.html&lt;/url&gt;&lt;/related-urls&gt;&lt;/urls&gt;&lt;access-date&gt;July 7 2014&lt;/access-date&gt;&lt;/record&gt;&lt;/Cite&gt;&lt;/EndNote&gt;</w:instrText>
      </w:r>
      <w:r w:rsidR="004D1416" w:rsidRPr="00585A11">
        <w:fldChar w:fldCharType="separate"/>
      </w:r>
      <w:r w:rsidRPr="00585A11">
        <w:rPr>
          <w:noProof/>
        </w:rPr>
        <w:t>(</w:t>
      </w:r>
      <w:hyperlink w:anchor="_ENREF_166" w:tooltip="Russell, 2014 #628" w:history="1">
        <w:r w:rsidRPr="00585A11">
          <w:rPr>
            <w:noProof/>
          </w:rPr>
          <w:t>Russell 2014</w:t>
        </w:r>
      </w:hyperlink>
      <w:r w:rsidRPr="00585A11">
        <w:rPr>
          <w:noProof/>
        </w:rPr>
        <w:t>)</w:t>
      </w:r>
      <w:r w:rsidR="004D1416" w:rsidRPr="00585A11">
        <w:fldChar w:fldCharType="end"/>
      </w:r>
      <w:r w:rsidRPr="00585A11">
        <w:t xml:space="preserve">, and patients receiving saline or tap water instead of pain relief following theft of drugs for personal use. An Australian study also found that doctors with poor psychological support, were more likely to sexually abuse patients </w:t>
      </w:r>
      <w:r w:rsidR="004D1416" w:rsidRPr="00585A11">
        <w:fldChar w:fldCharType="begin"/>
      </w:r>
      <w:r w:rsidRPr="00585A11">
        <w:instrText xml:space="preserve"> ADDIN EN.CITE &lt;EndNote&gt;&lt;Cite&gt;&lt;Author&gt;Galletly&lt;/Author&gt;&lt;Year&gt;2004&lt;/Year&gt;&lt;RecNum&gt;610&lt;/RecNum&gt;&lt;DisplayText&gt;(Galletly 2004)&lt;/DisplayText&gt;&lt;record&gt;&lt;rec-number&gt;610&lt;/rec-number&gt;&lt;foreign-keys&gt;&lt;key app="EN" db-id="xaa9zsz95p2zv4efraqpe05ivw2prw2t2s20" timestamp="1404215464"&gt;610&lt;/key&gt;&lt;/foreign-keys&gt;&lt;ref-type name="Journal Article"&gt;17&lt;/ref-type&gt;&lt;contributors&gt;&lt;authors&gt;&lt;author&gt;Galletly, C. A.&lt;/author&gt;&lt;/authors&gt;&lt;/contributors&gt;&lt;auth-address&gt;University of Adelaide, Lyell McEwin Health Service, Adelaide, SA, Australia. cherrie.galletly@adelaide.edu.au&lt;/auth-address&gt;&lt;titles&gt;&lt;title&gt;Crossing professional boundaries in medicine: the slippery slope to patient sexual exploitation&lt;/title&gt;&lt;secondary-title&gt;Med J Aust&lt;/secondary-title&gt;&lt;alt-title&gt;The Medical journal of Australia&lt;/alt-title&gt;&lt;/titles&gt;&lt;periodical&gt;&lt;full-title&gt;Med J Aust&lt;/full-title&gt;&lt;abbr-1&gt;The Medical journal of Australia&lt;/abbr-1&gt;&lt;/periodical&gt;&lt;alt-periodical&gt;&lt;full-title&gt;Med J Aust&lt;/full-title&gt;&lt;abbr-1&gt;The Medical journal of Australia&lt;/abbr-1&gt;&lt;/alt-periodical&gt;&lt;pages&gt;380-3&lt;/pages&gt;&lt;volume&gt;181&lt;/volume&gt;&lt;number&gt;7&lt;/number&gt;&lt;keywords&gt;&lt;keyword&gt;Attitude of Health Personnel&lt;/keyword&gt;&lt;keyword&gt;Australia&lt;/keyword&gt;&lt;keyword&gt;Clinical Medicine&lt;/keyword&gt;&lt;keyword&gt;Ethics, Medical&lt;/keyword&gt;&lt;keyword&gt;Female&lt;/keyword&gt;&lt;keyword&gt;Humans&lt;/keyword&gt;&lt;keyword&gt;Male&lt;/keyword&gt;&lt;keyword&gt;Physical Examination&lt;/keyword&gt;&lt;keyword&gt;*Physician-Patient Relations&lt;/keyword&gt;&lt;keyword&gt;Professional Misconduct/*statistics &amp;amp; numerical data&lt;/keyword&gt;&lt;keyword&gt;Quality of Health Care&lt;/keyword&gt;&lt;keyword&gt;Risk Assessment&lt;/keyword&gt;&lt;keyword&gt;Risk Management&lt;/keyword&gt;&lt;keyword&gt;Sexual Harassment/*prevention &amp;amp; control/statistics &amp;amp; numerical data&lt;/keyword&gt;&lt;/keywords&gt;&lt;dates&gt;&lt;year&gt;2004&lt;/year&gt;&lt;pub-dates&gt;&lt;date&gt;Oct 4&lt;/date&gt;&lt;/pub-dates&gt;&lt;/dates&gt;&lt;isbn&gt;0025-729X (Print)&amp;#xD;0025-729X (Linking)&lt;/isbn&gt;&lt;accession-num&gt;15462658&lt;/accession-num&gt;&lt;urls&gt;&lt;related-urls&gt;&lt;url&gt;http://www.ncbi.nlm.nih.gov/pubmed/15462658&lt;/url&gt;&lt;/related-urls&gt;&lt;/urls&gt;&lt;/record&gt;&lt;/Cite&gt;&lt;/EndNote&gt;</w:instrText>
      </w:r>
      <w:r w:rsidR="004D1416" w:rsidRPr="00585A11">
        <w:fldChar w:fldCharType="separate"/>
      </w:r>
      <w:r w:rsidRPr="00585A11">
        <w:rPr>
          <w:noProof/>
        </w:rPr>
        <w:t>(</w:t>
      </w:r>
      <w:hyperlink w:anchor="_ENREF_68" w:tooltip="Galletly, 2004 #610" w:history="1">
        <w:r w:rsidRPr="00585A11">
          <w:rPr>
            <w:noProof/>
          </w:rPr>
          <w:t>Galletly 2004</w:t>
        </w:r>
      </w:hyperlink>
      <w:r w:rsidRPr="00585A11">
        <w:rPr>
          <w:noProof/>
        </w:rPr>
        <w:t>)</w:t>
      </w:r>
      <w:r w:rsidR="004D1416" w:rsidRPr="00585A11">
        <w:fldChar w:fldCharType="end"/>
      </w:r>
      <w:r w:rsidRPr="00585A11">
        <w:t>.</w:t>
      </w:r>
      <w:r>
        <w:t xml:space="preserve"> </w:t>
      </w:r>
      <w:r w:rsidR="00EE4397">
        <w:t xml:space="preserve">Other than such court proceedings, however, </w:t>
      </w:r>
      <w:r w:rsidR="001E38FB" w:rsidRPr="005529DF">
        <w:t xml:space="preserve">there </w:t>
      </w:r>
      <w:r w:rsidR="00EE4397">
        <w:t xml:space="preserve">is little research </w:t>
      </w:r>
      <w:r w:rsidR="001E38FB" w:rsidRPr="005529DF">
        <w:t xml:space="preserve">that </w:t>
      </w:r>
      <w:r w:rsidR="00EE4397">
        <w:t xml:space="preserve">directly investigates </w:t>
      </w:r>
      <w:r w:rsidR="001E38FB" w:rsidRPr="00BE17C2">
        <w:t xml:space="preserve">impairment </w:t>
      </w:r>
      <w:r w:rsidR="00EE4397">
        <w:t>with</w:t>
      </w:r>
      <w:r w:rsidR="001E38FB" w:rsidRPr="00BE17C2">
        <w:t xml:space="preserve"> breaches in safe practice by health practiti</w:t>
      </w:r>
      <w:r w:rsidR="001E38FB" w:rsidRPr="00252FBE">
        <w:t>oners</w:t>
      </w:r>
      <w:r w:rsidR="001E38FB" w:rsidRPr="00BA7144">
        <w:t xml:space="preserve">. </w:t>
      </w:r>
    </w:p>
    <w:p w:rsidR="001E38FB" w:rsidRPr="00BA7144" w:rsidRDefault="001E38FB" w:rsidP="007640DA">
      <w:pPr>
        <w:pStyle w:val="SideQuote"/>
        <w:framePr w:wrap="around"/>
        <w:jc w:val="right"/>
        <w:rPr>
          <w:i/>
        </w:rPr>
      </w:pPr>
      <w:r w:rsidRPr="00BA7144">
        <w:rPr>
          <w:i/>
        </w:rPr>
        <w:t>Risks to the practitioner</w:t>
      </w:r>
    </w:p>
    <w:p w:rsidR="001E38FB" w:rsidRPr="005529DF" w:rsidRDefault="001E38FB" w:rsidP="001E38FB">
      <w:pPr>
        <w:pStyle w:val="BodyText"/>
      </w:pPr>
      <w:r w:rsidRPr="00BA7144">
        <w:lastRenderedPageBreak/>
        <w:t>The underlying health condition</w:t>
      </w:r>
      <w:r w:rsidR="00AE5A4C">
        <w:t xml:space="preserve"> </w:t>
      </w:r>
      <w:r w:rsidR="00BA7144" w:rsidRPr="001B3D40">
        <w:t xml:space="preserve">that </w:t>
      </w:r>
      <w:r w:rsidRPr="00252FBE">
        <w:t>commonly result</w:t>
      </w:r>
      <w:r w:rsidRPr="005529DF">
        <w:t xml:space="preserve"> in practitioner impairment</w:t>
      </w:r>
      <w:r w:rsidR="00AE5A4C">
        <w:t xml:space="preserve">, such as alcoholism and drug addiction, </w:t>
      </w:r>
      <w:r w:rsidRPr="005529DF">
        <w:t xml:space="preserve">can </w:t>
      </w:r>
      <w:r w:rsidR="00BA7144">
        <w:t>lead to</w:t>
      </w:r>
      <w:r w:rsidRPr="005529DF">
        <w:t xml:space="preserve"> morbidity, disability and even death. They also place practitioners at risk of contact with the criminal justice system, strained workplace relationships and job loss, including the stress, financial and social losses associated with these</w:t>
      </w:r>
      <w:r w:rsidR="00AE5A4C">
        <w:t xml:space="preserve"> (Frank </w:t>
      </w:r>
      <w:r w:rsidR="00AE5A4C" w:rsidRPr="001B3D40">
        <w:rPr>
          <w:i/>
        </w:rPr>
        <w:t>et al</w:t>
      </w:r>
      <w:r w:rsidR="00AE5A4C">
        <w:t xml:space="preserve"> 2000)</w:t>
      </w:r>
      <w:r w:rsidRPr="005529DF">
        <w:t>. When a health issue results in impairment, further risks to the practitioner include disciplinary action by employers or regulators, loss or restriction of practising licen</w:t>
      </w:r>
      <w:r w:rsidR="00CD5F54">
        <w:t>c</w:t>
      </w:r>
      <w:r w:rsidRPr="005529DF">
        <w:t xml:space="preserve">e/registration, legal action and loss of career. All of these impacts can generate knock-on problems for the practitioner in family and personal relationships, social standing, reputation, finances, and mental and physical health. </w:t>
      </w:r>
    </w:p>
    <w:p w:rsidR="001E38FB" w:rsidRPr="007640DA" w:rsidRDefault="001E38FB" w:rsidP="007640DA">
      <w:pPr>
        <w:pStyle w:val="SideQuote"/>
        <w:framePr w:wrap="around"/>
        <w:jc w:val="right"/>
        <w:rPr>
          <w:i/>
        </w:rPr>
      </w:pPr>
      <w:r w:rsidRPr="007640DA">
        <w:rPr>
          <w:i/>
        </w:rPr>
        <w:t>Risks to the profession</w:t>
      </w:r>
    </w:p>
    <w:p w:rsidR="001E38FB" w:rsidRPr="005529DF" w:rsidRDefault="001E38FB" w:rsidP="001E38FB">
      <w:pPr>
        <w:pStyle w:val="ListDash"/>
        <w:numPr>
          <w:ilvl w:val="0"/>
          <w:numId w:val="0"/>
        </w:numPr>
      </w:pPr>
      <w:r w:rsidRPr="005529DF">
        <w:t xml:space="preserve">Damage to the public’s trust in health practitioners, the healthcare system as a whole, and practitioner regulation, is a potential impact </w:t>
      </w:r>
      <w:r w:rsidR="0065508F">
        <w:t xml:space="preserve">from mismanagement of </w:t>
      </w:r>
      <w:r w:rsidRPr="005529DF">
        <w:t xml:space="preserve">impaired practitioners. In Australia, several high profile </w:t>
      </w:r>
      <w:r w:rsidR="0065508F">
        <w:t xml:space="preserve">legal </w:t>
      </w:r>
      <w:r w:rsidRPr="005529DF">
        <w:t>cases, investigations and reports regarding impaired practitioners have attracted negative public comment on complaints-handling and regulatory systems</w:t>
      </w:r>
      <w:r w:rsidR="00BA7144">
        <w:t xml:space="preserve"> (for example, the HCCC’s</w:t>
      </w:r>
      <w:r w:rsidR="006607D5">
        <w:t xml:space="preserve"> handling of the Suresh Nair cas</w:t>
      </w:r>
      <w:r w:rsidR="00BA7144">
        <w:t>e) (Sydney Morning Herald 2014</w:t>
      </w:r>
      <w:r w:rsidR="00CB5238">
        <w:t xml:space="preserve">; Sim &amp; </w:t>
      </w:r>
      <w:proofErr w:type="spellStart"/>
      <w:r w:rsidR="00CB5238">
        <w:t>Khong</w:t>
      </w:r>
      <w:proofErr w:type="spellEnd"/>
      <w:r w:rsidR="00CB5238">
        <w:t xml:space="preserve"> 2013</w:t>
      </w:r>
      <w:r w:rsidR="00BA7144">
        <w:t>)</w:t>
      </w:r>
      <w:r w:rsidRPr="005529DF">
        <w:t xml:space="preserve">. Furthermore, regardless of the gaps in academic literature and evidence, a UK study found that the public view addiction among practitioners as a significant threat to patient safety. Members of the public considered a dentist smelling of alcohol or a GP with depression to pose a medium risk, but a surgeon with an addiction problem to pose a high risk. </w:t>
      </w:r>
    </w:p>
    <w:p w:rsidR="00BC7F14" w:rsidRPr="005529DF" w:rsidRDefault="0097229D" w:rsidP="00A10560">
      <w:pPr>
        <w:pStyle w:val="Heading2"/>
        <w:rPr>
          <w:rFonts w:ascii="Times New Roman" w:hAnsi="Times New Roman"/>
        </w:rPr>
      </w:pPr>
      <w:bookmarkStart w:id="168" w:name="_Toc419702949"/>
      <w:r w:rsidRPr="005529DF">
        <w:rPr>
          <w:rFonts w:ascii="Times New Roman" w:hAnsi="Times New Roman"/>
        </w:rPr>
        <w:t>A</w:t>
      </w:r>
      <w:r w:rsidR="00124593" w:rsidRPr="005529DF">
        <w:rPr>
          <w:rFonts w:ascii="Times New Roman" w:hAnsi="Times New Roman"/>
        </w:rPr>
        <w:t xml:space="preserve">reas for </w:t>
      </w:r>
      <w:r w:rsidRPr="005529DF">
        <w:rPr>
          <w:rFonts w:ascii="Times New Roman" w:hAnsi="Times New Roman"/>
        </w:rPr>
        <w:t>attention</w:t>
      </w:r>
      <w:bookmarkEnd w:id="168"/>
      <w:r w:rsidR="00124593" w:rsidRPr="005529DF">
        <w:rPr>
          <w:rFonts w:ascii="Times New Roman" w:hAnsi="Times New Roman"/>
        </w:rPr>
        <w:t xml:space="preserve"> </w:t>
      </w:r>
    </w:p>
    <w:p w:rsidR="009B24A1" w:rsidRPr="005529DF" w:rsidRDefault="000D62A4">
      <w:pPr>
        <w:pStyle w:val="BodyText"/>
      </w:pPr>
      <w:r w:rsidRPr="005529DF">
        <w:t xml:space="preserve">In considering possible </w:t>
      </w:r>
      <w:r w:rsidR="00450E89" w:rsidRPr="005529DF">
        <w:t xml:space="preserve">service elements </w:t>
      </w:r>
      <w:r w:rsidRPr="005529DF">
        <w:t>for managing and supporting nurses and midwives with a health impairment, t</w:t>
      </w:r>
      <w:r w:rsidR="00C1535E" w:rsidRPr="005529DF">
        <w:t>he findings and themes</w:t>
      </w:r>
      <w:r w:rsidR="009B24A1" w:rsidRPr="005529DF">
        <w:t xml:space="preserve"> from the literature review and stakeholder consultations</w:t>
      </w:r>
      <w:r w:rsidR="00C1535E" w:rsidRPr="005529DF">
        <w:t xml:space="preserve"> suggest </w:t>
      </w:r>
      <w:r w:rsidR="009B24A1" w:rsidRPr="005529DF">
        <w:t xml:space="preserve">three key areas </w:t>
      </w:r>
      <w:r w:rsidRPr="005529DF">
        <w:t>of focus</w:t>
      </w:r>
      <w:r w:rsidR="00C1535E" w:rsidRPr="005529DF">
        <w:t xml:space="preserve">, namely </w:t>
      </w:r>
      <w:r w:rsidR="009B24A1" w:rsidRPr="005529DF">
        <w:rPr>
          <w:i/>
        </w:rPr>
        <w:t>education</w:t>
      </w:r>
      <w:r w:rsidR="00500001">
        <w:rPr>
          <w:i/>
        </w:rPr>
        <w:t xml:space="preserve"> and awareness programs</w:t>
      </w:r>
      <w:r w:rsidR="009B24A1" w:rsidRPr="005529DF">
        <w:t xml:space="preserve">, </w:t>
      </w:r>
      <w:r w:rsidR="009B24A1" w:rsidRPr="005529DF">
        <w:rPr>
          <w:i/>
        </w:rPr>
        <w:t>support</w:t>
      </w:r>
      <w:r w:rsidR="009B24A1" w:rsidRPr="005529DF">
        <w:t xml:space="preserve"> </w:t>
      </w:r>
      <w:r w:rsidR="00500001" w:rsidRPr="007640DA">
        <w:rPr>
          <w:i/>
        </w:rPr>
        <w:t>services</w:t>
      </w:r>
      <w:r w:rsidR="00500001">
        <w:t xml:space="preserve"> </w:t>
      </w:r>
      <w:r w:rsidR="009B24A1" w:rsidRPr="005529DF">
        <w:t xml:space="preserve">and </w:t>
      </w:r>
      <w:r w:rsidR="009B24A1" w:rsidRPr="005529DF">
        <w:rPr>
          <w:i/>
        </w:rPr>
        <w:t>monitoring</w:t>
      </w:r>
      <w:r w:rsidR="009B24A1" w:rsidRPr="005529DF">
        <w:t xml:space="preserve"> </w:t>
      </w:r>
      <w:r w:rsidR="00500001" w:rsidRPr="007640DA">
        <w:rPr>
          <w:i/>
        </w:rPr>
        <w:t xml:space="preserve">costs </w:t>
      </w:r>
      <w:r w:rsidR="00C1535E" w:rsidRPr="005529DF">
        <w:t>as</w:t>
      </w:r>
      <w:r w:rsidR="009B24A1" w:rsidRPr="005529DF">
        <w:t xml:space="preserve"> outlined in </w:t>
      </w:r>
      <w:r w:rsidR="00C1535E" w:rsidRPr="005529DF">
        <w:t xml:space="preserve">more </w:t>
      </w:r>
      <w:r w:rsidR="009B24A1" w:rsidRPr="005529DF">
        <w:t xml:space="preserve">detail below. </w:t>
      </w:r>
    </w:p>
    <w:p w:rsidR="00E7129B" w:rsidRPr="005529DF" w:rsidRDefault="009B24A1" w:rsidP="00104801">
      <w:pPr>
        <w:pStyle w:val="SideQuoteSource"/>
        <w:framePr w:wrap="around"/>
      </w:pPr>
      <w:r w:rsidRPr="005529DF">
        <w:t xml:space="preserve">Education </w:t>
      </w:r>
      <w:r w:rsidR="00500001">
        <w:t>programs</w:t>
      </w:r>
    </w:p>
    <w:p w:rsidR="00E7129B" w:rsidRPr="005529DF" w:rsidRDefault="00E7129B" w:rsidP="00E7129B">
      <w:pPr>
        <w:pStyle w:val="BodyText"/>
      </w:pPr>
      <w:r w:rsidRPr="005529DF">
        <w:lastRenderedPageBreak/>
        <w:t xml:space="preserve">The </w:t>
      </w:r>
      <w:r w:rsidR="000D62A4" w:rsidRPr="005529DF">
        <w:t xml:space="preserve">importance </w:t>
      </w:r>
      <w:r w:rsidRPr="005529DF">
        <w:t xml:space="preserve">of education </w:t>
      </w:r>
      <w:r w:rsidR="00500001">
        <w:t>and awareness</w:t>
      </w:r>
      <w:r w:rsidR="00500001" w:rsidRPr="005529DF">
        <w:t xml:space="preserve"> </w:t>
      </w:r>
      <w:r w:rsidR="00245629" w:rsidRPr="005529DF">
        <w:t>was raised</w:t>
      </w:r>
      <w:r w:rsidR="00306DFE" w:rsidRPr="005529DF">
        <w:t xml:space="preserve"> by stakeholders</w:t>
      </w:r>
      <w:r w:rsidR="00245629" w:rsidRPr="005529DF">
        <w:t xml:space="preserve"> in many contexts</w:t>
      </w:r>
      <w:r w:rsidRPr="005529DF">
        <w:t xml:space="preserve"> but most tended to focus </w:t>
      </w:r>
      <w:r w:rsidR="00CD5F54">
        <w:t>on</w:t>
      </w:r>
      <w:r w:rsidR="00CD5F54" w:rsidRPr="005529DF">
        <w:t xml:space="preserve"> </w:t>
      </w:r>
      <w:r w:rsidRPr="005529DF">
        <w:t>the potential benefits these would bring in terms of</w:t>
      </w:r>
      <w:r w:rsidR="00500001">
        <w:t xml:space="preserve"> </w:t>
      </w:r>
      <w:r w:rsidR="00500001" w:rsidRPr="005529DF">
        <w:t xml:space="preserve">(see section </w:t>
      </w:r>
      <w:r w:rsidR="007538B8">
        <w:fldChar w:fldCharType="begin"/>
      </w:r>
      <w:r w:rsidR="007538B8">
        <w:instrText xml:space="preserve"> REF _Ref418583713 \n \h  \* MERGEFORMAT </w:instrText>
      </w:r>
      <w:r w:rsidR="007538B8">
        <w:fldChar w:fldCharType="separate"/>
      </w:r>
      <w:r w:rsidR="00B07965">
        <w:t>3.1.1</w:t>
      </w:r>
      <w:r w:rsidR="007538B8">
        <w:fldChar w:fldCharType="end"/>
      </w:r>
      <w:r w:rsidR="00500001" w:rsidRPr="005529DF">
        <w:t>)</w:t>
      </w:r>
      <w:r w:rsidRPr="005529DF">
        <w:t>:</w:t>
      </w:r>
    </w:p>
    <w:p w:rsidR="00E7129B" w:rsidRPr="005529DF" w:rsidRDefault="00FC3A85" w:rsidP="00BE17C2">
      <w:pPr>
        <w:pStyle w:val="ListDash"/>
      </w:pPr>
      <w:r w:rsidRPr="005529DF">
        <w:t>I</w:t>
      </w:r>
      <w:r w:rsidR="00E7129B" w:rsidRPr="005529DF">
        <w:t xml:space="preserve">ncreasing </w:t>
      </w:r>
      <w:r w:rsidR="00AB7EC8" w:rsidRPr="005529DF">
        <w:t>nursing and midwifery awareness</w:t>
      </w:r>
      <w:r w:rsidR="00E7129B" w:rsidRPr="005529DF">
        <w:t xml:space="preserve"> about the notification process, mandatory </w:t>
      </w:r>
      <w:r w:rsidR="00991BA3" w:rsidRPr="005529DF">
        <w:t xml:space="preserve">notification </w:t>
      </w:r>
      <w:r w:rsidR="00E7129B" w:rsidRPr="005529DF">
        <w:t>and dealing with impairment in general</w:t>
      </w:r>
      <w:r w:rsidR="00AB7EC8" w:rsidRPr="005529DF">
        <w:t>, all of which were highlighted as a key concern among this professional group</w:t>
      </w:r>
      <w:r w:rsidRPr="005529DF">
        <w:t xml:space="preserve">. </w:t>
      </w:r>
    </w:p>
    <w:p w:rsidR="00AB7EC8" w:rsidRPr="005529DF" w:rsidRDefault="00FC3A85" w:rsidP="00252FBE">
      <w:pPr>
        <w:pStyle w:val="ListDash"/>
      </w:pPr>
      <w:r w:rsidRPr="005529DF">
        <w:t>E</w:t>
      </w:r>
      <w:r w:rsidR="00E7129B" w:rsidRPr="005529DF">
        <w:t xml:space="preserve">ncouraging </w:t>
      </w:r>
      <w:r w:rsidR="00AB7EC8" w:rsidRPr="005529DF">
        <w:t>greater rates of self-referral among nurses and midwives with an impairment, which has been identified as a good practice principle, both in the literature and amongst review consultations</w:t>
      </w:r>
      <w:r w:rsidR="00500001">
        <w:t>.</w:t>
      </w:r>
      <w:r w:rsidR="005F29E6" w:rsidRPr="005529DF">
        <w:t xml:space="preserve"> </w:t>
      </w:r>
    </w:p>
    <w:p w:rsidR="00813E9C" w:rsidRPr="005529DF" w:rsidRDefault="00813E9C" w:rsidP="00B2233D">
      <w:pPr>
        <w:pStyle w:val="BodyText"/>
      </w:pPr>
      <w:r w:rsidRPr="005529DF">
        <w:t xml:space="preserve">While </w:t>
      </w:r>
      <w:r w:rsidR="00D03819" w:rsidRPr="005529DF">
        <w:t xml:space="preserve">it can be argued that </w:t>
      </w:r>
      <w:r w:rsidRPr="005529DF">
        <w:t xml:space="preserve">the second of these is beyond the specific focus of the regulator, it is </w:t>
      </w:r>
      <w:r w:rsidR="00D03819" w:rsidRPr="005529DF">
        <w:t>included here</w:t>
      </w:r>
      <w:r w:rsidRPr="005529DF">
        <w:t xml:space="preserve"> in view of its potential to either encourage earlier self-referral and</w:t>
      </w:r>
      <w:r w:rsidR="00D03819" w:rsidRPr="005529DF">
        <w:t xml:space="preserve"> thereby</w:t>
      </w:r>
      <w:r w:rsidRPr="005529DF">
        <w:t xml:space="preserve"> potentially avoid </w:t>
      </w:r>
      <w:r w:rsidR="00D03819" w:rsidRPr="005529DF">
        <w:t xml:space="preserve">or limit the extent of </w:t>
      </w:r>
      <w:r w:rsidRPr="005529DF">
        <w:t xml:space="preserve">a notification, and/or </w:t>
      </w:r>
      <w:r w:rsidR="00D03819" w:rsidRPr="005529DF">
        <w:t xml:space="preserve">to </w:t>
      </w:r>
      <w:r w:rsidRPr="005529DF">
        <w:t xml:space="preserve">shorten </w:t>
      </w:r>
      <w:r w:rsidR="00D03819" w:rsidRPr="005529DF">
        <w:t>the time for rehabilitation and return to work,</w:t>
      </w:r>
    </w:p>
    <w:p w:rsidR="00306DFE" w:rsidRPr="005529DF" w:rsidRDefault="002231AC" w:rsidP="00306DFE">
      <w:pPr>
        <w:pStyle w:val="BodyText"/>
      </w:pPr>
      <w:r w:rsidRPr="005529DF">
        <w:t>While t</w:t>
      </w:r>
      <w:r w:rsidR="00306DFE" w:rsidRPr="005529DF">
        <w:t xml:space="preserve">here are a range of components that </w:t>
      </w:r>
      <w:r w:rsidR="00112698" w:rsidRPr="005529DF">
        <w:t xml:space="preserve">additional </w:t>
      </w:r>
      <w:r w:rsidR="00306DFE" w:rsidRPr="005529DF">
        <w:t>education on the notification process could encompass</w:t>
      </w:r>
      <w:r w:rsidRPr="005529DF">
        <w:t xml:space="preserve">, specific </w:t>
      </w:r>
      <w:r w:rsidR="00306DFE" w:rsidRPr="005529DF">
        <w:t xml:space="preserve">priority services </w:t>
      </w:r>
      <w:r w:rsidRPr="005529DF">
        <w:t>that were commonly raised</w:t>
      </w:r>
      <w:r w:rsidR="00CB5238">
        <w:t xml:space="preserve"> by nurses and midwives</w:t>
      </w:r>
      <w:r w:rsidRPr="005529DF">
        <w:t xml:space="preserve"> were: </w:t>
      </w:r>
      <w:r w:rsidR="00306DFE" w:rsidRPr="005529DF">
        <w:t>advice on respective obligations of the practitioner and the regulator under mandatory notification</w:t>
      </w:r>
      <w:r w:rsidRPr="005529DF">
        <w:t>;</w:t>
      </w:r>
      <w:r w:rsidR="00306DFE" w:rsidRPr="005529DF">
        <w:t xml:space="preserve"> where to seek help</w:t>
      </w:r>
      <w:r w:rsidRPr="005529DF">
        <w:t>;</w:t>
      </w:r>
      <w:r w:rsidR="00306DFE" w:rsidRPr="005529DF">
        <w:t xml:space="preserve"> and on the procedures to be followed when the impairment is considered to put the public at risk. </w:t>
      </w:r>
      <w:r w:rsidRPr="005529DF">
        <w:t xml:space="preserve">Others included </w:t>
      </w:r>
      <w:r w:rsidR="00306DFE" w:rsidRPr="005529DF">
        <w:t xml:space="preserve">education </w:t>
      </w:r>
      <w:r w:rsidRPr="005529DF">
        <w:t xml:space="preserve">for </w:t>
      </w:r>
      <w:r w:rsidR="00306DFE" w:rsidRPr="005529DF">
        <w:t xml:space="preserve">employers (managers) regarding their obligations under National Law, and </w:t>
      </w:r>
      <w:r w:rsidRPr="005529DF">
        <w:t xml:space="preserve">where and </w:t>
      </w:r>
      <w:r w:rsidR="00306DFE" w:rsidRPr="005529DF">
        <w:t xml:space="preserve">how they can get </w:t>
      </w:r>
      <w:r w:rsidRPr="005529DF">
        <w:t xml:space="preserve">further </w:t>
      </w:r>
      <w:r w:rsidR="00306DFE" w:rsidRPr="005529DF">
        <w:t xml:space="preserve">advice and assistance for staff with an impairment. </w:t>
      </w:r>
      <w:r w:rsidRPr="005529DF">
        <w:t>Such i</w:t>
      </w:r>
      <w:r w:rsidR="00306DFE" w:rsidRPr="005529DF">
        <w:t>nformation could be provided through ‘help-seeking portals’, which link health practitioners to important information and services</w:t>
      </w:r>
      <w:r w:rsidR="00FC3A85" w:rsidRPr="005529DF">
        <w:t xml:space="preserve"> (</w:t>
      </w:r>
      <w:r w:rsidR="006C0FF4">
        <w:t>Health for Health Professionals 2010</w:t>
      </w:r>
      <w:r w:rsidR="00FC3A85" w:rsidRPr="005529DF">
        <w:t xml:space="preserve">). </w:t>
      </w:r>
    </w:p>
    <w:p w:rsidR="004C4C13" w:rsidRPr="005529DF" w:rsidRDefault="008C6518">
      <w:pPr>
        <w:pStyle w:val="BodyText"/>
      </w:pPr>
      <w:r w:rsidRPr="005529DF">
        <w:t>Education</w:t>
      </w:r>
      <w:r w:rsidR="00306DFE" w:rsidRPr="005529DF">
        <w:t xml:space="preserve"> </w:t>
      </w:r>
      <w:r w:rsidR="002231AC" w:rsidRPr="005529DF">
        <w:t>in relation</w:t>
      </w:r>
      <w:r w:rsidR="00306DFE" w:rsidRPr="005529DF">
        <w:t xml:space="preserve"> to</w:t>
      </w:r>
      <w:r w:rsidR="00D0265B" w:rsidRPr="005529DF">
        <w:t xml:space="preserve"> </w:t>
      </w:r>
      <w:r w:rsidR="00C667DE" w:rsidRPr="005529DF">
        <w:t xml:space="preserve">available </w:t>
      </w:r>
      <w:r w:rsidRPr="005529DF">
        <w:t>support services</w:t>
      </w:r>
      <w:r w:rsidR="00C667DE" w:rsidRPr="005529DF">
        <w:t xml:space="preserve"> </w:t>
      </w:r>
      <w:r w:rsidR="002736DC" w:rsidRPr="005529DF">
        <w:t>could be provided through</w:t>
      </w:r>
      <w:r w:rsidR="00C667DE" w:rsidRPr="005529DF">
        <w:t xml:space="preserve"> jurisdiction specific face-to-face </w:t>
      </w:r>
      <w:r w:rsidR="00CD5F54">
        <w:t>workshops with</w:t>
      </w:r>
      <w:r w:rsidR="00667AC7" w:rsidRPr="005529DF">
        <w:t xml:space="preserve"> universities and</w:t>
      </w:r>
      <w:r w:rsidR="00D0265B" w:rsidRPr="005529DF">
        <w:t xml:space="preserve">/or </w:t>
      </w:r>
      <w:r w:rsidR="00667AC7" w:rsidRPr="005529DF">
        <w:t xml:space="preserve">major employers, </w:t>
      </w:r>
      <w:r w:rsidR="00C667DE" w:rsidRPr="005529DF">
        <w:t>as well as an online resource</w:t>
      </w:r>
      <w:r w:rsidR="002736DC" w:rsidRPr="005529DF">
        <w:t xml:space="preserve">, catering in particular </w:t>
      </w:r>
      <w:r w:rsidR="00C667DE" w:rsidRPr="005529DF">
        <w:t xml:space="preserve">for </w:t>
      </w:r>
      <w:r w:rsidR="002736DC" w:rsidRPr="005529DF">
        <w:t xml:space="preserve">nurses and midwives </w:t>
      </w:r>
      <w:r w:rsidR="00C667DE" w:rsidRPr="005529DF">
        <w:t>livi</w:t>
      </w:r>
      <w:r w:rsidR="00667AC7" w:rsidRPr="005529DF">
        <w:t>ng in regional and remote areas of Australia.</w:t>
      </w:r>
      <w:r w:rsidR="007D6C45" w:rsidRPr="005529DF">
        <w:t xml:space="preserve"> It is also important that the available support services are reinforced upon a nurse or midwife </w:t>
      </w:r>
      <w:r w:rsidR="00813E9C" w:rsidRPr="005529DF">
        <w:t>becoming</w:t>
      </w:r>
      <w:r w:rsidR="007D6C45" w:rsidRPr="005529DF">
        <w:t xml:space="preserve"> notified</w:t>
      </w:r>
      <w:r w:rsidR="00813E9C" w:rsidRPr="005529DF">
        <w:t>.</w:t>
      </w:r>
      <w:r w:rsidR="007D6C45" w:rsidRPr="005529DF">
        <w:t xml:space="preserve"> </w:t>
      </w:r>
      <w:r w:rsidR="002736DC" w:rsidRPr="005529DF">
        <w:t>Specific i</w:t>
      </w:r>
      <w:r w:rsidR="00667AC7" w:rsidRPr="005529DF">
        <w:t xml:space="preserve">nformation </w:t>
      </w:r>
      <w:r w:rsidR="002736DC" w:rsidRPr="005529DF">
        <w:t xml:space="preserve">considered </w:t>
      </w:r>
      <w:r w:rsidR="000D62A4" w:rsidRPr="005529DF">
        <w:t>important</w:t>
      </w:r>
      <w:r w:rsidR="002736DC" w:rsidRPr="005529DF">
        <w:t xml:space="preserve"> included</w:t>
      </w:r>
      <w:r w:rsidR="004C4C13" w:rsidRPr="005529DF">
        <w:t xml:space="preserve">: </w:t>
      </w:r>
    </w:p>
    <w:p w:rsidR="004C4C13" w:rsidRPr="005529DF" w:rsidRDefault="00301CA5" w:rsidP="00BE17C2">
      <w:pPr>
        <w:pStyle w:val="ListDash"/>
      </w:pPr>
      <w:r w:rsidRPr="005529DF">
        <w:lastRenderedPageBreak/>
        <w:t>t</w:t>
      </w:r>
      <w:r w:rsidR="004C4C13" w:rsidRPr="005529DF">
        <w:t xml:space="preserve">he jurisdiction in which the </w:t>
      </w:r>
      <w:r w:rsidR="000E27C2" w:rsidRPr="005529DF">
        <w:t>support service</w:t>
      </w:r>
      <w:r w:rsidR="004C4C13" w:rsidRPr="005529DF">
        <w:t xml:space="preserve"> operates</w:t>
      </w:r>
    </w:p>
    <w:p w:rsidR="004C4C13" w:rsidRPr="005529DF" w:rsidRDefault="00301CA5" w:rsidP="00252FBE">
      <w:pPr>
        <w:pStyle w:val="ListDash"/>
      </w:pPr>
      <w:r w:rsidRPr="005529DF">
        <w:t>w</w:t>
      </w:r>
      <w:r w:rsidR="004C4C13" w:rsidRPr="005529DF">
        <w:t>hether the support service is targeted towards a certain type of impairment (for example, physical or mental impairment)</w:t>
      </w:r>
    </w:p>
    <w:p w:rsidR="00D0265B" w:rsidRPr="005529DF" w:rsidRDefault="00301CA5">
      <w:pPr>
        <w:pStyle w:val="ListDash"/>
      </w:pPr>
      <w:r w:rsidRPr="005529DF">
        <w:t>w</w:t>
      </w:r>
      <w:r w:rsidR="00D0265B" w:rsidRPr="005529DF">
        <w:t>hether the service is targeted at nurses or midwives, health practitioners or society more broadly</w:t>
      </w:r>
    </w:p>
    <w:p w:rsidR="004C4C13" w:rsidRPr="005529DF" w:rsidRDefault="00301CA5">
      <w:pPr>
        <w:pStyle w:val="ListDash"/>
      </w:pPr>
      <w:r w:rsidRPr="005529DF">
        <w:t>f</w:t>
      </w:r>
      <w:r w:rsidR="00431405" w:rsidRPr="005529DF">
        <w:t>under(s) of the support service</w:t>
      </w:r>
    </w:p>
    <w:p w:rsidR="004C4C13" w:rsidRPr="005529DF" w:rsidRDefault="00301CA5">
      <w:pPr>
        <w:pStyle w:val="ListDash"/>
      </w:pPr>
      <w:proofErr w:type="gramStart"/>
      <w:r w:rsidRPr="005529DF">
        <w:t>e</w:t>
      </w:r>
      <w:r w:rsidR="00D0265B" w:rsidRPr="005529DF">
        <w:t>xpected</w:t>
      </w:r>
      <w:proofErr w:type="gramEnd"/>
      <w:r w:rsidR="00D0265B" w:rsidRPr="005529DF">
        <w:t xml:space="preserve"> costs incurred by the </w:t>
      </w:r>
      <w:r w:rsidR="004C4C13" w:rsidRPr="005529DF">
        <w:t xml:space="preserve">practitioner. </w:t>
      </w:r>
    </w:p>
    <w:p w:rsidR="009A4400" w:rsidRPr="005529DF" w:rsidRDefault="009B24A1" w:rsidP="00104801">
      <w:pPr>
        <w:pStyle w:val="SideQuoteSource"/>
        <w:framePr w:wrap="around"/>
      </w:pPr>
      <w:r w:rsidRPr="005529DF">
        <w:t>Support service</w:t>
      </w:r>
      <w:r w:rsidR="009A4400" w:rsidRPr="005529DF">
        <w:t xml:space="preserve">s </w:t>
      </w:r>
    </w:p>
    <w:p w:rsidR="009D6491" w:rsidRPr="005529DF" w:rsidRDefault="00536B48" w:rsidP="009A4400">
      <w:pPr>
        <w:pStyle w:val="BodyText"/>
      </w:pPr>
      <w:r w:rsidRPr="005529DF">
        <w:t>While n</w:t>
      </w:r>
      <w:r w:rsidR="009D6491" w:rsidRPr="005529DF">
        <w:t xml:space="preserve">urses and midwives have access to a </w:t>
      </w:r>
      <w:r w:rsidRPr="005529DF">
        <w:t xml:space="preserve">range </w:t>
      </w:r>
      <w:r w:rsidR="009D6491" w:rsidRPr="005529DF">
        <w:t xml:space="preserve">of support services </w:t>
      </w:r>
      <w:r w:rsidR="000D62A4" w:rsidRPr="005529DF">
        <w:t>provided by</w:t>
      </w:r>
      <w:r w:rsidR="009D6491" w:rsidRPr="005529DF">
        <w:t xml:space="preserve"> government health services, EAPs and private treating health practitioners</w:t>
      </w:r>
      <w:r w:rsidRPr="005529DF">
        <w:t xml:space="preserve">, </w:t>
      </w:r>
      <w:r w:rsidR="00D263D8" w:rsidRPr="005529DF">
        <w:t xml:space="preserve">issues were raised regarding </w:t>
      </w:r>
      <w:r w:rsidRPr="005529DF">
        <w:t xml:space="preserve">the </w:t>
      </w:r>
      <w:r w:rsidR="002F607E" w:rsidRPr="005529DF">
        <w:t xml:space="preserve">current </w:t>
      </w:r>
      <w:r w:rsidRPr="005529DF">
        <w:t>situation in relation to</w:t>
      </w:r>
      <w:r w:rsidR="00D263D8" w:rsidRPr="005529DF">
        <w:t xml:space="preserve">: </w:t>
      </w:r>
      <w:r w:rsidR="009D6491" w:rsidRPr="005529DF">
        <w:t xml:space="preserve"> </w:t>
      </w:r>
    </w:p>
    <w:p w:rsidR="00974F1D" w:rsidRPr="005529DF" w:rsidRDefault="0066540E" w:rsidP="00BE17C2">
      <w:pPr>
        <w:pStyle w:val="ListDash"/>
      </w:pPr>
      <w:r w:rsidRPr="005529DF">
        <w:t>v</w:t>
      </w:r>
      <w:r w:rsidR="00670229" w:rsidRPr="005529DF">
        <w:t>ariability across</w:t>
      </w:r>
      <w:r w:rsidR="00D263D8" w:rsidRPr="005529DF">
        <w:t xml:space="preserve"> workplace environment</w:t>
      </w:r>
      <w:r w:rsidR="00670229" w:rsidRPr="005529DF">
        <w:t>s</w:t>
      </w:r>
      <w:r w:rsidR="005F29E6" w:rsidRPr="005529DF">
        <w:t xml:space="preserve"> </w:t>
      </w:r>
    </w:p>
    <w:p w:rsidR="009D6491" w:rsidRPr="005529DF" w:rsidRDefault="00CD5F54" w:rsidP="00252FBE">
      <w:pPr>
        <w:pStyle w:val="ListDash"/>
      </w:pPr>
      <w:r>
        <w:t>level of</w:t>
      </w:r>
      <w:r w:rsidRPr="005529DF">
        <w:t xml:space="preserve"> </w:t>
      </w:r>
      <w:r w:rsidR="009D6491" w:rsidRPr="005529DF">
        <w:t xml:space="preserve">awareness </w:t>
      </w:r>
      <w:r w:rsidR="00670229" w:rsidRPr="005529DF">
        <w:t xml:space="preserve">of </w:t>
      </w:r>
      <w:r w:rsidR="009D6491" w:rsidRPr="005529DF">
        <w:t>and</w:t>
      </w:r>
      <w:r w:rsidR="00670229" w:rsidRPr="005529DF">
        <w:t>/or</w:t>
      </w:r>
      <w:r w:rsidR="009D6491" w:rsidRPr="005529DF">
        <w:t xml:space="preserve"> access to </w:t>
      </w:r>
      <w:r w:rsidR="00670229" w:rsidRPr="005529DF">
        <w:t xml:space="preserve">the available </w:t>
      </w:r>
      <w:r w:rsidR="009D6491" w:rsidRPr="005529DF">
        <w:t>support services</w:t>
      </w:r>
      <w:r w:rsidR="005F29E6" w:rsidRPr="005529DF">
        <w:t xml:space="preserve"> </w:t>
      </w:r>
    </w:p>
    <w:p w:rsidR="009D6491" w:rsidRPr="005529DF" w:rsidRDefault="0066540E">
      <w:pPr>
        <w:pStyle w:val="ListDash"/>
      </w:pPr>
      <w:proofErr w:type="gramStart"/>
      <w:r w:rsidRPr="005529DF">
        <w:t>a</w:t>
      </w:r>
      <w:r w:rsidR="009D6491" w:rsidRPr="005529DF">
        <w:t>dequacy</w:t>
      </w:r>
      <w:proofErr w:type="gramEnd"/>
      <w:r w:rsidR="009D6491" w:rsidRPr="005529DF">
        <w:t xml:space="preserve"> of existing support services to meet nursing and midwifery needs</w:t>
      </w:r>
      <w:r w:rsidR="005F29E6" w:rsidRPr="005529DF">
        <w:t xml:space="preserve"> (see section </w:t>
      </w:r>
      <w:r w:rsidR="007538B8">
        <w:fldChar w:fldCharType="begin"/>
      </w:r>
      <w:r w:rsidR="007538B8">
        <w:instrText xml:space="preserve"> REF _Ref418358032 \n \h  \* MERGEFORMAT </w:instrText>
      </w:r>
      <w:r w:rsidR="007538B8">
        <w:fldChar w:fldCharType="separate"/>
      </w:r>
      <w:r w:rsidR="00B07965">
        <w:t>3.2</w:t>
      </w:r>
      <w:r w:rsidR="007538B8">
        <w:fldChar w:fldCharType="end"/>
      </w:r>
      <w:r w:rsidR="005F29E6" w:rsidRPr="005529DF">
        <w:t xml:space="preserve"> for more detail)</w:t>
      </w:r>
      <w:r w:rsidR="009D6491" w:rsidRPr="005529DF">
        <w:t xml:space="preserve">. </w:t>
      </w:r>
    </w:p>
    <w:p w:rsidR="007972FA" w:rsidRPr="005529DF" w:rsidRDefault="002611B7" w:rsidP="005B72F2">
      <w:pPr>
        <w:pStyle w:val="BodyText"/>
      </w:pPr>
      <w:r w:rsidRPr="005529DF">
        <w:t>The</w:t>
      </w:r>
      <w:r w:rsidR="009A4400" w:rsidRPr="005529DF">
        <w:t xml:space="preserve"> literature regarding major models of support for </w:t>
      </w:r>
      <w:r w:rsidR="00112698" w:rsidRPr="005529DF">
        <w:t xml:space="preserve">health </w:t>
      </w:r>
      <w:r w:rsidR="009A4400" w:rsidRPr="005529DF">
        <w:t>practitioners with an impairment</w:t>
      </w:r>
      <w:r w:rsidR="00395520" w:rsidRPr="005529DF">
        <w:t xml:space="preserve"> considers</w:t>
      </w:r>
      <w:r w:rsidRPr="005529DF">
        <w:t xml:space="preserve"> t</w:t>
      </w:r>
      <w:r w:rsidR="009A4400" w:rsidRPr="005529DF">
        <w:t xml:space="preserve">he following </w:t>
      </w:r>
      <w:r w:rsidR="002F607E" w:rsidRPr="005529DF">
        <w:t xml:space="preserve">additional </w:t>
      </w:r>
      <w:r w:rsidR="009A4400" w:rsidRPr="005529DF">
        <w:t xml:space="preserve">services </w:t>
      </w:r>
      <w:r w:rsidR="00395520" w:rsidRPr="005529DF">
        <w:t>as important components</w:t>
      </w:r>
      <w:r w:rsidR="00CB2D94" w:rsidRPr="005529DF">
        <w:t xml:space="preserve">–phone support lines, referral and counselling service, case management and regulator management (as outlined in section </w:t>
      </w:r>
      <w:r w:rsidR="007538B8">
        <w:fldChar w:fldCharType="begin"/>
      </w:r>
      <w:r w:rsidR="007538B8">
        <w:instrText xml:space="preserve"> REF _Ref417749105 \n \h  \* MERGEFORMAT </w:instrText>
      </w:r>
      <w:r w:rsidR="007538B8">
        <w:fldChar w:fldCharType="separate"/>
      </w:r>
      <w:r w:rsidR="00B07965">
        <w:t>3.1.3</w:t>
      </w:r>
      <w:r w:rsidR="007538B8">
        <w:fldChar w:fldCharType="end"/>
      </w:r>
      <w:r w:rsidR="00CB2D94" w:rsidRPr="005529DF">
        <w:t>)</w:t>
      </w:r>
      <w:r w:rsidR="00D2184D" w:rsidRPr="005529DF">
        <w:t>.</w:t>
      </w:r>
      <w:r w:rsidR="00CB2D94" w:rsidRPr="005529DF">
        <w:t xml:space="preserve"> </w:t>
      </w:r>
    </w:p>
    <w:p w:rsidR="005F3E74" w:rsidRPr="007640DA" w:rsidRDefault="00F53F8A" w:rsidP="003A4176">
      <w:pPr>
        <w:pStyle w:val="BodyText"/>
      </w:pPr>
      <w:r w:rsidRPr="005529DF">
        <w:t xml:space="preserve">Perhaps the </w:t>
      </w:r>
      <w:r w:rsidR="00B718AF" w:rsidRPr="005529DF">
        <w:t>best</w:t>
      </w:r>
      <w:r w:rsidRPr="005529DF">
        <w:t xml:space="preserve"> guide </w:t>
      </w:r>
      <w:r w:rsidR="00B718AF" w:rsidRPr="005529DF">
        <w:t xml:space="preserve">for </w:t>
      </w:r>
      <w:r w:rsidR="00DA7ACD" w:rsidRPr="005529DF">
        <w:t>maximis</w:t>
      </w:r>
      <w:r w:rsidR="00B718AF" w:rsidRPr="005529DF">
        <w:t>ing</w:t>
      </w:r>
      <w:r w:rsidR="00DA7ACD" w:rsidRPr="005529DF">
        <w:t xml:space="preserve"> client outcomes </w:t>
      </w:r>
      <w:r w:rsidRPr="005529DF">
        <w:t xml:space="preserve">is to ensure that </w:t>
      </w:r>
      <w:r w:rsidR="00DA7ACD" w:rsidRPr="005529DF">
        <w:t xml:space="preserve">any additional support services </w:t>
      </w:r>
      <w:r w:rsidRPr="005529DF">
        <w:t>apply</w:t>
      </w:r>
      <w:r w:rsidR="00DA7ACD" w:rsidRPr="005529DF">
        <w:t xml:space="preserve"> the principles of best practice in managing health practitioners with an impairment</w:t>
      </w:r>
      <w:r w:rsidR="0032218B" w:rsidRPr="005529DF">
        <w:t xml:space="preserve">, as identified </w:t>
      </w:r>
      <w:r w:rsidR="00DA7ACD" w:rsidRPr="005529DF">
        <w:t xml:space="preserve">within the literature and </w:t>
      </w:r>
      <w:r w:rsidR="0032218B" w:rsidRPr="005529DF">
        <w:t xml:space="preserve">reaffirmed by </w:t>
      </w:r>
      <w:r w:rsidR="00952825" w:rsidRPr="005529DF">
        <w:t>stakeholder</w:t>
      </w:r>
      <w:r w:rsidR="0032218B" w:rsidRPr="005529DF">
        <w:t xml:space="preserve"> feedback</w:t>
      </w:r>
      <w:r w:rsidR="006F4A1F" w:rsidRPr="005529DF">
        <w:t xml:space="preserve"> </w:t>
      </w:r>
      <w:r w:rsidR="00B718AF" w:rsidRPr="005529DF">
        <w:t xml:space="preserve">as part of this review </w:t>
      </w:r>
      <w:r w:rsidR="006F4A1F" w:rsidRPr="005529DF">
        <w:t xml:space="preserve">(see </w:t>
      </w:r>
      <w:r w:rsidR="00883B4C">
        <w:t>Box 1</w:t>
      </w:r>
      <w:r w:rsidR="006F4A1F" w:rsidRPr="005529DF">
        <w:t xml:space="preserve">). </w:t>
      </w:r>
      <w:bookmarkStart w:id="169" w:name="_Ref417041504"/>
    </w:p>
    <w:p w:rsidR="006F4A1F" w:rsidRPr="005529DF" w:rsidRDefault="006F4A1F" w:rsidP="00673536">
      <w:pPr>
        <w:pStyle w:val="Caption"/>
        <w:keepLines/>
        <w:rPr>
          <w:rFonts w:ascii="Times New Roman" w:hAnsi="Times New Roman" w:cs="Times New Roman"/>
        </w:rPr>
      </w:pPr>
      <w:r w:rsidRPr="005529DF">
        <w:rPr>
          <w:rFonts w:ascii="Times New Roman" w:hAnsi="Times New Roman" w:cs="Times New Roman"/>
        </w:rPr>
        <w:t xml:space="preserve">Box </w:t>
      </w:r>
      <w:r w:rsidR="004D1416" w:rsidRPr="007640DA">
        <w:rPr>
          <w:rFonts w:ascii="Times New Roman" w:hAnsi="Times New Roman" w:cs="Times New Roman"/>
        </w:rPr>
        <w:fldChar w:fldCharType="begin"/>
      </w:r>
      <w:r w:rsidRPr="005529DF">
        <w:rPr>
          <w:rFonts w:ascii="Times New Roman" w:hAnsi="Times New Roman" w:cs="Times New Roman"/>
        </w:rPr>
        <w:instrText xml:space="preserve"> SEQ Box \* ARABIC  </w:instrText>
      </w:r>
      <w:r w:rsidR="004D1416" w:rsidRPr="007640DA">
        <w:rPr>
          <w:rFonts w:ascii="Times New Roman" w:hAnsi="Times New Roman" w:cs="Times New Roman"/>
        </w:rPr>
        <w:fldChar w:fldCharType="separate"/>
      </w:r>
      <w:r w:rsidR="00B07965">
        <w:rPr>
          <w:rFonts w:ascii="Times New Roman" w:hAnsi="Times New Roman" w:cs="Times New Roman"/>
          <w:noProof/>
        </w:rPr>
        <w:t>1</w:t>
      </w:r>
      <w:r w:rsidR="004D1416" w:rsidRPr="007640DA">
        <w:rPr>
          <w:rFonts w:ascii="Times New Roman" w:hAnsi="Times New Roman" w:cs="Times New Roman"/>
        </w:rPr>
        <w:fldChar w:fldCharType="end"/>
      </w:r>
      <w:bookmarkEnd w:id="169"/>
      <w:r w:rsidRPr="005529DF">
        <w:rPr>
          <w:rFonts w:ascii="Times New Roman" w:hAnsi="Times New Roman" w:cs="Times New Roman"/>
        </w:rPr>
        <w:tab/>
      </w:r>
      <w:r w:rsidRPr="005529DF">
        <w:rPr>
          <w:rStyle w:val="CaptionLabel"/>
          <w:rFonts w:ascii="Times New Roman" w:hAnsi="Times New Roman" w:cs="Times New Roman"/>
        </w:rPr>
        <w:t xml:space="preserve">Best practice principles </w:t>
      </w:r>
    </w:p>
    <w:tbl>
      <w:tblPr>
        <w:tblW w:w="5000" w:type="pct"/>
        <w:tblInd w:w="57" w:type="dxa"/>
        <w:tblLayout w:type="fixed"/>
        <w:tblCellMar>
          <w:left w:w="142" w:type="dxa"/>
          <w:right w:w="142" w:type="dxa"/>
        </w:tblCellMar>
        <w:tblLook w:val="0000" w:firstRow="0" w:lastRow="0" w:firstColumn="0" w:lastColumn="0" w:noHBand="0" w:noVBand="0"/>
      </w:tblPr>
      <w:tblGrid>
        <w:gridCol w:w="7656"/>
      </w:tblGrid>
      <w:tr w:rsidR="006F4A1F" w:rsidRPr="005529DF" w:rsidTr="00673536">
        <w:tc>
          <w:tcPr>
            <w:tcW w:w="5000" w:type="pct"/>
            <w:shd w:val="pct12" w:color="auto" w:fill="auto"/>
          </w:tcPr>
          <w:p w:rsidR="006F4A1F" w:rsidRPr="005529DF" w:rsidRDefault="006F4A1F" w:rsidP="00673536">
            <w:pPr>
              <w:pStyle w:val="SmallDeltasRightAligned"/>
              <w:keepNext/>
              <w:keepLines/>
              <w:rPr>
                <w:rFonts w:ascii="Times New Roman" w:hAnsi="Times New Roman" w:cs="Times New Roman"/>
              </w:rPr>
            </w:pPr>
            <w:r w:rsidRPr="00D25304">
              <w:rPr>
                <w:rFonts w:ascii="Times New Roman" w:hAnsi="Times New Roman" w:cs="Times New Roman"/>
                <w:noProof/>
                <w:lang w:eastAsia="en-AU"/>
              </w:rPr>
              <w:drawing>
                <wp:inline distT="0" distB="0" distL="0" distR="0">
                  <wp:extent cx="481330" cy="2343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ILALLEN_MASTERLOGO_DELTAS_PURPLE_TRANS small -158x77.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1330" cy="234315"/>
                          </a:xfrm>
                          <a:prstGeom prst="rect">
                            <a:avLst/>
                          </a:prstGeom>
                        </pic:spPr>
                      </pic:pic>
                    </a:graphicData>
                  </a:graphic>
                </wp:inline>
              </w:drawing>
            </w:r>
          </w:p>
        </w:tc>
      </w:tr>
      <w:tr w:rsidR="006F4A1F" w:rsidRPr="005529DF" w:rsidTr="00673536">
        <w:tc>
          <w:tcPr>
            <w:tcW w:w="5000" w:type="pct"/>
            <w:shd w:val="pct12" w:color="auto" w:fill="auto"/>
          </w:tcPr>
          <w:p w:rsidR="006F4A1F" w:rsidRPr="005529DF" w:rsidRDefault="00876FB8" w:rsidP="005B72F2">
            <w:pPr>
              <w:pStyle w:val="BoxListNumber"/>
              <w:numPr>
                <w:ilvl w:val="0"/>
                <w:numId w:val="24"/>
              </w:numPr>
              <w:rPr>
                <w:rFonts w:ascii="Times New Roman" w:hAnsi="Times New Roman"/>
              </w:rPr>
            </w:pPr>
            <w:r w:rsidRPr="005529DF">
              <w:rPr>
                <w:rFonts w:ascii="Times New Roman" w:hAnsi="Times New Roman"/>
              </w:rPr>
              <w:t>Protect the public fro</w:t>
            </w:r>
            <w:r w:rsidR="006F4A1F" w:rsidRPr="005529DF">
              <w:rPr>
                <w:rFonts w:ascii="Times New Roman" w:hAnsi="Times New Roman"/>
              </w:rPr>
              <w:t xml:space="preserve">m harm </w:t>
            </w:r>
          </w:p>
          <w:p w:rsidR="006F4A1F" w:rsidRPr="005529DF" w:rsidRDefault="006F4A1F" w:rsidP="005B72F2">
            <w:pPr>
              <w:pStyle w:val="BoxListNumber"/>
              <w:numPr>
                <w:ilvl w:val="0"/>
                <w:numId w:val="24"/>
              </w:numPr>
              <w:rPr>
                <w:rFonts w:ascii="Times New Roman" w:hAnsi="Times New Roman"/>
              </w:rPr>
            </w:pPr>
            <w:r w:rsidRPr="005529DF">
              <w:rPr>
                <w:rFonts w:ascii="Times New Roman" w:hAnsi="Times New Roman"/>
              </w:rPr>
              <w:t>Maintain confidence in regulator and profession</w:t>
            </w:r>
          </w:p>
          <w:p w:rsidR="00876FB8" w:rsidRPr="005529DF" w:rsidRDefault="006F4A1F" w:rsidP="005B72F2">
            <w:pPr>
              <w:pStyle w:val="BoxListNumber"/>
              <w:numPr>
                <w:ilvl w:val="0"/>
                <w:numId w:val="24"/>
              </w:numPr>
              <w:rPr>
                <w:rFonts w:ascii="Times New Roman" w:hAnsi="Times New Roman"/>
              </w:rPr>
            </w:pPr>
            <w:r w:rsidRPr="005529DF">
              <w:rPr>
                <w:rFonts w:ascii="Times New Roman" w:hAnsi="Times New Roman"/>
              </w:rPr>
              <w:t>Support timely access and response</w:t>
            </w:r>
            <w:r w:rsidR="0032218B" w:rsidRPr="005529DF">
              <w:rPr>
                <w:rFonts w:ascii="Times New Roman" w:hAnsi="Times New Roman"/>
              </w:rPr>
              <w:br/>
              <w:t>(</w:t>
            </w:r>
            <w:r w:rsidR="00876FB8" w:rsidRPr="005529DF">
              <w:rPr>
                <w:rFonts w:ascii="Times New Roman" w:hAnsi="Times New Roman"/>
              </w:rPr>
              <w:t>‘early intervention and prevention’ as identified by stakeholders</w:t>
            </w:r>
            <w:r w:rsidR="0032218B" w:rsidRPr="005529DF">
              <w:rPr>
                <w:rFonts w:ascii="Times New Roman" w:hAnsi="Times New Roman"/>
              </w:rPr>
              <w:t>)</w:t>
            </w:r>
            <w:r w:rsidR="00876FB8" w:rsidRPr="005529DF">
              <w:rPr>
                <w:rFonts w:ascii="Times New Roman" w:hAnsi="Times New Roman"/>
              </w:rPr>
              <w:t xml:space="preserve"> </w:t>
            </w:r>
          </w:p>
          <w:p w:rsidR="006F4A1F" w:rsidRPr="005529DF" w:rsidRDefault="006F4A1F" w:rsidP="005B72F2">
            <w:pPr>
              <w:pStyle w:val="BoxListNumber"/>
              <w:numPr>
                <w:ilvl w:val="0"/>
                <w:numId w:val="24"/>
              </w:numPr>
              <w:rPr>
                <w:rFonts w:ascii="Times New Roman" w:hAnsi="Times New Roman"/>
              </w:rPr>
            </w:pPr>
            <w:r w:rsidRPr="005529DF">
              <w:rPr>
                <w:rFonts w:ascii="Times New Roman" w:hAnsi="Times New Roman"/>
              </w:rPr>
              <w:t xml:space="preserve">Optimise recovery and rehabilitation </w:t>
            </w:r>
          </w:p>
          <w:p w:rsidR="006F4A1F" w:rsidRPr="005529DF" w:rsidRDefault="006F4A1F" w:rsidP="005B72F2">
            <w:pPr>
              <w:pStyle w:val="BoxListNumber"/>
              <w:numPr>
                <w:ilvl w:val="0"/>
                <w:numId w:val="24"/>
              </w:numPr>
              <w:rPr>
                <w:rFonts w:ascii="Times New Roman" w:hAnsi="Times New Roman"/>
              </w:rPr>
            </w:pPr>
            <w:r w:rsidRPr="005529DF">
              <w:rPr>
                <w:rFonts w:ascii="Times New Roman" w:hAnsi="Times New Roman"/>
              </w:rPr>
              <w:t>Manage risks in a proportionate manner</w:t>
            </w:r>
          </w:p>
          <w:p w:rsidR="006F4A1F" w:rsidRPr="005529DF" w:rsidRDefault="006F4A1F" w:rsidP="005B72F2">
            <w:pPr>
              <w:pStyle w:val="BoxListNumber"/>
              <w:numPr>
                <w:ilvl w:val="0"/>
                <w:numId w:val="24"/>
              </w:numPr>
              <w:rPr>
                <w:rFonts w:ascii="Times New Roman" w:hAnsi="Times New Roman"/>
              </w:rPr>
            </w:pPr>
            <w:r w:rsidRPr="005529DF">
              <w:rPr>
                <w:rFonts w:ascii="Times New Roman" w:hAnsi="Times New Roman"/>
              </w:rPr>
              <w:t xml:space="preserve">Assist practitioners to remain in/return to the workforce </w:t>
            </w:r>
          </w:p>
          <w:p w:rsidR="00876FB8" w:rsidRPr="005529DF" w:rsidRDefault="006F4A1F" w:rsidP="005B72F2">
            <w:pPr>
              <w:pStyle w:val="BoxListNumber"/>
              <w:numPr>
                <w:ilvl w:val="0"/>
                <w:numId w:val="24"/>
              </w:numPr>
              <w:rPr>
                <w:rFonts w:ascii="Times New Roman" w:hAnsi="Times New Roman"/>
              </w:rPr>
            </w:pPr>
            <w:r w:rsidRPr="005529DF">
              <w:rPr>
                <w:rFonts w:ascii="Times New Roman" w:hAnsi="Times New Roman"/>
              </w:rPr>
              <w:lastRenderedPageBreak/>
              <w:t>Promote trust, honest, help-seeking</w:t>
            </w:r>
            <w:r w:rsidR="0032218B" w:rsidRPr="005529DF">
              <w:rPr>
                <w:rFonts w:ascii="Times New Roman" w:hAnsi="Times New Roman"/>
              </w:rPr>
              <w:t xml:space="preserve"> </w:t>
            </w:r>
            <w:r w:rsidR="0032218B" w:rsidRPr="005529DF">
              <w:rPr>
                <w:rFonts w:ascii="Times New Roman" w:hAnsi="Times New Roman"/>
              </w:rPr>
              <w:br/>
              <w:t>(</w:t>
            </w:r>
            <w:r w:rsidR="00876FB8" w:rsidRPr="005529DF">
              <w:rPr>
                <w:rFonts w:ascii="Times New Roman" w:hAnsi="Times New Roman"/>
              </w:rPr>
              <w:t>‘trusted treatment’ as identified by stakeholders</w:t>
            </w:r>
            <w:r w:rsidR="0032218B" w:rsidRPr="005529DF">
              <w:rPr>
                <w:rFonts w:ascii="Times New Roman" w:hAnsi="Times New Roman"/>
              </w:rPr>
              <w:t>)</w:t>
            </w:r>
            <w:r w:rsidR="00876FB8" w:rsidRPr="005529DF">
              <w:rPr>
                <w:rFonts w:ascii="Times New Roman" w:hAnsi="Times New Roman"/>
              </w:rPr>
              <w:t xml:space="preserve"> </w:t>
            </w:r>
          </w:p>
          <w:p w:rsidR="006F4A1F" w:rsidRPr="005529DF" w:rsidRDefault="006F4A1F" w:rsidP="005B72F2">
            <w:pPr>
              <w:pStyle w:val="BoxListNumber"/>
              <w:numPr>
                <w:ilvl w:val="0"/>
                <w:numId w:val="24"/>
              </w:numPr>
              <w:rPr>
                <w:rFonts w:ascii="Times New Roman" w:hAnsi="Times New Roman"/>
              </w:rPr>
            </w:pPr>
            <w:r w:rsidRPr="005529DF">
              <w:rPr>
                <w:rFonts w:ascii="Times New Roman" w:hAnsi="Times New Roman"/>
              </w:rPr>
              <w:t xml:space="preserve">Ensure natural justice and fairness </w:t>
            </w:r>
          </w:p>
          <w:p w:rsidR="006F4A1F" w:rsidRPr="005529DF" w:rsidRDefault="006F4A1F" w:rsidP="005B72F2">
            <w:pPr>
              <w:pStyle w:val="BoxListNumber"/>
              <w:numPr>
                <w:ilvl w:val="0"/>
                <w:numId w:val="24"/>
              </w:numPr>
              <w:rPr>
                <w:rFonts w:ascii="Times New Roman" w:hAnsi="Times New Roman"/>
              </w:rPr>
            </w:pPr>
            <w:r w:rsidRPr="005529DF">
              <w:rPr>
                <w:rFonts w:ascii="Times New Roman" w:hAnsi="Times New Roman"/>
              </w:rPr>
              <w:t xml:space="preserve">Minimise regulatory </w:t>
            </w:r>
            <w:r w:rsidR="00876FB8" w:rsidRPr="005529DF">
              <w:rPr>
                <w:rFonts w:ascii="Times New Roman" w:hAnsi="Times New Roman"/>
              </w:rPr>
              <w:t>costs and burden</w:t>
            </w:r>
            <w:r w:rsidR="0032218B" w:rsidRPr="005529DF">
              <w:rPr>
                <w:rFonts w:ascii="Times New Roman" w:hAnsi="Times New Roman"/>
              </w:rPr>
              <w:br/>
              <w:t>(</w:t>
            </w:r>
            <w:r w:rsidR="00876FB8" w:rsidRPr="005529DF">
              <w:rPr>
                <w:rFonts w:ascii="Times New Roman" w:hAnsi="Times New Roman"/>
              </w:rPr>
              <w:t>‘independence from the regulator’ as identified by stakeholders</w:t>
            </w:r>
            <w:r w:rsidR="0032218B" w:rsidRPr="005529DF">
              <w:rPr>
                <w:rFonts w:ascii="Times New Roman" w:hAnsi="Times New Roman"/>
              </w:rPr>
              <w:t>)</w:t>
            </w:r>
          </w:p>
          <w:p w:rsidR="006F4A1F" w:rsidRPr="007640DA" w:rsidRDefault="006F4A1F" w:rsidP="005B72F2">
            <w:pPr>
              <w:pStyle w:val="BoxListNumber"/>
              <w:numPr>
                <w:ilvl w:val="0"/>
                <w:numId w:val="24"/>
              </w:numPr>
              <w:rPr>
                <w:rFonts w:ascii="Times New Roman" w:hAnsi="Times New Roman"/>
              </w:rPr>
            </w:pPr>
            <w:r w:rsidRPr="005529DF">
              <w:rPr>
                <w:rFonts w:ascii="Times New Roman" w:hAnsi="Times New Roman"/>
              </w:rPr>
              <w:t>Evidence-based and tailored to the needs of health practitioners</w:t>
            </w:r>
            <w:r w:rsidR="0032218B" w:rsidRPr="005529DF">
              <w:rPr>
                <w:rFonts w:ascii="Times New Roman" w:hAnsi="Times New Roman"/>
              </w:rPr>
              <w:br/>
              <w:t>(</w:t>
            </w:r>
            <w:r w:rsidR="00876FB8" w:rsidRPr="005529DF">
              <w:rPr>
                <w:rFonts w:ascii="Times New Roman" w:hAnsi="Times New Roman"/>
              </w:rPr>
              <w:t>professional</w:t>
            </w:r>
            <w:r w:rsidR="00CD5F54">
              <w:rPr>
                <w:rFonts w:ascii="Times New Roman" w:hAnsi="Times New Roman"/>
              </w:rPr>
              <w:t>ly</w:t>
            </w:r>
            <w:r w:rsidR="00876FB8" w:rsidRPr="005529DF">
              <w:rPr>
                <w:rFonts w:ascii="Times New Roman" w:hAnsi="Times New Roman"/>
              </w:rPr>
              <w:t xml:space="preserve"> led ‘staffing’ as identified by stakeholders</w:t>
            </w:r>
            <w:r w:rsidR="0032218B" w:rsidRPr="005529DF">
              <w:rPr>
                <w:rFonts w:ascii="Times New Roman" w:hAnsi="Times New Roman"/>
              </w:rPr>
              <w:t>)</w:t>
            </w:r>
          </w:p>
          <w:p w:rsidR="00D2184D" w:rsidRPr="007640DA" w:rsidRDefault="00D2184D" w:rsidP="005B72F2">
            <w:pPr>
              <w:pStyle w:val="BoxListNumber"/>
              <w:rPr>
                <w:rFonts w:ascii="Times New Roman" w:hAnsi="Times New Roman"/>
              </w:rPr>
            </w:pPr>
          </w:p>
        </w:tc>
      </w:tr>
    </w:tbl>
    <w:p w:rsidR="006F4A1F" w:rsidRPr="005529DF" w:rsidRDefault="006F4A1F" w:rsidP="00673536">
      <w:pPr>
        <w:pStyle w:val="Source"/>
        <w:keepLines/>
        <w:rPr>
          <w:rFonts w:ascii="Times New Roman" w:hAnsi="Times New Roman"/>
        </w:rPr>
      </w:pPr>
      <w:r w:rsidRPr="005529DF">
        <w:rPr>
          <w:rFonts w:ascii="Times New Roman" w:hAnsi="Times New Roman"/>
        </w:rPr>
        <w:lastRenderedPageBreak/>
        <w:t xml:space="preserve">Source:  </w:t>
      </w:r>
      <w:r w:rsidR="00870AD3" w:rsidRPr="005529DF">
        <w:rPr>
          <w:rFonts w:ascii="Times New Roman" w:hAnsi="Times New Roman"/>
        </w:rPr>
        <w:t>Fletcher 2001; Medical Council</w:t>
      </w:r>
      <w:r w:rsidR="0080546E" w:rsidRPr="005529DF">
        <w:rPr>
          <w:rFonts w:ascii="Times New Roman" w:hAnsi="Times New Roman"/>
        </w:rPr>
        <w:t xml:space="preserve"> of New Zealand 2011; </w:t>
      </w:r>
      <w:r w:rsidR="00870AD3" w:rsidRPr="005529DF">
        <w:rPr>
          <w:rFonts w:ascii="Times New Roman" w:hAnsi="Times New Roman"/>
        </w:rPr>
        <w:t>General Medical C</w:t>
      </w:r>
      <w:r w:rsidR="0080546E" w:rsidRPr="005529DF">
        <w:rPr>
          <w:rFonts w:ascii="Times New Roman" w:hAnsi="Times New Roman"/>
        </w:rPr>
        <w:t>o</w:t>
      </w:r>
      <w:r w:rsidR="00870AD3" w:rsidRPr="005529DF">
        <w:rPr>
          <w:rFonts w:ascii="Times New Roman" w:hAnsi="Times New Roman"/>
        </w:rPr>
        <w:t>uncil 2014</w:t>
      </w:r>
      <w:r w:rsidR="00876FB8" w:rsidRPr="005529DF">
        <w:rPr>
          <w:rFonts w:ascii="Times New Roman" w:hAnsi="Times New Roman"/>
        </w:rPr>
        <w:t xml:space="preserve"> and Page 54 Stakeholder Report </w:t>
      </w:r>
    </w:p>
    <w:p w:rsidR="00575975" w:rsidRPr="005529DF" w:rsidRDefault="00575975" w:rsidP="009A4400">
      <w:pPr>
        <w:pStyle w:val="BodyText"/>
      </w:pPr>
    </w:p>
    <w:p w:rsidR="00876FB8" w:rsidRPr="005529DF" w:rsidRDefault="005A24A9" w:rsidP="009A4400">
      <w:pPr>
        <w:pStyle w:val="BodyText"/>
      </w:pPr>
      <w:r w:rsidRPr="005529DF">
        <w:t>It is important to note that</w:t>
      </w:r>
      <w:r w:rsidR="00B76DA1">
        <w:t xml:space="preserve"> </w:t>
      </w:r>
      <w:r w:rsidR="007D19D5">
        <w:t xml:space="preserve">there may be </w:t>
      </w:r>
      <w:r w:rsidR="00B76DA1">
        <w:t xml:space="preserve">some </w:t>
      </w:r>
      <w:r w:rsidR="007D19D5">
        <w:t xml:space="preserve">tension between </w:t>
      </w:r>
      <w:r w:rsidRPr="005529DF">
        <w:t>the</w:t>
      </w:r>
      <w:r w:rsidR="007D19D5">
        <w:t xml:space="preserve">se </w:t>
      </w:r>
      <w:r w:rsidRPr="005529DF">
        <w:t>principles</w:t>
      </w:r>
      <w:r w:rsidR="007D19D5">
        <w:t>, for example:</w:t>
      </w:r>
      <w:r w:rsidRPr="005529DF">
        <w:t xml:space="preserve"> </w:t>
      </w:r>
    </w:p>
    <w:p w:rsidR="005A24A9" w:rsidRPr="005529DF" w:rsidRDefault="00575975" w:rsidP="005B72F2">
      <w:pPr>
        <w:pStyle w:val="Quote"/>
      </w:pPr>
      <w:r w:rsidRPr="005529DF">
        <w:rPr>
          <w:i/>
        </w:rPr>
        <w:t>Encouraging help-seeking vs public protection:</w:t>
      </w:r>
      <w:r w:rsidRPr="005529DF">
        <w:t xml:space="preserve"> </w:t>
      </w:r>
      <w:r w:rsidR="005A24A9" w:rsidRPr="005529DF">
        <w:t xml:space="preserve">Some measures intended to encourage help-seeking and program compliance can clash with the desire to protect patients and the public from impaired practitioners. </w:t>
      </w:r>
    </w:p>
    <w:p w:rsidR="005A24A9" w:rsidRPr="005529DF" w:rsidRDefault="005A24A9" w:rsidP="005B72F2">
      <w:pPr>
        <w:pStyle w:val="QuoteSource"/>
      </w:pPr>
    </w:p>
    <w:p w:rsidR="005A24A9" w:rsidRPr="005529DF" w:rsidRDefault="00575975" w:rsidP="005B72F2">
      <w:pPr>
        <w:pStyle w:val="Quote"/>
      </w:pPr>
      <w:r w:rsidRPr="005529DF">
        <w:rPr>
          <w:i/>
        </w:rPr>
        <w:t>Encouraging compliance vs ethics of coercion</w:t>
      </w:r>
      <w:r w:rsidRPr="005529DF">
        <w:t xml:space="preserve">: </w:t>
      </w:r>
      <w:r w:rsidR="005A24A9" w:rsidRPr="005529DF">
        <w:t xml:space="preserve">Some programs shield practitioners from regulator reporting or related action while they are compliant with the program, but report them as a direct consequence of non-compliance. This ‘high stakes’ coercive arrangement is believed to be a major contributor to the high success rates of these programs, but raises ethical questions about natural justice, procedural fairness and the role of coercion in informed consent and treatment of clients. </w:t>
      </w:r>
    </w:p>
    <w:p w:rsidR="005A24A9" w:rsidRPr="005529DF" w:rsidRDefault="005A24A9" w:rsidP="005B72F2">
      <w:pPr>
        <w:pStyle w:val="QuoteSource"/>
      </w:pPr>
    </w:p>
    <w:p w:rsidR="005A24A9" w:rsidRPr="005529DF" w:rsidRDefault="00575975" w:rsidP="005B72F2">
      <w:pPr>
        <w:pStyle w:val="Quote"/>
      </w:pPr>
      <w:r w:rsidRPr="005529DF">
        <w:rPr>
          <w:i/>
        </w:rPr>
        <w:t>Public protection vs workforce retention:</w:t>
      </w:r>
      <w:r w:rsidRPr="005529DF">
        <w:t xml:space="preserve"> </w:t>
      </w:r>
      <w:r w:rsidR="005A24A9" w:rsidRPr="005529DF">
        <w:t xml:space="preserve">The tension between public protection and maintaining practitioners in the workforce is also a consideration. This is especially true given the significant cost to society of educating and training practitioners, and the costs of practitioner loss and early retirement. </w:t>
      </w:r>
    </w:p>
    <w:p w:rsidR="005A24A9" w:rsidRPr="005529DF" w:rsidRDefault="005A24A9" w:rsidP="005B72F2">
      <w:pPr>
        <w:pStyle w:val="QuoteSource"/>
      </w:pPr>
    </w:p>
    <w:p w:rsidR="005A24A9" w:rsidRPr="005529DF" w:rsidRDefault="00E505CD" w:rsidP="005B72F2">
      <w:pPr>
        <w:pStyle w:val="Quote"/>
      </w:pPr>
      <w:r w:rsidRPr="005529DF">
        <w:rPr>
          <w:i/>
        </w:rPr>
        <w:t>Public protection vs discrimination</w:t>
      </w:r>
      <w:r w:rsidRPr="005529DF">
        <w:t xml:space="preserve">: </w:t>
      </w:r>
      <w:r w:rsidR="005A24A9" w:rsidRPr="005529DF">
        <w:t xml:space="preserve">With respect to managing impaired practitioners, there is tension between public protection, and anti-discrimination laws and principles…. Issues to consider include the potential for legal challenges to regulator mandates or actions, claims of workplace discrimination, maintaining workforce diversity, public safety, reasonable adjustments, and employer encumbrance. </w:t>
      </w:r>
    </w:p>
    <w:p w:rsidR="005A24A9" w:rsidRPr="005529DF" w:rsidRDefault="0089054C" w:rsidP="005B72F2">
      <w:pPr>
        <w:pStyle w:val="QuoteSource"/>
      </w:pPr>
      <w:r>
        <w:t xml:space="preserve">Jenkins 2013; Bosch 2000; </w:t>
      </w:r>
      <w:proofErr w:type="spellStart"/>
      <w:r>
        <w:t>Gastfriend</w:t>
      </w:r>
      <w:proofErr w:type="spellEnd"/>
      <w:r>
        <w:t xml:space="preserve"> 2005; Sick Doctors Trust 2014; Darbro 2009; Boyd and Knight 2012; Sw</w:t>
      </w:r>
      <w:r w:rsidR="0065435F">
        <w:t xml:space="preserve">an 2005; </w:t>
      </w:r>
      <w:proofErr w:type="spellStart"/>
      <w:r w:rsidR="0065435F">
        <w:t>Wohlsen</w:t>
      </w:r>
      <w:proofErr w:type="spellEnd"/>
      <w:r w:rsidR="0065435F">
        <w:t xml:space="preserve"> 20007; Skipper </w:t>
      </w:r>
      <w:r>
        <w:t xml:space="preserve">and </w:t>
      </w:r>
      <w:proofErr w:type="spellStart"/>
      <w:r>
        <w:t>Dupont</w:t>
      </w:r>
      <w:proofErr w:type="spellEnd"/>
      <w:r>
        <w:t xml:space="preserve"> 2011; Hagan 2012; Morris and Tur</w:t>
      </w:r>
      <w:r w:rsidR="0065435F">
        <w:t>n</w:t>
      </w:r>
      <w:r>
        <w:t>bull 2007; Grainger 2008; Sin and Fong 2008</w:t>
      </w:r>
    </w:p>
    <w:p w:rsidR="005A24A9" w:rsidRPr="005529DF" w:rsidRDefault="005A24A9" w:rsidP="009A4400">
      <w:pPr>
        <w:pStyle w:val="BodyText"/>
      </w:pPr>
    </w:p>
    <w:p w:rsidR="005B43C7" w:rsidRPr="005529DF" w:rsidRDefault="00B21094" w:rsidP="002A52AD">
      <w:pPr>
        <w:pStyle w:val="BodyText"/>
      </w:pPr>
      <w:r w:rsidRPr="005529DF">
        <w:lastRenderedPageBreak/>
        <w:t xml:space="preserve">It would be important to </w:t>
      </w:r>
      <w:r w:rsidR="0035383F" w:rsidRPr="005529DF">
        <w:t xml:space="preserve">clearly delineate </w:t>
      </w:r>
      <w:r w:rsidRPr="005529DF">
        <w:t xml:space="preserve">such </w:t>
      </w:r>
      <w:r w:rsidR="0035383F" w:rsidRPr="005529DF">
        <w:t xml:space="preserve">additional support services </w:t>
      </w:r>
      <w:r w:rsidR="00D2184D" w:rsidRPr="005529DF">
        <w:t>from</w:t>
      </w:r>
      <w:r w:rsidR="005B43C7" w:rsidRPr="005529DF">
        <w:t xml:space="preserve"> generic support services, which </w:t>
      </w:r>
      <w:r w:rsidR="00D2184D" w:rsidRPr="005529DF">
        <w:t xml:space="preserve">can also </w:t>
      </w:r>
      <w:r w:rsidR="005B43C7" w:rsidRPr="005529DF">
        <w:t>cater to var</w:t>
      </w:r>
      <w:r w:rsidR="00BD1932">
        <w:t>ying</w:t>
      </w:r>
      <w:r w:rsidR="005B43C7" w:rsidRPr="005529DF">
        <w:t xml:space="preserve"> severities of health impairment.  </w:t>
      </w:r>
      <w:r w:rsidR="00703751" w:rsidRPr="005529DF">
        <w:t xml:space="preserve">That is, additional support services could </w:t>
      </w:r>
      <w:r w:rsidR="005154B7">
        <w:t xml:space="preserve">initially </w:t>
      </w:r>
      <w:r w:rsidR="00BD1932">
        <w:t>apply</w:t>
      </w:r>
      <w:r w:rsidR="00BD1932" w:rsidRPr="005529DF">
        <w:t xml:space="preserve"> </w:t>
      </w:r>
      <w:r w:rsidR="00703751" w:rsidRPr="005529DF">
        <w:t>only to those nurses and midwives who</w:t>
      </w:r>
      <w:r w:rsidR="005154B7">
        <w:t xml:space="preserve"> </w:t>
      </w:r>
      <w:r w:rsidR="00703751" w:rsidRPr="005529DF">
        <w:t>have been notified and assessed as having a health impairment</w:t>
      </w:r>
      <w:r w:rsidR="005154B7">
        <w:t xml:space="preserve"> or </w:t>
      </w:r>
      <w:r w:rsidR="00703751" w:rsidRPr="005529DF">
        <w:t>whose case requires no further action given they do not pose a threat to public safety</w:t>
      </w:r>
      <w:r w:rsidR="005154B7">
        <w:t>. They could also be made available to those who</w:t>
      </w:r>
      <w:r w:rsidR="00703751" w:rsidRPr="005529DF">
        <w:t xml:space="preserve"> </w:t>
      </w:r>
      <w:r w:rsidR="005154B7">
        <w:t>are showing</w:t>
      </w:r>
      <w:r w:rsidR="00703751" w:rsidRPr="005529DF">
        <w:t xml:space="preserve"> early signs of an impairment</w:t>
      </w:r>
      <w:r w:rsidR="005154B7">
        <w:t xml:space="preserve"> </w:t>
      </w:r>
      <w:r w:rsidR="00703751" w:rsidRPr="005529DF">
        <w:t xml:space="preserve">which </w:t>
      </w:r>
      <w:r w:rsidR="00C27864">
        <w:t>has</w:t>
      </w:r>
      <w:r w:rsidR="00C27864" w:rsidRPr="005529DF">
        <w:t xml:space="preserve"> </w:t>
      </w:r>
      <w:r w:rsidR="00703751" w:rsidRPr="005529DF">
        <w:t>the potential to worsen and become notifiable</w:t>
      </w:r>
      <w:r w:rsidR="005154B7">
        <w:t>, though this would require care to ensure that they are not inappropriately shielded from the regulator</w:t>
      </w:r>
      <w:r w:rsidR="00A90A7F">
        <w:t>y oversight</w:t>
      </w:r>
      <w:r w:rsidR="005154B7">
        <w:t xml:space="preserve"> as required under </w:t>
      </w:r>
      <w:r w:rsidR="00A90A7F">
        <w:t xml:space="preserve">the </w:t>
      </w:r>
      <w:r w:rsidR="005154B7">
        <w:t xml:space="preserve">National Law. </w:t>
      </w:r>
    </w:p>
    <w:p w:rsidR="00740B9F" w:rsidRPr="005529DF" w:rsidRDefault="00237AB6" w:rsidP="00740B9F">
      <w:pPr>
        <w:pStyle w:val="BodyText"/>
      </w:pPr>
      <w:r w:rsidRPr="005529DF">
        <w:t>There are a number of ways that the additional support services could be implemented</w:t>
      </w:r>
      <w:r w:rsidR="00BD1932">
        <w:t xml:space="preserve"> nationally</w:t>
      </w:r>
      <w:r w:rsidRPr="005529DF">
        <w:t>. They could involve a single organisation being contracted to deliver the support service across Australia. Alternatively, separate parties from each jurisdiction could be given responsibility for implementing these services</w:t>
      </w:r>
      <w:r w:rsidR="00BD1932">
        <w:t xml:space="preserve"> within a national framework</w:t>
      </w:r>
      <w:r w:rsidRPr="005529DF">
        <w:t xml:space="preserve">. </w:t>
      </w:r>
      <w:r w:rsidR="00B21094" w:rsidRPr="005529DF">
        <w:t>The</w:t>
      </w:r>
      <w:r w:rsidR="00740B9F" w:rsidRPr="005529DF">
        <w:t xml:space="preserve"> resourcing or funding for </w:t>
      </w:r>
      <w:r w:rsidR="00B21094" w:rsidRPr="005529DF">
        <w:t xml:space="preserve">the </w:t>
      </w:r>
      <w:r w:rsidR="00740B9F" w:rsidRPr="005529DF">
        <w:t xml:space="preserve">additional services </w:t>
      </w:r>
      <w:r w:rsidR="00B21094" w:rsidRPr="005529DF">
        <w:t xml:space="preserve">would also need to </w:t>
      </w:r>
      <w:r w:rsidR="00740B9F" w:rsidRPr="005529DF">
        <w:t>take into account differences in delivery cost profiles across jurisdictions.</w:t>
      </w:r>
    </w:p>
    <w:p w:rsidR="00573D70" w:rsidRDefault="00B76C9C" w:rsidP="00740B9F">
      <w:pPr>
        <w:pStyle w:val="BodyText"/>
      </w:pPr>
      <w:r w:rsidRPr="005529DF">
        <w:t xml:space="preserve">It is </w:t>
      </w:r>
      <w:r w:rsidR="004B4E24" w:rsidRPr="005529DF">
        <w:t>important to note</w:t>
      </w:r>
      <w:r w:rsidRPr="005529DF">
        <w:t xml:space="preserve"> that the p</w:t>
      </w:r>
      <w:r w:rsidR="00573D70" w:rsidRPr="005529DF">
        <w:t xml:space="preserve">roposed service elements are not </w:t>
      </w:r>
      <w:r w:rsidR="00A14C3B" w:rsidRPr="005529DF">
        <w:t>aimed at replicating the NMHPV across all states and territories</w:t>
      </w:r>
      <w:r w:rsidR="00A90A7F">
        <w:t>. What the review has established is the need for consistent and effective national support services and w</w:t>
      </w:r>
      <w:r w:rsidRPr="005529DF">
        <w:t xml:space="preserve">hile the NMHPV has been raised as an example of an existing </w:t>
      </w:r>
      <w:r w:rsidR="00A90A7F">
        <w:t>health program</w:t>
      </w:r>
      <w:r w:rsidRPr="005529DF">
        <w:t>, no in</w:t>
      </w:r>
      <w:r w:rsidR="00CD39D0" w:rsidRPr="005529DF">
        <w:t>-</w:t>
      </w:r>
      <w:r w:rsidRPr="005529DF">
        <w:t xml:space="preserve">depth evaluation of its efficacy, effectiveness or efficiency has been conducted as part of this review. Indeed, as raised earlier, </w:t>
      </w:r>
      <w:r w:rsidR="00C27864">
        <w:t>the</w:t>
      </w:r>
      <w:r w:rsidR="00C27864" w:rsidRPr="005529DF">
        <w:t xml:space="preserve"> </w:t>
      </w:r>
      <w:r w:rsidR="00C27864">
        <w:t xml:space="preserve">level of </w:t>
      </w:r>
      <w:r w:rsidRPr="005529DF">
        <w:t>satisfaction</w:t>
      </w:r>
      <w:r w:rsidR="00C27864">
        <w:t xml:space="preserve"> with existing services</w:t>
      </w:r>
      <w:r w:rsidR="002D45B6">
        <w:t xml:space="preserve"> </w:t>
      </w:r>
      <w:r w:rsidR="00C27864">
        <w:t>was</w:t>
      </w:r>
      <w:r w:rsidRPr="005529DF">
        <w:t xml:space="preserve"> not materially different</w:t>
      </w:r>
      <w:r w:rsidR="00C27864">
        <w:t xml:space="preserve"> for the Victorian participants of the Nursing and Midwifery </w:t>
      </w:r>
      <w:r w:rsidR="00497B27">
        <w:t xml:space="preserve">Health Impairment </w:t>
      </w:r>
      <w:r w:rsidR="00C27864">
        <w:t>Survey</w:t>
      </w:r>
      <w:r w:rsidRPr="005529DF">
        <w:t xml:space="preserve"> to </w:t>
      </w:r>
      <w:r w:rsidR="00251F75">
        <w:t>that</w:t>
      </w:r>
      <w:r w:rsidR="00C27864">
        <w:t xml:space="preserve"> </w:t>
      </w:r>
      <w:r w:rsidR="00251F75">
        <w:t>from</w:t>
      </w:r>
      <w:r w:rsidR="00C27864">
        <w:t xml:space="preserve"> participants from </w:t>
      </w:r>
      <w:r w:rsidRPr="005529DF">
        <w:t xml:space="preserve">other states and territories where no equivalent </w:t>
      </w:r>
      <w:r w:rsidR="00237AB6" w:rsidRPr="005529DF">
        <w:t xml:space="preserve">service </w:t>
      </w:r>
      <w:r w:rsidR="004B4E24" w:rsidRPr="005529DF">
        <w:t>was in place. As such</w:t>
      </w:r>
      <w:r w:rsidR="00573D70" w:rsidRPr="005529DF">
        <w:t xml:space="preserve">, </w:t>
      </w:r>
      <w:r w:rsidRPr="005529DF">
        <w:t>any</w:t>
      </w:r>
      <w:r w:rsidR="00573D70" w:rsidRPr="005529DF">
        <w:t xml:space="preserve"> additional support services should draw </w:t>
      </w:r>
      <w:r w:rsidR="004B4E24" w:rsidRPr="005529DF">
        <w:t>on the</w:t>
      </w:r>
      <w:r w:rsidRPr="005529DF">
        <w:t xml:space="preserve"> experience </w:t>
      </w:r>
      <w:r w:rsidR="004B4E24" w:rsidRPr="005529DF">
        <w:t xml:space="preserve">of the NMHPV </w:t>
      </w:r>
      <w:r w:rsidRPr="005529DF">
        <w:t>alongside others</w:t>
      </w:r>
      <w:r w:rsidR="00573D70" w:rsidRPr="005529DF">
        <w:t xml:space="preserve"> identified in the Literature Review</w:t>
      </w:r>
      <w:r w:rsidR="00316551">
        <w:t xml:space="preserve"> (</w:t>
      </w:r>
      <w:r w:rsidR="00251F75">
        <w:t>for example, the</w:t>
      </w:r>
      <w:r w:rsidR="00316551">
        <w:t xml:space="preserve"> Michigan Health Professional Recovery Program, CRNBC’s Early Intervention Program and the NHS Practitioner Health Programme)</w:t>
      </w:r>
      <w:r w:rsidR="004B4E24" w:rsidRPr="005529DF">
        <w:t>,</w:t>
      </w:r>
      <w:r w:rsidR="00573D70" w:rsidRPr="005529DF">
        <w:t xml:space="preserve"> as well </w:t>
      </w:r>
      <w:r w:rsidRPr="005529DF">
        <w:t xml:space="preserve">the </w:t>
      </w:r>
      <w:r w:rsidR="00251F75">
        <w:t>best</w:t>
      </w:r>
      <w:r w:rsidR="00251F75" w:rsidRPr="005529DF">
        <w:t xml:space="preserve"> </w:t>
      </w:r>
      <w:r w:rsidRPr="005529DF">
        <w:t xml:space="preserve">practice </w:t>
      </w:r>
      <w:r w:rsidR="00573D70" w:rsidRPr="005529DF">
        <w:t>principles</w:t>
      </w:r>
      <w:r w:rsidR="00251F75">
        <w:t xml:space="preserve"> discussed above</w:t>
      </w:r>
      <w:r w:rsidR="00573D70" w:rsidRPr="005529DF">
        <w:t xml:space="preserve">. </w:t>
      </w:r>
    </w:p>
    <w:p w:rsidR="001B3C66" w:rsidRDefault="00DA19FF" w:rsidP="007C6BD9">
      <w:pPr>
        <w:pStyle w:val="BodyText"/>
      </w:pPr>
      <w:r>
        <w:lastRenderedPageBreak/>
        <w:t xml:space="preserve">Another </w:t>
      </w:r>
      <w:r w:rsidR="00251F75">
        <w:t xml:space="preserve">example </w:t>
      </w:r>
      <w:r>
        <w:t>may be the</w:t>
      </w:r>
      <w:r w:rsidR="001B3C66">
        <w:t xml:space="preserve"> recently announced</w:t>
      </w:r>
      <w:r>
        <w:t xml:space="preserve"> establishment </w:t>
      </w:r>
      <w:r w:rsidR="009A429F">
        <w:t xml:space="preserve">of </w:t>
      </w:r>
      <w:r>
        <w:t>a</w:t>
      </w:r>
      <w:r w:rsidR="001B3C66">
        <w:t xml:space="preserve"> national health program for doctors and medical students </w:t>
      </w:r>
      <w:r w:rsidR="00950DB5">
        <w:t>by the</w:t>
      </w:r>
      <w:r w:rsidR="001B3C66">
        <w:t xml:space="preserve"> Australia Medical Board of Australia and the Austr</w:t>
      </w:r>
      <w:r w:rsidR="00950DB5">
        <w:t xml:space="preserve">alian Medical Association (AMA). </w:t>
      </w:r>
      <w:r w:rsidR="001B3C66">
        <w:t xml:space="preserve">The </w:t>
      </w:r>
      <w:r w:rsidR="00251F75">
        <w:t xml:space="preserve">program </w:t>
      </w:r>
      <w:r w:rsidR="001B3C66">
        <w:t xml:space="preserve">will </w:t>
      </w:r>
      <w:r w:rsidR="00251F75">
        <w:t xml:space="preserve">be </w:t>
      </w:r>
      <w:r w:rsidR="001B3C66">
        <w:t>fund</w:t>
      </w:r>
      <w:r w:rsidR="00251F75">
        <w:t>ed through</w:t>
      </w:r>
      <w:r w:rsidR="009A429F">
        <w:t xml:space="preserve"> registration fees </w:t>
      </w:r>
      <w:r w:rsidR="001B3C66">
        <w:t>and a subsidiary company of the AMA, Doctors Health S</w:t>
      </w:r>
      <w:r w:rsidR="00B10804">
        <w:t>ervices Pty Limited</w:t>
      </w:r>
      <w:r w:rsidR="00950DB5">
        <w:t xml:space="preserve">, </w:t>
      </w:r>
      <w:r w:rsidR="009A429F">
        <w:t>is to</w:t>
      </w:r>
      <w:r w:rsidR="00950DB5">
        <w:t xml:space="preserve"> provide</w:t>
      </w:r>
      <w:r w:rsidR="001B3C66">
        <w:t xml:space="preserve"> nationally consistent services </w:t>
      </w:r>
      <w:r w:rsidR="00950DB5">
        <w:t xml:space="preserve">available to all doctors and medical students. The services </w:t>
      </w:r>
      <w:r w:rsidR="009A429F">
        <w:t>will</w:t>
      </w:r>
      <w:r w:rsidR="00950DB5">
        <w:t xml:space="preserve"> </w:t>
      </w:r>
      <w:r>
        <w:t xml:space="preserve">provide </w:t>
      </w:r>
      <w:r w:rsidR="00950DB5">
        <w:t>face-to-face health-related triage, advice and referral with telephone help line and online tools and resources where appropriate, and may be expanded to include resilience training and early intervention.</w:t>
      </w:r>
      <w:r w:rsidR="00B10804">
        <w:t xml:space="preserve"> </w:t>
      </w:r>
      <w:r>
        <w:t xml:space="preserve">It is understood that a critical part of the design of the health program is for it to be </w:t>
      </w:r>
      <w:r w:rsidR="001B3C66">
        <w:t>at arm's length from the Board to ensure that doctors and medical students trust these services and use them at an early</w:t>
      </w:r>
      <w:r w:rsidR="00CA41E0">
        <w:t xml:space="preserve"> stage in their illness</w:t>
      </w:r>
      <w:r w:rsidR="006962F8">
        <w:t xml:space="preserve"> (AMA 2015)</w:t>
      </w:r>
      <w:r w:rsidR="001B3C66">
        <w:t>.</w:t>
      </w:r>
    </w:p>
    <w:p w:rsidR="009B24A1" w:rsidRPr="005529DF" w:rsidRDefault="009B24A1" w:rsidP="00946D5E">
      <w:pPr>
        <w:pStyle w:val="SideQuoteSource"/>
        <w:framePr w:wrap="around"/>
      </w:pPr>
      <w:r w:rsidRPr="005529DF">
        <w:t xml:space="preserve">Monitoring </w:t>
      </w:r>
      <w:r w:rsidR="00891150">
        <w:t>costs</w:t>
      </w:r>
      <w:r w:rsidRPr="005529DF">
        <w:t xml:space="preserve"> </w:t>
      </w:r>
    </w:p>
    <w:p w:rsidR="008C437D" w:rsidRPr="005529DF" w:rsidRDefault="00962725">
      <w:pPr>
        <w:pStyle w:val="BodyText"/>
      </w:pPr>
      <w:r w:rsidRPr="005529DF">
        <w:t xml:space="preserve">The </w:t>
      </w:r>
      <w:r w:rsidR="00B718AF" w:rsidRPr="005529DF">
        <w:t xml:space="preserve">cost </w:t>
      </w:r>
      <w:r w:rsidRPr="005529DF">
        <w:t>pressure</w:t>
      </w:r>
      <w:r w:rsidR="00B718AF" w:rsidRPr="005529DF">
        <w:t>s</w:t>
      </w:r>
      <w:r w:rsidRPr="005529DF">
        <w:t xml:space="preserve"> placed on </w:t>
      </w:r>
      <w:r w:rsidR="00F3492A" w:rsidRPr="005529DF">
        <w:t>nurses and midwives</w:t>
      </w:r>
      <w:r w:rsidRPr="005529DF">
        <w:t xml:space="preserve"> </w:t>
      </w:r>
      <w:r w:rsidR="00975D4F" w:rsidRPr="005529DF">
        <w:t xml:space="preserve">under notification </w:t>
      </w:r>
      <w:r w:rsidR="004C4A12" w:rsidRPr="005529DF">
        <w:t>were</w:t>
      </w:r>
      <w:r w:rsidRPr="005529DF">
        <w:t xml:space="preserve"> frequently </w:t>
      </w:r>
      <w:r w:rsidR="004C4A12" w:rsidRPr="005529DF">
        <w:t xml:space="preserve">raised throughout </w:t>
      </w:r>
      <w:r w:rsidRPr="005529DF">
        <w:t>the review</w:t>
      </w:r>
      <w:r w:rsidR="00B718AF" w:rsidRPr="005529DF">
        <w:t xml:space="preserve">, particularly in relation to the costs </w:t>
      </w:r>
      <w:r w:rsidR="001172ED" w:rsidRPr="005529DF">
        <w:t>associated with monitoring strategies</w:t>
      </w:r>
      <w:r w:rsidRPr="005529DF">
        <w:t xml:space="preserve">. </w:t>
      </w:r>
    </w:p>
    <w:p w:rsidR="00536B48" w:rsidRPr="005529DF" w:rsidRDefault="001C0337" w:rsidP="00536B48">
      <w:pPr>
        <w:pStyle w:val="BodyText"/>
      </w:pPr>
      <w:r w:rsidRPr="005529DF">
        <w:t>Stakeholders also</w:t>
      </w:r>
      <w:r w:rsidR="009A6A03" w:rsidRPr="005529DF">
        <w:t xml:space="preserve"> </w:t>
      </w:r>
      <w:r w:rsidR="00C27864">
        <w:t>indicated</w:t>
      </w:r>
      <w:r w:rsidRPr="005529DF">
        <w:t xml:space="preserve"> </w:t>
      </w:r>
      <w:r w:rsidR="009A6A03" w:rsidRPr="005529DF">
        <w:t xml:space="preserve">that </w:t>
      </w:r>
      <w:r w:rsidR="00536B48" w:rsidRPr="005529DF">
        <w:t>high monitoring costs</w:t>
      </w:r>
      <w:r w:rsidR="00A04290" w:rsidRPr="005529DF">
        <w:t>, together with a</w:t>
      </w:r>
      <w:r w:rsidR="006D7D68">
        <w:t>n</w:t>
      </w:r>
      <w:r w:rsidR="00A04290" w:rsidRPr="005529DF">
        <w:t xml:space="preserve"> </w:t>
      </w:r>
      <w:r w:rsidR="00BD1932" w:rsidRPr="005529DF">
        <w:t>anxiety</w:t>
      </w:r>
      <w:r w:rsidR="00A04290" w:rsidRPr="005529DF">
        <w:t xml:space="preserve"> of being notified and having to fund these costs, </w:t>
      </w:r>
      <w:r w:rsidR="009A6A03" w:rsidRPr="005529DF">
        <w:t>may</w:t>
      </w:r>
      <w:r w:rsidR="00536B48" w:rsidRPr="005529DF">
        <w:t xml:space="preserve"> deter </w:t>
      </w:r>
      <w:r w:rsidR="00A04290" w:rsidRPr="005529DF">
        <w:t>some nurses and midwives</w:t>
      </w:r>
      <w:r w:rsidR="00536B48" w:rsidRPr="005529DF">
        <w:t xml:space="preserve"> from seeking support </w:t>
      </w:r>
      <w:r w:rsidR="00A04290" w:rsidRPr="005529DF">
        <w:t>at a sufficiently early stage, resulting in an escalation of the impairment to the detriment of both the nurse or midwife, and the public</w:t>
      </w:r>
      <w:r w:rsidR="00536B48" w:rsidRPr="005529DF">
        <w:t xml:space="preserve">.  </w:t>
      </w:r>
    </w:p>
    <w:p w:rsidR="002F5AC0" w:rsidRPr="005529DF" w:rsidRDefault="00975D4F">
      <w:pPr>
        <w:pStyle w:val="BodyText"/>
      </w:pPr>
      <w:r w:rsidRPr="005529DF">
        <w:t>Some of the typical m</w:t>
      </w:r>
      <w:r w:rsidR="000F612C" w:rsidRPr="005529DF">
        <w:t xml:space="preserve">onitoring strategies identified in the Literature Review </w:t>
      </w:r>
      <w:r w:rsidRPr="005529DF">
        <w:t>are</w:t>
      </w:r>
      <w:r w:rsidR="000F612C" w:rsidRPr="005529DF">
        <w:t xml:space="preserve">: </w:t>
      </w:r>
    </w:p>
    <w:p w:rsidR="000F612C" w:rsidRPr="005529DF" w:rsidRDefault="00301CA5" w:rsidP="00BE17C2">
      <w:pPr>
        <w:pStyle w:val="ListDash"/>
      </w:pPr>
      <w:r w:rsidRPr="005529DF">
        <w:t>r</w:t>
      </w:r>
      <w:r w:rsidR="000F612C" w:rsidRPr="005529DF">
        <w:t>egular drug testing (for example, blood, breath and hair)</w:t>
      </w:r>
    </w:p>
    <w:p w:rsidR="000F612C" w:rsidRPr="005529DF" w:rsidRDefault="00301CA5" w:rsidP="00252FBE">
      <w:pPr>
        <w:pStyle w:val="ListDash"/>
      </w:pPr>
      <w:r w:rsidRPr="005529DF">
        <w:t>t</w:t>
      </w:r>
      <w:r w:rsidR="000F612C" w:rsidRPr="005529DF">
        <w:t>reating practitioner feedback</w:t>
      </w:r>
    </w:p>
    <w:p w:rsidR="000F612C" w:rsidRPr="005529DF" w:rsidRDefault="00301CA5">
      <w:pPr>
        <w:pStyle w:val="ListDash"/>
      </w:pPr>
      <w:r w:rsidRPr="005529DF">
        <w:t>w</w:t>
      </w:r>
      <w:r w:rsidR="000F612C" w:rsidRPr="005529DF">
        <w:t xml:space="preserve">orkplace feedback </w:t>
      </w:r>
    </w:p>
    <w:p w:rsidR="000F612C" w:rsidRPr="005529DF" w:rsidRDefault="00301CA5">
      <w:pPr>
        <w:pStyle w:val="ListDash"/>
      </w:pPr>
      <w:r w:rsidRPr="005529DF">
        <w:t>u</w:t>
      </w:r>
      <w:r w:rsidR="000F612C" w:rsidRPr="005529DF">
        <w:t xml:space="preserve">nannounced worksite visits (during transition back to work or if remaining in work) </w:t>
      </w:r>
    </w:p>
    <w:p w:rsidR="000F612C" w:rsidRPr="005529DF" w:rsidRDefault="00301CA5">
      <w:pPr>
        <w:pStyle w:val="ListDash"/>
      </w:pPr>
      <w:r w:rsidRPr="005529DF">
        <w:t>d</w:t>
      </w:r>
      <w:r w:rsidR="000F612C" w:rsidRPr="005529DF">
        <w:t>ocumentation of mutual aid or support group attendance</w:t>
      </w:r>
    </w:p>
    <w:p w:rsidR="000F612C" w:rsidRPr="005529DF" w:rsidRDefault="00301CA5">
      <w:pPr>
        <w:pStyle w:val="ListDash"/>
      </w:pPr>
      <w:r w:rsidRPr="005529DF">
        <w:t>m</w:t>
      </w:r>
      <w:r w:rsidR="000F612C" w:rsidRPr="005529DF">
        <w:t xml:space="preserve">edical monitoring </w:t>
      </w:r>
    </w:p>
    <w:p w:rsidR="000F612C" w:rsidRPr="005529DF" w:rsidRDefault="00301CA5">
      <w:pPr>
        <w:pStyle w:val="ListDash"/>
      </w:pPr>
      <w:proofErr w:type="gramStart"/>
      <w:r w:rsidRPr="005529DF">
        <w:t>pe</w:t>
      </w:r>
      <w:r w:rsidR="000F612C" w:rsidRPr="005529DF">
        <w:t>rsonal</w:t>
      </w:r>
      <w:proofErr w:type="gramEnd"/>
      <w:r w:rsidR="000F612C" w:rsidRPr="005529DF">
        <w:t xml:space="preserve"> progress reports by clients (</w:t>
      </w:r>
      <w:proofErr w:type="spellStart"/>
      <w:r w:rsidR="00316551">
        <w:t>Warhaft</w:t>
      </w:r>
      <w:proofErr w:type="spellEnd"/>
      <w:r w:rsidR="00316551">
        <w:t xml:space="preserve"> 2004; </w:t>
      </w:r>
      <w:proofErr w:type="spellStart"/>
      <w:r w:rsidR="00316551">
        <w:t>Carinci</w:t>
      </w:r>
      <w:proofErr w:type="spellEnd"/>
      <w:r w:rsidR="00316551">
        <w:t xml:space="preserve"> and Chris</w:t>
      </w:r>
      <w:r w:rsidR="007A221A">
        <w:t>to 2009; Skipper</w:t>
      </w:r>
      <w:r w:rsidR="00316551">
        <w:t xml:space="preserve"> and </w:t>
      </w:r>
      <w:proofErr w:type="spellStart"/>
      <w:r w:rsidR="00316551">
        <w:lastRenderedPageBreak/>
        <w:t>Dupont</w:t>
      </w:r>
      <w:proofErr w:type="spellEnd"/>
      <w:r w:rsidR="00316551">
        <w:t xml:space="preserve"> 2011; Michigan Health Professional Recovery Program 2013</w:t>
      </w:r>
      <w:r w:rsidR="000F612C" w:rsidRPr="005529DF">
        <w:t xml:space="preserve">). </w:t>
      </w:r>
    </w:p>
    <w:p w:rsidR="00975D4F" w:rsidRPr="005529DF" w:rsidRDefault="00975D4F" w:rsidP="00975D4F">
      <w:pPr>
        <w:pStyle w:val="BodyText"/>
      </w:pPr>
      <w:r w:rsidRPr="005529DF">
        <w:t xml:space="preserve">The highest cost component is regular drug testing and it is understood that </w:t>
      </w:r>
      <w:r w:rsidR="007E1878" w:rsidRPr="005529DF">
        <w:t>cost effective</w:t>
      </w:r>
      <w:r w:rsidRPr="005529DF">
        <w:t xml:space="preserve"> sourcing of appropriate laboratories to perform the monitoring tests required</w:t>
      </w:r>
      <w:r w:rsidR="007E1878" w:rsidRPr="005529DF">
        <w:t xml:space="preserve"> is currently under consideration, including the </w:t>
      </w:r>
      <w:r w:rsidRPr="005529DF">
        <w:t>establish</w:t>
      </w:r>
      <w:r w:rsidR="007E1878" w:rsidRPr="005529DF">
        <w:t xml:space="preserve">ment of </w:t>
      </w:r>
      <w:r w:rsidRPr="005529DF">
        <w:t>formal working relationships and discounted drug tests for notified health practitioners</w:t>
      </w:r>
      <w:r w:rsidR="000931F2" w:rsidRPr="005529DF">
        <w:t xml:space="preserve">. </w:t>
      </w:r>
    </w:p>
    <w:p w:rsidR="003C5451" w:rsidRPr="005529DF" w:rsidRDefault="00975D4F">
      <w:pPr>
        <w:pStyle w:val="BodyText"/>
      </w:pPr>
      <w:r w:rsidRPr="005529DF">
        <w:t>In</w:t>
      </w:r>
      <w:r w:rsidR="003C5451" w:rsidRPr="005529DF">
        <w:t xml:space="preserve"> Australia the</w:t>
      </w:r>
      <w:r w:rsidR="007E1878" w:rsidRPr="005529DF">
        <w:t>re may also be the potential for some</w:t>
      </w:r>
      <w:r w:rsidR="003C5451" w:rsidRPr="005529DF">
        <w:t xml:space="preserve"> monitoring costs </w:t>
      </w:r>
      <w:r w:rsidR="007E1878" w:rsidRPr="005529DF">
        <w:t xml:space="preserve">to </w:t>
      </w:r>
      <w:r w:rsidR="003C5451" w:rsidRPr="005529DF">
        <w:t xml:space="preserve">be </w:t>
      </w:r>
      <w:r w:rsidR="007E1878" w:rsidRPr="005529DF">
        <w:t xml:space="preserve">reduced </w:t>
      </w:r>
      <w:r w:rsidR="003C5451" w:rsidRPr="005529DF">
        <w:t>as a result of access to universal healthcare</w:t>
      </w:r>
      <w:r w:rsidR="007E1878" w:rsidRPr="005529DF">
        <w:t xml:space="preserve">, for example through gaining a Medicare contribution for </w:t>
      </w:r>
      <w:r w:rsidR="003C5451" w:rsidRPr="005529DF">
        <w:t>visit</w:t>
      </w:r>
      <w:r w:rsidR="007E1878" w:rsidRPr="005529DF">
        <w:t xml:space="preserve">s to </w:t>
      </w:r>
      <w:r w:rsidR="003C5451" w:rsidRPr="005529DF">
        <w:t>a treating practitioner</w:t>
      </w:r>
      <w:r w:rsidR="00301CA5" w:rsidRPr="005529DF">
        <w:t xml:space="preserve">. </w:t>
      </w:r>
      <w:r w:rsidR="003C5451" w:rsidRPr="005529DF">
        <w:t xml:space="preserve">  </w:t>
      </w:r>
    </w:p>
    <w:p w:rsidR="007E1878" w:rsidRPr="005529DF" w:rsidRDefault="007E1878">
      <w:pPr>
        <w:pStyle w:val="BodyText"/>
      </w:pPr>
      <w:r w:rsidRPr="005529DF">
        <w:t>Indeed, one of the</w:t>
      </w:r>
      <w:r w:rsidR="00AD4EDE" w:rsidRPr="005529DF">
        <w:t xml:space="preserve"> elements of the support services discussed in the previous section could be to provide advice on cost effective means for accessing appropriate treatment and testing services whilst on a monitoring regime.</w:t>
      </w:r>
    </w:p>
    <w:p w:rsidR="00124593" w:rsidRPr="005529DF" w:rsidRDefault="00124593" w:rsidP="00A10560">
      <w:pPr>
        <w:pStyle w:val="Heading2"/>
        <w:rPr>
          <w:rFonts w:ascii="Times New Roman" w:hAnsi="Times New Roman"/>
        </w:rPr>
      </w:pPr>
      <w:bookmarkStart w:id="170" w:name="_Toc419702950"/>
      <w:r w:rsidRPr="005529DF">
        <w:rPr>
          <w:rFonts w:ascii="Times New Roman" w:hAnsi="Times New Roman"/>
        </w:rPr>
        <w:t>Potential stakeholder roles</w:t>
      </w:r>
      <w:bookmarkEnd w:id="170"/>
      <w:r w:rsidRPr="005529DF">
        <w:rPr>
          <w:rFonts w:ascii="Times New Roman" w:hAnsi="Times New Roman"/>
        </w:rPr>
        <w:t xml:space="preserve"> </w:t>
      </w:r>
    </w:p>
    <w:p w:rsidR="0061399C" w:rsidRPr="005529DF" w:rsidRDefault="00AD4EDE" w:rsidP="007640DA">
      <w:pPr>
        <w:pStyle w:val="BodyText"/>
      </w:pPr>
      <w:r w:rsidRPr="005529DF">
        <w:t>In thinking about implementation of the above elements, an important consideration is the role that various stakeholders and</w:t>
      </w:r>
      <w:r w:rsidR="000831F5" w:rsidRPr="005529DF">
        <w:t xml:space="preserve"> </w:t>
      </w:r>
      <w:r w:rsidR="005E3665" w:rsidRPr="005529DF">
        <w:t>organisations</w:t>
      </w:r>
      <w:r w:rsidR="000831F5" w:rsidRPr="005529DF">
        <w:t xml:space="preserve"> </w:t>
      </w:r>
      <w:r w:rsidRPr="005529DF">
        <w:t>can undertake.</w:t>
      </w:r>
      <w:r w:rsidR="000831F5" w:rsidRPr="005529DF">
        <w:t xml:space="preserve"> A logical starting point is to look at </w:t>
      </w:r>
      <w:r w:rsidRPr="005529DF">
        <w:t xml:space="preserve">the </w:t>
      </w:r>
      <w:r w:rsidR="000831F5" w:rsidRPr="005529DF">
        <w:t xml:space="preserve">existing, well established bodies that either currently </w:t>
      </w:r>
      <w:r w:rsidRPr="005529DF">
        <w:t xml:space="preserve">do </w:t>
      </w:r>
      <w:r w:rsidR="000831F5" w:rsidRPr="005529DF">
        <w:t xml:space="preserve">provide </w:t>
      </w:r>
      <w:r w:rsidRPr="005529DF">
        <w:t xml:space="preserve">aspects of </w:t>
      </w:r>
      <w:r w:rsidR="000831F5" w:rsidRPr="005529DF">
        <w:t>the se</w:t>
      </w:r>
      <w:r w:rsidR="005E3665" w:rsidRPr="005529DF">
        <w:t>rvice</w:t>
      </w:r>
      <w:r w:rsidRPr="005529DF">
        <w:t>s</w:t>
      </w:r>
      <w:r w:rsidR="000831F5" w:rsidRPr="005529DF">
        <w:t xml:space="preserve"> proposed or have the capacity and capability to</w:t>
      </w:r>
      <w:r w:rsidR="00946CBD" w:rsidRPr="005529DF">
        <w:t xml:space="preserve"> do so. These are educators, e</w:t>
      </w:r>
      <w:r w:rsidR="000831F5" w:rsidRPr="005529DF">
        <w:t>mployers, medical insurers, professional colleges and associations</w:t>
      </w:r>
      <w:r w:rsidR="000931F2" w:rsidRPr="005529DF">
        <w:t>, governments</w:t>
      </w:r>
      <w:r w:rsidR="000831F5" w:rsidRPr="005529DF">
        <w:t xml:space="preserve">, and regulators. </w:t>
      </w:r>
    </w:p>
    <w:p w:rsidR="009305E5" w:rsidRPr="005529DF" w:rsidRDefault="000831F5" w:rsidP="007640DA">
      <w:pPr>
        <w:pStyle w:val="BodyText"/>
      </w:pPr>
      <w:r w:rsidRPr="005529DF">
        <w:t xml:space="preserve">An overview of each of these bodies and whether they could have a </w:t>
      </w:r>
      <w:r w:rsidR="00F42A9F" w:rsidRPr="005529DF">
        <w:t>‘primary</w:t>
      </w:r>
      <w:r w:rsidR="009305E5" w:rsidRPr="005529DF">
        <w:t xml:space="preserve"> role</w:t>
      </w:r>
      <w:r w:rsidR="00F42A9F" w:rsidRPr="005529DF">
        <w:t>’</w:t>
      </w:r>
      <w:r w:rsidR="009305E5" w:rsidRPr="005529DF">
        <w:t xml:space="preserve">, </w:t>
      </w:r>
      <w:r w:rsidRPr="005529DF">
        <w:t>‘contributory</w:t>
      </w:r>
      <w:r w:rsidR="009305E5" w:rsidRPr="005529DF">
        <w:t xml:space="preserve"> role</w:t>
      </w:r>
      <w:r w:rsidRPr="005529DF">
        <w:t>’</w:t>
      </w:r>
      <w:r w:rsidR="009305E5" w:rsidRPr="005529DF">
        <w:t xml:space="preserve">, or whether they just have an ‘interest’ in the success of the service, is provided in </w:t>
      </w:r>
      <w:r w:rsidR="007538B8">
        <w:fldChar w:fldCharType="begin"/>
      </w:r>
      <w:r w:rsidR="007538B8">
        <w:instrText xml:space="preserve"> REF _Ref418522492 \h  \* MERGEFORMAT </w:instrText>
      </w:r>
      <w:r w:rsidR="007538B8">
        <w:fldChar w:fldCharType="separate"/>
      </w:r>
      <w:r w:rsidR="00B07965" w:rsidRPr="005529DF">
        <w:t xml:space="preserve">Figure </w:t>
      </w:r>
      <w:r w:rsidR="00B07965">
        <w:t>2</w:t>
      </w:r>
      <w:r w:rsidR="007538B8">
        <w:fldChar w:fldCharType="end"/>
      </w:r>
      <w:r w:rsidR="002C35D0" w:rsidRPr="005529DF">
        <w:t xml:space="preserve">. </w:t>
      </w:r>
    </w:p>
    <w:p w:rsidR="00301CA5" w:rsidRPr="005529DF" w:rsidRDefault="005E3665" w:rsidP="007640DA">
      <w:pPr>
        <w:pStyle w:val="BodyText"/>
      </w:pPr>
      <w:r w:rsidRPr="005529DF">
        <w:t xml:space="preserve">It is </w:t>
      </w:r>
      <w:r w:rsidR="00366786" w:rsidRPr="005529DF">
        <w:t xml:space="preserve">noted that as the scope of the review did not specifically involve </w:t>
      </w:r>
      <w:r w:rsidR="000931F2" w:rsidRPr="005529DF">
        <w:t xml:space="preserve">interviews </w:t>
      </w:r>
      <w:r w:rsidR="00366786" w:rsidRPr="005529DF">
        <w:t xml:space="preserve">with all the </w:t>
      </w:r>
      <w:r w:rsidR="007D6C45" w:rsidRPr="005529DF">
        <w:t xml:space="preserve">stakeholder </w:t>
      </w:r>
      <w:r w:rsidR="00366786" w:rsidRPr="005529DF">
        <w:t xml:space="preserve">bodies referenced, the discussion is necessarily general and is provided as a potential starting point for further and more detailed discussion </w:t>
      </w:r>
      <w:r w:rsidR="007D6C45" w:rsidRPr="005529DF">
        <w:t>with these stakeholders</w:t>
      </w:r>
      <w:r w:rsidR="00366786" w:rsidRPr="005529DF">
        <w:t>.</w:t>
      </w:r>
      <w:r w:rsidR="00301CA5" w:rsidRPr="005529DF">
        <w:t xml:space="preserve"> </w:t>
      </w:r>
    </w:p>
    <w:p w:rsidR="001E38FB" w:rsidRPr="005529DF" w:rsidRDefault="001E38FB" w:rsidP="002A52AD">
      <w:pPr>
        <w:pStyle w:val="SideQuoteSource"/>
        <w:framePr w:wrap="around"/>
      </w:pPr>
      <w:r w:rsidRPr="005529DF">
        <w:t xml:space="preserve">Educators </w:t>
      </w:r>
    </w:p>
    <w:p w:rsidR="001E38FB" w:rsidRPr="005529DF" w:rsidRDefault="001E38FB" w:rsidP="001E38FB">
      <w:pPr>
        <w:pStyle w:val="BodyText"/>
      </w:pPr>
      <w:r w:rsidRPr="005529DF">
        <w:t xml:space="preserve">In </w:t>
      </w:r>
      <w:r w:rsidR="004A3317">
        <w:t>relation</w:t>
      </w:r>
      <w:r w:rsidR="004A3317" w:rsidRPr="005529DF">
        <w:t xml:space="preserve"> </w:t>
      </w:r>
      <w:r w:rsidRPr="005529DF">
        <w:t xml:space="preserve">to </w:t>
      </w:r>
      <w:r w:rsidRPr="007640DA">
        <w:rPr>
          <w:i/>
        </w:rPr>
        <w:t>education</w:t>
      </w:r>
      <w:r w:rsidRPr="005529DF">
        <w:t xml:space="preserve"> enhancements, it is typical for educational providers to include information about practitioner impairment in</w:t>
      </w:r>
      <w:r w:rsidRPr="005529DF">
        <w:lastRenderedPageBreak/>
        <w:t xml:space="preserve">cluding definition, prevention, causes, consequences recognition and responses within their training course. </w:t>
      </w:r>
      <w:r w:rsidR="003C332D">
        <w:t xml:space="preserve">They also have a responsibility to report students to the regulator who are suspected of having a health impairment that poses a risk to the public. </w:t>
      </w:r>
      <w:r w:rsidRPr="005529DF">
        <w:t xml:space="preserve">It has not been within the terms of reference of the review to identify the extent to which educational providers in Australia inform their students about the notification process and/or available support services to nurses and midwives with a health impairment. </w:t>
      </w:r>
    </w:p>
    <w:p w:rsidR="00316551" w:rsidRPr="005529DF" w:rsidRDefault="001E38FB" w:rsidP="0068680B">
      <w:pPr>
        <w:pStyle w:val="BodyText"/>
      </w:pPr>
      <w:r w:rsidRPr="005529DF">
        <w:t xml:space="preserve">There are university-wide </w:t>
      </w:r>
      <w:r w:rsidRPr="007640DA">
        <w:rPr>
          <w:i/>
        </w:rPr>
        <w:t xml:space="preserve">support </w:t>
      </w:r>
      <w:r w:rsidRPr="00D25304">
        <w:t>services</w:t>
      </w:r>
      <w:r w:rsidRPr="005529DF">
        <w:t xml:space="preserve"> available to educate and train students. Some of these are particularly relevant to the management of health impairment such as counselling services, chaplaincy, student welfare coordinators, health services and mentoring programs. </w:t>
      </w:r>
      <w:r w:rsidR="0068680B" w:rsidRPr="005529DF">
        <w:t>As such, they may be well placed to contribute to, but have no direct responsibility to provide additional services to the wider nursing and midwifery workforce, other than through specific targeted and funded programs.</w:t>
      </w:r>
      <w:r w:rsidR="0022400C">
        <w:t xml:space="preserve"> </w:t>
      </w:r>
      <w:r w:rsidR="0068680B" w:rsidRPr="005529DF">
        <w:t xml:space="preserve">  </w:t>
      </w:r>
    </w:p>
    <w:p w:rsidR="0068680B" w:rsidRPr="007640DA" w:rsidRDefault="0068680B" w:rsidP="002A52AD">
      <w:pPr>
        <w:pStyle w:val="SideQuoteSource"/>
        <w:framePr w:wrap="around"/>
      </w:pPr>
      <w:r w:rsidRPr="005529DF">
        <w:t xml:space="preserve">Employers </w:t>
      </w:r>
    </w:p>
    <w:p w:rsidR="000168C7" w:rsidRPr="004042CA" w:rsidRDefault="004A3317" w:rsidP="00BE17C2">
      <w:pPr>
        <w:pStyle w:val="BodyText"/>
      </w:pPr>
      <w:r w:rsidRPr="00BE17C2">
        <w:t xml:space="preserve">In relation to </w:t>
      </w:r>
      <w:r w:rsidRPr="00BE17C2">
        <w:rPr>
          <w:i/>
        </w:rPr>
        <w:t>education</w:t>
      </w:r>
      <w:r w:rsidRPr="00252FBE">
        <w:t>, t</w:t>
      </w:r>
      <w:r w:rsidR="0068680B" w:rsidRPr="00252FBE">
        <w:t xml:space="preserve">he literature </w:t>
      </w:r>
      <w:r w:rsidR="00E22FCF">
        <w:t xml:space="preserve">review </w:t>
      </w:r>
      <w:r w:rsidR="0068680B" w:rsidRPr="00252FBE">
        <w:t>identified various employer-developed educational guides for employees</w:t>
      </w:r>
      <w:r w:rsidR="00E22FCF">
        <w:t xml:space="preserve"> in Australia</w:t>
      </w:r>
      <w:r w:rsidR="0068680B" w:rsidRPr="00252FBE">
        <w:t>, with referral or reporting to i</w:t>
      </w:r>
      <w:r w:rsidR="0068680B" w:rsidRPr="004042CA">
        <w:t xml:space="preserve">n-house support services as the ideal first step in managing colleague impairment. </w:t>
      </w:r>
      <w:r w:rsidR="00E22FCF">
        <w:t>Some</w:t>
      </w:r>
      <w:r w:rsidR="0068680B" w:rsidRPr="004042CA">
        <w:t xml:space="preserve"> hospitals</w:t>
      </w:r>
      <w:r w:rsidR="004042CA">
        <w:t xml:space="preserve"> </w:t>
      </w:r>
      <w:r w:rsidR="0068680B" w:rsidRPr="00BE17C2">
        <w:t>also have internal systems for managing potentially impaired practitioners, which focus on informing and referring practitioners to appropriate serv</w:t>
      </w:r>
      <w:r w:rsidR="0068680B" w:rsidRPr="00252FBE">
        <w:t>ices</w:t>
      </w:r>
      <w:r w:rsidR="004042CA" w:rsidRPr="00252FBE">
        <w:t xml:space="preserve">. For example, </w:t>
      </w:r>
      <w:r w:rsidR="004042CA" w:rsidRPr="00193251">
        <w:t>the Royal Melbourne Hospital support program for ‘at-risk’ junior doctors has systems for identification, assessment, mentoring, referral, reporting, education and workplace management of distressed junior doctors</w:t>
      </w:r>
      <w:r w:rsidR="004042CA">
        <w:t xml:space="preserve"> (</w:t>
      </w:r>
      <w:r w:rsidR="000F5FB2">
        <w:t>Dwyer</w:t>
      </w:r>
      <w:r w:rsidR="004042CA">
        <w:t xml:space="preserve"> </w:t>
      </w:r>
      <w:r w:rsidR="004042CA" w:rsidRPr="001B3D40">
        <w:rPr>
          <w:i/>
        </w:rPr>
        <w:t>et al</w:t>
      </w:r>
      <w:r w:rsidR="004042CA">
        <w:t xml:space="preserve"> 2011)</w:t>
      </w:r>
      <w:r w:rsidR="0068680B" w:rsidRPr="00BE17C2">
        <w:t xml:space="preserve">. The literature, however, </w:t>
      </w:r>
      <w:r w:rsidR="00C45528" w:rsidRPr="00252FBE">
        <w:t>d</w:t>
      </w:r>
      <w:r w:rsidR="00C45528" w:rsidRPr="00193251">
        <w:t>oes</w:t>
      </w:r>
      <w:r w:rsidR="00C45528" w:rsidRPr="004042CA">
        <w:t xml:space="preserve"> </w:t>
      </w:r>
      <w:r w:rsidR="0068680B" w:rsidRPr="004042CA">
        <w:t xml:space="preserve">not identify the extent to which employers provide information on the notification process to practitioners, including their roles and responsibilities upon being notified. </w:t>
      </w:r>
      <w:r w:rsidR="000168C7" w:rsidRPr="004042CA">
        <w:t xml:space="preserve">Employers </w:t>
      </w:r>
      <w:r w:rsidR="003C1572" w:rsidRPr="004042CA">
        <w:t>appear</w:t>
      </w:r>
      <w:r w:rsidR="000168C7" w:rsidRPr="004042CA">
        <w:t xml:space="preserve"> well placed to do this given their direct ready access. </w:t>
      </w:r>
    </w:p>
    <w:p w:rsidR="0068680B" w:rsidRPr="005529DF" w:rsidRDefault="0068680B" w:rsidP="0068680B">
      <w:pPr>
        <w:pStyle w:val="BodyText"/>
      </w:pPr>
      <w:r w:rsidRPr="005529DF">
        <w:t xml:space="preserve">Employers play a significant role in providing </w:t>
      </w:r>
      <w:r w:rsidRPr="007640DA">
        <w:rPr>
          <w:i/>
        </w:rPr>
        <w:t xml:space="preserve">support </w:t>
      </w:r>
      <w:r w:rsidRPr="00D25304">
        <w:t>services</w:t>
      </w:r>
      <w:r w:rsidRPr="005529DF">
        <w:t xml:space="preserve"> to nurses and midwives with a health impairment, most commonly through EAPs. However, these services tend to cater for a wide range of staff issues and do not target the specific needs of </w:t>
      </w:r>
      <w:r w:rsidRPr="005529DF">
        <w:lastRenderedPageBreak/>
        <w:t>health impairment. Additionally, most EAPs only make provision for a small number of sessions per employee.</w:t>
      </w:r>
    </w:p>
    <w:p w:rsidR="0068680B" w:rsidRPr="005529DF" w:rsidRDefault="000168C7" w:rsidP="0068680B">
      <w:pPr>
        <w:pStyle w:val="BodyText"/>
      </w:pPr>
      <w:r>
        <w:t xml:space="preserve">Employers have </w:t>
      </w:r>
      <w:r w:rsidR="0068680B" w:rsidRPr="005529DF">
        <w:t xml:space="preserve">a role in the </w:t>
      </w:r>
      <w:r>
        <w:t xml:space="preserve">monitoring stage </w:t>
      </w:r>
      <w:r w:rsidRPr="005529DF">
        <w:t xml:space="preserve">given it is in their interest to maintain a productive workforce and limit employee time out of work due to impairment. </w:t>
      </w:r>
      <w:r>
        <w:t>R</w:t>
      </w:r>
      <w:r w:rsidR="0068680B" w:rsidRPr="005529DF">
        <w:t xml:space="preserve">ecovery of impaired staff requires employers to implement additional resources for monitoring purposes, such as extra supervision, observing work restrictions, managing confidentiality and interpersonal relationships, and reporting on progress. </w:t>
      </w:r>
    </w:p>
    <w:p w:rsidR="0068680B" w:rsidRPr="005529DF" w:rsidRDefault="00D631AA" w:rsidP="0068680B">
      <w:pPr>
        <w:pStyle w:val="BodyText"/>
      </w:pPr>
      <w:r>
        <w:t>As raised earlier, t</w:t>
      </w:r>
      <w:r w:rsidR="0068680B" w:rsidRPr="005529DF">
        <w:t xml:space="preserve">he </w:t>
      </w:r>
      <w:r w:rsidR="009F11A5">
        <w:t xml:space="preserve">over 90 per cent of </w:t>
      </w:r>
      <w:r w:rsidR="0068680B" w:rsidRPr="005529DF">
        <w:t xml:space="preserve">Nursing and Midwifery </w:t>
      </w:r>
      <w:r w:rsidR="0022400C">
        <w:t xml:space="preserve">Health Impairment </w:t>
      </w:r>
      <w:r w:rsidR="0068680B" w:rsidRPr="005529DF">
        <w:t xml:space="preserve">Survey </w:t>
      </w:r>
      <w:r w:rsidR="004A3317">
        <w:t>responses supported</w:t>
      </w:r>
      <w:r w:rsidR="0068680B" w:rsidRPr="005529DF">
        <w:t xml:space="preserve"> employer involvement in </w:t>
      </w:r>
      <w:r w:rsidR="004A3317" w:rsidRPr="00865D88">
        <w:rPr>
          <w:i/>
        </w:rPr>
        <w:t xml:space="preserve">support </w:t>
      </w:r>
      <w:r w:rsidR="004A3317" w:rsidRPr="007640DA">
        <w:t>services</w:t>
      </w:r>
      <w:r w:rsidR="004A3317">
        <w:t xml:space="preserve"> a</w:t>
      </w:r>
      <w:r w:rsidR="004A3317" w:rsidRPr="005529DF">
        <w:t xml:space="preserve">nd </w:t>
      </w:r>
      <w:r w:rsidR="004A3317" w:rsidRPr="00865D88">
        <w:rPr>
          <w:i/>
        </w:rPr>
        <w:t>monitoring</w:t>
      </w:r>
      <w:r w:rsidR="000168C7">
        <w:rPr>
          <w:i/>
        </w:rPr>
        <w:t xml:space="preserve"> </w:t>
      </w:r>
      <w:r w:rsidR="000168C7" w:rsidRPr="007640DA">
        <w:t>strategies</w:t>
      </w:r>
      <w:r>
        <w:t xml:space="preserve"> to the extent of being </w:t>
      </w:r>
      <w:r w:rsidR="0068680B" w:rsidRPr="005529DF">
        <w:t xml:space="preserve">either be ‘fully’ or ‘partially’ responsible for funding these services. </w:t>
      </w:r>
    </w:p>
    <w:p w:rsidR="003C1572" w:rsidRPr="005B74C9" w:rsidRDefault="003C1572" w:rsidP="002A52AD">
      <w:pPr>
        <w:pStyle w:val="SideQuoteSource"/>
        <w:framePr w:wrap="around"/>
      </w:pPr>
      <w:r w:rsidRPr="005529DF">
        <w:t>Insurers</w:t>
      </w:r>
    </w:p>
    <w:p w:rsidR="003C1572" w:rsidRPr="005529DF" w:rsidRDefault="003C1572" w:rsidP="003C1572">
      <w:pPr>
        <w:pStyle w:val="BodyText"/>
      </w:pPr>
      <w:r>
        <w:t>T</w:t>
      </w:r>
      <w:r w:rsidRPr="005529DF">
        <w:t xml:space="preserve">here is </w:t>
      </w:r>
      <w:r>
        <w:t xml:space="preserve">little evidence of </w:t>
      </w:r>
      <w:r w:rsidRPr="005529DF">
        <w:t xml:space="preserve">insurer involvement </w:t>
      </w:r>
      <w:r>
        <w:t xml:space="preserve">in Australia </w:t>
      </w:r>
      <w:r w:rsidRPr="005529DF">
        <w:t xml:space="preserve">in funding and/or providing </w:t>
      </w:r>
      <w:r w:rsidRPr="007640DA">
        <w:rPr>
          <w:i/>
        </w:rPr>
        <w:t xml:space="preserve">education, support </w:t>
      </w:r>
      <w:r w:rsidRPr="00D25304">
        <w:t>or</w:t>
      </w:r>
      <w:r w:rsidRPr="007640DA">
        <w:rPr>
          <w:i/>
        </w:rPr>
        <w:t xml:space="preserve"> monitoring</w:t>
      </w:r>
      <w:r w:rsidRPr="005529DF">
        <w:t xml:space="preserve"> services to practitioners with a</w:t>
      </w:r>
      <w:r>
        <w:t xml:space="preserve"> health</w:t>
      </w:r>
      <w:r w:rsidRPr="005529DF">
        <w:t xml:space="preserve"> impairment. </w:t>
      </w:r>
      <w:r>
        <w:t>I</w:t>
      </w:r>
      <w:r w:rsidRPr="005529DF">
        <w:t>nternationally</w:t>
      </w:r>
      <w:r>
        <w:t xml:space="preserve"> there are some examples, such as </w:t>
      </w:r>
      <w:r w:rsidRPr="005529DF">
        <w:t>in New Zealand,</w:t>
      </w:r>
      <w:r>
        <w:t xml:space="preserve"> where</w:t>
      </w:r>
      <w:r w:rsidRPr="005529DF">
        <w:t xml:space="preserve"> a free, confidential counselling service for health practitioners is co-funded by the Medical Protection Society and the Medical Assurance Society. Limited to members of these insurance groups, the service is aimed at reducing stress-</w:t>
      </w:r>
      <w:r w:rsidR="0004549C">
        <w:t>related</w:t>
      </w:r>
      <w:r w:rsidRPr="005529DF">
        <w:t xml:space="preserve"> and mental illness-related impairment in practitioners. The service includes referral to face-to-face treatment by other practitioners. </w:t>
      </w:r>
      <w:r>
        <w:t>There are also examples in the</w:t>
      </w:r>
      <w:r w:rsidRPr="005529DF">
        <w:t xml:space="preserve"> US of insurer involvement in funding monitoring services.</w:t>
      </w:r>
    </w:p>
    <w:p w:rsidR="003C1572" w:rsidRDefault="003C1572" w:rsidP="003C1572">
      <w:pPr>
        <w:pStyle w:val="BodyText"/>
      </w:pPr>
      <w:r w:rsidRPr="005529DF">
        <w:t xml:space="preserve">The willingness of insurers to contribute to the costs of additional services in Australia is unclear, given this group was not </w:t>
      </w:r>
      <w:r>
        <w:t>consulted as part</w:t>
      </w:r>
      <w:r w:rsidRPr="005529DF">
        <w:t xml:space="preserve"> of the</w:t>
      </w:r>
      <w:r>
        <w:t xml:space="preserve"> review</w:t>
      </w:r>
      <w:r w:rsidRPr="005529DF">
        <w:t>. However, similar</w:t>
      </w:r>
      <w:r w:rsidR="0004549C">
        <w:t>ly</w:t>
      </w:r>
      <w:r w:rsidRPr="005529DF">
        <w:t xml:space="preserve"> to employers, it could be argued that insurers may have a strong interest in limiting health impairment and its severity, due to the associated costs. </w:t>
      </w:r>
    </w:p>
    <w:p w:rsidR="006D7D68" w:rsidRPr="00C633E5" w:rsidRDefault="006D7D68" w:rsidP="00C633E5">
      <w:pPr>
        <w:pStyle w:val="SideQuote"/>
        <w:framePr w:wrap="around"/>
        <w:jc w:val="right"/>
        <w:rPr>
          <w:i/>
        </w:rPr>
      </w:pPr>
      <w:r w:rsidRPr="00C633E5">
        <w:rPr>
          <w:i/>
        </w:rPr>
        <w:t>Professional colleges and associations</w:t>
      </w:r>
    </w:p>
    <w:p w:rsidR="006D7D68" w:rsidRPr="005529DF" w:rsidRDefault="006D7D68" w:rsidP="006D7D68">
      <w:pPr>
        <w:pStyle w:val="BodyText"/>
      </w:pPr>
      <w:r w:rsidRPr="005529DF">
        <w:t xml:space="preserve">Professional </w:t>
      </w:r>
      <w:r>
        <w:t>Colleges</w:t>
      </w:r>
      <w:r w:rsidRPr="005529DF">
        <w:t xml:space="preserve"> </w:t>
      </w:r>
      <w:r>
        <w:t xml:space="preserve">currently provide some </w:t>
      </w:r>
      <w:r w:rsidRPr="007640DA">
        <w:rPr>
          <w:i/>
        </w:rPr>
        <w:t>education</w:t>
      </w:r>
      <w:r w:rsidRPr="005529DF">
        <w:t xml:space="preserve"> </w:t>
      </w:r>
      <w:r>
        <w:t>regarding</w:t>
      </w:r>
      <w:r w:rsidRPr="005529DF">
        <w:t xml:space="preserve"> impairment and the management of im</w:t>
      </w:r>
      <w:r w:rsidRPr="005529DF">
        <w:lastRenderedPageBreak/>
        <w:t>pairment, in both self and others. This include</w:t>
      </w:r>
      <w:r>
        <w:t>s</w:t>
      </w:r>
      <w:r w:rsidRPr="005529DF">
        <w:t xml:space="preserve"> college publications such as newsletters, </w:t>
      </w:r>
      <w:r>
        <w:t xml:space="preserve">as well as </w:t>
      </w:r>
      <w:r w:rsidRPr="005529DF">
        <w:t xml:space="preserve">continuing professional development programs, published resources for practitioners, and presentations at conferences and forums. </w:t>
      </w:r>
    </w:p>
    <w:p w:rsidR="006D7D68" w:rsidRPr="005529DF" w:rsidRDefault="006D7D68" w:rsidP="006D7D68">
      <w:pPr>
        <w:pStyle w:val="BodyText"/>
      </w:pPr>
      <w:r w:rsidRPr="005529DF">
        <w:t>The ANMF</w:t>
      </w:r>
      <w:r>
        <w:t xml:space="preserve"> also</w:t>
      </w:r>
      <w:r w:rsidRPr="005529DF">
        <w:t xml:space="preserve"> </w:t>
      </w:r>
      <w:r>
        <w:t>provide</w:t>
      </w:r>
      <w:r w:rsidRPr="005529DF">
        <w:t xml:space="preserve"> </w:t>
      </w:r>
      <w:r>
        <w:t>some</w:t>
      </w:r>
      <w:r w:rsidRPr="005529DF">
        <w:t xml:space="preserve"> </w:t>
      </w:r>
      <w:r w:rsidRPr="007640DA">
        <w:rPr>
          <w:i/>
        </w:rPr>
        <w:t>support</w:t>
      </w:r>
      <w:r w:rsidRPr="005529DF">
        <w:t xml:space="preserve"> role</w:t>
      </w:r>
      <w:r>
        <w:t>s</w:t>
      </w:r>
      <w:r w:rsidRPr="005529DF">
        <w:t xml:space="preserve"> </w:t>
      </w:r>
      <w:r>
        <w:t>to</w:t>
      </w:r>
      <w:r w:rsidRPr="005529DF">
        <w:t xml:space="preserve"> nurses and midwives with a health impairment</w:t>
      </w:r>
      <w:r>
        <w:t>, f</w:t>
      </w:r>
      <w:r w:rsidRPr="005529DF">
        <w:t xml:space="preserve">or example, </w:t>
      </w:r>
      <w:r>
        <w:t>through</w:t>
      </w:r>
      <w:r w:rsidRPr="005529DF">
        <w:t xml:space="preserve"> in-house counselling and refer</w:t>
      </w:r>
      <w:r>
        <w:t>ring</w:t>
      </w:r>
      <w:r w:rsidRPr="005529DF">
        <w:t xml:space="preserve"> members to trusted treating practitioners. </w:t>
      </w:r>
    </w:p>
    <w:p w:rsidR="006D7D68" w:rsidRPr="005529DF" w:rsidRDefault="006D7D68" w:rsidP="006D7D68">
      <w:pPr>
        <w:pStyle w:val="BodyText"/>
      </w:pPr>
      <w:r w:rsidRPr="005529DF">
        <w:t xml:space="preserve">While it is possible that professional colleges or associations may be able to assist their members </w:t>
      </w:r>
      <w:r>
        <w:t xml:space="preserve">to </w:t>
      </w:r>
      <w:r w:rsidRPr="005529DF">
        <w:t xml:space="preserve">manage the costs associated with </w:t>
      </w:r>
      <w:r w:rsidRPr="007640DA">
        <w:rPr>
          <w:i/>
        </w:rPr>
        <w:t>monitoring</w:t>
      </w:r>
      <w:r w:rsidRPr="005529DF">
        <w:t xml:space="preserve">, neither the literature review nor stakeholder consultations identified instances where they have been directly involved in assisting with the monitoring costs incurred by their members. </w:t>
      </w:r>
    </w:p>
    <w:p w:rsidR="006D7D68" w:rsidRPr="005529DF" w:rsidRDefault="006D7D68" w:rsidP="006D7D68">
      <w:pPr>
        <w:pStyle w:val="BodyText"/>
      </w:pPr>
      <w:r>
        <w:t>P</w:t>
      </w:r>
      <w:r w:rsidRPr="005529DF">
        <w:t>rofessional colleges and associations have an interest in ensuring their members are healthy and able to work</w:t>
      </w:r>
      <w:r>
        <w:t xml:space="preserve">, but there </w:t>
      </w:r>
      <w:r w:rsidRPr="005529DF">
        <w:t xml:space="preserve">are factors that </w:t>
      </w:r>
      <w:r>
        <w:t xml:space="preserve">may </w:t>
      </w:r>
      <w:r w:rsidR="00D631AA">
        <w:t>restrict</w:t>
      </w:r>
      <w:r w:rsidRPr="005529DF">
        <w:t xml:space="preserve"> the impact that </w:t>
      </w:r>
      <w:r>
        <w:t>they can have. Most prominent here is the i</w:t>
      </w:r>
      <w:r w:rsidRPr="005529DF">
        <w:t xml:space="preserve">ncomplete membership coverage, </w:t>
      </w:r>
      <w:r>
        <w:t>with over 30</w:t>
      </w:r>
      <w:r w:rsidRPr="005529DF">
        <w:t xml:space="preserve"> per cent of </w:t>
      </w:r>
      <w:r>
        <w:t>registered nurses and midwives not being members of</w:t>
      </w:r>
      <w:r w:rsidRPr="005529DF">
        <w:t xml:space="preserve"> ANMF (AHPRA 2015)</w:t>
      </w:r>
      <w:r>
        <w:t>)</w:t>
      </w:r>
      <w:r w:rsidRPr="005529DF">
        <w:t>.</w:t>
      </w:r>
      <w:r>
        <w:t xml:space="preserve"> Additionally, the</w:t>
      </w:r>
      <w:r w:rsidR="00D631AA">
        <w:t xml:space="preserve"> respective roles of the ANMF and the separate colleges of nursing and midwifery would also need to be considered.</w:t>
      </w:r>
    </w:p>
    <w:p w:rsidR="006D7D68" w:rsidRPr="00C633E5" w:rsidRDefault="006D7D68" w:rsidP="00C633E5">
      <w:pPr>
        <w:pStyle w:val="SideQuote"/>
        <w:framePr w:wrap="around"/>
        <w:jc w:val="right"/>
        <w:rPr>
          <w:i/>
        </w:rPr>
      </w:pPr>
      <w:r w:rsidRPr="00C633E5">
        <w:rPr>
          <w:i/>
        </w:rPr>
        <w:t>Government</w:t>
      </w:r>
    </w:p>
    <w:p w:rsidR="006D7D68" w:rsidRPr="005529DF" w:rsidRDefault="006D7D68" w:rsidP="006D7D68">
      <w:pPr>
        <w:pStyle w:val="BodyText"/>
      </w:pPr>
      <w:r>
        <w:t>S</w:t>
      </w:r>
      <w:r w:rsidRPr="005529DF">
        <w:t xml:space="preserve">tate and territory governments provide a range of </w:t>
      </w:r>
      <w:r w:rsidRPr="007640DA">
        <w:rPr>
          <w:i/>
        </w:rPr>
        <w:t>support</w:t>
      </w:r>
      <w:r w:rsidRPr="005529DF">
        <w:t xml:space="preserve"> services such as alcohol, drug and mental health services</w:t>
      </w:r>
      <w:r>
        <w:t xml:space="preserve">, with </w:t>
      </w:r>
      <w:r w:rsidRPr="005529DF">
        <w:t xml:space="preserve">25 per cent of respondents </w:t>
      </w:r>
      <w:r>
        <w:t xml:space="preserve">to the </w:t>
      </w:r>
      <w:r w:rsidRPr="005529DF">
        <w:t xml:space="preserve">Nursing and Midwifery </w:t>
      </w:r>
      <w:r>
        <w:t xml:space="preserve">Health Impairment </w:t>
      </w:r>
      <w:r w:rsidRPr="005529DF">
        <w:t>Survey</w:t>
      </w:r>
      <w:r>
        <w:t xml:space="preserve"> being </w:t>
      </w:r>
      <w:r w:rsidRPr="005529DF">
        <w:t>aware of th</w:t>
      </w:r>
      <w:r>
        <w:t xml:space="preserve">ese </w:t>
      </w:r>
      <w:r w:rsidRPr="005529DF">
        <w:t>service</w:t>
      </w:r>
      <w:r>
        <w:t>s</w:t>
      </w:r>
      <w:r w:rsidRPr="005529DF">
        <w:t>.</w:t>
      </w:r>
      <w:r w:rsidRPr="00662F3C">
        <w:t xml:space="preserve"> </w:t>
      </w:r>
      <w:r>
        <w:t xml:space="preserve">Survey feedback </w:t>
      </w:r>
      <w:r w:rsidRPr="005529DF">
        <w:t xml:space="preserve"> </w:t>
      </w:r>
      <w:r>
        <w:t>also indicated strong</w:t>
      </w:r>
      <w:r w:rsidRPr="005529DF">
        <w:t xml:space="preserve"> support for governments to fund </w:t>
      </w:r>
      <w:r w:rsidRPr="007640DA">
        <w:rPr>
          <w:i/>
        </w:rPr>
        <w:t>support</w:t>
      </w:r>
      <w:r w:rsidRPr="005529DF">
        <w:t xml:space="preserve"> and </w:t>
      </w:r>
      <w:r w:rsidRPr="007640DA">
        <w:rPr>
          <w:i/>
        </w:rPr>
        <w:t>monitoring</w:t>
      </w:r>
      <w:r w:rsidRPr="005529DF">
        <w:t xml:space="preserve"> services</w:t>
      </w:r>
      <w:r>
        <w:t xml:space="preserve">, with </w:t>
      </w:r>
      <w:r w:rsidRPr="005529DF">
        <w:t xml:space="preserve">90 per cent of </w:t>
      </w:r>
      <w:r>
        <w:t xml:space="preserve">respondents </w:t>
      </w:r>
      <w:r w:rsidR="009F11A5">
        <w:t>indicating</w:t>
      </w:r>
      <w:r>
        <w:t xml:space="preserve"> that</w:t>
      </w:r>
      <w:r w:rsidRPr="005529DF">
        <w:t xml:space="preserve"> governments should either be ‘fully’ or ‘partially’ responsible for funding these services. </w:t>
      </w:r>
    </w:p>
    <w:p w:rsidR="006D7D68" w:rsidRPr="005529DF" w:rsidRDefault="006D7D68" w:rsidP="006D7D68">
      <w:pPr>
        <w:pStyle w:val="BodyText"/>
      </w:pPr>
      <w:r w:rsidRPr="005529DF">
        <w:t xml:space="preserve">Governments have an interest in the potential outcomes from the provision of </w:t>
      </w:r>
      <w:r>
        <w:t xml:space="preserve">all the </w:t>
      </w:r>
      <w:r w:rsidRPr="005529DF">
        <w:t>service</w:t>
      </w:r>
      <w:r>
        <w:t xml:space="preserve"> enhancements</w:t>
      </w:r>
      <w:r w:rsidRPr="005529DF">
        <w:t xml:space="preserve">, not only from a public policy and market failure perspective, but also because in some jurisdictions they are a significant employer of nurses and midwives. </w:t>
      </w:r>
    </w:p>
    <w:p w:rsidR="006D7D68" w:rsidRPr="005529DF" w:rsidRDefault="006D7D68" w:rsidP="006D7D68">
      <w:pPr>
        <w:pStyle w:val="ListDash"/>
        <w:numPr>
          <w:ilvl w:val="0"/>
          <w:numId w:val="0"/>
        </w:numPr>
      </w:pPr>
      <w:r>
        <w:lastRenderedPageBreak/>
        <w:t>As there remain</w:t>
      </w:r>
      <w:r w:rsidRPr="005529DF">
        <w:t xml:space="preserve"> significant differences in jurisdictional </w:t>
      </w:r>
      <w:r>
        <w:t>approaches</w:t>
      </w:r>
      <w:r w:rsidRPr="005529DF">
        <w:t xml:space="preserve">, as evidenced in current implementation of mandatory notification and co-regulatory arrangements, a specific targeted review </w:t>
      </w:r>
      <w:r>
        <w:t>is likely</w:t>
      </w:r>
      <w:r w:rsidRPr="005529DF">
        <w:t xml:space="preserve"> </w:t>
      </w:r>
      <w:r>
        <w:t xml:space="preserve">to </w:t>
      </w:r>
      <w:r w:rsidRPr="005529DF">
        <w:t>be required to reach national agreement</w:t>
      </w:r>
      <w:r>
        <w:t xml:space="preserve"> for government involvement in progressing the service enhancements</w:t>
      </w:r>
      <w:r w:rsidRPr="005529DF">
        <w:t>.</w:t>
      </w:r>
    </w:p>
    <w:p w:rsidR="003C1572" w:rsidRPr="005529DF" w:rsidRDefault="003C1572" w:rsidP="005B72F2">
      <w:pPr>
        <w:pStyle w:val="BodyText"/>
        <w:sectPr w:rsidR="003C1572" w:rsidRPr="005529DF" w:rsidSect="00875480">
          <w:type w:val="continuous"/>
          <w:pgSz w:w="11907" w:h="16839" w:code="9"/>
          <w:pgMar w:top="1134" w:right="850" w:bottom="907" w:left="3118" w:header="709" w:footer="567" w:gutter="567"/>
          <w:pgNumType w:start="1"/>
          <w:cols w:space="720"/>
          <w:docGrid w:linePitch="326"/>
        </w:sectPr>
      </w:pPr>
    </w:p>
    <w:p w:rsidR="00E232BC" w:rsidRPr="007640DA" w:rsidRDefault="00E232BC" w:rsidP="005B72F2">
      <w:pPr>
        <w:pStyle w:val="Caption"/>
        <w:ind w:left="0" w:firstLine="0"/>
        <w:rPr>
          <w:rFonts w:ascii="Times New Roman" w:hAnsi="Times New Roman" w:cs="Times New Roman"/>
        </w:rPr>
      </w:pPr>
      <w:bookmarkStart w:id="171" w:name="_Ref418522492"/>
      <w:bookmarkStart w:id="172" w:name="_Toc419702958"/>
      <w:r w:rsidRPr="005529DF">
        <w:rPr>
          <w:rFonts w:ascii="Times New Roman" w:hAnsi="Times New Roman" w:cs="Times New Roman"/>
        </w:rPr>
        <w:lastRenderedPageBreak/>
        <w:t xml:space="preserve">Figure </w:t>
      </w:r>
      <w:r w:rsidR="004D1416" w:rsidRPr="007640DA">
        <w:rPr>
          <w:rFonts w:ascii="Times New Roman" w:hAnsi="Times New Roman" w:cs="Times New Roman"/>
        </w:rPr>
        <w:fldChar w:fldCharType="begin"/>
      </w:r>
      <w:r w:rsidRPr="005529DF">
        <w:rPr>
          <w:rFonts w:ascii="Times New Roman" w:hAnsi="Times New Roman" w:cs="Times New Roman"/>
        </w:rPr>
        <w:instrText xml:space="preserve"> SEQ Figure \* ARABIC </w:instrText>
      </w:r>
      <w:r w:rsidR="004D1416" w:rsidRPr="007640DA">
        <w:rPr>
          <w:rFonts w:ascii="Times New Roman" w:hAnsi="Times New Roman" w:cs="Times New Roman"/>
        </w:rPr>
        <w:fldChar w:fldCharType="separate"/>
      </w:r>
      <w:r w:rsidR="00B07965">
        <w:rPr>
          <w:rFonts w:ascii="Times New Roman" w:hAnsi="Times New Roman" w:cs="Times New Roman"/>
          <w:noProof/>
        </w:rPr>
        <w:t>2</w:t>
      </w:r>
      <w:r w:rsidR="004D1416" w:rsidRPr="007640DA">
        <w:rPr>
          <w:rFonts w:ascii="Times New Roman" w:hAnsi="Times New Roman" w:cs="Times New Roman"/>
        </w:rPr>
        <w:fldChar w:fldCharType="end"/>
      </w:r>
      <w:bookmarkEnd w:id="171"/>
      <w:r w:rsidRPr="007640DA">
        <w:rPr>
          <w:rFonts w:ascii="Times New Roman" w:hAnsi="Times New Roman" w:cs="Times New Roman"/>
          <w:b/>
          <w:color w:val="000080"/>
        </w:rPr>
        <w:tab/>
      </w:r>
      <w:r w:rsidRPr="005529DF">
        <w:rPr>
          <w:rStyle w:val="CaptionLabel"/>
          <w:rFonts w:ascii="Times New Roman" w:hAnsi="Times New Roman" w:cs="Times New Roman"/>
        </w:rPr>
        <w:t>Areas of attention and potential primary and contributory roles for key bodies</w:t>
      </w:r>
      <w:bookmarkEnd w:id="172"/>
    </w:p>
    <w:tbl>
      <w:tblPr>
        <w:tblW w:w="4999" w:type="pct"/>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5079"/>
      </w:tblGrid>
      <w:tr w:rsidR="00E232BC" w:rsidRPr="005529DF" w:rsidTr="00E232BC">
        <w:trPr>
          <w:cantSplit/>
        </w:trPr>
        <w:tc>
          <w:tcPr>
            <w:tcW w:w="5000" w:type="pct"/>
          </w:tcPr>
          <w:p w:rsidR="00E232BC" w:rsidRPr="007640DA" w:rsidRDefault="00E232BC" w:rsidP="00E232BC">
            <w:pPr>
              <w:pStyle w:val="SmallDeltasRightAligned"/>
              <w:keepNext/>
              <w:rPr>
                <w:rFonts w:ascii="Times New Roman" w:hAnsi="Times New Roman" w:cs="Times New Roman"/>
              </w:rPr>
            </w:pPr>
            <w:r w:rsidRPr="007640DA">
              <w:rPr>
                <w:rFonts w:ascii="Times New Roman" w:hAnsi="Times New Roman" w:cs="Times New Roman"/>
                <w:noProof/>
                <w:lang w:eastAsia="en-AU"/>
              </w:rPr>
              <w:drawing>
                <wp:inline distT="0" distB="0" distL="0" distR="0">
                  <wp:extent cx="481585" cy="234696"/>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ILALLEN_MASTERLOGO_DELTAS_PURPLE_TRANS small -dal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1585" cy="234696"/>
                          </a:xfrm>
                          <a:prstGeom prst="rect">
                            <a:avLst/>
                          </a:prstGeom>
                        </pic:spPr>
                      </pic:pic>
                    </a:graphicData>
                  </a:graphic>
                </wp:inline>
              </w:drawing>
            </w:r>
          </w:p>
        </w:tc>
      </w:tr>
      <w:tr w:rsidR="00E232BC" w:rsidRPr="005529DF" w:rsidTr="00E232BC">
        <w:trPr>
          <w:cantSplit/>
        </w:trPr>
        <w:tc>
          <w:tcPr>
            <w:tcW w:w="5000" w:type="pct"/>
          </w:tcPr>
          <w:p w:rsidR="00E232BC" w:rsidRPr="005529DF" w:rsidRDefault="00A05B63" w:rsidP="00E232BC">
            <w:pPr>
              <w:pStyle w:val="Figure"/>
            </w:pPr>
            <w:r w:rsidRPr="00D25304">
              <w:rPr>
                <w:noProof/>
                <w:lang w:eastAsia="en-AU"/>
              </w:rPr>
              <w:drawing>
                <wp:inline distT="0" distB="0" distL="0" distR="0">
                  <wp:extent cx="9172475" cy="461513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 2_RAS0001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176576" cy="4617195"/>
                          </a:xfrm>
                          <a:prstGeom prst="rect">
                            <a:avLst/>
                          </a:prstGeom>
                        </pic:spPr>
                      </pic:pic>
                    </a:graphicData>
                  </a:graphic>
                </wp:inline>
              </w:drawing>
            </w:r>
          </w:p>
        </w:tc>
      </w:tr>
    </w:tbl>
    <w:p w:rsidR="00E232BC" w:rsidRPr="005529DF" w:rsidRDefault="00E232BC" w:rsidP="00E232BC">
      <w:pPr>
        <w:pStyle w:val="Source"/>
        <w:pBdr>
          <w:bottom w:val="single" w:sz="2" w:space="0" w:color="C0C0C0"/>
        </w:pBdr>
        <w:rPr>
          <w:rFonts w:ascii="Times New Roman" w:hAnsi="Times New Roman"/>
        </w:rPr>
      </w:pPr>
      <w:r w:rsidRPr="005529DF">
        <w:rPr>
          <w:rFonts w:ascii="Times New Roman" w:hAnsi="Times New Roman"/>
        </w:rPr>
        <w:t>Key</w:t>
      </w:r>
      <w:r w:rsidRPr="007640DA">
        <w:rPr>
          <w:rFonts w:ascii="Times New Roman" w:hAnsi="Times New Roman"/>
        </w:rPr>
        <w:t xml:space="preserve">: </w:t>
      </w:r>
      <w:r w:rsidR="004042CA" w:rsidRPr="001B3D40">
        <w:rPr>
          <w:rFonts w:ascii="Times New Roman" w:hAnsi="Times New Roman"/>
          <w:sz w:val="22"/>
          <w:szCs w:val="22"/>
        </w:rPr>
        <w:t>●</w:t>
      </w:r>
      <w:r w:rsidR="004042CA">
        <w:rPr>
          <w:rFonts w:ascii="Times New Roman" w:hAnsi="Times New Roman"/>
        </w:rPr>
        <w:t xml:space="preserve"> </w:t>
      </w:r>
      <w:r w:rsidRPr="005529DF">
        <w:rPr>
          <w:rFonts w:ascii="Times New Roman" w:hAnsi="Times New Roman"/>
        </w:rPr>
        <w:t xml:space="preserve">Primary: the stakeholder could play a leading role in implementing additional services; </w:t>
      </w:r>
      <w:r w:rsidR="004042CA" w:rsidRPr="001B3D40">
        <w:rPr>
          <w:rFonts w:ascii="MS Mincho" w:eastAsia="MS Mincho" w:hAnsi="MS Mincho"/>
          <w:sz w:val="22"/>
          <w:szCs w:val="22"/>
        </w:rPr>
        <w:t>◑</w:t>
      </w:r>
      <w:r w:rsidRPr="00875480">
        <w:rPr>
          <w:rFonts w:ascii="Harvey Balls" w:hAnsi="Harvey Balls"/>
        </w:rPr>
        <w:t xml:space="preserve"> </w:t>
      </w:r>
      <w:r w:rsidRPr="005529DF">
        <w:rPr>
          <w:rFonts w:ascii="Times New Roman" w:hAnsi="Times New Roman"/>
        </w:rPr>
        <w:t xml:space="preserve">Contributory: the stakeholder could play an assisting role in implementing additional services: </w:t>
      </w:r>
      <w:r w:rsidR="004042CA" w:rsidRPr="001B3D40">
        <w:rPr>
          <w:rFonts w:ascii="MS Mincho" w:eastAsia="MS Mincho" w:hAnsi="MS Mincho" w:hint="eastAsia"/>
          <w:sz w:val="12"/>
          <w:szCs w:val="12"/>
        </w:rPr>
        <w:t>○</w:t>
      </w:r>
      <w:r w:rsidRPr="005529DF">
        <w:rPr>
          <w:rFonts w:ascii="Times New Roman" w:hAnsi="Times New Roman"/>
        </w:rPr>
        <w:t xml:space="preserve"> Interest. </w:t>
      </w:r>
      <w:proofErr w:type="gramStart"/>
      <w:r w:rsidRPr="005529DF">
        <w:rPr>
          <w:rFonts w:ascii="Times New Roman" w:hAnsi="Times New Roman"/>
        </w:rPr>
        <w:t>the</w:t>
      </w:r>
      <w:proofErr w:type="gramEnd"/>
      <w:r w:rsidRPr="005529DF">
        <w:rPr>
          <w:rFonts w:ascii="Times New Roman" w:hAnsi="Times New Roman"/>
        </w:rPr>
        <w:t xml:space="preserve"> stakeholder has an interest in the outcomes of the service</w:t>
      </w:r>
      <w:r w:rsidR="00A26DBA">
        <w:rPr>
          <w:rFonts w:ascii="Times New Roman" w:hAnsi="Times New Roman"/>
          <w:szCs w:val="16"/>
        </w:rPr>
        <w:t>.</w:t>
      </w:r>
    </w:p>
    <w:p w:rsidR="00251B69" w:rsidRPr="007640DA" w:rsidRDefault="00E232BC">
      <w:pPr>
        <w:pStyle w:val="Source"/>
        <w:pBdr>
          <w:bottom w:val="single" w:sz="2" w:space="0" w:color="C0C0C0"/>
        </w:pBdr>
        <w:rPr>
          <w:rFonts w:ascii="Times New Roman" w:hAnsi="Times New Roman"/>
        </w:rPr>
        <w:sectPr w:rsidR="00251B69" w:rsidRPr="007640DA" w:rsidSect="00224D0D">
          <w:headerReference w:type="default" r:id="rId30"/>
          <w:footerReference w:type="default" r:id="rId31"/>
          <w:pgSz w:w="16840" w:h="11907" w:orient="landscape" w:code="9"/>
          <w:pgMar w:top="851" w:right="907" w:bottom="851" w:left="851" w:header="709" w:footer="567" w:gutter="567"/>
          <w:cols w:space="720"/>
        </w:sectPr>
      </w:pPr>
      <w:r w:rsidRPr="005529DF">
        <w:rPr>
          <w:rFonts w:ascii="Times New Roman" w:hAnsi="Times New Roman"/>
        </w:rPr>
        <w:t xml:space="preserve">Source: ACIL Allen Consulting </w:t>
      </w:r>
    </w:p>
    <w:p w:rsidR="006D18BF" w:rsidRPr="001B3D40" w:rsidRDefault="006D18BF" w:rsidP="001B3D40">
      <w:pPr>
        <w:pStyle w:val="SideQuote"/>
        <w:framePr w:wrap="around"/>
        <w:jc w:val="right"/>
        <w:rPr>
          <w:i/>
        </w:rPr>
      </w:pPr>
      <w:r w:rsidRPr="006D18BF">
        <w:rPr>
          <w:b w:val="0"/>
          <w:i/>
        </w:rPr>
        <w:lastRenderedPageBreak/>
        <w:t>Regulator</w:t>
      </w:r>
    </w:p>
    <w:p w:rsidR="00C22B51" w:rsidRPr="005529DF" w:rsidRDefault="00231D50" w:rsidP="00B9747F">
      <w:pPr>
        <w:pStyle w:val="BodyText"/>
      </w:pPr>
      <w:r w:rsidRPr="005529DF">
        <w:t xml:space="preserve">In </w:t>
      </w:r>
      <w:r w:rsidR="00EC2637">
        <w:t>relation</w:t>
      </w:r>
      <w:r w:rsidR="00EC2637" w:rsidRPr="005529DF">
        <w:t xml:space="preserve"> </w:t>
      </w:r>
      <w:r w:rsidRPr="005529DF">
        <w:t xml:space="preserve">to </w:t>
      </w:r>
      <w:r w:rsidRPr="007640DA">
        <w:rPr>
          <w:i/>
        </w:rPr>
        <w:t>education</w:t>
      </w:r>
      <w:r w:rsidRPr="005529DF">
        <w:t>, regulators</w:t>
      </w:r>
      <w:r w:rsidR="002E64E0">
        <w:t xml:space="preserve"> internationally</w:t>
      </w:r>
      <w:r w:rsidRPr="005529DF">
        <w:t xml:space="preserve"> have a current role in the ‘promotion and endorsement of programs and services’. </w:t>
      </w:r>
      <w:r w:rsidR="00B9747F" w:rsidRPr="005529DF">
        <w:t xml:space="preserve">In Australia, AHPRA communicates and </w:t>
      </w:r>
      <w:r w:rsidR="002D45B6">
        <w:t>informs nurses and midwives of</w:t>
      </w:r>
      <w:r w:rsidR="002D45B6" w:rsidRPr="005529DF">
        <w:t xml:space="preserve"> </w:t>
      </w:r>
      <w:r w:rsidR="00B9747F" w:rsidRPr="005529DF">
        <w:t xml:space="preserve">available support </w:t>
      </w:r>
      <w:r w:rsidR="00FE26C3">
        <w:t>services</w:t>
      </w:r>
      <w:r w:rsidR="00FE26C3" w:rsidRPr="005529DF">
        <w:t xml:space="preserve"> </w:t>
      </w:r>
      <w:r w:rsidR="00B9747F" w:rsidRPr="005529DF">
        <w:t xml:space="preserve">once </w:t>
      </w:r>
      <w:r w:rsidR="002D45B6">
        <w:t>they have</w:t>
      </w:r>
      <w:r w:rsidR="00B9747F" w:rsidRPr="005529DF">
        <w:t xml:space="preserve"> been notified. AHPRA also provides online information regarding ‘Who does what?’ during the notification process as well as information on each stage such as lodgement, assessment, investigation, and panel and tribunal hearings (AHPRA 2015a). </w:t>
      </w:r>
    </w:p>
    <w:p w:rsidR="00B9747F" w:rsidRPr="005529DF" w:rsidRDefault="00B9747F" w:rsidP="00B9747F">
      <w:pPr>
        <w:pStyle w:val="BodyText"/>
      </w:pPr>
      <w:r w:rsidRPr="005529DF">
        <w:t xml:space="preserve">As </w:t>
      </w:r>
      <w:r w:rsidR="00247E35">
        <w:t xml:space="preserve">discussed in </w:t>
      </w:r>
      <w:r w:rsidRPr="005529DF">
        <w:t>the Literature Review</w:t>
      </w:r>
      <w:r w:rsidR="002E64E0">
        <w:t xml:space="preserve"> report</w:t>
      </w:r>
      <w:r w:rsidRPr="005529DF">
        <w:t xml:space="preserve">, </w:t>
      </w:r>
      <w:r w:rsidR="00247E35">
        <w:t>regulators can</w:t>
      </w:r>
      <w:r w:rsidRPr="005529DF">
        <w:t xml:space="preserve"> interact with a range of areas of activity in relation to </w:t>
      </w:r>
      <w:r w:rsidR="00A84D93" w:rsidRPr="007640DA">
        <w:rPr>
          <w:i/>
        </w:rPr>
        <w:t>support</w:t>
      </w:r>
      <w:r w:rsidR="00A84D93" w:rsidRPr="005529DF">
        <w:t xml:space="preserve"> services for practitioners with a</w:t>
      </w:r>
      <w:r w:rsidR="00247E35">
        <w:t xml:space="preserve"> health</w:t>
      </w:r>
      <w:r w:rsidR="00A84D93" w:rsidRPr="005529DF">
        <w:t xml:space="preserve"> impairment</w:t>
      </w:r>
      <w:r w:rsidR="00247E35">
        <w:t xml:space="preserve">, such as </w:t>
      </w:r>
      <w:r w:rsidRPr="005529DF">
        <w:t>‘funding part of all of programs and services’</w:t>
      </w:r>
      <w:r w:rsidR="009E1F0D" w:rsidRPr="005529DF">
        <w:t xml:space="preserve"> </w:t>
      </w:r>
      <w:r w:rsidRPr="005529DF">
        <w:t>and ‘providing part or all of programs and services’</w:t>
      </w:r>
      <w:r w:rsidR="009E1F0D" w:rsidRPr="005529DF">
        <w:t xml:space="preserve"> </w:t>
      </w:r>
      <w:r w:rsidR="00247E35">
        <w:t xml:space="preserve">as is the case with the </w:t>
      </w:r>
      <w:r w:rsidR="009E1F0D" w:rsidRPr="005529DF">
        <w:t xml:space="preserve">College of Registered Nurses of British Columbia Early Intervention Program </w:t>
      </w:r>
      <w:r w:rsidR="00A84D93" w:rsidRPr="005529DF">
        <w:t>(page 13, Literature Review)</w:t>
      </w:r>
      <w:r w:rsidRPr="005529DF">
        <w:t>.</w:t>
      </w:r>
    </w:p>
    <w:p w:rsidR="004711B2" w:rsidRPr="005529DF" w:rsidRDefault="004711B2" w:rsidP="004711B2">
      <w:pPr>
        <w:pStyle w:val="BodyText"/>
      </w:pPr>
      <w:r w:rsidRPr="005529DF">
        <w:t xml:space="preserve">Regulators have </w:t>
      </w:r>
      <w:r w:rsidR="00661223">
        <w:t>some</w:t>
      </w:r>
      <w:r w:rsidR="00661223" w:rsidRPr="005529DF">
        <w:t xml:space="preserve"> </w:t>
      </w:r>
      <w:r w:rsidRPr="005529DF">
        <w:t xml:space="preserve">interest in all </w:t>
      </w:r>
      <w:r w:rsidR="005E5EEF">
        <w:t>the service enhancements</w:t>
      </w:r>
      <w:r w:rsidR="00313266">
        <w:t>, g</w:t>
      </w:r>
      <w:r w:rsidRPr="005529DF">
        <w:t xml:space="preserve">iven </w:t>
      </w:r>
      <w:r w:rsidR="00661223">
        <w:t xml:space="preserve">the intent </w:t>
      </w:r>
      <w:r w:rsidR="009F11A5">
        <w:t xml:space="preserve">of these is </w:t>
      </w:r>
      <w:r w:rsidR="00661223">
        <w:t>to</w:t>
      </w:r>
      <w:r w:rsidRPr="005529DF">
        <w:t xml:space="preserve"> increase early access to appropriate support and thereby reduce instances and/or severity of health impairment among practitioners</w:t>
      </w:r>
      <w:r w:rsidR="00313266">
        <w:t>. As such</w:t>
      </w:r>
      <w:r w:rsidR="009F11A5">
        <w:t xml:space="preserve">, they have </w:t>
      </w:r>
      <w:r w:rsidRPr="005529DF">
        <w:t>the potential to minimise costs associated with notifications</w:t>
      </w:r>
      <w:r w:rsidR="00BE17C2">
        <w:t>, which are</w:t>
      </w:r>
      <w:r w:rsidRPr="005529DF">
        <w:t xml:space="preserve"> incurred by the regulator</w:t>
      </w:r>
      <w:r w:rsidR="00BE17C2">
        <w:rPr>
          <w:rStyle w:val="CommentReference"/>
        </w:rPr>
        <w:t xml:space="preserve">, </w:t>
      </w:r>
      <w:r w:rsidR="00BE17C2">
        <w:t xml:space="preserve">, as well as </w:t>
      </w:r>
      <w:r w:rsidR="009F11A5">
        <w:t>reducing risk</w:t>
      </w:r>
      <w:r w:rsidRPr="005529DF">
        <w:t xml:space="preserve"> to the public. </w:t>
      </w:r>
    </w:p>
    <w:p w:rsidR="00661223" w:rsidRDefault="00661223" w:rsidP="007640DA">
      <w:pPr>
        <w:pStyle w:val="BodyText"/>
        <w:rPr>
          <w:i/>
        </w:rPr>
      </w:pPr>
      <w:r>
        <w:t xml:space="preserve">In relation to </w:t>
      </w:r>
      <w:r w:rsidRPr="007640DA">
        <w:rPr>
          <w:i/>
        </w:rPr>
        <w:t>education</w:t>
      </w:r>
      <w:r>
        <w:t>, review feedback was</w:t>
      </w:r>
      <w:r w:rsidR="004711B2" w:rsidRPr="005529DF">
        <w:t xml:space="preserve"> broadly supportive of the role of the regulator in regards to the promotion of available </w:t>
      </w:r>
      <w:r w:rsidR="004711B2" w:rsidRPr="007640DA">
        <w:rPr>
          <w:i/>
        </w:rPr>
        <w:t>support</w:t>
      </w:r>
      <w:r w:rsidR="004711B2" w:rsidRPr="005529DF">
        <w:t xml:space="preserve"> services. This is not to say that </w:t>
      </w:r>
      <w:r>
        <w:t>this was</w:t>
      </w:r>
      <w:r w:rsidRPr="005529DF">
        <w:t xml:space="preserve"> </w:t>
      </w:r>
      <w:r w:rsidR="004711B2" w:rsidRPr="005529DF">
        <w:t xml:space="preserve">considered solely the role of the regulator, </w:t>
      </w:r>
      <w:r>
        <w:t>indeed</w:t>
      </w:r>
      <w:r w:rsidR="004711B2" w:rsidRPr="005529DF">
        <w:t xml:space="preserve"> there should be a degree of independence between the regulator and the strong promotion of support services, principally to avoid the deterrence effect that the disciplinary nature of the notification process can have. </w:t>
      </w:r>
    </w:p>
    <w:p w:rsidR="00430EB7" w:rsidRPr="005529DF" w:rsidRDefault="00430EB7" w:rsidP="00430EB7">
      <w:pPr>
        <w:pStyle w:val="ListDash"/>
        <w:numPr>
          <w:ilvl w:val="0"/>
          <w:numId w:val="0"/>
        </w:numPr>
      </w:pPr>
      <w:r w:rsidRPr="005529DF">
        <w:t xml:space="preserve">In </w:t>
      </w:r>
      <w:r>
        <w:t>relation</w:t>
      </w:r>
      <w:r w:rsidRPr="005529DF">
        <w:t xml:space="preserve"> to </w:t>
      </w:r>
      <w:r w:rsidRPr="009E03ED">
        <w:rPr>
          <w:i/>
        </w:rPr>
        <w:t>support</w:t>
      </w:r>
      <w:r w:rsidRPr="005529DF">
        <w:t xml:space="preserve"> services, 65 per cent of Nursing and Midwifery </w:t>
      </w:r>
      <w:r w:rsidR="00BE17C2">
        <w:t xml:space="preserve">Health Impairment </w:t>
      </w:r>
      <w:r w:rsidRPr="005529DF">
        <w:t xml:space="preserve">Survey respondents indicated regulators should be either fully or partially responsible for funding. By comparison, approximately 90 per cent of respondents </w:t>
      </w:r>
      <w:r w:rsidR="00313266">
        <w:t>indicated that</w:t>
      </w:r>
      <w:r w:rsidR="00313266" w:rsidRPr="005529DF">
        <w:t xml:space="preserve"> </w:t>
      </w:r>
      <w:r w:rsidRPr="005529DF">
        <w:t>governments and/or employers should fund support services</w:t>
      </w:r>
      <w:r w:rsidR="00313266">
        <w:t xml:space="preserve">, </w:t>
      </w:r>
      <w:r w:rsidR="004C576E">
        <w:t>with the same figure for</w:t>
      </w:r>
      <w:r w:rsidR="00313266">
        <w:t xml:space="preserve"> individual practitioner </w:t>
      </w:r>
      <w:r w:rsidR="004C576E">
        <w:t xml:space="preserve">being </w:t>
      </w:r>
      <w:r w:rsidR="009E113A">
        <w:t>65</w:t>
      </w:r>
      <w:r w:rsidR="004C576E">
        <w:t xml:space="preserve"> per cent</w:t>
      </w:r>
      <w:r w:rsidRPr="005529DF">
        <w:t xml:space="preserve">. </w:t>
      </w:r>
    </w:p>
    <w:p w:rsidR="004711B2" w:rsidRPr="005529DF" w:rsidRDefault="00661223" w:rsidP="007640DA">
      <w:pPr>
        <w:pStyle w:val="BodyText"/>
      </w:pPr>
      <w:r w:rsidRPr="007640DA">
        <w:lastRenderedPageBreak/>
        <w:t>In relation to</w:t>
      </w:r>
      <w:r>
        <w:rPr>
          <w:i/>
        </w:rPr>
        <w:t xml:space="preserve"> m</w:t>
      </w:r>
      <w:r w:rsidR="004711B2" w:rsidRPr="005529DF">
        <w:rPr>
          <w:i/>
        </w:rPr>
        <w:t>onitoring</w:t>
      </w:r>
      <w:r>
        <w:rPr>
          <w:i/>
        </w:rPr>
        <w:t xml:space="preserve">, </w:t>
      </w:r>
      <w:r>
        <w:t>it</w:t>
      </w:r>
      <w:r w:rsidR="004711B2" w:rsidRPr="005529DF">
        <w:t xml:space="preserve"> is understood that </w:t>
      </w:r>
      <w:r>
        <w:t xml:space="preserve">AHPRA </w:t>
      </w:r>
      <w:r w:rsidR="002C2DF4">
        <w:t xml:space="preserve">is currently </w:t>
      </w:r>
      <w:r>
        <w:t xml:space="preserve">investigating cost effective options </w:t>
      </w:r>
      <w:r w:rsidR="004711B2" w:rsidRPr="005529DF">
        <w:t xml:space="preserve">to perform the monitoring tests required. In </w:t>
      </w:r>
      <w:r>
        <w:t xml:space="preserve">support of this, </w:t>
      </w:r>
      <w:r w:rsidR="004711B2" w:rsidRPr="005529DF">
        <w:t xml:space="preserve">82 per cent of Nursing and Midwifery </w:t>
      </w:r>
      <w:r w:rsidR="00497B27">
        <w:t xml:space="preserve">Health Impairment </w:t>
      </w:r>
      <w:r w:rsidR="004711B2" w:rsidRPr="005529DF">
        <w:t xml:space="preserve">Survey respondents believe that there is a role for the regulator in assisting with the costs associated with monitoring services, albeit to a lesser extent than employers (88 per cent) and governments (90 per cent). </w:t>
      </w:r>
    </w:p>
    <w:p w:rsidR="004711B2" w:rsidRDefault="004711B2" w:rsidP="007640DA">
      <w:pPr>
        <w:pStyle w:val="BodyText"/>
      </w:pPr>
      <w:r w:rsidRPr="005529DF">
        <w:t xml:space="preserve">There are, however, significant factors to be considered </w:t>
      </w:r>
      <w:r w:rsidR="007A771C">
        <w:t>regarding</w:t>
      </w:r>
      <w:r w:rsidRPr="005529DF">
        <w:t xml:space="preserve"> regulator involvement in </w:t>
      </w:r>
      <w:r w:rsidR="007A771C">
        <w:t xml:space="preserve">service enhancements. Particularly in the </w:t>
      </w:r>
      <w:r w:rsidRPr="005529DF">
        <w:t xml:space="preserve">provision of </w:t>
      </w:r>
      <w:r w:rsidRPr="007640DA">
        <w:rPr>
          <w:i/>
        </w:rPr>
        <w:t>support</w:t>
      </w:r>
      <w:r w:rsidRPr="005529DF">
        <w:t xml:space="preserve"> services</w:t>
      </w:r>
      <w:r w:rsidR="007A771C">
        <w:t xml:space="preserve"> where</w:t>
      </w:r>
      <w:r w:rsidR="00EA4469">
        <w:t>,</w:t>
      </w:r>
      <w:r w:rsidR="007A771C">
        <w:t xml:space="preserve"> as discussed previously, the disciplinary focus of the </w:t>
      </w:r>
      <w:r w:rsidR="00EA4469">
        <w:t>regu</w:t>
      </w:r>
      <w:r w:rsidR="007A771C">
        <w:t>l</w:t>
      </w:r>
      <w:r w:rsidR="00EA4469">
        <w:t>at</w:t>
      </w:r>
      <w:r w:rsidR="007A771C">
        <w:t xml:space="preserve">ory role may </w:t>
      </w:r>
      <w:r w:rsidRPr="005529DF">
        <w:t xml:space="preserve">deter nurses and/or midwives from </w:t>
      </w:r>
      <w:r w:rsidR="007A771C">
        <w:t xml:space="preserve">self-referring or </w:t>
      </w:r>
      <w:r w:rsidRPr="005529DF">
        <w:t>seeking support</w:t>
      </w:r>
      <w:r w:rsidR="00EA4469">
        <w:t xml:space="preserve">, or </w:t>
      </w:r>
      <w:r w:rsidRPr="005529DF">
        <w:t xml:space="preserve"> have the effect of </w:t>
      </w:r>
      <w:r w:rsidR="00EA4469">
        <w:t>diverting away from</w:t>
      </w:r>
      <w:r w:rsidR="00EA4469" w:rsidRPr="005529DF">
        <w:t xml:space="preserve"> </w:t>
      </w:r>
      <w:r w:rsidRPr="005529DF">
        <w:t xml:space="preserve">regulatory oversight of nurses and/or midwives with a notifiable health impairment. </w:t>
      </w:r>
    </w:p>
    <w:p w:rsidR="00EA4469" w:rsidRPr="005529DF" w:rsidRDefault="00EA4469" w:rsidP="00D25304">
      <w:pPr>
        <w:pStyle w:val="BodyText"/>
      </w:pPr>
      <w:r>
        <w:t xml:space="preserve">A related role is funding, which </w:t>
      </w:r>
      <w:r w:rsidR="00BE17C2">
        <w:t xml:space="preserve">necessitates </w:t>
      </w:r>
      <w:r>
        <w:t xml:space="preserve">a direct role in the provision of the services.  Registration fees were seen by many nurses and midwives as a key source of funding for the enhancements, particularly the </w:t>
      </w:r>
      <w:r w:rsidRPr="007640DA">
        <w:rPr>
          <w:i/>
        </w:rPr>
        <w:t>support</w:t>
      </w:r>
      <w:r>
        <w:t xml:space="preserve"> services.</w:t>
      </w:r>
      <w:r w:rsidRPr="005529DF">
        <w:t xml:space="preserve"> The majority (57 per cent) of Nursing and Midwifery </w:t>
      </w:r>
      <w:r w:rsidR="00BE17C2">
        <w:t xml:space="preserve">Health Impairment </w:t>
      </w:r>
      <w:r w:rsidRPr="005529DF">
        <w:t xml:space="preserve">Survey respondents </w:t>
      </w:r>
      <w:r>
        <w:t>indicated</w:t>
      </w:r>
      <w:r w:rsidRPr="005529DF">
        <w:t xml:space="preserve"> that they would be willing to accept an increase in registration fees between $1-40 for the regulator to </w:t>
      </w:r>
      <w:r w:rsidR="00094D08">
        <w:t xml:space="preserve">establish and provide </w:t>
      </w:r>
      <w:r w:rsidR="00B9318B">
        <w:t>health impairment services</w:t>
      </w:r>
      <w:r w:rsidRPr="005529DF">
        <w:t xml:space="preserve">. </w:t>
      </w:r>
      <w:r>
        <w:t xml:space="preserve">Similarly, </w:t>
      </w:r>
      <w:r w:rsidRPr="005529DF">
        <w:t xml:space="preserve">focus groups </w:t>
      </w:r>
      <w:r>
        <w:t>of nurses and midwives considered that an</w:t>
      </w:r>
      <w:r w:rsidRPr="005529DF">
        <w:t xml:space="preserve"> increase in fees by $5-20 would represent good value for money. The </w:t>
      </w:r>
      <w:r>
        <w:t xml:space="preserve">comprehensive coverage of all registered nurses and midwives through registration fees addresses the equity issue raised earlier in relation to professional association membership fees, as well as reducing the per capita impact through the </w:t>
      </w:r>
      <w:r w:rsidRPr="005529DF">
        <w:t>larger economies of scale.</w:t>
      </w:r>
    </w:p>
    <w:p w:rsidR="00CD39D0" w:rsidRPr="005529DF" w:rsidRDefault="004711B2" w:rsidP="007640DA">
      <w:pPr>
        <w:pStyle w:val="BodyText"/>
      </w:pPr>
      <w:r w:rsidRPr="005529DF">
        <w:t xml:space="preserve">If </w:t>
      </w:r>
      <w:r w:rsidR="00FF0003">
        <w:t xml:space="preserve">registration fees </w:t>
      </w:r>
      <w:r w:rsidR="002C2DF4">
        <w:t>are to be used as a</w:t>
      </w:r>
      <w:r w:rsidR="00FF0003">
        <w:t xml:space="preserve"> source of funding this </w:t>
      </w:r>
      <w:r w:rsidR="004C576E">
        <w:t>raises an issue in relation to</w:t>
      </w:r>
      <w:r w:rsidR="00FF0003">
        <w:t xml:space="preserve"> the </w:t>
      </w:r>
      <w:r w:rsidR="004C576E">
        <w:t xml:space="preserve">separation </w:t>
      </w:r>
      <w:r w:rsidR="00FF0003">
        <w:t xml:space="preserve">of the regulatory role from the support role. </w:t>
      </w:r>
      <w:r w:rsidR="004C576E">
        <w:t xml:space="preserve">Nurses and midwives consulted as part of this review </w:t>
      </w:r>
      <w:r w:rsidR="000308F0">
        <w:t>indicated that this could lead to a perception that the support services would not be sufficiently independent of the regulator and, as such, could discourage or delay their effective use. To address this perception, r</w:t>
      </w:r>
      <w:r w:rsidRPr="005529DF">
        <w:t xml:space="preserve">obust governance arrangements </w:t>
      </w:r>
      <w:r w:rsidR="004C576E">
        <w:t xml:space="preserve">and processes </w:t>
      </w:r>
      <w:r w:rsidRPr="005529DF">
        <w:t xml:space="preserve">would be required to ensure appropriate </w:t>
      </w:r>
      <w:r w:rsidR="00FF0003">
        <w:lastRenderedPageBreak/>
        <w:t>shielding</w:t>
      </w:r>
      <w:r w:rsidR="00FF0003" w:rsidRPr="005529DF">
        <w:t xml:space="preserve"> </w:t>
      </w:r>
      <w:r w:rsidRPr="005529DF">
        <w:t xml:space="preserve">and escalation of notifiable matters to the regulator. </w:t>
      </w:r>
    </w:p>
    <w:p w:rsidR="001C0337" w:rsidRPr="005529DF" w:rsidRDefault="001C0337" w:rsidP="005B72F2">
      <w:pPr>
        <w:pStyle w:val="Heading2"/>
        <w:rPr>
          <w:rFonts w:ascii="Times New Roman" w:hAnsi="Times New Roman"/>
        </w:rPr>
      </w:pPr>
      <w:bookmarkStart w:id="173" w:name="_Ref418598066"/>
      <w:bookmarkStart w:id="174" w:name="_Toc419702951"/>
      <w:bookmarkEnd w:id="173"/>
      <w:r w:rsidRPr="005529DF">
        <w:rPr>
          <w:rFonts w:ascii="Times New Roman" w:hAnsi="Times New Roman"/>
        </w:rPr>
        <w:t>Financial considerations</w:t>
      </w:r>
      <w:bookmarkEnd w:id="174"/>
      <w:r w:rsidRPr="005529DF">
        <w:rPr>
          <w:rFonts w:ascii="Times New Roman" w:hAnsi="Times New Roman"/>
        </w:rPr>
        <w:t xml:space="preserve"> </w:t>
      </w:r>
    </w:p>
    <w:p w:rsidR="00F64D2B" w:rsidRPr="005529DF" w:rsidRDefault="00C04D71" w:rsidP="00F64D2B">
      <w:pPr>
        <w:pStyle w:val="BodyText"/>
      </w:pPr>
      <w:r>
        <w:t xml:space="preserve">In </w:t>
      </w:r>
      <w:r w:rsidR="004D0424">
        <w:t xml:space="preserve">order to help </w:t>
      </w:r>
      <w:r>
        <w:t>assess</w:t>
      </w:r>
      <w:r w:rsidR="004D0424">
        <w:t xml:space="preserve"> </w:t>
      </w:r>
      <w:r>
        <w:t xml:space="preserve">the identified service enhancements, </w:t>
      </w:r>
      <w:r w:rsidR="004D0424">
        <w:t>th</w:t>
      </w:r>
      <w:r w:rsidR="006962F8">
        <w:t>is</w:t>
      </w:r>
      <w:r w:rsidR="004D0424">
        <w:t xml:space="preserve"> section considers</w:t>
      </w:r>
      <w:r>
        <w:t xml:space="preserve"> the nature and s</w:t>
      </w:r>
      <w:r w:rsidR="00F64D2B">
        <w:t xml:space="preserve">cale </w:t>
      </w:r>
      <w:r w:rsidR="004D0424">
        <w:t xml:space="preserve">of the </w:t>
      </w:r>
      <w:r w:rsidR="00F64D2B">
        <w:t xml:space="preserve">costs and benefits </w:t>
      </w:r>
      <w:r>
        <w:t xml:space="preserve">involved. </w:t>
      </w:r>
      <w:r w:rsidR="00F64D2B">
        <w:t>The</w:t>
      </w:r>
      <w:r w:rsidR="00F64D2B" w:rsidRPr="005529DF">
        <w:t xml:space="preserve"> benefits</w:t>
      </w:r>
      <w:r w:rsidR="004D0424">
        <w:t>, in particular,</w:t>
      </w:r>
      <w:r w:rsidR="00F64D2B" w:rsidRPr="005529DF">
        <w:t xml:space="preserve"> </w:t>
      </w:r>
      <w:r w:rsidR="00F64D2B">
        <w:t xml:space="preserve">are typically </w:t>
      </w:r>
      <w:r w:rsidR="004D0424">
        <w:t xml:space="preserve">a </w:t>
      </w:r>
      <w:r w:rsidR="00F64D2B">
        <w:t>comb</w:t>
      </w:r>
      <w:r w:rsidR="00543A23">
        <w:t>ination</w:t>
      </w:r>
      <w:r w:rsidR="00F64D2B">
        <w:t xml:space="preserve"> of </w:t>
      </w:r>
      <w:r w:rsidR="00F64D2B" w:rsidRPr="005529DF">
        <w:t>avoided</w:t>
      </w:r>
      <w:r w:rsidR="004D0424">
        <w:t xml:space="preserve"> costs in</w:t>
      </w:r>
      <w:r w:rsidR="00F64D2B" w:rsidRPr="005529DF">
        <w:t xml:space="preserve">: </w:t>
      </w:r>
    </w:p>
    <w:p w:rsidR="00E116E1" w:rsidRDefault="00F64D2B" w:rsidP="00252FBE">
      <w:pPr>
        <w:pStyle w:val="ListDash"/>
      </w:pPr>
      <w:r w:rsidRPr="007640DA">
        <w:rPr>
          <w:i/>
        </w:rPr>
        <w:t>Notification</w:t>
      </w:r>
      <w:r>
        <w:t xml:space="preserve">: the costs associated with </w:t>
      </w:r>
      <w:r w:rsidR="00E116E1">
        <w:t>lodgement, assessment, health complaints entity consultation, investigation, health assessment immediate action, panel and tribunal hearings, and monitoring.</w:t>
      </w:r>
    </w:p>
    <w:p w:rsidR="00F64D2B" w:rsidRPr="007640DA" w:rsidRDefault="00F64D2B">
      <w:pPr>
        <w:pStyle w:val="ListDash"/>
        <w:rPr>
          <w:i/>
        </w:rPr>
      </w:pPr>
      <w:r w:rsidRPr="007640DA">
        <w:rPr>
          <w:i/>
        </w:rPr>
        <w:t>Testing and treatment</w:t>
      </w:r>
      <w:r>
        <w:t xml:space="preserve">: </w:t>
      </w:r>
      <w:r w:rsidR="00E116E1">
        <w:t>required by the nurse or midwife to comply with the monitoring strategy.</w:t>
      </w:r>
    </w:p>
    <w:p w:rsidR="00F64D2B" w:rsidRPr="005529DF" w:rsidRDefault="00F64D2B">
      <w:pPr>
        <w:pStyle w:val="ListDash"/>
      </w:pPr>
      <w:r w:rsidRPr="007640DA">
        <w:rPr>
          <w:i/>
        </w:rPr>
        <w:t>Productivity losses</w:t>
      </w:r>
      <w:r>
        <w:t xml:space="preserve">: the </w:t>
      </w:r>
      <w:r w:rsidRPr="005529DF">
        <w:t>time taken out of the workforce as a result of an impairment, or reduced hours due to conditions and restrictions placed upon a nurse or midwife’s registration</w:t>
      </w:r>
      <w:r w:rsidR="00E116E1">
        <w:t>.</w:t>
      </w:r>
    </w:p>
    <w:p w:rsidR="00F64D2B" w:rsidRPr="005529DF" w:rsidRDefault="00F64D2B">
      <w:pPr>
        <w:pStyle w:val="ListDash"/>
      </w:pPr>
      <w:r w:rsidRPr="007640DA">
        <w:rPr>
          <w:i/>
        </w:rPr>
        <w:t>Adverse events</w:t>
      </w:r>
      <w:r>
        <w:t>: c</w:t>
      </w:r>
      <w:r w:rsidRPr="005529DF">
        <w:t>linical incidents involving errors by health care practitioners can have serious health and quality of life consequences for patients.</w:t>
      </w:r>
    </w:p>
    <w:p w:rsidR="009118E8" w:rsidRDefault="00C219C0" w:rsidP="00DA602A">
      <w:pPr>
        <w:pStyle w:val="BodyText"/>
      </w:pPr>
      <w:r w:rsidRPr="005529DF">
        <w:t xml:space="preserve">Key </w:t>
      </w:r>
      <w:r w:rsidR="00C04D71">
        <w:t>results</w:t>
      </w:r>
      <w:r w:rsidR="00C04D71" w:rsidRPr="005529DF">
        <w:t xml:space="preserve"> </w:t>
      </w:r>
      <w:r w:rsidRPr="005529DF">
        <w:t>from the cost-benefit analysis are outlined below</w:t>
      </w:r>
      <w:r w:rsidR="00883B4C">
        <w:t xml:space="preserve">. </w:t>
      </w:r>
      <w:r w:rsidR="009118E8">
        <w:t>They</w:t>
      </w:r>
      <w:r w:rsidR="00A95C56">
        <w:t xml:space="preserve"> provide a broad indication of the scale of costs and benefits, </w:t>
      </w:r>
      <w:r w:rsidR="009118E8">
        <w:t xml:space="preserve">but </w:t>
      </w:r>
      <w:r w:rsidR="00A95C56">
        <w:t>c</w:t>
      </w:r>
      <w:r w:rsidR="000308F0">
        <w:t>are</w:t>
      </w:r>
      <w:r w:rsidR="00BE17C2">
        <w:t xml:space="preserve"> should be taken when interpreting results</w:t>
      </w:r>
      <w:r w:rsidR="000308F0">
        <w:t xml:space="preserve"> as </w:t>
      </w:r>
      <w:r w:rsidR="00A95C56">
        <w:t>they</w:t>
      </w:r>
      <w:r w:rsidR="00BE17C2">
        <w:t xml:space="preserve"> reflect high-level estimates </w:t>
      </w:r>
      <w:r w:rsidR="00A95C56">
        <w:t>which</w:t>
      </w:r>
      <w:r w:rsidR="00BE17C2">
        <w:t xml:space="preserve"> have not </w:t>
      </w:r>
      <w:r w:rsidR="00A95C56">
        <w:t xml:space="preserve">yet </w:t>
      </w:r>
      <w:r w:rsidR="00BE17C2">
        <w:t>been market tested.</w:t>
      </w:r>
      <w:r w:rsidR="00FF0377">
        <w:t xml:space="preserve"> </w:t>
      </w:r>
    </w:p>
    <w:p w:rsidR="00FF0377" w:rsidRDefault="00FF0377" w:rsidP="00DA602A">
      <w:pPr>
        <w:pStyle w:val="BodyText"/>
      </w:pPr>
      <w:r>
        <w:t>In particular, a number of the benefits relate to avoided notification costs as result of assumed reductions in the complexity and/or severity of impairment cases</w:t>
      </w:r>
      <w:r w:rsidR="009118E8">
        <w:t>, for which</w:t>
      </w:r>
      <w:r>
        <w:t xml:space="preserve"> AHPRA h</w:t>
      </w:r>
      <w:r w:rsidR="009118E8">
        <w:t>as</w:t>
      </w:r>
      <w:r>
        <w:t xml:space="preserve"> commenced collection and analysis of data on the respective notification costs</w:t>
      </w:r>
      <w:r w:rsidR="009118E8">
        <w:t xml:space="preserve">. </w:t>
      </w:r>
      <w:r w:rsidR="00377287">
        <w:t>A</w:t>
      </w:r>
      <w:r w:rsidR="009118E8">
        <w:t>ccurate figures on the complexity/severity reduction require further and more detailed analysis</w:t>
      </w:r>
      <w:r w:rsidR="00214931">
        <w:t xml:space="preserve">. </w:t>
      </w:r>
    </w:p>
    <w:p w:rsidR="001C0337" w:rsidRPr="00875480" w:rsidRDefault="00A56E18" w:rsidP="002A52AD">
      <w:pPr>
        <w:pStyle w:val="SideQuoteSource"/>
        <w:framePr w:wrap="around"/>
      </w:pPr>
      <w:r w:rsidRPr="00875480">
        <w:t xml:space="preserve">Education programs </w:t>
      </w:r>
    </w:p>
    <w:p w:rsidR="00A145CA" w:rsidRPr="005529DF" w:rsidRDefault="00A145CA" w:rsidP="00A145CA">
      <w:pPr>
        <w:pStyle w:val="BodyText"/>
      </w:pPr>
      <w:r w:rsidRPr="005529DF">
        <w:t xml:space="preserve">The annual cost of providing additional education </w:t>
      </w:r>
      <w:r w:rsidR="00E333A0">
        <w:t>programs</w:t>
      </w:r>
      <w:r w:rsidR="00E333A0" w:rsidRPr="005529DF">
        <w:t xml:space="preserve"> </w:t>
      </w:r>
      <w:r w:rsidRPr="005529DF">
        <w:t xml:space="preserve">for nurses and </w:t>
      </w:r>
      <w:r w:rsidRPr="00762F7D">
        <w:t xml:space="preserve">midwives has been estimated to be $0.5 million. </w:t>
      </w:r>
    </w:p>
    <w:p w:rsidR="00EB4E55" w:rsidRPr="005529DF" w:rsidRDefault="00A145CA" w:rsidP="007640DA">
      <w:pPr>
        <w:pStyle w:val="BodyText"/>
      </w:pPr>
      <w:r w:rsidRPr="005529DF">
        <w:t xml:space="preserve">The benefits associated with additional education </w:t>
      </w:r>
      <w:r w:rsidR="009C179C">
        <w:t>programs</w:t>
      </w:r>
      <w:r w:rsidR="009C179C" w:rsidRPr="005529DF">
        <w:t xml:space="preserve"> </w:t>
      </w:r>
      <w:r w:rsidRPr="005529DF">
        <w:t xml:space="preserve">include nurses and midwives being better informed about impairment and seeking appropriate </w:t>
      </w:r>
      <w:r w:rsidRPr="005529DF">
        <w:lastRenderedPageBreak/>
        <w:t xml:space="preserve">support services earlier, as well as reducing the number of those with a notifiable health impairment. </w:t>
      </w:r>
      <w:r w:rsidR="008C18A8">
        <w:t>For the purposes of the present estimates, it is</w:t>
      </w:r>
      <w:r w:rsidR="00EB4E55" w:rsidRPr="005529DF">
        <w:t xml:space="preserve"> assume</w:t>
      </w:r>
      <w:r w:rsidR="008C18A8">
        <w:t>d</w:t>
      </w:r>
      <w:r w:rsidR="00EB4E55" w:rsidRPr="005529DF">
        <w:t xml:space="preserve"> that the provision of additional education </w:t>
      </w:r>
      <w:r w:rsidR="009C179C">
        <w:t>programs</w:t>
      </w:r>
      <w:r w:rsidR="009C179C" w:rsidRPr="005529DF">
        <w:t xml:space="preserve"> </w:t>
      </w:r>
      <w:r w:rsidR="008C18A8">
        <w:t>would</w:t>
      </w:r>
      <w:r w:rsidR="008C18A8" w:rsidRPr="005529DF">
        <w:t xml:space="preserve"> </w:t>
      </w:r>
      <w:r w:rsidR="00EB4E55" w:rsidRPr="005529DF">
        <w:t>reduce the proportion of impairment cases classified as highly complex.</w:t>
      </w:r>
      <w:r w:rsidR="00F8383F">
        <w:t xml:space="preserve"> </w:t>
      </w:r>
      <w:r w:rsidR="00A564E4">
        <w:t xml:space="preserve">The resulting </w:t>
      </w:r>
      <w:r w:rsidR="00EB4E55" w:rsidRPr="005529DF">
        <w:t>reduc</w:t>
      </w:r>
      <w:r w:rsidR="00A564E4">
        <w:t>tion in</w:t>
      </w:r>
      <w:r w:rsidR="00EB4E55" w:rsidRPr="005529DF">
        <w:t xml:space="preserve"> the number of notifications to AHPRA </w:t>
      </w:r>
      <w:r w:rsidR="004D0424">
        <w:t>estimated to</w:t>
      </w:r>
      <w:r w:rsidR="004D0424" w:rsidRPr="005529DF">
        <w:t xml:space="preserve"> </w:t>
      </w:r>
      <w:r w:rsidR="00EB4E55" w:rsidRPr="005529DF">
        <w:t xml:space="preserve">provide a </w:t>
      </w:r>
      <w:r w:rsidR="0008683C" w:rsidRPr="005529DF">
        <w:t xml:space="preserve">cost </w:t>
      </w:r>
      <w:r w:rsidR="00EB4E55" w:rsidRPr="005529DF">
        <w:t xml:space="preserve">saving </w:t>
      </w:r>
      <w:r w:rsidR="00EB4E55" w:rsidRPr="00D25304">
        <w:t xml:space="preserve">of </w:t>
      </w:r>
      <w:r w:rsidR="00EB4E55" w:rsidRPr="007640DA">
        <w:t>$2.5</w:t>
      </w:r>
      <w:r w:rsidR="00EB4E55" w:rsidRPr="005529DF">
        <w:rPr>
          <w:b/>
        </w:rPr>
        <w:t xml:space="preserve"> </w:t>
      </w:r>
      <w:r w:rsidR="00EB4E55" w:rsidRPr="007640DA">
        <w:t>million</w:t>
      </w:r>
      <w:r w:rsidR="00EB4E55" w:rsidRPr="005529DF">
        <w:rPr>
          <w:b/>
        </w:rPr>
        <w:t xml:space="preserve"> </w:t>
      </w:r>
      <w:r w:rsidR="00C73867">
        <w:t>per annum</w:t>
      </w:r>
      <w:r w:rsidR="00EB4E55" w:rsidRPr="005529DF">
        <w:t xml:space="preserve">. </w:t>
      </w:r>
    </w:p>
    <w:p w:rsidR="00121093" w:rsidRPr="005529DF" w:rsidRDefault="00A564E4" w:rsidP="007640DA">
      <w:pPr>
        <w:pStyle w:val="BodyText"/>
      </w:pPr>
      <w:r>
        <w:t>Similarly, it is</w:t>
      </w:r>
      <w:r w:rsidR="00C73867">
        <w:t xml:space="preserve"> assumed that the proportion of nurses and midwives </w:t>
      </w:r>
      <w:r w:rsidR="00121093" w:rsidRPr="005529DF">
        <w:t xml:space="preserve">with a low </w:t>
      </w:r>
      <w:r w:rsidR="004B11F4">
        <w:t xml:space="preserve">degree of </w:t>
      </w:r>
      <w:r w:rsidR="00121093" w:rsidRPr="005529DF">
        <w:t>impairment will increase</w:t>
      </w:r>
      <w:r w:rsidR="00C73867">
        <w:t xml:space="preserve">, and that the proportion </w:t>
      </w:r>
      <w:r w:rsidR="00121093" w:rsidRPr="005529DF">
        <w:t xml:space="preserve">with a medium </w:t>
      </w:r>
      <w:r w:rsidR="006A1A4B">
        <w:t xml:space="preserve">or </w:t>
      </w:r>
      <w:r w:rsidR="00C73867">
        <w:t>high</w:t>
      </w:r>
      <w:r w:rsidR="006A1A4B">
        <w:t xml:space="preserve"> degree of</w:t>
      </w:r>
      <w:r w:rsidR="00C73867">
        <w:t xml:space="preserve"> </w:t>
      </w:r>
      <w:r w:rsidR="00121093" w:rsidRPr="005529DF">
        <w:t>impairment will decrease</w:t>
      </w:r>
      <w:r w:rsidR="00C73867">
        <w:t xml:space="preserve">, resulting in reduced </w:t>
      </w:r>
      <w:r w:rsidR="00121093" w:rsidRPr="005529DF">
        <w:t xml:space="preserve">testing and treatment costs </w:t>
      </w:r>
      <w:r w:rsidR="00C73867">
        <w:t>in the order of</w:t>
      </w:r>
      <w:r w:rsidR="00121093" w:rsidRPr="005529DF">
        <w:t xml:space="preserve"> </w:t>
      </w:r>
      <w:r w:rsidR="00121093" w:rsidRPr="007640DA">
        <w:t>$1.9 million</w:t>
      </w:r>
      <w:r w:rsidR="00121093" w:rsidRPr="005529DF">
        <w:t xml:space="preserve"> per annum. </w:t>
      </w:r>
    </w:p>
    <w:p w:rsidR="00A145CA" w:rsidRPr="005529DF" w:rsidRDefault="00002203" w:rsidP="007640DA">
      <w:pPr>
        <w:pStyle w:val="ListDash"/>
        <w:numPr>
          <w:ilvl w:val="0"/>
          <w:numId w:val="0"/>
        </w:numPr>
      </w:pPr>
      <w:r w:rsidRPr="005529DF">
        <w:t xml:space="preserve">Avoided productivity </w:t>
      </w:r>
      <w:r w:rsidR="00543A23">
        <w:t xml:space="preserve">losses result in earlier return to work </w:t>
      </w:r>
      <w:r w:rsidR="00F64D2B">
        <w:t xml:space="preserve">are </w:t>
      </w:r>
      <w:r w:rsidRPr="005529DF">
        <w:t xml:space="preserve">estimated </w:t>
      </w:r>
      <w:r w:rsidR="00F51129">
        <w:t>to be in the order of</w:t>
      </w:r>
      <w:r w:rsidR="00F51129" w:rsidRPr="005529DF">
        <w:t xml:space="preserve"> </w:t>
      </w:r>
      <w:r w:rsidRPr="007640DA">
        <w:t>$36</w:t>
      </w:r>
      <w:r w:rsidR="00F51129">
        <w:t>5</w:t>
      </w:r>
      <w:r w:rsidR="002A52AD">
        <w:t>,</w:t>
      </w:r>
      <w:r w:rsidR="00F51129">
        <w:t>000</w:t>
      </w:r>
      <w:r w:rsidRPr="005529DF">
        <w:rPr>
          <w:b/>
        </w:rPr>
        <w:t>.</w:t>
      </w:r>
      <w:r w:rsidRPr="005529DF">
        <w:t xml:space="preserve">  </w:t>
      </w:r>
      <w:r w:rsidR="00F8383F">
        <w:t xml:space="preserve">This </w:t>
      </w:r>
      <w:r w:rsidR="005C1176">
        <w:t>adopts the same approach as in</w:t>
      </w:r>
      <w:r w:rsidR="00F8383F">
        <w:t xml:space="preserve"> the work of </w:t>
      </w:r>
      <w:proofErr w:type="spellStart"/>
      <w:r w:rsidR="00F8383F">
        <w:t>Lorgelly</w:t>
      </w:r>
      <w:proofErr w:type="spellEnd"/>
      <w:r w:rsidR="00F8383F">
        <w:t xml:space="preserve"> </w:t>
      </w:r>
      <w:r w:rsidR="005C1176">
        <w:t>(2014).</w:t>
      </w:r>
      <w:r w:rsidR="00F8383F">
        <w:t xml:space="preserve"> </w:t>
      </w:r>
    </w:p>
    <w:p w:rsidR="00002203" w:rsidRPr="005529DF" w:rsidRDefault="00543A23" w:rsidP="00DA602A">
      <w:pPr>
        <w:pStyle w:val="BodyText"/>
      </w:pPr>
      <w:r>
        <w:t>A</w:t>
      </w:r>
      <w:r w:rsidR="009A5A50" w:rsidRPr="005529DF">
        <w:t xml:space="preserve">nnual cost savings associated with a reduction in the number of adverse events </w:t>
      </w:r>
      <w:r w:rsidR="004D0424">
        <w:t xml:space="preserve">are in the order of </w:t>
      </w:r>
      <w:r w:rsidR="009A5A50" w:rsidRPr="007640DA">
        <w:t>$2</w:t>
      </w:r>
      <w:r w:rsidR="004D0424">
        <w:t>40,000</w:t>
      </w:r>
      <w:r w:rsidR="009A5A50" w:rsidRPr="005529DF">
        <w:rPr>
          <w:b/>
        </w:rPr>
        <w:t>.</w:t>
      </w:r>
      <w:r w:rsidR="009A5A50" w:rsidRPr="005529DF">
        <w:t xml:space="preserve"> </w:t>
      </w:r>
      <w:r w:rsidR="00FF0377">
        <w:t xml:space="preserve">This </w:t>
      </w:r>
      <w:r w:rsidR="005C1176">
        <w:t>draws on a range of benefit estimates in the literature together with conservative estimates of the p</w:t>
      </w:r>
      <w:r w:rsidR="005C1176" w:rsidRPr="005529DF">
        <w:t>roportion of avoidable adverse events caused by impaired health practitioners</w:t>
      </w:r>
      <w:r w:rsidR="005C1176">
        <w:t>.</w:t>
      </w:r>
    </w:p>
    <w:p w:rsidR="005C15AC" w:rsidRPr="005529DF" w:rsidRDefault="00A56E18" w:rsidP="002A52AD">
      <w:pPr>
        <w:pStyle w:val="SideQuoteSource"/>
        <w:framePr w:wrap="around"/>
      </w:pPr>
      <w:r w:rsidRPr="00875480">
        <w:t xml:space="preserve">Support services </w:t>
      </w:r>
    </w:p>
    <w:p w:rsidR="009A5A50" w:rsidRPr="005529DF" w:rsidRDefault="009A5A50" w:rsidP="007640DA">
      <w:pPr>
        <w:pStyle w:val="BodyText"/>
        <w:keepNext/>
        <w:keepLines/>
      </w:pPr>
      <w:r w:rsidRPr="005529DF">
        <w:t xml:space="preserve">The costs of operating additional national support services relate to staffing, property and utility services, information and communications technology, travel, consumables and marketing. </w:t>
      </w:r>
    </w:p>
    <w:p w:rsidR="00047287" w:rsidRPr="005529DF" w:rsidRDefault="00047287" w:rsidP="009A5A50">
      <w:pPr>
        <w:pStyle w:val="BodyText"/>
      </w:pPr>
      <w:r w:rsidRPr="005529DF">
        <w:t>The analysis has also adopted the ‘lead jurisdiction’ approach as proposed by DLA Piper (2014) for the provision of health services for doctors in Tasmania, the ACT and the Northern Territory. This approach involves servicing smaller jurisdictions from adjacent states—ACT from New South Wales, Tasmania from Victoria, and the Northern Territory from South Australia.</w:t>
      </w:r>
      <w:r w:rsidR="005C15AC">
        <w:t xml:space="preserve"> T</w:t>
      </w:r>
      <w:r w:rsidRPr="005529DF">
        <w:t>wo support service models have been analysed</w:t>
      </w:r>
      <w:r w:rsidR="005C15AC" w:rsidRPr="005529DF">
        <w:t>—</w:t>
      </w:r>
      <w:r w:rsidRPr="005529DF">
        <w:t xml:space="preserve">first, a national support services and second, a national support service implemented individually by states/territories. </w:t>
      </w:r>
    </w:p>
    <w:p w:rsidR="00047287" w:rsidRPr="00D25304" w:rsidRDefault="00047287" w:rsidP="009A5A50">
      <w:pPr>
        <w:pStyle w:val="BodyText"/>
      </w:pPr>
      <w:r w:rsidRPr="00D25304">
        <w:t xml:space="preserve">The annual operating costs of a national service is estimated at </w:t>
      </w:r>
      <w:r w:rsidRPr="007640DA">
        <w:t>$2.5 million</w:t>
      </w:r>
      <w:r w:rsidRPr="00D25304">
        <w:t xml:space="preserve">, this figure increases to </w:t>
      </w:r>
      <w:r w:rsidRPr="007640DA">
        <w:lastRenderedPageBreak/>
        <w:t>$2.6 million</w:t>
      </w:r>
      <w:r w:rsidRPr="00D25304">
        <w:t xml:space="preserve"> for a national service wh</w:t>
      </w:r>
      <w:r w:rsidR="00F2211B" w:rsidRPr="00D25304">
        <w:t xml:space="preserve">ere jurisdictions are responsible for implementation. </w:t>
      </w:r>
    </w:p>
    <w:p w:rsidR="00261C04" w:rsidRPr="00D25304" w:rsidRDefault="005C15AC" w:rsidP="009A5A50">
      <w:pPr>
        <w:pStyle w:val="BodyText"/>
      </w:pPr>
      <w:r>
        <w:t>The</w:t>
      </w:r>
      <w:r w:rsidR="00261C04" w:rsidRPr="00D25304">
        <w:t xml:space="preserve"> benefits include more nurses and midwives seeking help early, few</w:t>
      </w:r>
      <w:r w:rsidR="00F2211B" w:rsidRPr="00D25304">
        <w:t>er</w:t>
      </w:r>
      <w:r w:rsidR="00261C04" w:rsidRPr="00D25304">
        <w:t xml:space="preserve"> nurses and midwives </w:t>
      </w:r>
      <w:r w:rsidR="00F2211B" w:rsidRPr="00D25304">
        <w:t xml:space="preserve">with notifiable impairments, and a </w:t>
      </w:r>
      <w:r w:rsidR="00261C04" w:rsidRPr="00D25304">
        <w:t xml:space="preserve">reduction in post-notification costs. </w:t>
      </w:r>
    </w:p>
    <w:p w:rsidR="00B112E7" w:rsidRPr="00D25304" w:rsidRDefault="00FF0377" w:rsidP="009A5A50">
      <w:pPr>
        <w:pStyle w:val="BodyText"/>
      </w:pPr>
      <w:r>
        <w:t xml:space="preserve">In a similar way to as before, it </w:t>
      </w:r>
      <w:r w:rsidR="00B112E7" w:rsidRPr="00D25304">
        <w:t xml:space="preserve">is </w:t>
      </w:r>
      <w:r>
        <w:t xml:space="preserve">assumed that </w:t>
      </w:r>
      <w:r w:rsidR="00B112E7" w:rsidRPr="00D25304">
        <w:t xml:space="preserve">that additional support services will reduce the number of highly complex cases, which </w:t>
      </w:r>
      <w:r w:rsidR="00F2211B" w:rsidRPr="00D25304">
        <w:t>will</w:t>
      </w:r>
      <w:r w:rsidR="00B242C7" w:rsidRPr="00D25304">
        <w:t xml:space="preserve"> </w:t>
      </w:r>
      <w:r w:rsidR="00883B4C">
        <w:t>decrease</w:t>
      </w:r>
      <w:r w:rsidR="00883B4C" w:rsidRPr="00D25304">
        <w:t xml:space="preserve"> </w:t>
      </w:r>
      <w:r w:rsidR="00B242C7" w:rsidRPr="00D25304">
        <w:t xml:space="preserve">the cost associated with notifications by </w:t>
      </w:r>
      <w:r w:rsidR="00B242C7" w:rsidRPr="007640DA">
        <w:t>$6.2 million</w:t>
      </w:r>
      <w:r w:rsidR="00B242C7" w:rsidRPr="00D25304">
        <w:t xml:space="preserve"> per annum. </w:t>
      </w:r>
    </w:p>
    <w:p w:rsidR="00B242C7" w:rsidRPr="00D25304" w:rsidRDefault="00883B4C" w:rsidP="009A5A50">
      <w:pPr>
        <w:pStyle w:val="BodyText"/>
      </w:pPr>
      <w:r>
        <w:t>National support services</w:t>
      </w:r>
      <w:r w:rsidRPr="00D25304">
        <w:t xml:space="preserve"> </w:t>
      </w:r>
      <w:r w:rsidR="00B242C7" w:rsidRPr="00D25304">
        <w:t xml:space="preserve">are </w:t>
      </w:r>
      <w:r w:rsidR="005C15AC">
        <w:t xml:space="preserve">also </w:t>
      </w:r>
      <w:r w:rsidR="00B242C7" w:rsidRPr="00D25304">
        <w:t xml:space="preserve">expected to have a significant impact on the severity of health impairment among nurses and midwives. </w:t>
      </w:r>
      <w:r w:rsidR="005C15AC">
        <w:t>The resulting</w:t>
      </w:r>
      <w:r w:rsidR="00B242C7" w:rsidRPr="00D25304">
        <w:t xml:space="preserve"> reduc</w:t>
      </w:r>
      <w:r w:rsidR="005C15AC">
        <w:t>tion in</w:t>
      </w:r>
      <w:r w:rsidR="00B242C7" w:rsidRPr="00D25304">
        <w:t xml:space="preserve"> the number of cases classified as either a medium or high impairment </w:t>
      </w:r>
      <w:r w:rsidR="005C15AC">
        <w:t>with t</w:t>
      </w:r>
      <w:r w:rsidR="00B242C7" w:rsidRPr="00D25304">
        <w:t xml:space="preserve">he associated reduction in testing and treatment costs is estimated at </w:t>
      </w:r>
      <w:r w:rsidR="00B242C7" w:rsidRPr="007640DA">
        <w:t>$7.7 million</w:t>
      </w:r>
      <w:r w:rsidR="00B242C7" w:rsidRPr="00D25304">
        <w:t xml:space="preserve"> per annum. </w:t>
      </w:r>
    </w:p>
    <w:p w:rsidR="00B242C7" w:rsidRPr="00D25304" w:rsidRDefault="003B4551" w:rsidP="009A5A50">
      <w:pPr>
        <w:pStyle w:val="BodyText"/>
      </w:pPr>
      <w:r w:rsidRPr="00D25304">
        <w:t xml:space="preserve">Avoided productivity losses associated with additional support services are estimated </w:t>
      </w:r>
      <w:r w:rsidR="004D0424">
        <w:t>at</w:t>
      </w:r>
      <w:r w:rsidRPr="00D25304">
        <w:t xml:space="preserve"> </w:t>
      </w:r>
      <w:r w:rsidR="00F243B8" w:rsidRPr="007640DA">
        <w:t>$7.3 million</w:t>
      </w:r>
      <w:r w:rsidR="005C15AC">
        <w:t xml:space="preserve"> per annum</w:t>
      </w:r>
      <w:r w:rsidR="00F243B8" w:rsidRPr="007640DA">
        <w:t>.</w:t>
      </w:r>
      <w:r w:rsidR="00F243B8" w:rsidRPr="00D25304">
        <w:t xml:space="preserve"> </w:t>
      </w:r>
    </w:p>
    <w:p w:rsidR="00B112E7" w:rsidRPr="00D25304" w:rsidRDefault="00F243B8" w:rsidP="009A5A50">
      <w:pPr>
        <w:pStyle w:val="BodyText"/>
      </w:pPr>
      <w:r w:rsidRPr="00D25304">
        <w:t xml:space="preserve">Cost savings due to a reduction in the number of adverse events are estimated at </w:t>
      </w:r>
      <w:r w:rsidRPr="007640DA">
        <w:t>$4.8 million</w:t>
      </w:r>
      <w:r w:rsidR="005C15AC">
        <w:t xml:space="preserve"> per annum</w:t>
      </w:r>
      <w:r w:rsidRPr="00D25304">
        <w:t xml:space="preserve">. </w:t>
      </w:r>
    </w:p>
    <w:p w:rsidR="00F243B8" w:rsidRPr="00875480" w:rsidRDefault="00A56E18" w:rsidP="002A52AD">
      <w:pPr>
        <w:pStyle w:val="SideQuoteSource"/>
        <w:framePr w:wrap="around"/>
      </w:pPr>
      <w:r w:rsidRPr="00875480">
        <w:t xml:space="preserve">Monitoring </w:t>
      </w:r>
      <w:r w:rsidR="00950DB5">
        <w:t>costs</w:t>
      </w:r>
      <w:r w:rsidR="00950DB5" w:rsidRPr="00875480">
        <w:t xml:space="preserve"> </w:t>
      </w:r>
    </w:p>
    <w:p w:rsidR="00AA7481" w:rsidRDefault="00AA7481" w:rsidP="00AA7481">
      <w:pPr>
        <w:pStyle w:val="BodyText"/>
      </w:pPr>
      <w:r w:rsidRPr="007640DA">
        <w:t xml:space="preserve">Subsidisation of monitoring costs is expected to </w:t>
      </w:r>
      <w:r w:rsidRPr="00D25304">
        <w:t>encourage nurses and midwives to seek help earlier, reduce costs to the nurse or midwife as well as the regulator, and reduce the period over which the nurse or midwife is being monitored</w:t>
      </w:r>
      <w:r>
        <w:t xml:space="preserve">, thereby reducing the number of notifications and the net complexity of the cases being monitored. </w:t>
      </w:r>
    </w:p>
    <w:p w:rsidR="00AA7481" w:rsidRPr="00D25304" w:rsidRDefault="00AA7481" w:rsidP="00AA7481">
      <w:pPr>
        <w:pStyle w:val="BodyText"/>
      </w:pPr>
      <w:r>
        <w:t>While it would require a separate and specific study to identify the optimal level of subsidy in terms of the shifts in complexity achieved, a 50 per cent (that is, halving the costs for the practitioner) has been used in the review’s modelling. T</w:t>
      </w:r>
      <w:r w:rsidRPr="00D25304">
        <w:t>he estimated costs</w:t>
      </w:r>
      <w:r>
        <w:t xml:space="preserve"> of the subsidy</w:t>
      </w:r>
      <w:r w:rsidRPr="00D25304">
        <w:t xml:space="preserve">, at a national level, </w:t>
      </w:r>
      <w:r>
        <w:t>would be</w:t>
      </w:r>
      <w:r w:rsidRPr="00D25304">
        <w:t xml:space="preserve"> $</w:t>
      </w:r>
      <w:r>
        <w:t>2.3 million</w:t>
      </w:r>
      <w:r w:rsidRPr="00D25304">
        <w:t xml:space="preserve"> per annum. This figure </w:t>
      </w:r>
      <w:r>
        <w:t xml:space="preserve">would of course </w:t>
      </w:r>
      <w:r w:rsidRPr="00D25304">
        <w:t xml:space="preserve">increase </w:t>
      </w:r>
      <w:r>
        <w:t>linearly with the subsidy rate</w:t>
      </w:r>
      <w:r w:rsidRPr="00D25304">
        <w:t xml:space="preserve">. </w:t>
      </w:r>
    </w:p>
    <w:p w:rsidR="00AA7481" w:rsidRPr="00D25304" w:rsidRDefault="00AA7481" w:rsidP="00AA7481">
      <w:pPr>
        <w:pStyle w:val="BodyText"/>
      </w:pPr>
      <w:r>
        <w:t>In a s</w:t>
      </w:r>
      <w:r w:rsidRPr="00D25304">
        <w:t xml:space="preserve">imilar </w:t>
      </w:r>
      <w:r>
        <w:t xml:space="preserve">fashion to that applied </w:t>
      </w:r>
      <w:r w:rsidRPr="00D25304">
        <w:t xml:space="preserve">to education </w:t>
      </w:r>
      <w:r>
        <w:t>programs</w:t>
      </w:r>
      <w:r w:rsidRPr="00D25304">
        <w:t xml:space="preserve">, </w:t>
      </w:r>
      <w:r>
        <w:t xml:space="preserve">such </w:t>
      </w:r>
      <w:r w:rsidRPr="00D25304">
        <w:t xml:space="preserve">subsidisation of monitoring costs </w:t>
      </w:r>
      <w:r w:rsidR="00B465F7">
        <w:t>is</w:t>
      </w:r>
      <w:r w:rsidR="00B465F7" w:rsidRPr="00D25304">
        <w:t xml:space="preserve"> </w:t>
      </w:r>
      <w:r w:rsidRPr="00D25304">
        <w:t xml:space="preserve">expected to reduce the number of highly complex </w:t>
      </w:r>
      <w:r w:rsidRPr="00D25304">
        <w:lastRenderedPageBreak/>
        <w:t>cases</w:t>
      </w:r>
      <w:r>
        <w:t xml:space="preserve"> (and therefore notifications)</w:t>
      </w:r>
      <w:r w:rsidRPr="00D25304">
        <w:t xml:space="preserve">, with an associated saving of </w:t>
      </w:r>
      <w:r w:rsidRPr="007640DA">
        <w:t>$2.5 million</w:t>
      </w:r>
      <w:r w:rsidRPr="00D25304">
        <w:t xml:space="preserve"> per annum. </w:t>
      </w:r>
    </w:p>
    <w:p w:rsidR="00AA7481" w:rsidRPr="00D25304" w:rsidRDefault="00AA7481" w:rsidP="00AA7481">
      <w:pPr>
        <w:pStyle w:val="BodyText"/>
      </w:pPr>
      <w:r>
        <w:t>The benefits expected through</w:t>
      </w:r>
      <w:r w:rsidRPr="00D25304">
        <w:t xml:space="preserve"> </w:t>
      </w:r>
      <w:r>
        <w:t xml:space="preserve">a </w:t>
      </w:r>
      <w:r w:rsidRPr="00D25304">
        <w:t>reduce</w:t>
      </w:r>
      <w:r>
        <w:t>d</w:t>
      </w:r>
      <w:r w:rsidRPr="00D25304">
        <w:t xml:space="preserve"> number of medium and high impairment cases</w:t>
      </w:r>
      <w:r>
        <w:t xml:space="preserve">, and consequent overall </w:t>
      </w:r>
      <w:r w:rsidRPr="00D25304">
        <w:t>treatment and testing costs</w:t>
      </w:r>
      <w:r>
        <w:t>,</w:t>
      </w:r>
      <w:r w:rsidRPr="00D25304">
        <w:t xml:space="preserve"> </w:t>
      </w:r>
      <w:r>
        <w:t xml:space="preserve">are estimated at </w:t>
      </w:r>
      <w:r w:rsidRPr="007640DA">
        <w:t xml:space="preserve">$2.7 </w:t>
      </w:r>
      <w:r w:rsidRPr="00D25304">
        <w:t xml:space="preserve">million per annum.  </w:t>
      </w:r>
    </w:p>
    <w:p w:rsidR="00AA7481" w:rsidRPr="00D25304" w:rsidRDefault="00AA7481" w:rsidP="00AA7481">
      <w:pPr>
        <w:pStyle w:val="BodyText"/>
      </w:pPr>
      <w:r>
        <w:t>The</w:t>
      </w:r>
      <w:r w:rsidRPr="00D25304">
        <w:t xml:space="preserve"> productivity benefits would only be comparatively small, </w:t>
      </w:r>
      <w:r>
        <w:t xml:space="preserve">estimated </w:t>
      </w:r>
      <w:r w:rsidRPr="00D25304">
        <w:t xml:space="preserve">at </w:t>
      </w:r>
      <w:r w:rsidRPr="007640DA">
        <w:t>$0.4</w:t>
      </w:r>
      <w:r>
        <w:t> </w:t>
      </w:r>
      <w:r w:rsidRPr="00D25304">
        <w:t>million per annum</w:t>
      </w:r>
      <w:r>
        <w:t xml:space="preserve"> or </w:t>
      </w:r>
      <w:r w:rsidRPr="005B74C9">
        <w:t>around 5 per cent of the benefits when compared to additional support services</w:t>
      </w:r>
      <w:r w:rsidRPr="00D25304">
        <w:t xml:space="preserve">. </w:t>
      </w:r>
    </w:p>
    <w:p w:rsidR="00C04D71" w:rsidRDefault="00AA7481">
      <w:pPr>
        <w:pStyle w:val="BodyText"/>
      </w:pPr>
      <w:r w:rsidRPr="00D25304">
        <w:t>Similar</w:t>
      </w:r>
      <w:r>
        <w:t>ly</w:t>
      </w:r>
      <w:r w:rsidRPr="00D25304">
        <w:t>, the benefits of avoided adverse-event relat</w:t>
      </w:r>
      <w:r>
        <w:t>ed</w:t>
      </w:r>
      <w:r w:rsidRPr="00D25304">
        <w:t xml:space="preserve"> costs are estimated </w:t>
      </w:r>
      <w:r>
        <w:t>to be</w:t>
      </w:r>
      <w:r w:rsidRPr="00D25304">
        <w:t xml:space="preserve"> </w:t>
      </w:r>
      <w:r>
        <w:t xml:space="preserve">in the order of </w:t>
      </w:r>
      <w:r w:rsidRPr="007640DA">
        <w:t>$2</w:t>
      </w:r>
      <w:r>
        <w:t>40,000</w:t>
      </w:r>
      <w:r w:rsidRPr="00D25304">
        <w:t xml:space="preserve"> per annum</w:t>
      </w:r>
      <w:r w:rsidRPr="007140DF">
        <w:t xml:space="preserve"> </w:t>
      </w:r>
      <w:r>
        <w:t>or</w:t>
      </w:r>
      <w:r w:rsidRPr="00000D18">
        <w:t xml:space="preserve"> 5 per cent of support services</w:t>
      </w:r>
      <w:r w:rsidRPr="00D25304">
        <w:t xml:space="preserve">. </w:t>
      </w:r>
    </w:p>
    <w:p w:rsidR="00841871" w:rsidRDefault="00841871" w:rsidP="002A52AD">
      <w:pPr>
        <w:pStyle w:val="SideQuoteSource"/>
        <w:framePr w:wrap="around"/>
      </w:pPr>
      <w:r>
        <w:t>Summary of costs and benefits</w:t>
      </w:r>
    </w:p>
    <w:p w:rsidR="00A56E18" w:rsidRPr="00D25304" w:rsidRDefault="00A56E18">
      <w:pPr>
        <w:pStyle w:val="BodyText"/>
      </w:pPr>
      <w:r>
        <w:t xml:space="preserve">A summary of the costs and benefits for education programs, support services and monitoring costs is </w:t>
      </w:r>
      <w:r w:rsidRPr="00875480">
        <w:t>provided in</w:t>
      </w:r>
      <w:r w:rsidR="00DA1610">
        <w:t xml:space="preserve"> </w:t>
      </w:r>
      <w:r w:rsidR="004D1416">
        <w:fldChar w:fldCharType="begin"/>
      </w:r>
      <w:r w:rsidR="00DA1610">
        <w:instrText xml:space="preserve"> REF _Ref418676307 \h </w:instrText>
      </w:r>
      <w:r w:rsidR="004D1416">
        <w:fldChar w:fldCharType="separate"/>
      </w:r>
      <w:r w:rsidR="00B07965" w:rsidRPr="00DA1610">
        <w:t xml:space="preserve">Table </w:t>
      </w:r>
      <w:r w:rsidR="00B07965" w:rsidRPr="00B07965">
        <w:rPr>
          <w:noProof/>
        </w:rPr>
        <w:t>2</w:t>
      </w:r>
      <w:r w:rsidR="004D1416">
        <w:fldChar w:fldCharType="end"/>
      </w:r>
      <w:r w:rsidR="00C04D71">
        <w:t xml:space="preserve"> below</w:t>
      </w:r>
      <w:r w:rsidR="00DA1610">
        <w:t xml:space="preserve">. </w:t>
      </w:r>
      <w:r w:rsidR="00F51129">
        <w:t>A</w:t>
      </w:r>
      <w:r>
        <w:t xml:space="preserve">ll service enhancement areas </w:t>
      </w:r>
      <w:r w:rsidR="00F51129">
        <w:t>have the potential provide good returns on the resources invested.</w:t>
      </w:r>
      <w:r>
        <w:t xml:space="preserve"> </w:t>
      </w:r>
    </w:p>
    <w:p w:rsidR="00DA1610" w:rsidRPr="00875480" w:rsidRDefault="00DA1610" w:rsidP="00DA1610">
      <w:pPr>
        <w:pStyle w:val="Caption"/>
        <w:rPr>
          <w:rFonts w:ascii="Times New Roman" w:hAnsi="Times New Roman" w:cs="Times New Roman"/>
        </w:rPr>
      </w:pPr>
      <w:bookmarkStart w:id="175" w:name="_Toc418176003"/>
      <w:bookmarkStart w:id="176" w:name="_Toc418335672"/>
      <w:bookmarkStart w:id="177" w:name="_Toc418335737"/>
      <w:bookmarkStart w:id="178" w:name="_Toc418354513"/>
      <w:bookmarkStart w:id="179" w:name="_Toc418498828"/>
      <w:bookmarkStart w:id="180" w:name="_Toc418502762"/>
      <w:bookmarkStart w:id="181" w:name="_Toc418503011"/>
      <w:bookmarkStart w:id="182" w:name="_Ref418676307"/>
      <w:bookmarkStart w:id="183" w:name="_Toc419702960"/>
      <w:bookmarkStart w:id="184" w:name="_Ref418676047"/>
      <w:bookmarkEnd w:id="175"/>
      <w:bookmarkEnd w:id="176"/>
      <w:bookmarkEnd w:id="177"/>
      <w:bookmarkEnd w:id="178"/>
      <w:bookmarkEnd w:id="179"/>
      <w:bookmarkEnd w:id="180"/>
      <w:bookmarkEnd w:id="181"/>
      <w:r w:rsidRPr="00DA1610">
        <w:rPr>
          <w:rFonts w:ascii="Times New Roman" w:hAnsi="Times New Roman" w:cs="Times New Roman"/>
        </w:rPr>
        <w:t xml:space="preserve">Table </w:t>
      </w:r>
      <w:fldSimple w:instr=" SEQ Table \* MERGEFORMAT ">
        <w:r w:rsidR="00B07965" w:rsidRPr="00B07965">
          <w:rPr>
            <w:rFonts w:ascii="Times New Roman" w:hAnsi="Times New Roman" w:cs="Times New Roman"/>
            <w:noProof/>
          </w:rPr>
          <w:t>2</w:t>
        </w:r>
      </w:fldSimple>
      <w:bookmarkEnd w:id="182"/>
      <w:r w:rsidRPr="00875480">
        <w:rPr>
          <w:rFonts w:ascii="Times New Roman" w:hAnsi="Times New Roman" w:cs="Times New Roman"/>
          <w:b/>
          <w:color w:val="000000"/>
        </w:rPr>
        <w:tab/>
        <w:t>Summary of costs and benefits</w:t>
      </w:r>
      <w:bookmarkEnd w:id="183"/>
      <w:r w:rsidRPr="00875480">
        <w:rPr>
          <w:rFonts w:ascii="Times New Roman" w:hAnsi="Times New Roman" w:cs="Times New Roman"/>
          <w:b/>
          <w:color w:val="000000"/>
        </w:rPr>
        <w:t xml:space="preserve"> </w:t>
      </w:r>
    </w:p>
    <w:tbl>
      <w:tblPr>
        <w:tblW w:w="7370" w:type="dxa"/>
        <w:tblInd w:w="28" w:type="dxa"/>
        <w:tblBorders>
          <w:bottom w:val="single" w:sz="2" w:space="0" w:color="C0C0C0"/>
          <w:insideH w:val="single" w:sz="2" w:space="0" w:color="C0C0C0"/>
        </w:tblBorders>
        <w:tblLayout w:type="fixed"/>
        <w:tblCellMar>
          <w:left w:w="142" w:type="dxa"/>
          <w:right w:w="56" w:type="dxa"/>
        </w:tblCellMar>
        <w:tblLook w:val="0000" w:firstRow="0" w:lastRow="0" w:firstColumn="0" w:lastColumn="0" w:noHBand="0" w:noVBand="0"/>
      </w:tblPr>
      <w:tblGrid>
        <w:gridCol w:w="1228"/>
        <w:gridCol w:w="1228"/>
        <w:gridCol w:w="1228"/>
        <w:gridCol w:w="1228"/>
        <w:gridCol w:w="1229"/>
        <w:gridCol w:w="1229"/>
      </w:tblGrid>
      <w:tr w:rsidR="00DA1610" w:rsidRPr="00875480" w:rsidTr="009A5149">
        <w:trPr>
          <w:cantSplit/>
          <w:trHeight w:val="252"/>
        </w:trPr>
        <w:tc>
          <w:tcPr>
            <w:tcW w:w="1228" w:type="dxa"/>
            <w:vMerge w:val="restart"/>
            <w:tcBorders>
              <w:top w:val="nil"/>
            </w:tcBorders>
            <w:shd w:val="solid" w:color="9757A6" w:fill="auto"/>
            <w:vAlign w:val="bottom"/>
          </w:tcPr>
          <w:p w:rsidR="00DA1610" w:rsidRPr="009A5149" w:rsidRDefault="00DA1610" w:rsidP="001B3C66">
            <w:pPr>
              <w:pStyle w:val="Tablecolumnheadings"/>
              <w:rPr>
                <w:rFonts w:ascii="Times New Roman" w:hAnsi="Times New Roman"/>
                <w:b/>
              </w:rPr>
            </w:pPr>
            <w:r w:rsidRPr="009A5149">
              <w:rPr>
                <w:rFonts w:ascii="Times New Roman" w:hAnsi="Times New Roman"/>
                <w:b/>
              </w:rPr>
              <w:t>Service enhancement</w:t>
            </w:r>
          </w:p>
        </w:tc>
        <w:tc>
          <w:tcPr>
            <w:tcW w:w="1228" w:type="dxa"/>
            <w:vMerge w:val="restart"/>
            <w:tcBorders>
              <w:top w:val="nil"/>
              <w:right w:val="single" w:sz="2" w:space="0" w:color="C0C0C0"/>
            </w:tcBorders>
            <w:shd w:val="solid" w:color="9757A6" w:fill="auto"/>
          </w:tcPr>
          <w:p w:rsidR="00DA1610" w:rsidRPr="009A5149" w:rsidRDefault="00DA1610" w:rsidP="009A5149">
            <w:pPr>
              <w:pStyle w:val="Tablecolumnheadings"/>
              <w:jc w:val="center"/>
              <w:rPr>
                <w:rFonts w:ascii="Times New Roman" w:hAnsi="Times New Roman"/>
                <w:b/>
                <w:vertAlign w:val="superscript"/>
              </w:rPr>
            </w:pPr>
            <w:r w:rsidRPr="009A5149">
              <w:rPr>
                <w:rFonts w:ascii="Times New Roman" w:hAnsi="Times New Roman"/>
                <w:b/>
              </w:rPr>
              <w:t>Costs</w:t>
            </w:r>
            <w:r w:rsidR="00BE0D3E">
              <w:rPr>
                <w:rFonts w:ascii="Times New Roman" w:hAnsi="Times New Roman"/>
                <w:b/>
              </w:rPr>
              <w:t xml:space="preserve"> (p.a.)</w:t>
            </w:r>
          </w:p>
        </w:tc>
        <w:tc>
          <w:tcPr>
            <w:tcW w:w="4914" w:type="dxa"/>
            <w:gridSpan w:val="4"/>
            <w:tcBorders>
              <w:top w:val="nil"/>
              <w:left w:val="single" w:sz="2" w:space="0" w:color="C0C0C0"/>
              <w:bottom w:val="nil"/>
            </w:tcBorders>
            <w:shd w:val="solid" w:color="9757A6" w:fill="auto"/>
            <w:vAlign w:val="center"/>
          </w:tcPr>
          <w:p w:rsidR="00DA1610" w:rsidRPr="009A5149" w:rsidRDefault="00DA1610" w:rsidP="001B3C66">
            <w:pPr>
              <w:pStyle w:val="Tablecolumnheadings"/>
              <w:jc w:val="center"/>
              <w:rPr>
                <w:rFonts w:ascii="Times New Roman" w:hAnsi="Times New Roman"/>
                <w:b/>
              </w:rPr>
            </w:pPr>
            <w:r w:rsidRPr="009A5149">
              <w:rPr>
                <w:rFonts w:ascii="Times New Roman" w:hAnsi="Times New Roman"/>
                <w:b/>
              </w:rPr>
              <w:t xml:space="preserve">Benefits </w:t>
            </w:r>
            <w:r w:rsidR="00BE0D3E">
              <w:rPr>
                <w:rFonts w:ascii="Times New Roman" w:hAnsi="Times New Roman"/>
                <w:b/>
              </w:rPr>
              <w:t>(p.a.)</w:t>
            </w:r>
          </w:p>
        </w:tc>
      </w:tr>
      <w:tr w:rsidR="00DA1610" w:rsidRPr="00875480" w:rsidTr="001B3C66">
        <w:trPr>
          <w:cantSplit/>
          <w:trHeight w:val="251"/>
        </w:trPr>
        <w:tc>
          <w:tcPr>
            <w:tcW w:w="1228" w:type="dxa"/>
            <w:vMerge/>
            <w:tcBorders>
              <w:bottom w:val="single" w:sz="2" w:space="0" w:color="C0C0C0"/>
            </w:tcBorders>
            <w:shd w:val="solid" w:color="9757A6" w:fill="auto"/>
            <w:vAlign w:val="center"/>
          </w:tcPr>
          <w:p w:rsidR="00DA1610" w:rsidRPr="009A5149" w:rsidRDefault="00DA1610" w:rsidP="001B3C66">
            <w:pPr>
              <w:pStyle w:val="Tablecolumnheadings"/>
              <w:rPr>
                <w:rFonts w:ascii="Times New Roman" w:hAnsi="Times New Roman"/>
                <w:b/>
              </w:rPr>
            </w:pPr>
          </w:p>
        </w:tc>
        <w:tc>
          <w:tcPr>
            <w:tcW w:w="1228" w:type="dxa"/>
            <w:vMerge/>
            <w:tcBorders>
              <w:bottom w:val="single" w:sz="2" w:space="0" w:color="C0C0C0"/>
              <w:right w:val="single" w:sz="2" w:space="0" w:color="C0C0C0"/>
            </w:tcBorders>
            <w:shd w:val="solid" w:color="9757A6" w:fill="auto"/>
            <w:vAlign w:val="center"/>
          </w:tcPr>
          <w:p w:rsidR="00DA1610" w:rsidRPr="009A5149" w:rsidRDefault="00DA1610" w:rsidP="009A5149">
            <w:pPr>
              <w:pStyle w:val="Tablecolumnheadings"/>
              <w:jc w:val="center"/>
              <w:rPr>
                <w:rFonts w:ascii="Times New Roman" w:hAnsi="Times New Roman"/>
                <w:b/>
              </w:rPr>
            </w:pPr>
          </w:p>
        </w:tc>
        <w:tc>
          <w:tcPr>
            <w:tcW w:w="1228" w:type="dxa"/>
            <w:tcBorders>
              <w:top w:val="nil"/>
              <w:left w:val="single" w:sz="2" w:space="0" w:color="C0C0C0"/>
              <w:bottom w:val="single" w:sz="2" w:space="0" w:color="C0C0C0"/>
            </w:tcBorders>
            <w:shd w:val="solid" w:color="9757A6" w:fill="auto"/>
            <w:vAlign w:val="center"/>
          </w:tcPr>
          <w:p w:rsidR="00DA1610" w:rsidRPr="009A5149" w:rsidRDefault="00DA1610" w:rsidP="001B3C66">
            <w:pPr>
              <w:pStyle w:val="Tablecolumnheadings"/>
              <w:rPr>
                <w:rFonts w:ascii="Times New Roman" w:hAnsi="Times New Roman"/>
                <w:b/>
              </w:rPr>
            </w:pPr>
            <w:r w:rsidRPr="009A5149">
              <w:rPr>
                <w:rFonts w:ascii="Times New Roman" w:hAnsi="Times New Roman"/>
                <w:b/>
              </w:rPr>
              <w:t>Notification</w:t>
            </w:r>
          </w:p>
        </w:tc>
        <w:tc>
          <w:tcPr>
            <w:tcW w:w="1228" w:type="dxa"/>
            <w:tcBorders>
              <w:top w:val="nil"/>
              <w:bottom w:val="single" w:sz="2" w:space="0" w:color="C0C0C0"/>
            </w:tcBorders>
            <w:shd w:val="solid" w:color="9757A6" w:fill="auto"/>
            <w:vAlign w:val="center"/>
          </w:tcPr>
          <w:p w:rsidR="00DA1610" w:rsidRPr="009A5149" w:rsidRDefault="00DA1610" w:rsidP="001B3C66">
            <w:pPr>
              <w:pStyle w:val="Tablecolumnheadings"/>
              <w:rPr>
                <w:rFonts w:ascii="Times New Roman" w:hAnsi="Times New Roman"/>
                <w:b/>
              </w:rPr>
            </w:pPr>
            <w:r w:rsidRPr="009A5149">
              <w:rPr>
                <w:rFonts w:ascii="Times New Roman" w:hAnsi="Times New Roman"/>
                <w:b/>
              </w:rPr>
              <w:t>Testing and treatment</w:t>
            </w:r>
          </w:p>
        </w:tc>
        <w:tc>
          <w:tcPr>
            <w:tcW w:w="1229" w:type="dxa"/>
            <w:tcBorders>
              <w:top w:val="nil"/>
              <w:bottom w:val="single" w:sz="2" w:space="0" w:color="C0C0C0"/>
            </w:tcBorders>
            <w:shd w:val="solid" w:color="9757A6" w:fill="auto"/>
            <w:vAlign w:val="center"/>
          </w:tcPr>
          <w:p w:rsidR="00DA1610" w:rsidRPr="009A5149" w:rsidRDefault="00DA1610" w:rsidP="001B3C66">
            <w:pPr>
              <w:pStyle w:val="Tablecolumnheadings"/>
              <w:rPr>
                <w:rFonts w:ascii="Times New Roman" w:hAnsi="Times New Roman"/>
                <w:b/>
              </w:rPr>
            </w:pPr>
            <w:r w:rsidRPr="009A5149">
              <w:rPr>
                <w:rFonts w:ascii="Times New Roman" w:hAnsi="Times New Roman"/>
                <w:b/>
              </w:rPr>
              <w:t xml:space="preserve">Productivity </w:t>
            </w:r>
          </w:p>
        </w:tc>
        <w:tc>
          <w:tcPr>
            <w:tcW w:w="1229" w:type="dxa"/>
            <w:tcBorders>
              <w:top w:val="nil"/>
              <w:bottom w:val="single" w:sz="2" w:space="0" w:color="C0C0C0"/>
            </w:tcBorders>
            <w:shd w:val="solid" w:color="9757A6" w:fill="auto"/>
            <w:vAlign w:val="center"/>
          </w:tcPr>
          <w:p w:rsidR="00DA1610" w:rsidRPr="009A5149" w:rsidRDefault="00DA1610" w:rsidP="001B3C66">
            <w:pPr>
              <w:pStyle w:val="Tablecolumnheadings"/>
              <w:rPr>
                <w:rFonts w:ascii="Times New Roman" w:hAnsi="Times New Roman"/>
                <w:b/>
              </w:rPr>
            </w:pPr>
            <w:r w:rsidRPr="009A5149">
              <w:rPr>
                <w:rFonts w:ascii="Times New Roman" w:hAnsi="Times New Roman"/>
                <w:b/>
              </w:rPr>
              <w:t xml:space="preserve">Adverse events </w:t>
            </w:r>
          </w:p>
        </w:tc>
      </w:tr>
      <w:tr w:rsidR="00DA1610" w:rsidRPr="00875480" w:rsidTr="001B3C66">
        <w:trPr>
          <w:cantSplit/>
        </w:trPr>
        <w:tc>
          <w:tcPr>
            <w:tcW w:w="1228" w:type="dxa"/>
            <w:shd w:val="clear" w:color="auto" w:fill="auto"/>
            <w:vAlign w:val="center"/>
          </w:tcPr>
          <w:p w:rsidR="00DA1610" w:rsidRPr="00875480" w:rsidRDefault="00DA1610" w:rsidP="001B3C66">
            <w:pPr>
              <w:pStyle w:val="Tabletext"/>
              <w:rPr>
                <w:rFonts w:ascii="Times New Roman" w:hAnsi="Times New Roman"/>
              </w:rPr>
            </w:pPr>
            <w:r w:rsidRPr="00875480">
              <w:rPr>
                <w:rFonts w:ascii="Times New Roman" w:hAnsi="Times New Roman"/>
              </w:rPr>
              <w:t>Education programs</w:t>
            </w:r>
          </w:p>
        </w:tc>
        <w:tc>
          <w:tcPr>
            <w:tcW w:w="1228" w:type="dxa"/>
            <w:tcBorders>
              <w:right w:val="single" w:sz="2" w:space="0" w:color="C0C0C0"/>
            </w:tcBorders>
            <w:shd w:val="clear" w:color="auto" w:fill="auto"/>
            <w:vAlign w:val="center"/>
          </w:tcPr>
          <w:p w:rsidR="00DA1610" w:rsidRPr="00875480" w:rsidRDefault="00DA1610" w:rsidP="00841871">
            <w:pPr>
              <w:pStyle w:val="Tabletext"/>
              <w:jc w:val="center"/>
              <w:rPr>
                <w:rFonts w:ascii="Times New Roman" w:hAnsi="Times New Roman"/>
              </w:rPr>
            </w:pPr>
            <w:r w:rsidRPr="00875480">
              <w:rPr>
                <w:rFonts w:ascii="Times New Roman" w:hAnsi="Times New Roman"/>
              </w:rPr>
              <w:t>$0.5 million</w:t>
            </w:r>
          </w:p>
        </w:tc>
        <w:tc>
          <w:tcPr>
            <w:tcW w:w="1228" w:type="dxa"/>
            <w:tcBorders>
              <w:left w:val="single" w:sz="2" w:space="0" w:color="C0C0C0"/>
            </w:tcBorders>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$2.5 million</w:t>
            </w:r>
          </w:p>
        </w:tc>
        <w:tc>
          <w:tcPr>
            <w:tcW w:w="1228" w:type="dxa"/>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$1.9 million</w:t>
            </w:r>
          </w:p>
        </w:tc>
        <w:tc>
          <w:tcPr>
            <w:tcW w:w="1229" w:type="dxa"/>
            <w:shd w:val="clear" w:color="auto" w:fill="auto"/>
            <w:vAlign w:val="center"/>
          </w:tcPr>
          <w:p w:rsidR="00DA1610" w:rsidRPr="00875480" w:rsidRDefault="00DA1610" w:rsidP="00F51129">
            <w:pPr>
              <w:pStyle w:val="Tabletext"/>
              <w:jc w:val="center"/>
              <w:rPr>
                <w:rFonts w:ascii="Times New Roman" w:hAnsi="Times New Roman"/>
              </w:rPr>
            </w:pPr>
            <w:r w:rsidRPr="00875480">
              <w:rPr>
                <w:rFonts w:ascii="Times New Roman" w:hAnsi="Times New Roman"/>
              </w:rPr>
              <w:t>$0.</w:t>
            </w:r>
            <w:r w:rsidR="00F51129">
              <w:rPr>
                <w:rFonts w:ascii="Times New Roman" w:hAnsi="Times New Roman"/>
              </w:rPr>
              <w:t>356</w:t>
            </w:r>
            <w:r w:rsidRPr="00875480">
              <w:rPr>
                <w:rFonts w:ascii="Times New Roman" w:hAnsi="Times New Roman"/>
              </w:rPr>
              <w:t xml:space="preserve"> million</w:t>
            </w:r>
          </w:p>
        </w:tc>
        <w:tc>
          <w:tcPr>
            <w:tcW w:w="1229" w:type="dxa"/>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$0.2</w:t>
            </w:r>
            <w:r w:rsidR="00F51129">
              <w:rPr>
                <w:rFonts w:ascii="Times New Roman" w:hAnsi="Times New Roman"/>
              </w:rPr>
              <w:t>40</w:t>
            </w:r>
            <w:r w:rsidRPr="00875480">
              <w:rPr>
                <w:rFonts w:ascii="Times New Roman" w:hAnsi="Times New Roman"/>
              </w:rPr>
              <w:t xml:space="preserve"> million</w:t>
            </w:r>
          </w:p>
        </w:tc>
      </w:tr>
      <w:tr w:rsidR="00875480" w:rsidRPr="00875480" w:rsidTr="001B3C66">
        <w:trPr>
          <w:cantSplit/>
        </w:trPr>
        <w:tc>
          <w:tcPr>
            <w:tcW w:w="1228" w:type="dxa"/>
            <w:tcBorders>
              <w:bottom w:val="single" w:sz="2" w:space="0" w:color="C0C0C0"/>
            </w:tcBorders>
            <w:shd w:val="clear" w:color="auto" w:fill="auto"/>
            <w:vAlign w:val="center"/>
          </w:tcPr>
          <w:p w:rsidR="00DA1610" w:rsidRPr="00875480" w:rsidRDefault="00DA1610" w:rsidP="001B3C66">
            <w:pPr>
              <w:pStyle w:val="Tabletext"/>
              <w:rPr>
                <w:rFonts w:ascii="Times New Roman" w:hAnsi="Times New Roman"/>
              </w:rPr>
            </w:pPr>
            <w:r w:rsidRPr="00875480">
              <w:rPr>
                <w:rFonts w:ascii="Times New Roman" w:hAnsi="Times New Roman"/>
              </w:rPr>
              <w:t>Support services</w:t>
            </w:r>
          </w:p>
        </w:tc>
        <w:tc>
          <w:tcPr>
            <w:tcW w:w="1228" w:type="dxa"/>
            <w:tcBorders>
              <w:bottom w:val="single" w:sz="2" w:space="0" w:color="C0C0C0"/>
              <w:right w:val="single" w:sz="2" w:space="0" w:color="C0C0C0"/>
            </w:tcBorders>
            <w:shd w:val="clear" w:color="auto" w:fill="auto"/>
            <w:vAlign w:val="center"/>
          </w:tcPr>
          <w:p w:rsidR="00DA1610" w:rsidRPr="00875480" w:rsidRDefault="00DA1610" w:rsidP="00841871">
            <w:pPr>
              <w:pStyle w:val="Tabletext"/>
              <w:jc w:val="center"/>
              <w:rPr>
                <w:rFonts w:ascii="Times New Roman" w:hAnsi="Times New Roman"/>
              </w:rPr>
            </w:pPr>
            <w:r w:rsidRPr="00875480">
              <w:rPr>
                <w:rFonts w:ascii="Times New Roman" w:hAnsi="Times New Roman"/>
              </w:rPr>
              <w:t>$2.5 million</w:t>
            </w:r>
          </w:p>
        </w:tc>
        <w:tc>
          <w:tcPr>
            <w:tcW w:w="1228" w:type="dxa"/>
            <w:tcBorders>
              <w:left w:val="single" w:sz="2" w:space="0" w:color="C0C0C0"/>
              <w:bottom w:val="single" w:sz="2" w:space="0" w:color="C0C0C0"/>
            </w:tcBorders>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$6.2 million</w:t>
            </w:r>
          </w:p>
        </w:tc>
        <w:tc>
          <w:tcPr>
            <w:tcW w:w="1228" w:type="dxa"/>
            <w:tcBorders>
              <w:bottom w:val="single" w:sz="2" w:space="0" w:color="C0C0C0"/>
            </w:tcBorders>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$7.7 million</w:t>
            </w:r>
          </w:p>
        </w:tc>
        <w:tc>
          <w:tcPr>
            <w:tcW w:w="1229" w:type="dxa"/>
            <w:tcBorders>
              <w:bottom w:val="single" w:sz="2" w:space="0" w:color="C0C0C0"/>
            </w:tcBorders>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$7.3 million</w:t>
            </w:r>
          </w:p>
        </w:tc>
        <w:tc>
          <w:tcPr>
            <w:tcW w:w="1229" w:type="dxa"/>
            <w:tcBorders>
              <w:bottom w:val="single" w:sz="2" w:space="0" w:color="C0C0C0"/>
            </w:tcBorders>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$4.8 million</w:t>
            </w:r>
          </w:p>
        </w:tc>
      </w:tr>
      <w:tr w:rsidR="00DA1610" w:rsidRPr="00875480" w:rsidTr="001B3C66">
        <w:trPr>
          <w:cantSplit/>
        </w:trPr>
        <w:tc>
          <w:tcPr>
            <w:tcW w:w="1228" w:type="dxa"/>
            <w:tcBorders>
              <w:top w:val="single" w:sz="2" w:space="0" w:color="C0C0C0"/>
              <w:bottom w:val="single" w:sz="2" w:space="0" w:color="C0C0C0"/>
            </w:tcBorders>
            <w:shd w:val="clear" w:color="auto" w:fill="auto"/>
            <w:vAlign w:val="center"/>
          </w:tcPr>
          <w:p w:rsidR="00DA1610" w:rsidRPr="00875480" w:rsidRDefault="00DA1610" w:rsidP="001B3C66">
            <w:pPr>
              <w:pStyle w:val="Tabletext"/>
              <w:rPr>
                <w:rFonts w:ascii="Times New Roman" w:hAnsi="Times New Roman"/>
              </w:rPr>
            </w:pPr>
            <w:r w:rsidRPr="00875480">
              <w:rPr>
                <w:rFonts w:ascii="Times New Roman" w:hAnsi="Times New Roman"/>
              </w:rPr>
              <w:t>Monitoring costs</w:t>
            </w:r>
          </w:p>
        </w:tc>
        <w:tc>
          <w:tcPr>
            <w:tcW w:w="1228" w:type="dxa"/>
            <w:tcBorders>
              <w:top w:val="single" w:sz="2" w:space="0" w:color="C0C0C0"/>
              <w:bottom w:val="single" w:sz="2" w:space="0" w:color="C0C0C0"/>
              <w:right w:val="single" w:sz="2" w:space="0" w:color="C0C0C0"/>
            </w:tcBorders>
            <w:shd w:val="clear" w:color="auto" w:fill="auto"/>
            <w:vAlign w:val="center"/>
          </w:tcPr>
          <w:p w:rsidR="00DA1610" w:rsidRPr="00875480" w:rsidRDefault="00DA1610" w:rsidP="00841871">
            <w:pPr>
              <w:pStyle w:val="Tabletext"/>
              <w:jc w:val="center"/>
              <w:rPr>
                <w:rFonts w:ascii="Times New Roman" w:hAnsi="Times New Roman"/>
                <w:vertAlign w:val="superscript"/>
              </w:rPr>
            </w:pPr>
            <w:r w:rsidRPr="00875480">
              <w:rPr>
                <w:rFonts w:ascii="Times New Roman" w:hAnsi="Times New Roman"/>
              </w:rPr>
              <w:t>$</w:t>
            </w:r>
            <w:r w:rsidR="00AA7481">
              <w:rPr>
                <w:rFonts w:ascii="Times New Roman" w:hAnsi="Times New Roman"/>
              </w:rPr>
              <w:t>2.3</w:t>
            </w:r>
            <w:r w:rsidR="00F51129">
              <w:rPr>
                <w:rFonts w:ascii="Times New Roman" w:hAnsi="Times New Roman"/>
              </w:rPr>
              <w:t xml:space="preserve"> </w:t>
            </w:r>
            <w:proofErr w:type="spellStart"/>
            <w:r w:rsidR="00F51129">
              <w:rPr>
                <w:rFonts w:ascii="Times New Roman" w:hAnsi="Times New Roman"/>
              </w:rPr>
              <w:t>million</w:t>
            </w:r>
            <w:r w:rsidR="00841871">
              <w:rPr>
                <w:rFonts w:ascii="Times New Roman" w:hAnsi="Times New Roman"/>
                <w:vertAlign w:val="superscript"/>
              </w:rPr>
              <w:t>a</w:t>
            </w:r>
            <w:proofErr w:type="spellEnd"/>
          </w:p>
        </w:tc>
        <w:tc>
          <w:tcPr>
            <w:tcW w:w="1228" w:type="dxa"/>
            <w:tcBorders>
              <w:top w:val="single" w:sz="2" w:space="0" w:color="C0C0C0"/>
              <w:left w:val="single" w:sz="2" w:space="0" w:color="C0C0C0"/>
              <w:bottom w:val="single" w:sz="2" w:space="0" w:color="C0C0C0"/>
            </w:tcBorders>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$2.5 million</w:t>
            </w:r>
          </w:p>
        </w:tc>
        <w:tc>
          <w:tcPr>
            <w:tcW w:w="1228" w:type="dxa"/>
            <w:tcBorders>
              <w:top w:val="single" w:sz="2" w:space="0" w:color="C0C0C0"/>
              <w:bottom w:val="single" w:sz="2" w:space="0" w:color="C0C0C0"/>
            </w:tcBorders>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$2.7 million</w:t>
            </w:r>
          </w:p>
        </w:tc>
        <w:tc>
          <w:tcPr>
            <w:tcW w:w="1229" w:type="dxa"/>
            <w:tcBorders>
              <w:top w:val="single" w:sz="2" w:space="0" w:color="C0C0C0"/>
              <w:bottom w:val="single" w:sz="2" w:space="0" w:color="C0C0C0"/>
            </w:tcBorders>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$0.4 million</w:t>
            </w:r>
          </w:p>
        </w:tc>
        <w:tc>
          <w:tcPr>
            <w:tcW w:w="1229" w:type="dxa"/>
            <w:tcBorders>
              <w:top w:val="single" w:sz="2" w:space="0" w:color="C0C0C0"/>
              <w:bottom w:val="single" w:sz="2" w:space="0" w:color="C0C0C0"/>
            </w:tcBorders>
            <w:shd w:val="clear" w:color="auto" w:fill="auto"/>
            <w:vAlign w:val="center"/>
          </w:tcPr>
          <w:p w:rsidR="00DA1610" w:rsidRPr="00875480" w:rsidRDefault="00DA1610" w:rsidP="001B3C66">
            <w:pPr>
              <w:pStyle w:val="Tabletext"/>
              <w:jc w:val="center"/>
              <w:rPr>
                <w:rFonts w:ascii="Times New Roman" w:hAnsi="Times New Roman"/>
              </w:rPr>
            </w:pPr>
            <w:r w:rsidRPr="00875480">
              <w:rPr>
                <w:rFonts w:ascii="Times New Roman" w:hAnsi="Times New Roman"/>
              </w:rPr>
              <w:t>$0.2</w:t>
            </w:r>
            <w:r w:rsidR="00BE0D3E">
              <w:rPr>
                <w:rFonts w:ascii="Times New Roman" w:hAnsi="Times New Roman"/>
              </w:rPr>
              <w:t>4</w:t>
            </w:r>
            <w:r w:rsidR="00F51129">
              <w:rPr>
                <w:rFonts w:ascii="Times New Roman" w:hAnsi="Times New Roman"/>
              </w:rPr>
              <w:t>0</w:t>
            </w:r>
            <w:r w:rsidRPr="00875480">
              <w:rPr>
                <w:rFonts w:ascii="Times New Roman" w:hAnsi="Times New Roman"/>
              </w:rPr>
              <w:t xml:space="preserve"> million</w:t>
            </w:r>
          </w:p>
        </w:tc>
      </w:tr>
    </w:tbl>
    <w:p w:rsidR="00DA1610" w:rsidRPr="00875480" w:rsidRDefault="00DA1610" w:rsidP="00DA1610">
      <w:pPr>
        <w:pStyle w:val="Source"/>
        <w:rPr>
          <w:rFonts w:ascii="Times New Roman" w:hAnsi="Times New Roman"/>
        </w:rPr>
      </w:pPr>
      <w:r w:rsidRPr="00875480">
        <w:rPr>
          <w:rFonts w:ascii="Times New Roman" w:hAnsi="Times New Roman"/>
          <w:i/>
        </w:rPr>
        <w:t>Note:</w:t>
      </w:r>
      <w:r w:rsidRPr="00875480">
        <w:rPr>
          <w:rFonts w:ascii="Times New Roman" w:hAnsi="Times New Roman"/>
        </w:rPr>
        <w:t xml:space="preserve"> </w:t>
      </w:r>
      <w:proofErr w:type="gramStart"/>
      <w:r>
        <w:rPr>
          <w:rFonts w:ascii="Times New Roman" w:hAnsi="Times New Roman"/>
          <w:vertAlign w:val="superscript"/>
        </w:rPr>
        <w:t>a</w:t>
      </w:r>
      <w:proofErr w:type="gramEnd"/>
      <w:r w:rsidRPr="00875480">
        <w:rPr>
          <w:rFonts w:ascii="Times New Roman" w:hAnsi="Times New Roman"/>
        </w:rPr>
        <w:t xml:space="preserve"> </w:t>
      </w:r>
      <w:r w:rsidR="00BE0D3E">
        <w:rPr>
          <w:rFonts w:ascii="Times New Roman" w:hAnsi="Times New Roman"/>
        </w:rPr>
        <w:t>Assuming</w:t>
      </w:r>
      <w:r w:rsidR="00AA7481">
        <w:rPr>
          <w:rFonts w:ascii="Times New Roman" w:hAnsi="Times New Roman"/>
        </w:rPr>
        <w:t xml:space="preserve"> 5</w:t>
      </w:r>
      <w:r w:rsidR="00841871">
        <w:rPr>
          <w:rFonts w:ascii="Times New Roman" w:hAnsi="Times New Roman"/>
        </w:rPr>
        <w:t xml:space="preserve">0 per cent </w:t>
      </w:r>
      <w:r w:rsidR="00BE0D3E">
        <w:rPr>
          <w:rFonts w:ascii="Times New Roman" w:hAnsi="Times New Roman"/>
        </w:rPr>
        <w:t xml:space="preserve">subsidy rate </w:t>
      </w:r>
      <w:r w:rsidRPr="00875480">
        <w:rPr>
          <w:rFonts w:ascii="Times New Roman" w:hAnsi="Times New Roman"/>
        </w:rPr>
        <w:t xml:space="preserve"> </w:t>
      </w:r>
    </w:p>
    <w:p w:rsidR="00DA1610" w:rsidRPr="00875480" w:rsidRDefault="00DA1610" w:rsidP="00DA1610">
      <w:pPr>
        <w:pStyle w:val="Source"/>
        <w:rPr>
          <w:rFonts w:ascii="Times New Roman" w:hAnsi="Times New Roman"/>
        </w:rPr>
      </w:pPr>
      <w:r w:rsidRPr="00875480">
        <w:rPr>
          <w:rFonts w:ascii="Times New Roman" w:hAnsi="Times New Roman"/>
        </w:rPr>
        <w:t xml:space="preserve">Source: ACIL Allen Consulting </w:t>
      </w:r>
    </w:p>
    <w:bookmarkEnd w:id="184"/>
    <w:p w:rsidR="00DC3FB0" w:rsidRPr="005529DF" w:rsidRDefault="00DC3FB0" w:rsidP="005B72F2">
      <w:pPr>
        <w:pStyle w:val="BodyText"/>
      </w:pPr>
    </w:p>
    <w:p w:rsidR="00D73D48" w:rsidRPr="005529DF" w:rsidRDefault="00D23019" w:rsidP="0043641D">
      <w:pPr>
        <w:pStyle w:val="Heading1"/>
        <w:rPr>
          <w:rFonts w:ascii="Times New Roman" w:hAnsi="Times New Roman"/>
        </w:rPr>
      </w:pPr>
      <w:bookmarkStart w:id="185" w:name="_Toc418498835"/>
      <w:bookmarkStart w:id="186" w:name="_Toc418502769"/>
      <w:bookmarkStart w:id="187" w:name="_Toc418503018"/>
      <w:bookmarkStart w:id="188" w:name="_Toc418498840"/>
      <w:bookmarkStart w:id="189" w:name="_Toc418502774"/>
      <w:bookmarkStart w:id="190" w:name="_Toc418503023"/>
      <w:bookmarkStart w:id="191" w:name="_Toc418498843"/>
      <w:bookmarkStart w:id="192" w:name="_Toc418502777"/>
      <w:bookmarkStart w:id="193" w:name="_Toc418503026"/>
      <w:bookmarkStart w:id="194" w:name="_Toc418498844"/>
      <w:bookmarkStart w:id="195" w:name="_Toc418502778"/>
      <w:bookmarkStart w:id="196" w:name="_Toc418503027"/>
      <w:bookmarkStart w:id="197" w:name="_Toc418498849"/>
      <w:bookmarkStart w:id="198" w:name="_Toc418502783"/>
      <w:bookmarkStart w:id="199" w:name="_Toc418503032"/>
      <w:bookmarkStart w:id="200" w:name="_Toc418498854"/>
      <w:bookmarkStart w:id="201" w:name="_Toc418502788"/>
      <w:bookmarkStart w:id="202" w:name="_Toc418503037"/>
      <w:bookmarkStart w:id="203" w:name="_Toc418498864"/>
      <w:bookmarkStart w:id="204" w:name="_Toc418502798"/>
      <w:bookmarkStart w:id="205" w:name="_Toc418503047"/>
      <w:bookmarkStart w:id="206" w:name="_Toc415300297"/>
      <w:bookmarkStart w:id="207" w:name="_Toc415300299"/>
      <w:bookmarkStart w:id="208" w:name="_Toc415300300"/>
      <w:bookmarkStart w:id="209" w:name="_Toc412199098"/>
      <w:bookmarkStart w:id="210" w:name="_Toc415300301"/>
      <w:bookmarkStart w:id="211" w:name="_Toc414979515"/>
      <w:bookmarkStart w:id="212" w:name="_Toc414981487"/>
      <w:bookmarkStart w:id="213" w:name="_Toc414979516"/>
      <w:bookmarkStart w:id="214" w:name="_Toc414981488"/>
      <w:bookmarkStart w:id="215" w:name="_Toc414979545"/>
      <w:bookmarkStart w:id="216" w:name="_Toc414981517"/>
      <w:bookmarkStart w:id="217" w:name="_Toc412715223"/>
      <w:bookmarkStart w:id="218" w:name="_Toc414979546"/>
      <w:bookmarkStart w:id="219" w:name="_Toc414981518"/>
      <w:bookmarkStart w:id="220" w:name="_Ref414978877"/>
      <w:bookmarkStart w:id="221" w:name="_Toc415300303"/>
      <w:bookmarkStart w:id="222" w:name="_Toc414979551"/>
      <w:bookmarkStart w:id="223" w:name="_Toc414981523"/>
      <w:bookmarkStart w:id="224" w:name="_Toc415300305"/>
      <w:bookmarkStart w:id="225" w:name="_Toc415300306"/>
      <w:bookmarkStart w:id="226" w:name="_Toc412199102"/>
      <w:bookmarkStart w:id="227" w:name="_Ref414975934"/>
      <w:bookmarkStart w:id="228" w:name="_Toc415300309"/>
      <w:bookmarkStart w:id="229" w:name="_Toc412196251"/>
      <w:bookmarkStart w:id="230" w:name="_Toc412196252"/>
      <w:bookmarkStart w:id="231" w:name="_Toc412196253"/>
      <w:bookmarkStart w:id="232" w:name="_Toc412196254"/>
      <w:bookmarkStart w:id="233" w:name="_Toc412196255"/>
      <w:bookmarkStart w:id="234" w:name="_Toc412196256"/>
      <w:bookmarkStart w:id="235" w:name="_Toc412196323"/>
      <w:bookmarkStart w:id="236" w:name="_Toc412196324"/>
      <w:bookmarkStart w:id="237" w:name="_Toc412196325"/>
      <w:bookmarkStart w:id="238" w:name="_Toc412196326"/>
      <w:bookmarkStart w:id="239" w:name="_Toc412196327"/>
      <w:bookmarkStart w:id="240" w:name="_Toc412196328"/>
      <w:bookmarkStart w:id="241" w:name="_Toc412196329"/>
      <w:bookmarkStart w:id="242" w:name="_Toc412196330"/>
      <w:bookmarkStart w:id="243" w:name="_Toc412196331"/>
      <w:bookmarkStart w:id="244" w:name="_Toc412196332"/>
      <w:bookmarkStart w:id="245" w:name="_Toc412196333"/>
      <w:bookmarkStart w:id="246" w:name="_Toc412196334"/>
      <w:bookmarkStart w:id="247" w:name="_Toc412196389"/>
      <w:bookmarkStart w:id="248" w:name="_Toc412196390"/>
      <w:bookmarkStart w:id="249" w:name="_Toc412196391"/>
      <w:bookmarkStart w:id="250" w:name="_Toc412196392"/>
      <w:bookmarkStart w:id="251" w:name="_Toc412196393"/>
      <w:bookmarkStart w:id="252" w:name="_Toc412196394"/>
      <w:bookmarkStart w:id="253" w:name="_Toc412196395"/>
      <w:bookmarkStart w:id="254" w:name="_Toc412196396"/>
      <w:bookmarkStart w:id="255" w:name="_Toc412196397"/>
      <w:bookmarkStart w:id="256" w:name="_Toc412196398"/>
      <w:bookmarkStart w:id="257" w:name="_Toc412196399"/>
      <w:bookmarkStart w:id="258" w:name="_Toc412196405"/>
      <w:bookmarkStart w:id="259" w:name="_Toc412196454"/>
      <w:bookmarkStart w:id="260" w:name="_Toc412196455"/>
      <w:bookmarkStart w:id="261" w:name="_Toc412196456"/>
      <w:bookmarkStart w:id="262" w:name="_Toc412196457"/>
      <w:bookmarkStart w:id="263" w:name="_Toc412196461"/>
      <w:bookmarkStart w:id="264" w:name="_Toc412196477"/>
      <w:bookmarkStart w:id="265" w:name="_Toc412196478"/>
      <w:bookmarkStart w:id="266" w:name="_Toc412196479"/>
      <w:bookmarkStart w:id="267" w:name="_Toc412196486"/>
      <w:bookmarkStart w:id="268" w:name="_Toc412196534"/>
      <w:bookmarkStart w:id="269" w:name="_Toc412196535"/>
      <w:bookmarkStart w:id="270" w:name="_Toc412196536"/>
      <w:bookmarkStart w:id="271" w:name="_Toc412196537"/>
      <w:bookmarkStart w:id="272" w:name="_Toc412196538"/>
      <w:bookmarkStart w:id="273" w:name="_Toc412196539"/>
      <w:bookmarkStart w:id="274" w:name="_Toc412196540"/>
      <w:bookmarkStart w:id="275" w:name="_Toc412196541"/>
      <w:bookmarkStart w:id="276" w:name="_Toc412196542"/>
      <w:bookmarkStart w:id="277" w:name="_Toc412196543"/>
      <w:bookmarkStart w:id="278" w:name="_Toc412196544"/>
      <w:bookmarkStart w:id="279" w:name="_Toc412196545"/>
      <w:bookmarkStart w:id="280" w:name="_Toc412196546"/>
      <w:bookmarkStart w:id="281" w:name="_Toc412196547"/>
      <w:bookmarkStart w:id="282" w:name="_Toc412196548"/>
      <w:bookmarkStart w:id="283" w:name="_Toc412196549"/>
      <w:bookmarkStart w:id="284" w:name="_Toc412196550"/>
      <w:bookmarkStart w:id="285" w:name="_Toc412196551"/>
      <w:bookmarkStart w:id="286" w:name="_Toc412196582"/>
      <w:bookmarkStart w:id="287" w:name="_Toc412196583"/>
      <w:bookmarkStart w:id="288" w:name="_Toc412196584"/>
      <w:bookmarkStart w:id="289" w:name="_Toc412196585"/>
      <w:bookmarkStart w:id="290" w:name="_Toc412196586"/>
      <w:bookmarkStart w:id="291" w:name="_Toc412196587"/>
      <w:bookmarkStart w:id="292" w:name="_Toc412196588"/>
      <w:bookmarkStart w:id="293" w:name="_Toc412196589"/>
      <w:bookmarkStart w:id="294" w:name="_Toc412196590"/>
      <w:bookmarkStart w:id="295" w:name="_Toc412196591"/>
      <w:bookmarkStart w:id="296" w:name="_Toc412196592"/>
      <w:bookmarkStart w:id="297" w:name="_Toc412196593"/>
      <w:bookmarkStart w:id="298" w:name="_Toc412196594"/>
      <w:bookmarkStart w:id="299" w:name="_Toc412196595"/>
      <w:bookmarkStart w:id="300" w:name="_Toc412196626"/>
      <w:bookmarkStart w:id="301" w:name="_Toc412196627"/>
      <w:bookmarkStart w:id="302" w:name="_Toc412196628"/>
      <w:bookmarkStart w:id="303" w:name="_Toc412196629"/>
      <w:bookmarkStart w:id="304" w:name="_Toc412196654"/>
      <w:bookmarkStart w:id="305" w:name="_Toc412196655"/>
      <w:bookmarkStart w:id="306" w:name="_Toc412196656"/>
      <w:bookmarkStart w:id="307" w:name="_Toc412196657"/>
      <w:bookmarkStart w:id="308" w:name="_Toc412196730"/>
      <w:bookmarkStart w:id="309" w:name="_Toc412196731"/>
      <w:bookmarkStart w:id="310" w:name="_Toc412196732"/>
      <w:bookmarkStart w:id="311" w:name="_Toc412196733"/>
      <w:bookmarkStart w:id="312" w:name="_Toc412196734"/>
      <w:bookmarkStart w:id="313" w:name="_Toc412196735"/>
      <w:bookmarkStart w:id="314" w:name="_Toc412196736"/>
      <w:bookmarkStart w:id="315" w:name="_Toc412196737"/>
      <w:bookmarkStart w:id="316" w:name="_Toc412196738"/>
      <w:bookmarkStart w:id="317" w:name="_Toc415300322"/>
      <w:bookmarkStart w:id="318" w:name="_Toc412715240"/>
      <w:bookmarkStart w:id="319" w:name="_Toc412199115"/>
      <w:bookmarkStart w:id="320" w:name="_Toc415300323"/>
      <w:bookmarkStart w:id="321" w:name="_Ref415304539"/>
      <w:bookmarkStart w:id="322" w:name="_Toc419702952"/>
      <w:bookmarkEnd w:id="58"/>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5529DF">
        <w:rPr>
          <w:rFonts w:ascii="Times New Roman" w:hAnsi="Times New Roman"/>
        </w:rPr>
        <w:lastRenderedPageBreak/>
        <w:t>Conclusion</w:t>
      </w:r>
      <w:bookmarkEnd w:id="321"/>
      <w:bookmarkEnd w:id="322"/>
      <w:r w:rsidR="00815DD4" w:rsidRPr="005529DF">
        <w:rPr>
          <w:rFonts w:ascii="Times New Roman" w:hAnsi="Times New Roman"/>
        </w:rPr>
        <w:t xml:space="preserve"> </w:t>
      </w:r>
      <w:r w:rsidRPr="005529DF">
        <w:rPr>
          <w:rFonts w:ascii="Times New Roman" w:hAnsi="Times New Roman"/>
        </w:rPr>
        <w:t xml:space="preserve"> </w:t>
      </w:r>
    </w:p>
    <w:p w:rsidR="00693B7D" w:rsidRDefault="00693B7D" w:rsidP="00F2211B">
      <w:pPr>
        <w:pStyle w:val="Heading2nonumber"/>
        <w:pBdr>
          <w:bottom w:val="single" w:sz="8" w:space="0" w:color="BFBFBF" w:themeColor="background1" w:themeShade="BF"/>
        </w:pBdr>
        <w:rPr>
          <w:rFonts w:ascii="Times New Roman" w:hAnsi="Times New Roman"/>
        </w:rPr>
      </w:pPr>
      <w:r>
        <w:rPr>
          <w:rFonts w:ascii="Times New Roman" w:hAnsi="Times New Roman"/>
        </w:rPr>
        <w:t>The need</w:t>
      </w:r>
    </w:p>
    <w:p w:rsidR="00927BFC" w:rsidRDefault="00693B7D" w:rsidP="00693B7D">
      <w:pPr>
        <w:pStyle w:val="BodyText"/>
      </w:pPr>
      <w:r>
        <w:t>I</w:t>
      </w:r>
      <w:r w:rsidRPr="005529DF">
        <w:t xml:space="preserve">mpairment can be a significant issue for </w:t>
      </w:r>
      <w:r w:rsidR="00927BFC">
        <w:t xml:space="preserve">health </w:t>
      </w:r>
      <w:r w:rsidRPr="005529DF">
        <w:t>practitioners</w:t>
      </w:r>
      <w:r w:rsidR="004109DA">
        <w:t xml:space="preserve">, </w:t>
      </w:r>
      <w:r w:rsidRPr="005529DF">
        <w:t>employers</w:t>
      </w:r>
      <w:r w:rsidR="004109DA">
        <w:t xml:space="preserve"> and the public</w:t>
      </w:r>
      <w:r w:rsidRPr="005529DF">
        <w:t xml:space="preserve"> even if </w:t>
      </w:r>
      <w:r w:rsidR="004109DA">
        <w:t>the impact</w:t>
      </w:r>
      <w:r w:rsidRPr="005529DF">
        <w:t xml:space="preserve"> is not sufficiently serious to meet the criteria for notification to </w:t>
      </w:r>
      <w:r w:rsidR="00927BFC">
        <w:t>the regulator</w:t>
      </w:r>
      <w:r w:rsidRPr="005529DF">
        <w:t xml:space="preserve">. </w:t>
      </w:r>
      <w:r>
        <w:t xml:space="preserve">This is evidenced </w:t>
      </w:r>
      <w:r w:rsidR="00927BFC">
        <w:t>in</w:t>
      </w:r>
      <w:r>
        <w:t xml:space="preserve"> the literature and reinforced through consultations with the range of stakeholders conducted as part of this review.</w:t>
      </w:r>
      <w:r w:rsidR="00927BFC">
        <w:t xml:space="preserve"> </w:t>
      </w:r>
      <w:r w:rsidRPr="005529DF">
        <w:t xml:space="preserve">Both lend support to the case for providing </w:t>
      </w:r>
      <w:r w:rsidR="00927BFC">
        <w:t>support</w:t>
      </w:r>
      <w:r w:rsidRPr="005529DF">
        <w:t xml:space="preserve"> to nurses and midwives, who are particularly susceptible to health impairment when compared to the wider health practitioner population. </w:t>
      </w:r>
    </w:p>
    <w:p w:rsidR="00693B7D" w:rsidRPr="005B74C9" w:rsidRDefault="00693B7D" w:rsidP="00693B7D">
      <w:pPr>
        <w:pStyle w:val="BodyText"/>
        <w:rPr>
          <w:rStyle w:val="reference-text"/>
        </w:rPr>
      </w:pPr>
      <w:r w:rsidRPr="005B74C9">
        <w:rPr>
          <w:rStyle w:val="reference-text"/>
        </w:rPr>
        <w:t xml:space="preserve">The high incidence of health impairment in the </w:t>
      </w:r>
      <w:r w:rsidR="00B465F7">
        <w:rPr>
          <w:rStyle w:val="reference-text"/>
        </w:rPr>
        <w:t xml:space="preserve">nursing and midwifery </w:t>
      </w:r>
      <w:r w:rsidRPr="005B74C9">
        <w:rPr>
          <w:rStyle w:val="reference-text"/>
        </w:rPr>
        <w:t xml:space="preserve">workforce and the influence of nursing and midwifery practice on patient outcomes indicates that </w:t>
      </w:r>
      <w:r w:rsidR="00927BFC">
        <w:rPr>
          <w:rStyle w:val="reference-text"/>
        </w:rPr>
        <w:t xml:space="preserve">attention is </w:t>
      </w:r>
      <w:r w:rsidRPr="005B74C9">
        <w:rPr>
          <w:rStyle w:val="reference-text"/>
        </w:rPr>
        <w:t>required for this professional group, not just for the nurse</w:t>
      </w:r>
      <w:r w:rsidR="00B465F7">
        <w:rPr>
          <w:rStyle w:val="reference-text"/>
        </w:rPr>
        <w:t>s</w:t>
      </w:r>
      <w:r w:rsidRPr="005B74C9">
        <w:rPr>
          <w:rStyle w:val="reference-text"/>
        </w:rPr>
        <w:t xml:space="preserve"> </w:t>
      </w:r>
      <w:r w:rsidR="00B465F7">
        <w:rPr>
          <w:rStyle w:val="reference-text"/>
        </w:rPr>
        <w:t>and</w:t>
      </w:r>
      <w:r w:rsidR="00B465F7" w:rsidRPr="005B74C9">
        <w:rPr>
          <w:rStyle w:val="reference-text"/>
        </w:rPr>
        <w:t xml:space="preserve"> </w:t>
      </w:r>
      <w:r w:rsidRPr="005B74C9">
        <w:rPr>
          <w:rStyle w:val="reference-text"/>
        </w:rPr>
        <w:t>midwi</w:t>
      </w:r>
      <w:r w:rsidR="00B465F7">
        <w:rPr>
          <w:rStyle w:val="reference-text"/>
        </w:rPr>
        <w:t>ves</w:t>
      </w:r>
      <w:r w:rsidRPr="005B74C9">
        <w:rPr>
          <w:rStyle w:val="reference-text"/>
        </w:rPr>
        <w:t xml:space="preserve"> themselves but to improve protection of the public. </w:t>
      </w:r>
    </w:p>
    <w:p w:rsidR="00693B7D" w:rsidRPr="005529DF" w:rsidRDefault="00693B7D" w:rsidP="00693B7D">
      <w:pPr>
        <w:pStyle w:val="BodyText"/>
      </w:pPr>
      <w:r w:rsidRPr="005529DF">
        <w:t xml:space="preserve">While the </w:t>
      </w:r>
      <w:r w:rsidR="00927BFC" w:rsidRPr="005529DF">
        <w:t xml:space="preserve">overall </w:t>
      </w:r>
      <w:r w:rsidRPr="005529DF">
        <w:t xml:space="preserve">role of the regulator in relation to assessment and monitoring is considered to work well in ensuring that </w:t>
      </w:r>
      <w:r w:rsidR="00D25304">
        <w:t>nurses and midwives</w:t>
      </w:r>
      <w:r w:rsidRPr="005529DF">
        <w:t xml:space="preserve"> with a health impairment have appropriate restrictions placed upon their registration to protect the public, </w:t>
      </w:r>
      <w:r w:rsidR="00D25304">
        <w:t xml:space="preserve">there are opportunities to increase </w:t>
      </w:r>
      <w:r w:rsidRPr="005529DF">
        <w:t xml:space="preserve">practitioner awareness and understanding of impairment, mandatory notification and the processes and supports that are available. </w:t>
      </w:r>
    </w:p>
    <w:p w:rsidR="00DA602A" w:rsidRPr="005529DF" w:rsidRDefault="00DA602A" w:rsidP="00F2211B">
      <w:pPr>
        <w:pStyle w:val="Heading2nonumber"/>
        <w:pBdr>
          <w:bottom w:val="single" w:sz="8" w:space="0" w:color="BFBFBF" w:themeColor="background1" w:themeShade="BF"/>
        </w:pBdr>
        <w:rPr>
          <w:rFonts w:ascii="Times New Roman" w:hAnsi="Times New Roman"/>
        </w:rPr>
      </w:pPr>
      <w:r w:rsidRPr="005529DF">
        <w:rPr>
          <w:rFonts w:ascii="Times New Roman" w:hAnsi="Times New Roman"/>
        </w:rPr>
        <w:t>The service enhancements</w:t>
      </w:r>
    </w:p>
    <w:p w:rsidR="00054675" w:rsidRPr="005529DF" w:rsidRDefault="00DA602A" w:rsidP="00DA602A">
      <w:pPr>
        <w:pStyle w:val="BodyText"/>
      </w:pPr>
      <w:r w:rsidRPr="005529DF">
        <w:t xml:space="preserve">Three </w:t>
      </w:r>
      <w:r w:rsidR="00D25304">
        <w:t>specific</w:t>
      </w:r>
      <w:r w:rsidR="00D25304" w:rsidRPr="005529DF">
        <w:t xml:space="preserve"> </w:t>
      </w:r>
      <w:r w:rsidRPr="005529DF">
        <w:t>areas have been identified where the</w:t>
      </w:r>
      <w:r w:rsidR="00D25304">
        <w:t>re is potential to enhance the</w:t>
      </w:r>
      <w:r w:rsidRPr="005529DF">
        <w:t xml:space="preserve"> management and support of nurses and midwives with an impairment. The service elements within each of these areas have been drawn </w:t>
      </w:r>
      <w:r w:rsidR="00054675" w:rsidRPr="005529DF">
        <w:t xml:space="preserve">from broad consultation with stakeholders regarding management and support models for health </w:t>
      </w:r>
      <w:r w:rsidR="00054675" w:rsidRPr="009F652A">
        <w:rPr>
          <w:rStyle w:val="reference-text"/>
        </w:rPr>
        <w:t>practitioner</w:t>
      </w:r>
      <w:r w:rsidR="00054675" w:rsidRPr="005529DF">
        <w:t xml:space="preserve">s with a health impairment, good practice principles in supporting health </w:t>
      </w:r>
      <w:r w:rsidR="00054675" w:rsidRPr="009F652A">
        <w:rPr>
          <w:rStyle w:val="reference-text"/>
        </w:rPr>
        <w:t>practitioner</w:t>
      </w:r>
      <w:r w:rsidR="00054675" w:rsidRPr="005529DF">
        <w:t>s with a health impairment, and the role the regulator may play in such arrangements.</w:t>
      </w:r>
      <w:r w:rsidR="00054675">
        <w:t xml:space="preserve"> They </w:t>
      </w:r>
      <w:r w:rsidR="00054675">
        <w:lastRenderedPageBreak/>
        <w:t>have also</w:t>
      </w:r>
      <w:r w:rsidR="00054675" w:rsidRPr="005529DF">
        <w:t xml:space="preserve"> been informed by academic and grey literature on practitioner impairment, and specifically, Australian and international models of referral, treatment and rehabilitation programs for practitioners with a health related impairment</w:t>
      </w:r>
      <w:r w:rsidR="00054675">
        <w:t>.</w:t>
      </w:r>
    </w:p>
    <w:p w:rsidR="00614175" w:rsidRPr="005529DF" w:rsidRDefault="00614175" w:rsidP="00614175">
      <w:pPr>
        <w:pStyle w:val="BodyText"/>
      </w:pPr>
      <w:r w:rsidRPr="005529DF">
        <w:t xml:space="preserve">The first involves additional </w:t>
      </w:r>
      <w:r w:rsidRPr="005B74C9">
        <w:rPr>
          <w:i/>
        </w:rPr>
        <w:t>education and awareness programs</w:t>
      </w:r>
      <w:r w:rsidRPr="005529DF">
        <w:t xml:space="preserve"> to better inform nurses and midwives of mandatory notification requirements, obligations to the regulator upon being notified, how to better identify health impairment among colleagues, as well as where and how to access appropriate support services. The second involves a establishing </w:t>
      </w:r>
      <w:r w:rsidR="00883B4C">
        <w:t xml:space="preserve">a </w:t>
      </w:r>
      <w:r w:rsidRPr="005529DF">
        <w:t xml:space="preserve">national </w:t>
      </w:r>
      <w:r w:rsidRPr="005B74C9">
        <w:rPr>
          <w:i/>
        </w:rPr>
        <w:t>support service</w:t>
      </w:r>
      <w:r w:rsidRPr="005529DF">
        <w:t xml:space="preserve"> for nurses and midwives that provides a range of advisory, counselling and referral services, either through a single national service, or through state-based services within a national framework. The third focusses on reduc</w:t>
      </w:r>
      <w:r>
        <w:t xml:space="preserve">ing the impact of </w:t>
      </w:r>
      <w:r w:rsidRPr="005B74C9">
        <w:rPr>
          <w:i/>
        </w:rPr>
        <w:t>monitoring and testing costs</w:t>
      </w:r>
      <w:r w:rsidRPr="005529DF">
        <w:t>, so as to help encourage earlier self-referral and quicker rehabilitation and return to work.</w:t>
      </w:r>
      <w:r>
        <w:t xml:space="preserve"> </w:t>
      </w:r>
    </w:p>
    <w:p w:rsidR="00DA602A" w:rsidRPr="005529DF" w:rsidRDefault="00DA602A" w:rsidP="00F2211B">
      <w:pPr>
        <w:pStyle w:val="Heading2nonumber"/>
        <w:rPr>
          <w:rFonts w:ascii="Times New Roman" w:hAnsi="Times New Roman"/>
        </w:rPr>
      </w:pPr>
      <w:r w:rsidRPr="005529DF">
        <w:rPr>
          <w:rFonts w:ascii="Times New Roman" w:hAnsi="Times New Roman"/>
        </w:rPr>
        <w:t>Implementation considerations</w:t>
      </w:r>
    </w:p>
    <w:p w:rsidR="00DA602A" w:rsidRPr="005529DF" w:rsidRDefault="00DA602A" w:rsidP="00DA602A">
      <w:pPr>
        <w:pStyle w:val="BodyText"/>
      </w:pPr>
      <w:r w:rsidRPr="005529DF">
        <w:t xml:space="preserve">In considering appropriate organisations able to take responsibility for implementing these enhancements, a number of potential stakeholder bodies were identified as having varying degrees of roles and/or interests in the proposed service elements. In addition to the regulator, they include educators, employers, insurers, governments, and professional colleges and associations. </w:t>
      </w:r>
    </w:p>
    <w:p w:rsidR="00DA602A" w:rsidRPr="005529DF" w:rsidRDefault="00DA602A" w:rsidP="00DA602A">
      <w:pPr>
        <w:pStyle w:val="BodyText"/>
      </w:pPr>
      <w:r w:rsidRPr="005529DF">
        <w:t xml:space="preserve">As the regulator, </w:t>
      </w:r>
      <w:r w:rsidR="00B465F7">
        <w:t>NMBA</w:t>
      </w:r>
      <w:r w:rsidR="00B465F7" w:rsidRPr="005529DF">
        <w:t xml:space="preserve"> </w:t>
      </w:r>
      <w:r w:rsidRPr="005529DF">
        <w:t>has an interest in the outcomes of all service elements as a result of its mandate to protect the public</w:t>
      </w:r>
      <w:r w:rsidR="00762F7D">
        <w:t>, however, it has a particular interest in</w:t>
      </w:r>
      <w:r w:rsidRPr="005529DF">
        <w:t xml:space="preserve"> </w:t>
      </w:r>
      <w:r w:rsidR="004109DA">
        <w:t xml:space="preserve">ensuring that all stakeholders are informed </w:t>
      </w:r>
      <w:r w:rsidRPr="005529DF">
        <w:t>regarding the notification process. While having no direct responsibility in the provision of education regarding support services or funding monitoring costs, it has a strong interest in ensuring that these are not preventing early identification of potential impairment or elongating the monitoring process, resulting in increased risk to the public.</w:t>
      </w:r>
    </w:p>
    <w:p w:rsidR="00DA602A" w:rsidRPr="005529DF" w:rsidRDefault="00DA602A" w:rsidP="00DA602A">
      <w:pPr>
        <w:pStyle w:val="BodyText"/>
      </w:pPr>
      <w:r w:rsidRPr="005529DF">
        <w:t xml:space="preserve">Having said that, no single stakeholder was identified as having a primary responsibility for support service enhancements, </w:t>
      </w:r>
      <w:r w:rsidR="004109DA">
        <w:t>with</w:t>
      </w:r>
      <w:r w:rsidR="004109DA" w:rsidRPr="005529DF">
        <w:t xml:space="preserve"> </w:t>
      </w:r>
      <w:r w:rsidRPr="005529DF">
        <w:t xml:space="preserve">employers, professional associations, and governments </w:t>
      </w:r>
      <w:r w:rsidR="004109DA">
        <w:t>all</w:t>
      </w:r>
      <w:r w:rsidRPr="005529DF">
        <w:t xml:space="preserve"> seen as bodies who could play a contributory role. </w:t>
      </w:r>
    </w:p>
    <w:p w:rsidR="00DA602A" w:rsidRPr="005529DF" w:rsidRDefault="00DA602A" w:rsidP="00DA602A">
      <w:pPr>
        <w:pStyle w:val="BodyText"/>
      </w:pPr>
      <w:r w:rsidRPr="005529DF">
        <w:lastRenderedPageBreak/>
        <w:t xml:space="preserve">Moreover, as discussed above, the potential benefits of </w:t>
      </w:r>
      <w:r w:rsidR="004109DA">
        <w:t>suggested</w:t>
      </w:r>
      <w:r w:rsidRPr="005529DF">
        <w:t xml:space="preserve"> service enhancements are significant</w:t>
      </w:r>
      <w:r w:rsidR="00E333A0">
        <w:t xml:space="preserve"> and include avoided regulatory costs, avoided adverse events to the public and productivity gains to employers. </w:t>
      </w:r>
      <w:r w:rsidRPr="005529DF">
        <w:t>The realisation of the identified benefits will require some party or parties to take a lead role in instigating a national dialogue amongst relevant stakeholders to progress service enhancements. Potential models that could be considered are:</w:t>
      </w:r>
    </w:p>
    <w:p w:rsidR="00842FB6" w:rsidRDefault="00842FB6" w:rsidP="00842FB6">
      <w:pPr>
        <w:pStyle w:val="ListDash"/>
      </w:pPr>
      <w:r>
        <w:t>T</w:t>
      </w:r>
      <w:r w:rsidRPr="005529DF">
        <w:t xml:space="preserve">he NMBA working to provide additional education and awareness programs regarding impairment and the notification process, </w:t>
      </w:r>
      <w:r>
        <w:t xml:space="preserve">Employers, whether public or private, would also provide important channels for such programs. </w:t>
      </w:r>
    </w:p>
    <w:p w:rsidR="00842FB6" w:rsidRDefault="00842FB6" w:rsidP="00842FB6">
      <w:pPr>
        <w:pStyle w:val="ListDash"/>
      </w:pPr>
      <w:r>
        <w:t>AHPRA exploring</w:t>
      </w:r>
      <w:r w:rsidRPr="005529DF">
        <w:t xml:space="preserve"> strategies to reduce the costs of monitoring </w:t>
      </w:r>
      <w:r>
        <w:t>for</w:t>
      </w:r>
      <w:r w:rsidRPr="005529DF">
        <w:t xml:space="preserve"> a nurse or midwife with an impairment. In the case of students, this would also need to involve the educational institutions.</w:t>
      </w:r>
      <w:r>
        <w:t xml:space="preserve"> </w:t>
      </w:r>
    </w:p>
    <w:p w:rsidR="00842FB6" w:rsidRPr="005529DF" w:rsidRDefault="00842FB6" w:rsidP="00842FB6">
      <w:pPr>
        <w:pStyle w:val="ListDash"/>
      </w:pPr>
      <w:r>
        <w:t>T</w:t>
      </w:r>
      <w:r w:rsidRPr="005529DF">
        <w:t xml:space="preserve">he NMBA working with government and professional colleges and associations to </w:t>
      </w:r>
      <w:r>
        <w:t xml:space="preserve">facilitate the </w:t>
      </w:r>
      <w:r w:rsidRPr="005529DF">
        <w:t>establish</w:t>
      </w:r>
      <w:r>
        <w:t>ment of</w:t>
      </w:r>
      <w:r w:rsidRPr="005529DF">
        <w:t xml:space="preserve"> </w:t>
      </w:r>
      <w:r>
        <w:t xml:space="preserve">a </w:t>
      </w:r>
      <w:r w:rsidRPr="005529DF">
        <w:t xml:space="preserve">national support service for nurses and midwives either suspected or found to have a health impairment. These services would also need to involve employers to ensure a clear delineation between more general </w:t>
      </w:r>
      <w:r>
        <w:t>employee assistance programs (</w:t>
      </w:r>
      <w:r w:rsidRPr="005529DF">
        <w:t>EAPs</w:t>
      </w:r>
      <w:r>
        <w:t>)</w:t>
      </w:r>
      <w:r w:rsidRPr="005529DF">
        <w:t>.</w:t>
      </w:r>
    </w:p>
    <w:p w:rsidR="00DA602A" w:rsidRPr="005529DF" w:rsidRDefault="00DA602A" w:rsidP="00F2211B">
      <w:pPr>
        <w:pStyle w:val="Heading2nonumber"/>
        <w:rPr>
          <w:rFonts w:ascii="Times New Roman" w:hAnsi="Times New Roman"/>
        </w:rPr>
      </w:pPr>
      <w:r w:rsidRPr="005529DF">
        <w:rPr>
          <w:rFonts w:ascii="Times New Roman" w:hAnsi="Times New Roman"/>
        </w:rPr>
        <w:t>The role of the regulator</w:t>
      </w:r>
    </w:p>
    <w:p w:rsidR="00DA602A" w:rsidRPr="005529DF" w:rsidRDefault="00DA602A" w:rsidP="00DA602A">
      <w:pPr>
        <w:pStyle w:val="BodyText"/>
      </w:pPr>
      <w:r w:rsidRPr="005529DF">
        <w:t xml:space="preserve">It is clear that </w:t>
      </w:r>
      <w:r w:rsidR="00193251">
        <w:t>implementing the</w:t>
      </w:r>
      <w:r w:rsidRPr="005529DF">
        <w:t xml:space="preserve"> proposed service elements will require national discussions with </w:t>
      </w:r>
      <w:r w:rsidR="00193251">
        <w:t xml:space="preserve">a range of </w:t>
      </w:r>
      <w:r w:rsidRPr="005529DF">
        <w:t>key stakeholders. The realisation of the identified benefits will require some party or parties to take a lead role in instigating a national dialogue amongst relevant stakeholders regarding progressing the service enhancements</w:t>
      </w:r>
    </w:p>
    <w:p w:rsidR="00DA602A" w:rsidRPr="005529DF" w:rsidRDefault="00DA602A" w:rsidP="00DA602A">
      <w:pPr>
        <w:pStyle w:val="BodyText"/>
      </w:pPr>
      <w:r w:rsidRPr="005529DF">
        <w:t xml:space="preserve">A key question therefore is what could or should the regulator’s role be in progressing these discussions, given they involve issues beyond the review’s objective in advising the regulator on its specific regulatory roles and responsibilities. The fact that the regulatory system is impacted by these areas adjacent to its direct regulatory responsibilities, an effective support program being a case in point, may provide a sufficient rationale for the NMBA to either lead or facilitate such discussions. Additionally, there are significant potential benefits in relation to </w:t>
      </w:r>
      <w:r w:rsidRPr="005529DF">
        <w:lastRenderedPageBreak/>
        <w:t>regulatory costs associated with the suite of enhancements identified here</w:t>
      </w:r>
      <w:r w:rsidR="005E1A0E">
        <w:t xml:space="preserve"> (for example, through reducing the severity of health impairment cases brought to the regulator’s attention). </w:t>
      </w:r>
    </w:p>
    <w:p w:rsidR="00DA602A" w:rsidRPr="005529DF" w:rsidRDefault="00DA602A" w:rsidP="00DA602A">
      <w:pPr>
        <w:pStyle w:val="BodyText"/>
      </w:pPr>
      <w:r w:rsidRPr="005529DF">
        <w:t xml:space="preserve">Tied to the question of implementation responsibility is that of funding. </w:t>
      </w:r>
      <w:r w:rsidR="00CA73BF">
        <w:t>P</w:t>
      </w:r>
      <w:r w:rsidRPr="005529DF">
        <w:t>otential contributing sources include government(s), professional colleges and association</w:t>
      </w:r>
      <w:r w:rsidR="00CA73BF">
        <w:t xml:space="preserve"> member’s fees</w:t>
      </w:r>
      <w:r w:rsidRPr="005529DF">
        <w:t xml:space="preserve">, employers and registration fees as collected by the regulator. </w:t>
      </w:r>
    </w:p>
    <w:p w:rsidR="00DA602A" w:rsidRPr="005529DF" w:rsidRDefault="00DA602A" w:rsidP="00DA602A">
      <w:pPr>
        <w:pStyle w:val="BodyText"/>
      </w:pPr>
      <w:r w:rsidRPr="005529DF">
        <w:t xml:space="preserve">While </w:t>
      </w:r>
      <w:r w:rsidR="00CA73BF">
        <w:t xml:space="preserve">a proportion of nursing and midwifery </w:t>
      </w:r>
      <w:r w:rsidRPr="005529DF">
        <w:t xml:space="preserve">registration fees provide a single and national funding source that would cover all </w:t>
      </w:r>
      <w:r w:rsidR="00CA73BF">
        <w:t>registrants</w:t>
      </w:r>
      <w:r w:rsidRPr="005529DF">
        <w:t xml:space="preserve">, there are issues associated with regulator funded services, particularly in relation to the provision of support services. Most prominent is the concern that these may not be perceived as sufficiently independent from the legislated and largely disciplinary functions of the regulator, which could make nurses and midwives reluctant to access such services. </w:t>
      </w:r>
    </w:p>
    <w:p w:rsidR="00DA602A" w:rsidRPr="005529DF" w:rsidRDefault="00DA602A" w:rsidP="00DA602A">
      <w:pPr>
        <w:pStyle w:val="BodyText"/>
      </w:pPr>
      <w:r w:rsidRPr="005529DF">
        <w:t xml:space="preserve">There is also the risk that regulator funded support services may divert </w:t>
      </w:r>
      <w:r w:rsidR="005E1A0E">
        <w:t xml:space="preserve">attention away </w:t>
      </w:r>
      <w:r w:rsidR="00C96FCB">
        <w:t xml:space="preserve">from </w:t>
      </w:r>
      <w:r w:rsidR="005E1A0E">
        <w:t xml:space="preserve">regulatory oversight, </w:t>
      </w:r>
      <w:r w:rsidR="00C96FCB">
        <w:t xml:space="preserve">which could lead to health impaired nurses midwives not practising safely. </w:t>
      </w:r>
      <w:r w:rsidRPr="005529DF">
        <w:t xml:space="preserve">If </w:t>
      </w:r>
      <w:r w:rsidR="00D324FD">
        <w:t xml:space="preserve">it were decided that </w:t>
      </w:r>
      <w:r w:rsidRPr="005529DF">
        <w:t xml:space="preserve">registration fees were the most appropriate </w:t>
      </w:r>
      <w:r w:rsidR="00D324FD">
        <w:t xml:space="preserve">source of </w:t>
      </w:r>
      <w:r w:rsidRPr="005529DF">
        <w:t xml:space="preserve">funding </w:t>
      </w:r>
      <w:r w:rsidR="00D324FD">
        <w:t xml:space="preserve">for </w:t>
      </w:r>
      <w:r w:rsidRPr="005529DF">
        <w:t xml:space="preserve">the support service enhancements, strong independent governance arrangements </w:t>
      </w:r>
      <w:r w:rsidR="00BB1EF1">
        <w:t xml:space="preserve">and processes </w:t>
      </w:r>
      <w:r w:rsidR="00FE26C3">
        <w:t xml:space="preserve">would need to be put in place </w:t>
      </w:r>
      <w:r w:rsidRPr="005529DF">
        <w:t>to ensure escalation to the regulator of impairment issues that posed a risk to the public under the provisions of the National Law.</w:t>
      </w:r>
    </w:p>
    <w:p w:rsidR="00DA602A" w:rsidRPr="005529DF" w:rsidRDefault="00DA602A" w:rsidP="00DA602A">
      <w:pPr>
        <w:pStyle w:val="BodyText"/>
      </w:pPr>
      <w:r w:rsidRPr="005529DF">
        <w:t xml:space="preserve">The nature and ultimate level of regulatory involvement in implementing and/or funding additional services, and the benefits represented will also depend on the extent to which any systemic arrangements are able to be effected through government programs, employers and/or professional colleges and associations.  </w:t>
      </w:r>
    </w:p>
    <w:p w:rsidR="00D73D48" w:rsidRPr="005529DF" w:rsidRDefault="004604D8">
      <w:pPr>
        <w:pStyle w:val="Heading1"/>
        <w:numPr>
          <w:ilvl w:val="0"/>
          <w:numId w:val="0"/>
        </w:numPr>
        <w:ind w:left="142"/>
        <w:rPr>
          <w:rFonts w:ascii="Times New Roman" w:hAnsi="Times New Roman"/>
        </w:rPr>
      </w:pPr>
      <w:bookmarkStart w:id="323" w:name="_Toc419702953"/>
      <w:r w:rsidRPr="005529DF">
        <w:rPr>
          <w:rFonts w:ascii="Times New Roman" w:hAnsi="Times New Roman"/>
        </w:rPr>
        <w:lastRenderedPageBreak/>
        <w:t>References</w:t>
      </w:r>
      <w:bookmarkEnd w:id="323"/>
    </w:p>
    <w:p w:rsidR="003F377E" w:rsidRPr="005529DF" w:rsidRDefault="003F377E" w:rsidP="003F377E">
      <w:pPr>
        <w:rPr>
          <w:rFonts w:ascii="Times New Roman" w:hAnsi="Times New Roman" w:cs="Times New Roman"/>
        </w:rPr>
      </w:pPr>
    </w:p>
    <w:p w:rsidR="00A051B9" w:rsidRPr="001422AB" w:rsidRDefault="00A051B9" w:rsidP="00A051B9">
      <w:pPr>
        <w:pStyle w:val="BodyText"/>
      </w:pPr>
      <w:proofErr w:type="spellStart"/>
      <w:r w:rsidRPr="001422AB">
        <w:t>Admi</w:t>
      </w:r>
      <w:proofErr w:type="spellEnd"/>
      <w:r w:rsidRPr="001422AB">
        <w:t xml:space="preserve"> H, </w:t>
      </w:r>
      <w:proofErr w:type="spellStart"/>
      <w:r w:rsidRPr="001422AB">
        <w:t>Tzischinsky</w:t>
      </w:r>
      <w:proofErr w:type="spellEnd"/>
      <w:r w:rsidRPr="001422AB">
        <w:t xml:space="preserve"> O Epstein R, </w:t>
      </w:r>
      <w:proofErr w:type="spellStart"/>
      <w:r w:rsidRPr="001422AB">
        <w:t>Herer</w:t>
      </w:r>
      <w:proofErr w:type="spellEnd"/>
      <w:r w:rsidRPr="001422AB">
        <w:t xml:space="preserve"> P and P </w:t>
      </w:r>
      <w:proofErr w:type="spellStart"/>
      <w:r w:rsidRPr="001422AB">
        <w:t>Lavie</w:t>
      </w:r>
      <w:proofErr w:type="spellEnd"/>
      <w:r w:rsidRPr="001422AB">
        <w:t xml:space="preserve"> 2008, Shift work in nursing: Is it really a risk factors for nurses’ health and patients’ safety</w:t>
      </w:r>
      <w:proofErr w:type="gramStart"/>
      <w:r w:rsidRPr="001422AB">
        <w:t>?,</w:t>
      </w:r>
      <w:proofErr w:type="gramEnd"/>
      <w:r w:rsidRPr="001422AB">
        <w:t xml:space="preserve"> Nursing Economics, Vol 26(4)</w:t>
      </w:r>
    </w:p>
    <w:p w:rsidR="00A051B9" w:rsidRPr="001422AB" w:rsidRDefault="00A051B9" w:rsidP="00A051B9">
      <w:pPr>
        <w:pStyle w:val="BodyText"/>
      </w:pPr>
      <w:proofErr w:type="spellStart"/>
      <w:r w:rsidRPr="001422AB">
        <w:t>Adriaenssens</w:t>
      </w:r>
      <w:proofErr w:type="spellEnd"/>
      <w:r w:rsidRPr="001422AB">
        <w:t xml:space="preserve"> J, Gucht V and S </w:t>
      </w:r>
      <w:proofErr w:type="spellStart"/>
      <w:r w:rsidRPr="001422AB">
        <w:t>Maes</w:t>
      </w:r>
      <w:proofErr w:type="spellEnd"/>
      <w:r w:rsidRPr="001422AB">
        <w:t xml:space="preserve"> 2012, </w:t>
      </w:r>
      <w:proofErr w:type="gramStart"/>
      <w:r w:rsidRPr="001422AB">
        <w:t>The</w:t>
      </w:r>
      <w:proofErr w:type="gramEnd"/>
      <w:r w:rsidRPr="001422AB">
        <w:t xml:space="preserve"> impact of traumatic events on emergency room nurses: Findings from a questionnaire survey, International Journal of Nursing Studies, Vol 49</w:t>
      </w:r>
    </w:p>
    <w:p w:rsidR="00A051B9" w:rsidRPr="001422AB" w:rsidRDefault="00A051B9" w:rsidP="00A051B9">
      <w:pPr>
        <w:pStyle w:val="BodyText"/>
      </w:pPr>
      <w:r w:rsidRPr="001422AB">
        <w:t>American Nurses Association (ANA) 2011, 2011 Health and Safety Survey, accessed 7 March 2015,</w:t>
      </w:r>
      <w:r w:rsidR="009B7D90">
        <w:t xml:space="preserve"> </w:t>
      </w:r>
      <w:r w:rsidRPr="001422AB">
        <w:t>&lt;</w:t>
      </w:r>
      <w:hyperlink r:id="rId32" w:history="1">
        <w:r w:rsidRPr="001422AB">
          <w:t>http://nursingworld.org/FunctionalMenuCategories/MediaResources/MediaBackgrounders/The-Nurse-Work-Environment-2011-Health-Safety-Survey.pdf</w:t>
        </w:r>
      </w:hyperlink>
    </w:p>
    <w:p w:rsidR="00A051B9" w:rsidRPr="001422AB" w:rsidRDefault="00A051B9" w:rsidP="00A051B9">
      <w:pPr>
        <w:pStyle w:val="BodyText"/>
      </w:pPr>
      <w:r w:rsidRPr="001422AB">
        <w:t xml:space="preserve">Australian Health Practitioner Regulation Agency (AHPRA) 2011, Senate Finance and Public Administration References Committee–submission </w:t>
      </w:r>
    </w:p>
    <w:p w:rsidR="00A051B9" w:rsidRPr="001422AB" w:rsidRDefault="00A051B9" w:rsidP="00A051B9">
      <w:pPr>
        <w:pStyle w:val="BodyText"/>
      </w:pPr>
      <w:r w:rsidRPr="001422AB">
        <w:t>Australian Health Practitioner Regulation Agency (AHPRA) 2015, Annual Report 2013/14</w:t>
      </w:r>
    </w:p>
    <w:p w:rsidR="00A051B9" w:rsidRPr="001422AB" w:rsidRDefault="00A051B9" w:rsidP="00A051B9">
      <w:pPr>
        <w:pStyle w:val="BodyText"/>
      </w:pPr>
      <w:r w:rsidRPr="001422AB">
        <w:t>Australian Health Practitioner Regulation Agency (AHPRA) 2015a, The Notification Process, accessed 21 April 2015, &lt; http://www.ahpra.gov.au/Notifications/The-notifications-process.aspx &gt;</w:t>
      </w:r>
    </w:p>
    <w:p w:rsidR="00A051B9" w:rsidRPr="001422AB" w:rsidRDefault="00A051B9" w:rsidP="00A051B9">
      <w:pPr>
        <w:pStyle w:val="BodyText"/>
      </w:pPr>
      <w:r w:rsidRPr="001422AB">
        <w:t xml:space="preserve">Australian Medical Association (AMA) Queensland 2012, </w:t>
      </w:r>
      <w:r w:rsidRPr="001422AB">
        <w:rPr>
          <w:iCs/>
        </w:rPr>
        <w:t>Queensland’s Health Ombudsman–What does it mean for you</w:t>
      </w:r>
      <w:proofErr w:type="gramStart"/>
      <w:r w:rsidRPr="001422AB">
        <w:rPr>
          <w:iCs/>
        </w:rPr>
        <w:t>?,</w:t>
      </w:r>
      <w:proofErr w:type="gramEnd"/>
      <w:r w:rsidRPr="001422AB">
        <w:rPr>
          <w:iCs/>
        </w:rPr>
        <w:t xml:space="preserve"> </w:t>
      </w:r>
      <w:r w:rsidRPr="001422AB">
        <w:t>Queensland</w:t>
      </w:r>
    </w:p>
    <w:p w:rsidR="00A051B9" w:rsidRPr="001422AB" w:rsidRDefault="00A051B9" w:rsidP="00A051B9">
      <w:pPr>
        <w:pStyle w:val="BodyText"/>
      </w:pPr>
      <w:r w:rsidRPr="001422AB">
        <w:t xml:space="preserve">Australian Safety and Compensation Council 2008, Occupation Exposures of Australian Nurses: </w:t>
      </w:r>
      <w:r w:rsidRPr="001422AB">
        <w:rPr>
          <w:iCs/>
        </w:rPr>
        <w:t xml:space="preserve">Results of the Project, </w:t>
      </w:r>
      <w:r w:rsidRPr="001422AB">
        <w:t>accessed 12 March, &lt;http://www.safeworkaustralia.gov.au/NR/rdonlyres/20DB83F7-283C-4E35-8D6C-366D6CFEECF9/0/occupational_exposures_nurses.pdf??</w:t>
      </w:r>
    </w:p>
    <w:p w:rsidR="00A051B9" w:rsidRPr="001422AB" w:rsidRDefault="00A051B9" w:rsidP="00A051B9">
      <w:pPr>
        <w:pStyle w:val="BodyText"/>
      </w:pPr>
      <w:r w:rsidRPr="001422AB">
        <w:t xml:space="preserve">Australian Health Workforce Ministerial Council 2014, National Registration and Accreditation Scheme for health professions–review terms of reference </w:t>
      </w:r>
    </w:p>
    <w:p w:rsidR="00A051B9" w:rsidRPr="001422AB" w:rsidRDefault="00A051B9" w:rsidP="00A051B9">
      <w:pPr>
        <w:pStyle w:val="BodyText"/>
      </w:pPr>
      <w:r w:rsidRPr="001422AB">
        <w:lastRenderedPageBreak/>
        <w:t>Australian Medical Association (AMA) 2015, Medical Board of Australia and AMA join force on doctors’ health, accessed 6 May 2015, &lt;https://ama.com.au/media/medical-board-australia-and-ama-join-forces-doctors%E2%80%99-health&gt;</w:t>
      </w:r>
    </w:p>
    <w:p w:rsidR="00A051B9" w:rsidRPr="001422AB" w:rsidRDefault="00A051B9" w:rsidP="00A051B9">
      <w:pPr>
        <w:pStyle w:val="BodyText"/>
      </w:pPr>
      <w:bookmarkStart w:id="324" w:name="_ENREF_18"/>
      <w:proofErr w:type="spellStart"/>
      <w:r w:rsidRPr="001422AB">
        <w:t>Bohigian</w:t>
      </w:r>
      <w:proofErr w:type="spellEnd"/>
      <w:r w:rsidRPr="001422AB">
        <w:t xml:space="preserve"> G.M, JL </w:t>
      </w:r>
      <w:proofErr w:type="spellStart"/>
      <w:r w:rsidRPr="001422AB">
        <w:t>Croughan</w:t>
      </w:r>
      <w:proofErr w:type="spellEnd"/>
      <w:r w:rsidRPr="001422AB">
        <w:t xml:space="preserve"> and R Bondurant 2002, Substance abuse and dependence in physicians: the Missouri Physicians Health </w:t>
      </w:r>
      <w:r w:rsidR="009B7D90">
        <w:t>Program--an update (1995-2001),</w:t>
      </w:r>
      <w:r w:rsidRPr="001422AB">
        <w:t xml:space="preserve"> </w:t>
      </w:r>
      <w:r w:rsidRPr="001422AB">
        <w:rPr>
          <w:u w:val="single"/>
        </w:rPr>
        <w:t>Mo Med</w:t>
      </w:r>
      <w:r w:rsidRPr="001422AB">
        <w:t xml:space="preserve"> </w:t>
      </w:r>
      <w:r w:rsidRPr="001422AB">
        <w:rPr>
          <w:b/>
        </w:rPr>
        <w:t>99</w:t>
      </w:r>
      <w:r w:rsidRPr="001422AB">
        <w:t>(4): 161-165.</w:t>
      </w:r>
      <w:bookmarkEnd w:id="324"/>
    </w:p>
    <w:p w:rsidR="00A051B9" w:rsidRPr="001422AB" w:rsidRDefault="009B7D90" w:rsidP="00A051B9">
      <w:pPr>
        <w:pStyle w:val="BodyText"/>
      </w:pPr>
      <w:bookmarkStart w:id="325" w:name="_ENREF_21"/>
      <w:r>
        <w:t xml:space="preserve">Bosch X, </w:t>
      </w:r>
      <w:r w:rsidR="00A051B9" w:rsidRPr="001422AB">
        <w:t xml:space="preserve">2000, </w:t>
      </w:r>
      <w:proofErr w:type="gramStart"/>
      <w:r w:rsidR="00A051B9" w:rsidRPr="001422AB">
        <w:t>First</w:t>
      </w:r>
      <w:proofErr w:type="gramEnd"/>
      <w:r w:rsidR="00A051B9" w:rsidRPr="001422AB">
        <w:t xml:space="preserve"> impaired physicians therapy program appears to be successful in Spain, </w:t>
      </w:r>
      <w:r w:rsidR="00A051B9" w:rsidRPr="001422AB">
        <w:rPr>
          <w:u w:val="single"/>
        </w:rPr>
        <w:t>JAMA</w:t>
      </w:r>
      <w:r w:rsidR="00A051B9" w:rsidRPr="001422AB">
        <w:t xml:space="preserve"> </w:t>
      </w:r>
      <w:r w:rsidR="00A051B9" w:rsidRPr="001422AB">
        <w:rPr>
          <w:b/>
        </w:rPr>
        <w:t>283</w:t>
      </w:r>
      <w:r w:rsidR="00A051B9" w:rsidRPr="001422AB">
        <w:t>(24): 3186-3187.</w:t>
      </w:r>
      <w:bookmarkEnd w:id="325"/>
    </w:p>
    <w:p w:rsidR="00A051B9" w:rsidRPr="001422AB" w:rsidRDefault="00A051B9" w:rsidP="00A051B9">
      <w:pPr>
        <w:pStyle w:val="BodyText"/>
      </w:pPr>
      <w:bookmarkStart w:id="326" w:name="_ENREF_22"/>
      <w:r w:rsidRPr="001422AB">
        <w:t>Boyd, J. W. and J. R. Knight 2012, Ethical and managerial considerations regarding state physician health program</w:t>
      </w:r>
      <w:proofErr w:type="gramStart"/>
      <w:r w:rsidRPr="001422AB">
        <w:t xml:space="preserve">,  </w:t>
      </w:r>
      <w:r w:rsidRPr="001422AB">
        <w:rPr>
          <w:u w:val="single"/>
        </w:rPr>
        <w:t>J</w:t>
      </w:r>
      <w:proofErr w:type="gramEnd"/>
      <w:r w:rsidRPr="001422AB">
        <w:rPr>
          <w:u w:val="single"/>
        </w:rPr>
        <w:t xml:space="preserve"> Addict Med</w:t>
      </w:r>
      <w:r w:rsidRPr="001422AB">
        <w:t xml:space="preserve"> </w:t>
      </w:r>
      <w:r w:rsidRPr="001422AB">
        <w:rPr>
          <w:b/>
        </w:rPr>
        <w:t>6</w:t>
      </w:r>
      <w:r w:rsidRPr="001422AB">
        <w:t>(4): 243-246.</w:t>
      </w:r>
      <w:bookmarkEnd w:id="326"/>
    </w:p>
    <w:p w:rsidR="00A051B9" w:rsidRPr="001422AB" w:rsidRDefault="00A051B9" w:rsidP="00A051B9">
      <w:pPr>
        <w:pStyle w:val="BodyText"/>
      </w:pPr>
      <w:r w:rsidRPr="001422AB">
        <w:t>Boyle AD 2011, Countering Compassion Fatigue: A requisite nursing agenda, The Online Journal of Issues in Nursing, Vol 16(1)</w:t>
      </w:r>
    </w:p>
    <w:p w:rsidR="00A051B9" w:rsidRPr="001422AB" w:rsidRDefault="00A051B9" w:rsidP="00A051B9">
      <w:pPr>
        <w:pStyle w:val="BodyText"/>
      </w:pPr>
      <w:r w:rsidRPr="001422AB">
        <w:t xml:space="preserve">Brooks E, </w:t>
      </w:r>
      <w:proofErr w:type="spellStart"/>
      <w:r w:rsidRPr="001422AB">
        <w:t>Gendel</w:t>
      </w:r>
      <w:proofErr w:type="spellEnd"/>
      <w:r w:rsidRPr="001422AB">
        <w:t xml:space="preserve"> MH, </w:t>
      </w:r>
      <w:proofErr w:type="spellStart"/>
      <w:r w:rsidRPr="001422AB">
        <w:t>Gundersen</w:t>
      </w:r>
      <w:proofErr w:type="spellEnd"/>
      <w:r w:rsidRPr="001422AB">
        <w:t xml:space="preserve">, DC, Early SR, </w:t>
      </w:r>
      <w:proofErr w:type="spellStart"/>
      <w:r w:rsidRPr="001422AB">
        <w:t>Schirrmacher</w:t>
      </w:r>
      <w:proofErr w:type="spellEnd"/>
      <w:r w:rsidRPr="001422AB">
        <w:t xml:space="preserve"> R, </w:t>
      </w:r>
      <w:proofErr w:type="spellStart"/>
      <w:r w:rsidRPr="001422AB">
        <w:t>Lembitz</w:t>
      </w:r>
      <w:proofErr w:type="spellEnd"/>
      <w:r w:rsidRPr="001422AB">
        <w:t xml:space="preserve"> and Shore JH 2013, Physician health programmes and malpractice claims: reducing risk through monitoring, Occupational Medicine, April 2013</w:t>
      </w:r>
    </w:p>
    <w:p w:rsidR="00A051B9" w:rsidRPr="001422AB" w:rsidRDefault="00A051B9" w:rsidP="00A051B9">
      <w:pPr>
        <w:pStyle w:val="BodyText"/>
      </w:pPr>
      <w:bookmarkStart w:id="327" w:name="_ENREF_31"/>
      <w:bookmarkStart w:id="328" w:name="_ENREF_30"/>
      <w:r w:rsidRPr="001422AB">
        <w:t xml:space="preserve">Brown, R. L. and B. S. </w:t>
      </w:r>
      <w:proofErr w:type="spellStart"/>
      <w:r w:rsidRPr="001422AB">
        <w:t>Schneidman</w:t>
      </w:r>
      <w:proofErr w:type="spellEnd"/>
      <w:r w:rsidRPr="001422AB">
        <w:t xml:space="preserve"> 2004, Physicians’ health programs: what’s happening in the USA, </w:t>
      </w:r>
      <w:r w:rsidRPr="001422AB">
        <w:rPr>
          <w:u w:val="single"/>
        </w:rPr>
        <w:t>Medical journal of Australia</w:t>
      </w:r>
      <w:r w:rsidRPr="001422AB">
        <w:t xml:space="preserve"> </w:t>
      </w:r>
      <w:r w:rsidRPr="001422AB">
        <w:rPr>
          <w:b/>
        </w:rPr>
        <w:t>181</w:t>
      </w:r>
      <w:r w:rsidRPr="001422AB">
        <w:t>(7): 390-</w:t>
      </w:r>
      <w:proofErr w:type="gramStart"/>
      <w:r w:rsidRPr="001422AB">
        <w:t>391.</w:t>
      </w:r>
      <w:bookmarkEnd w:id="327"/>
      <w:proofErr w:type="gramEnd"/>
    </w:p>
    <w:p w:rsidR="00A051B9" w:rsidRPr="001422AB" w:rsidRDefault="00A051B9" w:rsidP="00A051B9">
      <w:pPr>
        <w:pStyle w:val="BodyText"/>
      </w:pPr>
      <w:r w:rsidRPr="001422AB">
        <w:t xml:space="preserve">Brown M.E, A.M </w:t>
      </w:r>
      <w:proofErr w:type="spellStart"/>
      <w:r w:rsidRPr="001422AB">
        <w:t>Trinkoff</w:t>
      </w:r>
      <w:proofErr w:type="spellEnd"/>
      <w:r w:rsidRPr="001422AB">
        <w:t xml:space="preserve">, AG, Christen and EJ. Dole 2002, Impairment issues for health care professionals: Review and recommendations, </w:t>
      </w:r>
      <w:r w:rsidRPr="001422AB">
        <w:rPr>
          <w:u w:val="single"/>
        </w:rPr>
        <w:t>Substance Abuse</w:t>
      </w:r>
      <w:r w:rsidRPr="001422AB">
        <w:t xml:space="preserve"> </w:t>
      </w:r>
      <w:r w:rsidRPr="001422AB">
        <w:rPr>
          <w:b/>
        </w:rPr>
        <w:t>23</w:t>
      </w:r>
      <w:r w:rsidRPr="001422AB">
        <w:t>(S1): 155-165.</w:t>
      </w:r>
      <w:bookmarkEnd w:id="328"/>
    </w:p>
    <w:p w:rsidR="00A051B9" w:rsidRPr="001422AB" w:rsidRDefault="00A051B9" w:rsidP="00A051B9">
      <w:pPr>
        <w:pStyle w:val="BodyText"/>
      </w:pPr>
      <w:r w:rsidRPr="001422AB">
        <w:t>Campbell 2013, Mid-Staffordshire NHS Foundation Trust Public Inquiry</w:t>
      </w:r>
    </w:p>
    <w:p w:rsidR="00A051B9" w:rsidRPr="001422AB" w:rsidRDefault="00A051B9" w:rsidP="00A051B9">
      <w:pPr>
        <w:pStyle w:val="BodyText"/>
      </w:pPr>
      <w:bookmarkStart w:id="329" w:name="_ENREF_33"/>
      <w:bookmarkStart w:id="330" w:name="_ENREF_36"/>
      <w:proofErr w:type="spellStart"/>
      <w:r w:rsidRPr="001422AB">
        <w:t>Carinci</w:t>
      </w:r>
      <w:proofErr w:type="spellEnd"/>
      <w:r w:rsidRPr="001422AB">
        <w:t xml:space="preserve">, A. J. and P. J. Christo 2009, Physician impairment: is recovery feasible, </w:t>
      </w:r>
      <w:r w:rsidRPr="001422AB">
        <w:rPr>
          <w:u w:val="single"/>
        </w:rPr>
        <w:t>Pain physician</w:t>
      </w:r>
      <w:r w:rsidRPr="001422AB">
        <w:t xml:space="preserve"> </w:t>
      </w:r>
      <w:r w:rsidRPr="001422AB">
        <w:rPr>
          <w:b/>
        </w:rPr>
        <w:t>12</w:t>
      </w:r>
      <w:r w:rsidRPr="001422AB">
        <w:t>(3): 487-491.</w:t>
      </w:r>
      <w:bookmarkEnd w:id="329"/>
    </w:p>
    <w:p w:rsidR="00A051B9" w:rsidRPr="001422AB" w:rsidRDefault="00A051B9" w:rsidP="00A051B9">
      <w:pPr>
        <w:pStyle w:val="BodyText"/>
      </w:pPr>
      <w:proofErr w:type="spellStart"/>
      <w:r w:rsidRPr="001422AB">
        <w:t>Clode</w:t>
      </w:r>
      <w:proofErr w:type="spellEnd"/>
      <w:r w:rsidRPr="001422AB">
        <w:t xml:space="preserve"> D 2004, Emotional health: the conspiracy of silence among medical practitioners, from </w:t>
      </w:r>
      <w:hyperlink r:id="rId33" w:history="1">
        <w:r w:rsidRPr="001422AB">
          <w:rPr>
            <w:rStyle w:val="Hyperlink"/>
          </w:rPr>
          <w:t>http://www.vdhp.org.au/_literature_38085/The_conspiracy_of_silence_-_emotional_health_among_Medical_Practitioners</w:t>
        </w:r>
      </w:hyperlink>
      <w:r w:rsidRPr="001422AB">
        <w:t>.</w:t>
      </w:r>
      <w:bookmarkEnd w:id="330"/>
    </w:p>
    <w:p w:rsidR="00A051B9" w:rsidRPr="001422AB" w:rsidRDefault="00A051B9" w:rsidP="00A051B9">
      <w:pPr>
        <w:pStyle w:val="BodyText"/>
        <w:rPr>
          <w:rFonts w:eastAsia="AdvP4DF60E"/>
        </w:rPr>
      </w:pPr>
      <w:proofErr w:type="spellStart"/>
      <w:r w:rsidRPr="001422AB">
        <w:rPr>
          <w:rFonts w:eastAsia="AdvP4DF60E"/>
        </w:rPr>
        <w:lastRenderedPageBreak/>
        <w:t>Clohessy</w:t>
      </w:r>
      <w:proofErr w:type="spellEnd"/>
      <w:r w:rsidRPr="001422AB">
        <w:rPr>
          <w:rFonts w:eastAsia="AdvP4DF60E"/>
        </w:rPr>
        <w:t xml:space="preserve"> S, Ehlers A 1999, PTSD symptoms, response to intrusive memories and coping in ambulance service workers, British Journal of Clinical Psychology 38 (</w:t>
      </w:r>
      <w:proofErr w:type="spellStart"/>
      <w:r w:rsidRPr="001422AB">
        <w:rPr>
          <w:rFonts w:eastAsia="AdvP4DF60E"/>
        </w:rPr>
        <w:t>P</w:t>
      </w:r>
      <w:r>
        <w:rPr>
          <w:rFonts w:eastAsia="AdvP4DF60E"/>
        </w:rPr>
        <w:t>art</w:t>
      </w:r>
      <w:r w:rsidRPr="001422AB">
        <w:rPr>
          <w:rFonts w:eastAsia="AdvP4DF60E"/>
        </w:rPr>
        <w:t>t</w:t>
      </w:r>
      <w:proofErr w:type="spellEnd"/>
      <w:r w:rsidRPr="001422AB">
        <w:rPr>
          <w:rFonts w:eastAsia="AdvP4DF60E"/>
        </w:rPr>
        <w:t xml:space="preserve"> 3), 251–265</w:t>
      </w:r>
    </w:p>
    <w:p w:rsidR="00A051B9" w:rsidRPr="001422AB" w:rsidRDefault="00A051B9" w:rsidP="00A051B9">
      <w:pPr>
        <w:pStyle w:val="BodyText"/>
      </w:pPr>
      <w:bookmarkStart w:id="331" w:name="_ENREF_38"/>
      <w:r w:rsidRPr="001422AB">
        <w:t>College of Registered Nurses of British Columbia (CRNBC) 2012, Early Intervention Program Health.</w:t>
      </w:r>
      <w:bookmarkEnd w:id="331"/>
    </w:p>
    <w:p w:rsidR="00A051B9" w:rsidRPr="001422AB" w:rsidRDefault="00A051B9" w:rsidP="00A051B9">
      <w:pPr>
        <w:pStyle w:val="BodyText"/>
      </w:pPr>
      <w:r w:rsidRPr="001422AB">
        <w:t xml:space="preserve">College of Registered Nurses British Columbia (CRNBC) 2014, Early Intervention Program, Canada </w:t>
      </w:r>
    </w:p>
    <w:p w:rsidR="00A051B9" w:rsidRPr="001422AB" w:rsidRDefault="00A051B9" w:rsidP="00A051B9">
      <w:pPr>
        <w:pStyle w:val="BodyText"/>
      </w:pPr>
      <w:r w:rsidRPr="001422AB">
        <w:t xml:space="preserve">College of Registered Nurses of British Columbia (CRNBC) 2014a, Professional conduct review process, Canada </w:t>
      </w:r>
    </w:p>
    <w:p w:rsidR="00A051B9" w:rsidRPr="001422AB" w:rsidRDefault="00A051B9" w:rsidP="00A051B9">
      <w:pPr>
        <w:pStyle w:val="BodyText"/>
      </w:pPr>
      <w:r w:rsidRPr="001422AB">
        <w:t>College of Registered Nurses of British Columbia (CRNBC) 2014b, Inquiry Committee, accessed 11 September 2014, &lt; https://www.crnbc.ca/crnbc/Board/committees/Pages/InquiryCommittee.aspx &gt;</w:t>
      </w:r>
    </w:p>
    <w:p w:rsidR="00A051B9" w:rsidRPr="001422AB" w:rsidRDefault="00A051B9" w:rsidP="00A051B9">
      <w:pPr>
        <w:pStyle w:val="BodyText"/>
      </w:pPr>
      <w:r w:rsidRPr="001422AB">
        <w:t xml:space="preserve">College of Registered Nurses of British Columbia (CRNBC) 2014c, Early Intervention Program Health, Canada </w:t>
      </w:r>
    </w:p>
    <w:p w:rsidR="00A051B9" w:rsidRPr="001422AB" w:rsidRDefault="00A051B9" w:rsidP="00A051B9">
      <w:pPr>
        <w:pStyle w:val="BodyText"/>
      </w:pPr>
      <w:r w:rsidRPr="001422AB">
        <w:t xml:space="preserve">Council of Australian Government (COAG) 2003, Best Practice Regulation, A guide for ministerial councils and national standard setting bodies, October </w:t>
      </w:r>
    </w:p>
    <w:p w:rsidR="00A051B9" w:rsidRPr="001422AB" w:rsidRDefault="00A051B9" w:rsidP="00A051B9">
      <w:pPr>
        <w:pStyle w:val="BodyText"/>
      </w:pPr>
      <w:bookmarkStart w:id="332" w:name="_ENREF_43"/>
      <w:bookmarkStart w:id="333" w:name="_ENREF_47"/>
      <w:r w:rsidRPr="001422AB">
        <w:t xml:space="preserve">Darbro N 2009, Overview of issues related to coercion and monitoring in alternative diversion programs for nurses: A comparison to drug courts: part 2, </w:t>
      </w:r>
      <w:r w:rsidRPr="001422AB">
        <w:rPr>
          <w:u w:val="single"/>
        </w:rPr>
        <w:t>Journal of Addictions Nursing</w:t>
      </w:r>
      <w:r w:rsidRPr="001422AB">
        <w:t xml:space="preserve"> </w:t>
      </w:r>
      <w:r w:rsidRPr="001422AB">
        <w:rPr>
          <w:b/>
        </w:rPr>
        <w:t>20</w:t>
      </w:r>
      <w:r w:rsidRPr="001422AB">
        <w:t>(1): 24-33.</w:t>
      </w:r>
      <w:bookmarkEnd w:id="332"/>
    </w:p>
    <w:p w:rsidR="00A051B9" w:rsidRPr="001422AB" w:rsidRDefault="00A051B9" w:rsidP="00A051B9">
      <w:pPr>
        <w:pStyle w:val="BodyText"/>
      </w:pPr>
      <w:r w:rsidRPr="001422AB">
        <w:t>Department of Licensing and Regulatory Affairs 2014, Health Professional Recovery Program Brochure, from https://</w:t>
      </w:r>
      <w:hyperlink r:id="rId34" w:history="1">
        <w:r w:rsidRPr="001422AB">
          <w:rPr>
            <w:rStyle w:val="Hyperlink"/>
          </w:rPr>
          <w:t>www.michigan.gov/lara/0,4601,7-154-35299_63294_27648-43127--,00.html</w:t>
        </w:r>
      </w:hyperlink>
      <w:r w:rsidRPr="001422AB">
        <w:t>.</w:t>
      </w:r>
      <w:bookmarkEnd w:id="333"/>
    </w:p>
    <w:p w:rsidR="00A051B9" w:rsidRPr="001422AB" w:rsidRDefault="00A051B9" w:rsidP="00A051B9">
      <w:pPr>
        <w:pStyle w:val="BodyText"/>
      </w:pPr>
      <w:r w:rsidRPr="001422AB">
        <w:t>DLA Piper 2014, Governance of External Doctors’ Health Programs, a report to AHPRA for the Medical Board of Australia, accessed on 18 February 2015 via &lt;</w:t>
      </w:r>
      <w:hyperlink r:id="rId35" w:history="1">
        <w:r w:rsidRPr="001422AB">
          <w:rPr>
            <w:rStyle w:val="Hyperlink"/>
          </w:rPr>
          <w:t>http://www.medicalboard.gov.au</w:t>
        </w:r>
      </w:hyperlink>
      <w:r w:rsidRPr="001422AB">
        <w:t xml:space="preserve">&gt; </w:t>
      </w:r>
    </w:p>
    <w:p w:rsidR="00A051B9" w:rsidRPr="001422AB" w:rsidRDefault="00A051B9" w:rsidP="00A051B9">
      <w:pPr>
        <w:pStyle w:val="BodyText"/>
        <w:rPr>
          <w:rFonts w:eastAsia="AdvP4DF60E"/>
        </w:rPr>
      </w:pPr>
      <w:r w:rsidRPr="001422AB">
        <w:rPr>
          <w:rFonts w:eastAsia="AdvP4DF60E"/>
        </w:rPr>
        <w:t>Dominguez-Gomez E, Rutledge DN 2009, Prevalence of secondary traumatic stress among Emergency Nurses, Journal of Emergency Nursing 35, 199–204</w:t>
      </w:r>
    </w:p>
    <w:p w:rsidR="00A051B9" w:rsidRPr="001422AB" w:rsidRDefault="00A051B9" w:rsidP="00A051B9">
      <w:pPr>
        <w:pStyle w:val="BodyText"/>
      </w:pPr>
      <w:bookmarkStart w:id="334" w:name="_ENREF_52"/>
      <w:r w:rsidRPr="001422AB">
        <w:lastRenderedPageBreak/>
        <w:t>Dunn D 2005, Substance abuse among nurses—intercession and intervention</w:t>
      </w:r>
      <w:proofErr w:type="gramStart"/>
      <w:r w:rsidRPr="001422AB">
        <w:t xml:space="preserve">,  </w:t>
      </w:r>
      <w:r w:rsidRPr="001422AB">
        <w:rPr>
          <w:u w:val="single"/>
        </w:rPr>
        <w:t>AORN</w:t>
      </w:r>
      <w:proofErr w:type="gramEnd"/>
      <w:r w:rsidRPr="001422AB">
        <w:rPr>
          <w:u w:val="single"/>
        </w:rPr>
        <w:t xml:space="preserve"> journal</w:t>
      </w:r>
      <w:r w:rsidRPr="001422AB">
        <w:t xml:space="preserve"> </w:t>
      </w:r>
      <w:r w:rsidRPr="001422AB">
        <w:rPr>
          <w:b/>
        </w:rPr>
        <w:t>82</w:t>
      </w:r>
      <w:r w:rsidRPr="001422AB">
        <w:t>(5): 775-799.</w:t>
      </w:r>
      <w:bookmarkEnd w:id="334"/>
    </w:p>
    <w:p w:rsidR="009167ED" w:rsidRPr="00585A11" w:rsidRDefault="009167ED" w:rsidP="009167ED">
      <w:pPr>
        <w:pStyle w:val="EndNoteBibliography"/>
        <w:spacing w:after="240"/>
        <w:rPr>
          <w:rFonts w:ascii="Times New Roman" w:hAnsi="Times New Roman" w:cs="Times New Roman"/>
        </w:rPr>
      </w:pPr>
      <w:bookmarkStart w:id="335" w:name="_ENREF_56"/>
      <w:r w:rsidRPr="00585A11">
        <w:rPr>
          <w:rFonts w:ascii="Times New Roman" w:hAnsi="Times New Roman" w:cs="Times New Roman"/>
        </w:rPr>
        <w:t>Dwyer, A. J., P. Mo</w:t>
      </w:r>
      <w:r>
        <w:rPr>
          <w:rFonts w:ascii="Times New Roman" w:hAnsi="Times New Roman" w:cs="Times New Roman"/>
        </w:rPr>
        <w:t xml:space="preserve">rley, E. Reid and C. Angelatos 2011, </w:t>
      </w:r>
      <w:r w:rsidRPr="001B3D40">
        <w:rPr>
          <w:rFonts w:ascii="Times New Roman" w:hAnsi="Times New Roman" w:cs="Times New Roman"/>
          <w:i/>
        </w:rPr>
        <w:t>Distressed doctors: a hospital-based support program for poorly performing and "at-risk" junior medical staff</w:t>
      </w:r>
      <w:r>
        <w:rPr>
          <w:rFonts w:ascii="Times New Roman" w:hAnsi="Times New Roman" w:cs="Times New Roman"/>
        </w:rPr>
        <w:t>,</w:t>
      </w:r>
      <w:r w:rsidRPr="00585A11">
        <w:rPr>
          <w:rFonts w:ascii="Times New Roman" w:hAnsi="Times New Roman" w:cs="Times New Roman"/>
        </w:rPr>
        <w:t xml:space="preserve"> </w:t>
      </w:r>
      <w:r w:rsidRPr="00585A11">
        <w:rPr>
          <w:rFonts w:ascii="Times New Roman" w:hAnsi="Times New Roman" w:cs="Times New Roman"/>
          <w:u w:val="single"/>
        </w:rPr>
        <w:t>Med J Aust</w:t>
      </w:r>
      <w:r w:rsidRPr="00585A11">
        <w:rPr>
          <w:rFonts w:ascii="Times New Roman" w:hAnsi="Times New Roman" w:cs="Times New Roman"/>
        </w:rPr>
        <w:t xml:space="preserve"> </w:t>
      </w:r>
      <w:r w:rsidRPr="00585A11">
        <w:rPr>
          <w:rFonts w:ascii="Times New Roman" w:hAnsi="Times New Roman" w:cs="Times New Roman"/>
          <w:b/>
        </w:rPr>
        <w:t>194</w:t>
      </w:r>
      <w:r w:rsidRPr="00585A11">
        <w:rPr>
          <w:rFonts w:ascii="Times New Roman" w:hAnsi="Times New Roman" w:cs="Times New Roman"/>
        </w:rPr>
        <w:t>(9): 466-469.</w:t>
      </w:r>
      <w:bookmarkEnd w:id="335"/>
    </w:p>
    <w:p w:rsidR="00A051B9" w:rsidRPr="001422AB" w:rsidRDefault="00A051B9" w:rsidP="00A051B9">
      <w:pPr>
        <w:pStyle w:val="BodyText"/>
        <w:rPr>
          <w:rFonts w:eastAsia="AdvP4DF60E"/>
        </w:rPr>
      </w:pPr>
      <w:r w:rsidRPr="001422AB">
        <w:t xml:space="preserve">Fletcher CE 2001, Michigan's unique approach to treating impaired health care professionals, Journal of addictive diseases </w:t>
      </w:r>
      <w:r w:rsidRPr="001422AB">
        <w:rPr>
          <w:bCs/>
        </w:rPr>
        <w:t>20</w:t>
      </w:r>
      <w:r w:rsidRPr="001422AB">
        <w:t>(4): 101-116</w:t>
      </w:r>
    </w:p>
    <w:p w:rsidR="00A051B9" w:rsidRPr="001422AB" w:rsidRDefault="00A051B9" w:rsidP="00A051B9">
      <w:pPr>
        <w:pStyle w:val="BodyText"/>
      </w:pPr>
      <w:bookmarkStart w:id="336" w:name="_ENREF_64"/>
      <w:bookmarkStart w:id="337" w:name="_ENREF_66"/>
      <w:r w:rsidRPr="001422AB">
        <w:t xml:space="preserve">Fletcher, C. E. and D. L. </w:t>
      </w:r>
      <w:proofErr w:type="spellStart"/>
      <w:r w:rsidRPr="001422AB">
        <w:t>Ronis</w:t>
      </w:r>
      <w:proofErr w:type="spellEnd"/>
      <w:r w:rsidRPr="001422AB">
        <w:t xml:space="preserve"> 2005, Satisfaction of impaired health care professionals with mandatory treatment and monitoring, </w:t>
      </w:r>
      <w:r w:rsidRPr="001422AB">
        <w:rPr>
          <w:u w:val="single"/>
        </w:rPr>
        <w:t>Journal of addictive diseases</w:t>
      </w:r>
      <w:r w:rsidRPr="001422AB">
        <w:t xml:space="preserve"> </w:t>
      </w:r>
      <w:r w:rsidRPr="001422AB">
        <w:rPr>
          <w:b/>
        </w:rPr>
        <w:t>24</w:t>
      </w:r>
      <w:r w:rsidRPr="001422AB">
        <w:t>(3): 61-75.</w:t>
      </w:r>
      <w:bookmarkEnd w:id="336"/>
    </w:p>
    <w:p w:rsidR="00A051B9" w:rsidRPr="001422AB" w:rsidRDefault="00A051B9" w:rsidP="00A051B9">
      <w:pPr>
        <w:pStyle w:val="BodyText"/>
      </w:pPr>
      <w:r w:rsidRPr="001422AB">
        <w:t xml:space="preserve">Frank EH, </w:t>
      </w:r>
      <w:proofErr w:type="spellStart"/>
      <w:r w:rsidRPr="001422AB">
        <w:t>Biola</w:t>
      </w:r>
      <w:proofErr w:type="spellEnd"/>
      <w:r w:rsidRPr="001422AB">
        <w:t xml:space="preserve"> and CA</w:t>
      </w:r>
      <w:r w:rsidR="00855C43">
        <w:t xml:space="preserve"> </w:t>
      </w:r>
      <w:r w:rsidRPr="001422AB">
        <w:t xml:space="preserve">Burnett 2000, Mortality rates and causes among U.S. physicians, </w:t>
      </w:r>
      <w:r w:rsidRPr="001422AB">
        <w:rPr>
          <w:u w:val="single"/>
        </w:rPr>
        <w:t xml:space="preserve">Am J </w:t>
      </w:r>
      <w:proofErr w:type="spellStart"/>
      <w:r w:rsidRPr="001422AB">
        <w:rPr>
          <w:u w:val="single"/>
        </w:rPr>
        <w:t>Prev</w:t>
      </w:r>
      <w:proofErr w:type="spellEnd"/>
      <w:r w:rsidRPr="001422AB">
        <w:rPr>
          <w:u w:val="single"/>
        </w:rPr>
        <w:t xml:space="preserve"> Med</w:t>
      </w:r>
      <w:r w:rsidRPr="001422AB">
        <w:t xml:space="preserve"> </w:t>
      </w:r>
      <w:r w:rsidRPr="001422AB">
        <w:rPr>
          <w:b/>
        </w:rPr>
        <w:t>19</w:t>
      </w:r>
      <w:r w:rsidRPr="001422AB">
        <w:t>(3): 155-159</w:t>
      </w:r>
      <w:bookmarkEnd w:id="337"/>
    </w:p>
    <w:p w:rsidR="00A051B9" w:rsidRPr="001422AB" w:rsidRDefault="00A051B9" w:rsidP="00A051B9">
      <w:pPr>
        <w:pStyle w:val="BodyText"/>
      </w:pPr>
      <w:bookmarkStart w:id="338" w:name="_ENREF_68"/>
      <w:proofErr w:type="spellStart"/>
      <w:r w:rsidRPr="001422AB">
        <w:t>Galletly</w:t>
      </w:r>
      <w:proofErr w:type="spellEnd"/>
      <w:r w:rsidRPr="001422AB">
        <w:t>, C. A. 2004, Crossing professional boundaries in medicine: the slippery slope t</w:t>
      </w:r>
      <w:r w:rsidR="009B7D90">
        <w:t xml:space="preserve">o patient sexual exploitation, </w:t>
      </w:r>
      <w:r w:rsidRPr="001422AB">
        <w:rPr>
          <w:u w:val="single"/>
        </w:rPr>
        <w:t xml:space="preserve">Med J </w:t>
      </w:r>
      <w:proofErr w:type="spellStart"/>
      <w:r w:rsidRPr="001422AB">
        <w:rPr>
          <w:u w:val="single"/>
        </w:rPr>
        <w:t>Aust</w:t>
      </w:r>
      <w:proofErr w:type="spellEnd"/>
      <w:r w:rsidRPr="001422AB">
        <w:t xml:space="preserve"> </w:t>
      </w:r>
      <w:r w:rsidRPr="001422AB">
        <w:rPr>
          <w:b/>
        </w:rPr>
        <w:t>181</w:t>
      </w:r>
      <w:r w:rsidRPr="001422AB">
        <w:t>(7): 380-383.</w:t>
      </w:r>
      <w:bookmarkEnd w:id="338"/>
    </w:p>
    <w:p w:rsidR="00A051B9" w:rsidRPr="001422AB" w:rsidRDefault="00A051B9" w:rsidP="00A051B9">
      <w:pPr>
        <w:pStyle w:val="BodyText"/>
        <w:rPr>
          <w:rFonts w:eastAsia="AdvP4DF60E"/>
        </w:rPr>
      </w:pPr>
      <w:r w:rsidRPr="001422AB">
        <w:rPr>
          <w:rFonts w:eastAsia="AdvP4DF60E"/>
        </w:rPr>
        <w:t xml:space="preserve">Gates D, Gillespie G, </w:t>
      </w:r>
      <w:proofErr w:type="spellStart"/>
      <w:r w:rsidRPr="001422AB">
        <w:rPr>
          <w:rFonts w:eastAsia="AdvP4DF60E"/>
        </w:rPr>
        <w:t>Succop</w:t>
      </w:r>
      <w:proofErr w:type="spellEnd"/>
      <w:r w:rsidRPr="001422AB">
        <w:rPr>
          <w:rFonts w:eastAsia="AdvP4DF60E"/>
        </w:rPr>
        <w:t xml:space="preserve"> P 2011, Violence against nurses and its impact on stress and productivity, Nursing Economics$ 29 (2), 59–67.</w:t>
      </w:r>
    </w:p>
    <w:p w:rsidR="00A051B9" w:rsidRPr="001422AB" w:rsidRDefault="00A051B9" w:rsidP="00A051B9">
      <w:pPr>
        <w:pStyle w:val="BodyText"/>
      </w:pPr>
      <w:r w:rsidRPr="001422AB">
        <w:t xml:space="preserve">General Medical Council 2014, Your Health Matters, accessed 27 April 2015, </w:t>
      </w:r>
      <w:hyperlink r:id="rId36" w:history="1">
        <w:r w:rsidRPr="001422AB">
          <w:rPr>
            <w:rStyle w:val="Hyperlink"/>
          </w:rPr>
          <w:t>http://www.gmc-uk.org/concerns/11542.asp</w:t>
        </w:r>
      </w:hyperlink>
    </w:p>
    <w:p w:rsidR="00A051B9" w:rsidRPr="001422AB" w:rsidRDefault="00A051B9" w:rsidP="00A051B9">
      <w:pPr>
        <w:pStyle w:val="BodyText"/>
      </w:pPr>
      <w:bookmarkStart w:id="339" w:name="_ENREF_73"/>
      <w:r w:rsidRPr="001422AB">
        <w:t xml:space="preserve">Grainger, A. 2008, </w:t>
      </w:r>
      <w:proofErr w:type="gramStart"/>
      <w:r w:rsidRPr="001422AB">
        <w:t>Fit</w:t>
      </w:r>
      <w:proofErr w:type="gramEnd"/>
      <w:r w:rsidRPr="001422AB">
        <w:t xml:space="preserve"> for nursing?” A qualitative analysis of disabled registered general nurses’ and other health professionals’ views on health and illness in relation to nursing employment, University of </w:t>
      </w:r>
      <w:proofErr w:type="spellStart"/>
      <w:r w:rsidRPr="001422AB">
        <w:t>Huddersfield</w:t>
      </w:r>
      <w:proofErr w:type="spellEnd"/>
      <w:r w:rsidRPr="001422AB">
        <w:t>.</w:t>
      </w:r>
      <w:bookmarkEnd w:id="339"/>
    </w:p>
    <w:p w:rsidR="00A051B9" w:rsidRPr="001422AB" w:rsidRDefault="00A051B9" w:rsidP="00A051B9">
      <w:pPr>
        <w:pStyle w:val="BodyText"/>
      </w:pPr>
      <w:bookmarkStart w:id="340" w:name="_ENREF_74"/>
      <w:bookmarkStart w:id="341" w:name="_ENREF_81"/>
      <w:proofErr w:type="spellStart"/>
      <w:r w:rsidRPr="001422AB">
        <w:t>Gray</w:t>
      </w:r>
      <w:proofErr w:type="spellEnd"/>
      <w:r w:rsidRPr="001422AB">
        <w:t xml:space="preserve"> RW 2006, Physicians health programs an international movement, </w:t>
      </w:r>
      <w:proofErr w:type="spellStart"/>
      <w:r w:rsidRPr="001422AB">
        <w:rPr>
          <w:u w:val="single"/>
        </w:rPr>
        <w:t>Tenn</w:t>
      </w:r>
      <w:proofErr w:type="spellEnd"/>
      <w:r w:rsidRPr="001422AB">
        <w:rPr>
          <w:u w:val="single"/>
        </w:rPr>
        <w:t xml:space="preserve"> Med</w:t>
      </w:r>
      <w:r w:rsidRPr="001422AB">
        <w:t xml:space="preserve"> </w:t>
      </w:r>
      <w:r w:rsidRPr="001422AB">
        <w:rPr>
          <w:b/>
        </w:rPr>
        <w:t>99</w:t>
      </w:r>
      <w:bookmarkEnd w:id="340"/>
    </w:p>
    <w:p w:rsidR="00A051B9" w:rsidRPr="001422AB" w:rsidRDefault="00A051B9" w:rsidP="00A051B9">
      <w:pPr>
        <w:pStyle w:val="BodyText"/>
      </w:pPr>
      <w:bookmarkStart w:id="342" w:name="_ENREF_77"/>
      <w:r w:rsidRPr="001422AB">
        <w:t xml:space="preserve">Hagan, K. 2012, Accused Hep C doctor had history of drug abuse, </w:t>
      </w:r>
      <w:r w:rsidRPr="001422AB">
        <w:rPr>
          <w:u w:val="single"/>
        </w:rPr>
        <w:t>The Age</w:t>
      </w:r>
      <w:r w:rsidRPr="001422AB">
        <w:t>.</w:t>
      </w:r>
      <w:bookmarkEnd w:id="342"/>
    </w:p>
    <w:p w:rsidR="00A051B9" w:rsidRPr="001422AB" w:rsidRDefault="00A051B9" w:rsidP="00A051B9">
      <w:pPr>
        <w:pStyle w:val="BodyText"/>
      </w:pPr>
      <w:r w:rsidRPr="001422AB">
        <w:t>Hamilton B and R Duncan 2012, Evaluation of the Nursing and Midwifery Health Program</w:t>
      </w:r>
      <w:bookmarkEnd w:id="341"/>
    </w:p>
    <w:p w:rsidR="00A051B9" w:rsidRPr="001422AB" w:rsidRDefault="00A051B9" w:rsidP="00A051B9">
      <w:pPr>
        <w:pStyle w:val="BodyText"/>
      </w:pPr>
      <w:r w:rsidRPr="001422AB">
        <w:t xml:space="preserve">Health Care Complaints Commissioner (HCCC) 2014, </w:t>
      </w:r>
      <w:proofErr w:type="gramStart"/>
      <w:r w:rsidRPr="001422AB">
        <w:t>The</w:t>
      </w:r>
      <w:proofErr w:type="gramEnd"/>
      <w:r w:rsidRPr="001422AB">
        <w:t xml:space="preserve"> national registration scheme for registered practitioners, accessed 1 September 2014, &lt;</w:t>
      </w:r>
      <w:hyperlink r:id="rId37" w:history="1">
        <w:r w:rsidRPr="001422AB">
          <w:rPr>
            <w:rStyle w:val="Hyperlink"/>
          </w:rPr>
          <w:t>http://www.hccc.nsw.gov.au/Information/Information-for-health-providers/National-Registration-Scheme</w:t>
        </w:r>
      </w:hyperlink>
      <w:r w:rsidRPr="001422AB">
        <w:t xml:space="preserve"> &gt;</w:t>
      </w:r>
    </w:p>
    <w:p w:rsidR="00A051B9" w:rsidRPr="001422AB" w:rsidRDefault="00A051B9" w:rsidP="00A051B9">
      <w:pPr>
        <w:pStyle w:val="BodyText"/>
      </w:pPr>
      <w:bookmarkStart w:id="343" w:name="_ENREF_90"/>
      <w:r w:rsidRPr="001422AB">
        <w:lastRenderedPageBreak/>
        <w:t xml:space="preserve">Health for Health Professionals 2010, Health for Health Professionals, from </w:t>
      </w:r>
      <w:hyperlink r:id="rId38" w:history="1">
        <w:r w:rsidRPr="001422AB">
          <w:rPr>
            <w:rStyle w:val="Hyperlink"/>
          </w:rPr>
          <w:t>http://www.h4hp.co.uk/</w:t>
        </w:r>
      </w:hyperlink>
      <w:r w:rsidRPr="001422AB">
        <w:t>.</w:t>
      </w:r>
      <w:bookmarkEnd w:id="343"/>
    </w:p>
    <w:p w:rsidR="00A051B9" w:rsidRPr="001422AB" w:rsidRDefault="00A051B9" w:rsidP="00A051B9">
      <w:pPr>
        <w:pStyle w:val="BodyText"/>
      </w:pPr>
      <w:r w:rsidRPr="001422AB">
        <w:t xml:space="preserve">Health Professional Councils Authority (HPCA) 2012, Dealing with complaints – a guide for health service providers, May </w:t>
      </w:r>
    </w:p>
    <w:p w:rsidR="00A051B9" w:rsidRPr="001422AB" w:rsidRDefault="00A051B9" w:rsidP="00A051B9">
      <w:pPr>
        <w:pStyle w:val="BodyText"/>
      </w:pPr>
      <w:r w:rsidRPr="001422AB">
        <w:t xml:space="preserve">Health Professionals Services Program (HPSP) 2012, Overview for Medical Practice Act Work Group, November </w:t>
      </w:r>
    </w:p>
    <w:p w:rsidR="00A051B9" w:rsidRPr="001422AB" w:rsidRDefault="00A051B9" w:rsidP="00A051B9">
      <w:pPr>
        <w:pStyle w:val="BodyText"/>
        <w:rPr>
          <w:rFonts w:eastAsia="AdvP4DF60E"/>
        </w:rPr>
      </w:pPr>
      <w:r w:rsidRPr="001422AB">
        <w:rPr>
          <w:rFonts w:eastAsia="AdvP4DF60E"/>
        </w:rPr>
        <w:t>Helps, S 1997, Experiences of stress in accident and Emergency Nurses, Accident and Emergency Nursing Vol 5, 48–53</w:t>
      </w:r>
    </w:p>
    <w:p w:rsidR="00A051B9" w:rsidRPr="001422AB" w:rsidRDefault="00A051B9" w:rsidP="00A051B9">
      <w:pPr>
        <w:pStyle w:val="BodyText"/>
      </w:pPr>
      <w:r w:rsidRPr="001422AB">
        <w:t xml:space="preserve">Hooper C, Craig J, </w:t>
      </w:r>
      <w:proofErr w:type="spellStart"/>
      <w:r w:rsidRPr="001422AB">
        <w:t>Janvrin</w:t>
      </w:r>
      <w:proofErr w:type="spellEnd"/>
      <w:r w:rsidRPr="001422AB">
        <w:t xml:space="preserve"> DR, </w:t>
      </w:r>
      <w:proofErr w:type="spellStart"/>
      <w:r w:rsidRPr="001422AB">
        <w:t>Wetsel</w:t>
      </w:r>
      <w:proofErr w:type="spellEnd"/>
      <w:r w:rsidRPr="001422AB">
        <w:t xml:space="preserve"> MA, </w:t>
      </w:r>
      <w:proofErr w:type="spellStart"/>
      <w:r w:rsidRPr="001422AB">
        <w:t>Reimels</w:t>
      </w:r>
      <w:proofErr w:type="spellEnd"/>
      <w:r w:rsidRPr="001422AB">
        <w:t xml:space="preserve"> E, Greenville A and SC Clemson 2010, </w:t>
      </w:r>
      <w:r w:rsidRPr="001422AB">
        <w:rPr>
          <w:rStyle w:val="reference-text"/>
          <w:i/>
        </w:rPr>
        <w:t>Compassion Satisfaction, Burnout, and Compassion Fatigue Among Emergency Nurses Compared With Nurses in Other Selected Inpatient Specialties</w:t>
      </w:r>
      <w:r w:rsidRPr="001422AB">
        <w:rPr>
          <w:rStyle w:val="reference-text"/>
        </w:rPr>
        <w:t>, Jour</w:t>
      </w:r>
      <w:r w:rsidRPr="001422AB">
        <w:t>nal of Emergency Nursing</w:t>
      </w:r>
      <w:r w:rsidRPr="001422AB">
        <w:rPr>
          <w:rStyle w:val="reference-text"/>
        </w:rPr>
        <w:t>, Vol 36(5)</w:t>
      </w:r>
    </w:p>
    <w:p w:rsidR="00A051B9" w:rsidRPr="001422AB" w:rsidRDefault="00A051B9" w:rsidP="00A051B9">
      <w:pPr>
        <w:pStyle w:val="BodyText"/>
      </w:pPr>
      <w:bookmarkStart w:id="344" w:name="_ENREF_95"/>
      <w:bookmarkStart w:id="345" w:name="_ENREF_101"/>
      <w:r w:rsidRPr="001422AB">
        <w:t>Humphrey C 2010, Assessment and remediation for physicians with suspected performance pro</w:t>
      </w:r>
      <w:r w:rsidR="009B7D90">
        <w:t>blems: an international survey,</w:t>
      </w:r>
      <w:r w:rsidRPr="001422AB">
        <w:t xml:space="preserve"> </w:t>
      </w:r>
      <w:r w:rsidRPr="001422AB">
        <w:rPr>
          <w:u w:val="single"/>
        </w:rPr>
        <w:t>Journal of Continuing Education in the Health Professions</w:t>
      </w:r>
      <w:r w:rsidRPr="001422AB">
        <w:t xml:space="preserve"> </w:t>
      </w:r>
      <w:r w:rsidRPr="001422AB">
        <w:rPr>
          <w:b/>
        </w:rPr>
        <w:t>30</w:t>
      </w:r>
      <w:r w:rsidRPr="001422AB">
        <w:t>(1): 26-36</w:t>
      </w:r>
      <w:bookmarkEnd w:id="344"/>
    </w:p>
    <w:p w:rsidR="00A051B9" w:rsidRPr="001422AB" w:rsidRDefault="00A051B9" w:rsidP="00A051B9">
      <w:pPr>
        <w:pStyle w:val="BodyText"/>
      </w:pPr>
      <w:r w:rsidRPr="001422AB">
        <w:t>Jenkins K, 2013, Inquiry into the performance of the Australian Health Practitioner Regulation Agency - oral evidence, Standing Committee on Legal and Social Issues Legislation Committee, Melbourne, Hansard</w:t>
      </w:r>
    </w:p>
    <w:p w:rsidR="00A051B9" w:rsidRPr="001422AB" w:rsidRDefault="00A051B9" w:rsidP="00A051B9">
      <w:pPr>
        <w:pStyle w:val="BodyText"/>
      </w:pPr>
      <w:r w:rsidRPr="001422AB">
        <w:t xml:space="preserve">Kay J and </w:t>
      </w:r>
      <w:proofErr w:type="spellStart"/>
      <w:r w:rsidRPr="001422AB">
        <w:t>Izenour</w:t>
      </w:r>
      <w:proofErr w:type="spellEnd"/>
      <w:r w:rsidRPr="001422AB">
        <w:t xml:space="preserve"> S 2008, </w:t>
      </w:r>
      <w:proofErr w:type="gramStart"/>
      <w:r w:rsidRPr="001422AB">
        <w:t>The</w:t>
      </w:r>
      <w:proofErr w:type="gramEnd"/>
      <w:r w:rsidRPr="001422AB">
        <w:t xml:space="preserve"> impaire</w:t>
      </w:r>
      <w:r w:rsidR="009B7D90">
        <w:t>d physician,</w:t>
      </w:r>
      <w:r w:rsidRPr="001422AB">
        <w:t xml:space="preserve"> </w:t>
      </w:r>
      <w:r w:rsidRPr="001422AB">
        <w:rPr>
          <w:u w:val="single"/>
        </w:rPr>
        <w:t>Psychiatry</w:t>
      </w:r>
      <w:r w:rsidRPr="001422AB">
        <w:t xml:space="preserve"> </w:t>
      </w:r>
      <w:r w:rsidRPr="001422AB">
        <w:rPr>
          <w:b/>
        </w:rPr>
        <w:t>11</w:t>
      </w:r>
      <w:r w:rsidRPr="001422AB">
        <w:t>(Part 4)</w:t>
      </w:r>
      <w:bookmarkEnd w:id="345"/>
    </w:p>
    <w:p w:rsidR="00A051B9" w:rsidRPr="001422AB" w:rsidRDefault="00A051B9" w:rsidP="00A051B9">
      <w:pPr>
        <w:pStyle w:val="BodyText"/>
      </w:pPr>
      <w:bookmarkStart w:id="346" w:name="_ENREF_105"/>
      <w:r w:rsidRPr="001422AB">
        <w:t xml:space="preserve">Thompson C, McRae and E. </w:t>
      </w:r>
      <w:proofErr w:type="spellStart"/>
      <w:r w:rsidRPr="001422AB">
        <w:t>Korinek</w:t>
      </w:r>
      <w:proofErr w:type="spellEnd"/>
      <w:r w:rsidRPr="001422AB">
        <w:t xml:space="preserve"> 2009, Do physicians referred for competency evaluations have </w:t>
      </w:r>
      <w:r w:rsidR="009B7D90">
        <w:t>underlying cognitive problems</w:t>
      </w:r>
      <w:proofErr w:type="gramStart"/>
      <w:r w:rsidR="009B7D90">
        <w:t>?,</w:t>
      </w:r>
      <w:proofErr w:type="gramEnd"/>
      <w:r w:rsidRPr="001422AB">
        <w:t xml:space="preserve"> </w:t>
      </w:r>
      <w:r w:rsidRPr="001422AB">
        <w:rPr>
          <w:u w:val="single"/>
        </w:rPr>
        <w:t>Academic Medicine</w:t>
      </w:r>
      <w:r w:rsidRPr="001422AB">
        <w:t xml:space="preserve"> </w:t>
      </w:r>
      <w:r w:rsidRPr="001422AB">
        <w:rPr>
          <w:b/>
        </w:rPr>
        <w:t>84</w:t>
      </w:r>
      <w:r w:rsidRPr="001422AB">
        <w:t>(8): 1015-1021.</w:t>
      </w:r>
      <w:bookmarkEnd w:id="346"/>
    </w:p>
    <w:p w:rsidR="00A051B9" w:rsidRPr="001422AB" w:rsidRDefault="00A051B9" w:rsidP="00A051B9">
      <w:pPr>
        <w:pStyle w:val="BodyText"/>
        <w:rPr>
          <w:rFonts w:eastAsia="AdvP4DF60E"/>
        </w:rPr>
      </w:pPr>
      <w:proofErr w:type="spellStart"/>
      <w:r w:rsidRPr="001422AB">
        <w:rPr>
          <w:rFonts w:eastAsia="AdvP4DF60E"/>
        </w:rPr>
        <w:t>Laposa</w:t>
      </w:r>
      <w:proofErr w:type="spellEnd"/>
      <w:r w:rsidRPr="001422AB">
        <w:rPr>
          <w:rFonts w:eastAsia="AdvP4DF60E"/>
        </w:rPr>
        <w:t xml:space="preserve"> JM, Alden LE, Fullerton LM 2003, Work stress and posttraumatic stress disorder in ED nurses/personnel, Journal of Emergency Nursing 29, 23–28.</w:t>
      </w:r>
    </w:p>
    <w:p w:rsidR="00A051B9" w:rsidRPr="001422AB" w:rsidRDefault="00A051B9" w:rsidP="00A051B9">
      <w:pPr>
        <w:pStyle w:val="BodyText"/>
      </w:pPr>
      <w:proofErr w:type="spellStart"/>
      <w:r w:rsidRPr="001422AB">
        <w:t>Leape</w:t>
      </w:r>
      <w:proofErr w:type="spellEnd"/>
      <w:r w:rsidRPr="001422AB">
        <w:t xml:space="preserve"> LL and J. A. </w:t>
      </w:r>
      <w:proofErr w:type="spellStart"/>
      <w:r w:rsidRPr="001422AB">
        <w:t>Fromson</w:t>
      </w:r>
      <w:proofErr w:type="spellEnd"/>
      <w:r w:rsidRPr="001422AB">
        <w:t xml:space="preserve"> (2006). "Problem doctors: is there a system-level solution?" </w:t>
      </w:r>
      <w:r w:rsidRPr="001422AB">
        <w:rPr>
          <w:u w:val="single"/>
        </w:rPr>
        <w:t>Annals of Internal Medicine</w:t>
      </w:r>
      <w:r w:rsidRPr="001422AB">
        <w:t xml:space="preserve"> </w:t>
      </w:r>
      <w:r w:rsidRPr="001422AB">
        <w:rPr>
          <w:b/>
        </w:rPr>
        <w:t>144</w:t>
      </w:r>
      <w:r w:rsidRPr="001422AB">
        <w:t>(2): 107-115.</w:t>
      </w:r>
    </w:p>
    <w:p w:rsidR="00A051B9" w:rsidRPr="001422AB" w:rsidRDefault="00A051B9" w:rsidP="00A051B9">
      <w:pPr>
        <w:pStyle w:val="BodyText"/>
      </w:pPr>
      <w:proofErr w:type="spellStart"/>
      <w:r w:rsidRPr="001422AB">
        <w:t>Lorgelly</w:t>
      </w:r>
      <w:proofErr w:type="spellEnd"/>
      <w:r w:rsidRPr="001422AB">
        <w:t xml:space="preserve"> P 2011, Estimated economic benefits of the Nursing and Midwifery Health Program, Victoria, Monash University </w:t>
      </w:r>
    </w:p>
    <w:p w:rsidR="00A051B9" w:rsidRPr="001422AB" w:rsidRDefault="00A051B9" w:rsidP="00A051B9">
      <w:pPr>
        <w:pStyle w:val="BodyText"/>
        <w:rPr>
          <w:lang w:eastAsia="zh-CN"/>
        </w:rPr>
      </w:pPr>
      <w:r w:rsidRPr="001422AB">
        <w:rPr>
          <w:lang w:eastAsia="zh-CN"/>
        </w:rPr>
        <w:lastRenderedPageBreak/>
        <w:t xml:space="preserve">Mayhew C 2000, </w:t>
      </w:r>
      <w:r w:rsidRPr="001422AB">
        <w:rPr>
          <w:iCs/>
          <w:lang w:eastAsia="zh-CN"/>
        </w:rPr>
        <w:t>Preventing Client-initiated violence: A Practical Handbook</w:t>
      </w:r>
      <w:r w:rsidRPr="001422AB">
        <w:rPr>
          <w:lang w:eastAsia="zh-CN"/>
        </w:rPr>
        <w:t>. Research and Public Policy Series No 30, Canberra: Australian Institute of Criminology, from the World Wide Web: http://www.aic.gov.au/publications/rpp/30/</w:t>
      </w:r>
    </w:p>
    <w:p w:rsidR="00A051B9" w:rsidRPr="001422AB" w:rsidRDefault="00A051B9" w:rsidP="00A051B9">
      <w:pPr>
        <w:pStyle w:val="BodyText"/>
      </w:pPr>
      <w:r w:rsidRPr="001422AB">
        <w:t>Medical Council of New Zealand 2011, Health concerns, accessed on 27 April 2015, &lt;https://www.mcnz.org.nz/fitness-to-practise/health-concerns/?</w:t>
      </w:r>
    </w:p>
    <w:p w:rsidR="00A051B9" w:rsidRPr="001422AB" w:rsidRDefault="00A051B9" w:rsidP="00A051B9">
      <w:pPr>
        <w:pStyle w:val="BodyText"/>
      </w:pPr>
      <w:bookmarkStart w:id="347" w:name="_ENREF_131"/>
      <w:r w:rsidRPr="001422AB">
        <w:t xml:space="preserve">Morris, D. K. and P. A. Turnbull 2007, </w:t>
      </w:r>
      <w:proofErr w:type="gramStart"/>
      <w:r w:rsidRPr="001422AB">
        <w:t>The</w:t>
      </w:r>
      <w:proofErr w:type="gramEnd"/>
      <w:r w:rsidRPr="001422AB">
        <w:t xml:space="preserve"> disclosure of dyslexia in clinical practice: Experiences of student nurses in the United Kingdom, </w:t>
      </w:r>
      <w:r w:rsidRPr="001422AB">
        <w:rPr>
          <w:u w:val="single"/>
        </w:rPr>
        <w:t>Nurse Education Today</w:t>
      </w:r>
      <w:r w:rsidRPr="001422AB">
        <w:t xml:space="preserve"> </w:t>
      </w:r>
      <w:r w:rsidRPr="001422AB">
        <w:rPr>
          <w:b/>
        </w:rPr>
        <w:t>27</w:t>
      </w:r>
      <w:r w:rsidRPr="001422AB">
        <w:t>(1): 35-42.</w:t>
      </w:r>
      <w:bookmarkEnd w:id="347"/>
    </w:p>
    <w:p w:rsidR="00A051B9" w:rsidRPr="001422AB" w:rsidRDefault="00A051B9" w:rsidP="00A051B9">
      <w:pPr>
        <w:pStyle w:val="BodyText"/>
      </w:pPr>
      <w:bookmarkStart w:id="348" w:name="_ENREF_126"/>
      <w:r w:rsidRPr="001422AB">
        <w:t>Michigan Health Professional Recovery Program 2013, Health Professional Recovery Program Participant Handbook, Michigan.</w:t>
      </w:r>
      <w:bookmarkEnd w:id="348"/>
    </w:p>
    <w:p w:rsidR="00A051B9" w:rsidRPr="001422AB" w:rsidRDefault="00A051B9" w:rsidP="00A051B9">
      <w:pPr>
        <w:pStyle w:val="BodyText"/>
      </w:pPr>
      <w:r w:rsidRPr="001422AB">
        <w:t>Nursing and Midwifery Council NSW (NMC NSW) 2014, Health pathway, accessed 5 September 2014, &lt; http://www.hpca.nsw.gov.au/Nursing-and-Midwifery-Council/Management-of-a-Notification/Health-Complaints/default.aspx&gt;</w:t>
      </w:r>
    </w:p>
    <w:p w:rsidR="00A051B9" w:rsidRPr="001422AB" w:rsidRDefault="00A051B9" w:rsidP="00A051B9">
      <w:pPr>
        <w:pStyle w:val="BodyText"/>
      </w:pPr>
      <w:r w:rsidRPr="001422AB">
        <w:t xml:space="preserve">Nursing and Midwifery Health Program Victoria (NMHPV) 2014, Annual Report 2013-2014, Victoria </w:t>
      </w:r>
    </w:p>
    <w:p w:rsidR="00A051B9" w:rsidRPr="001422AB" w:rsidRDefault="00A051B9" w:rsidP="00A051B9">
      <w:pPr>
        <w:pStyle w:val="BodyText"/>
      </w:pPr>
      <w:r w:rsidRPr="001422AB">
        <w:t>Office of the Health Ombudsman (OHO) 2013, Objectives of the Health Ombudsman Act 2013, Queensland’s new health complaints management system</w:t>
      </w:r>
    </w:p>
    <w:p w:rsidR="00A051B9" w:rsidRPr="001422AB" w:rsidRDefault="00A051B9" w:rsidP="00A051B9">
      <w:pPr>
        <w:pStyle w:val="BodyText"/>
        <w:rPr>
          <w:lang w:eastAsia="zh-CN"/>
        </w:rPr>
      </w:pPr>
      <w:r w:rsidRPr="001422AB">
        <w:rPr>
          <w:lang w:eastAsia="zh-CN"/>
        </w:rPr>
        <w:t xml:space="preserve">O’Connell, B, Young J, Brooks J, Hutchings J and </w:t>
      </w:r>
      <w:proofErr w:type="spellStart"/>
      <w:r w:rsidRPr="001422AB">
        <w:rPr>
          <w:lang w:eastAsia="zh-CN"/>
        </w:rPr>
        <w:t>Lofthouse</w:t>
      </w:r>
      <w:proofErr w:type="spellEnd"/>
      <w:r w:rsidRPr="001422AB">
        <w:rPr>
          <w:lang w:eastAsia="zh-CN"/>
        </w:rPr>
        <w:t>, J 2000</w:t>
      </w:r>
      <w:proofErr w:type="gramStart"/>
      <w:r w:rsidRPr="001422AB">
        <w:rPr>
          <w:lang w:eastAsia="zh-CN"/>
        </w:rPr>
        <w:t>,  Nurses’</w:t>
      </w:r>
      <w:proofErr w:type="gramEnd"/>
      <w:r w:rsidRPr="001422AB">
        <w:rPr>
          <w:lang w:eastAsia="zh-CN"/>
        </w:rPr>
        <w:t xml:space="preserve"> perceptions of the nature and </w:t>
      </w:r>
      <w:proofErr w:type="spellStart"/>
      <w:r w:rsidRPr="001422AB">
        <w:rPr>
          <w:lang w:eastAsia="zh-CN"/>
        </w:rPr>
        <w:t>frequencyof</w:t>
      </w:r>
      <w:proofErr w:type="spellEnd"/>
      <w:r w:rsidRPr="001422AB">
        <w:rPr>
          <w:lang w:eastAsia="zh-CN"/>
        </w:rPr>
        <w:t xml:space="preserve"> aggression in general ward settings and high dependency areas, </w:t>
      </w:r>
      <w:r w:rsidRPr="001422AB">
        <w:rPr>
          <w:iCs/>
          <w:lang w:eastAsia="zh-CN"/>
        </w:rPr>
        <w:t>Journal of Clinical Nursing, 9</w:t>
      </w:r>
      <w:r w:rsidRPr="001422AB">
        <w:rPr>
          <w:lang w:eastAsia="zh-CN"/>
        </w:rPr>
        <w:t>(4), 602-610.</w:t>
      </w:r>
    </w:p>
    <w:p w:rsidR="00A051B9" w:rsidRPr="001422AB" w:rsidRDefault="00A051B9" w:rsidP="00A051B9">
      <w:pPr>
        <w:pStyle w:val="BodyText"/>
      </w:pPr>
      <w:bookmarkStart w:id="349" w:name="_ENREF_149"/>
      <w:proofErr w:type="spellStart"/>
      <w:r w:rsidRPr="001422AB">
        <w:t>Ponech</w:t>
      </w:r>
      <w:proofErr w:type="spellEnd"/>
      <w:r w:rsidRPr="001422AB">
        <w:t xml:space="preserve"> S 2000, </w:t>
      </w:r>
      <w:proofErr w:type="spellStart"/>
      <w:r w:rsidRPr="001422AB">
        <w:t>Telltale</w:t>
      </w:r>
      <w:proofErr w:type="spellEnd"/>
      <w:r w:rsidRPr="001422AB">
        <w:t xml:space="preserve"> signs</w:t>
      </w:r>
      <w:proofErr w:type="gramStart"/>
      <w:r w:rsidRPr="001422AB">
        <w:t xml:space="preserve">,  </w:t>
      </w:r>
      <w:proofErr w:type="spellStart"/>
      <w:r w:rsidRPr="001422AB">
        <w:rPr>
          <w:u w:val="single"/>
        </w:rPr>
        <w:t>Nurs</w:t>
      </w:r>
      <w:proofErr w:type="spellEnd"/>
      <w:proofErr w:type="gramEnd"/>
      <w:r w:rsidRPr="001422AB">
        <w:rPr>
          <w:u w:val="single"/>
        </w:rPr>
        <w:t xml:space="preserve"> </w:t>
      </w:r>
      <w:proofErr w:type="spellStart"/>
      <w:r w:rsidRPr="001422AB">
        <w:rPr>
          <w:u w:val="single"/>
        </w:rPr>
        <w:t>Manag</w:t>
      </w:r>
      <w:proofErr w:type="spellEnd"/>
      <w:r w:rsidRPr="001422AB">
        <w:t xml:space="preserve"> </w:t>
      </w:r>
      <w:r w:rsidRPr="001422AB">
        <w:rPr>
          <w:b/>
        </w:rPr>
        <w:t>31</w:t>
      </w:r>
      <w:r w:rsidRPr="001422AB">
        <w:t>(5): 32-37; quiz 37-38.</w:t>
      </w:r>
      <w:bookmarkEnd w:id="349"/>
    </w:p>
    <w:p w:rsidR="00A051B9" w:rsidRPr="001422AB" w:rsidRDefault="00A051B9" w:rsidP="00A051B9">
      <w:pPr>
        <w:pStyle w:val="BodyText"/>
      </w:pPr>
      <w:r w:rsidRPr="001422AB">
        <w:t xml:space="preserve">Roberts R, Grubb PL and JW </w:t>
      </w:r>
      <w:proofErr w:type="spellStart"/>
      <w:r w:rsidRPr="001422AB">
        <w:t>Grosch</w:t>
      </w:r>
      <w:proofErr w:type="spellEnd"/>
      <w:r w:rsidRPr="001422AB">
        <w:t xml:space="preserve"> 2012, Alleviating Job Stress in Nurses, Medscape, accessed 7 March 2015, &lt; </w:t>
      </w:r>
      <w:hyperlink r:id="rId39" w:history="1">
        <w:r w:rsidRPr="001422AB">
          <w:rPr>
            <w:rStyle w:val="Hyperlink"/>
          </w:rPr>
          <w:t>http://www.medscape.com/viewarticle/765974_2</w:t>
        </w:r>
      </w:hyperlink>
      <w:r w:rsidRPr="001422AB">
        <w:t>&gt;</w:t>
      </w:r>
    </w:p>
    <w:p w:rsidR="00A051B9" w:rsidRPr="001422AB" w:rsidRDefault="00A051B9" w:rsidP="00A051B9">
      <w:pPr>
        <w:pStyle w:val="BodyText"/>
      </w:pPr>
      <w:bookmarkStart w:id="350" w:name="_ENREF_155"/>
      <w:bookmarkStart w:id="351" w:name="_ENREF_166"/>
      <w:bookmarkStart w:id="352" w:name="_ENREF_175"/>
      <w:r w:rsidRPr="001422AB">
        <w:t xml:space="preserve">Robinson, G. 2014, </w:t>
      </w:r>
      <w:proofErr w:type="gramStart"/>
      <w:r w:rsidRPr="001422AB">
        <w:t>Disgraced</w:t>
      </w:r>
      <w:proofErr w:type="gramEnd"/>
      <w:r w:rsidRPr="001422AB">
        <w:t xml:space="preserve"> surgeon Suresh Nair left a trail of shattered lives, </w:t>
      </w:r>
      <w:r w:rsidRPr="001422AB">
        <w:rPr>
          <w:u w:val="single"/>
        </w:rPr>
        <w:t>The Sydney Morning Herald</w:t>
      </w:r>
      <w:r w:rsidRPr="001422AB">
        <w:t>.</w:t>
      </w:r>
      <w:bookmarkEnd w:id="350"/>
    </w:p>
    <w:p w:rsidR="00A051B9" w:rsidRPr="001422AB" w:rsidRDefault="00A051B9" w:rsidP="00A051B9">
      <w:pPr>
        <w:pStyle w:val="BodyText"/>
      </w:pPr>
      <w:r w:rsidRPr="001422AB">
        <w:lastRenderedPageBreak/>
        <w:t xml:space="preserve">Russell, M. 2014, Judge signs off on Hepatitis C class action against anaesthetist James Latham Peters, </w:t>
      </w:r>
      <w:r w:rsidRPr="001422AB">
        <w:rPr>
          <w:u w:val="single"/>
        </w:rPr>
        <w:t>The Age</w:t>
      </w:r>
      <w:r w:rsidRPr="001422AB">
        <w:t>.</w:t>
      </w:r>
      <w:bookmarkEnd w:id="351"/>
    </w:p>
    <w:p w:rsidR="00A051B9" w:rsidRPr="001422AB" w:rsidRDefault="00A051B9" w:rsidP="00A051B9">
      <w:pPr>
        <w:pStyle w:val="BodyText"/>
      </w:pPr>
      <w:proofErr w:type="spellStart"/>
      <w:r w:rsidRPr="001422AB">
        <w:t>Shanafelt</w:t>
      </w:r>
      <w:proofErr w:type="spellEnd"/>
      <w:r w:rsidRPr="001422AB">
        <w:t xml:space="preserve"> TD, JA Sloan and TM </w:t>
      </w:r>
      <w:proofErr w:type="spellStart"/>
      <w:r w:rsidRPr="001422AB">
        <w:t>Habermann</w:t>
      </w:r>
      <w:proofErr w:type="spellEnd"/>
      <w:r w:rsidRPr="001422AB">
        <w:t xml:space="preserve"> 2003, </w:t>
      </w:r>
      <w:proofErr w:type="gramStart"/>
      <w:r w:rsidRPr="001422AB">
        <w:t>The</w:t>
      </w:r>
      <w:proofErr w:type="gramEnd"/>
      <w:r w:rsidRPr="001422AB">
        <w:t xml:space="preserve"> well-being of physicians, </w:t>
      </w:r>
      <w:r w:rsidRPr="001422AB">
        <w:rPr>
          <w:u w:val="single"/>
        </w:rPr>
        <w:t>Am J Med</w:t>
      </w:r>
      <w:r w:rsidRPr="001422AB">
        <w:t xml:space="preserve"> </w:t>
      </w:r>
      <w:r w:rsidRPr="001422AB">
        <w:rPr>
          <w:b/>
        </w:rPr>
        <w:t>114</w:t>
      </w:r>
      <w:r w:rsidRPr="001422AB">
        <w:t>(6): 513-519.</w:t>
      </w:r>
      <w:bookmarkEnd w:id="352"/>
    </w:p>
    <w:p w:rsidR="00BD5040" w:rsidRDefault="00A051B9" w:rsidP="00A051B9">
      <w:pPr>
        <w:pStyle w:val="BodyText"/>
      </w:pPr>
      <w:bookmarkStart w:id="353" w:name="_ENREF_176"/>
      <w:bookmarkStart w:id="354" w:name="_ENREF_182"/>
      <w:r w:rsidRPr="001422AB">
        <w:t xml:space="preserve">Sick Doctors Trust 2014, Sick Doctors Trust Helpline, from </w:t>
      </w:r>
      <w:hyperlink r:id="rId40" w:history="1">
        <w:r w:rsidRPr="001422AB">
          <w:rPr>
            <w:rStyle w:val="Hyperlink"/>
          </w:rPr>
          <w:t>http://sick-doctors-trust.co.uk/page/the-helpline</w:t>
        </w:r>
      </w:hyperlink>
      <w:bookmarkEnd w:id="353"/>
    </w:p>
    <w:p w:rsidR="00A051B9" w:rsidRPr="001422AB" w:rsidRDefault="006F0D7E" w:rsidP="00A051B9">
      <w:pPr>
        <w:pStyle w:val="BodyText"/>
      </w:pPr>
      <w:r>
        <w:t xml:space="preserve">Sin </w:t>
      </w:r>
      <w:bookmarkStart w:id="355" w:name="_ENREF_179"/>
      <w:bookmarkStart w:id="356" w:name="_ENREF_181"/>
      <w:r w:rsidR="00A051B9" w:rsidRPr="001422AB">
        <w:t xml:space="preserve">C. H. and J. Fong 2008, Do no harm’? Professional regulation of disabled nursing students and nurses in Great Britain, </w:t>
      </w:r>
      <w:r w:rsidR="00A051B9" w:rsidRPr="001422AB">
        <w:rPr>
          <w:u w:val="single"/>
        </w:rPr>
        <w:t>Journal of Advanced Nursing</w:t>
      </w:r>
      <w:r w:rsidR="00A051B9" w:rsidRPr="001422AB">
        <w:t xml:space="preserve"> </w:t>
      </w:r>
      <w:r w:rsidR="00A051B9" w:rsidRPr="001422AB">
        <w:rPr>
          <w:b/>
        </w:rPr>
        <w:t>62</w:t>
      </w:r>
      <w:r w:rsidR="00A051B9" w:rsidRPr="001422AB">
        <w:t>(6): 642-652.</w:t>
      </w:r>
      <w:bookmarkEnd w:id="355"/>
    </w:p>
    <w:p w:rsidR="00A051B9" w:rsidRPr="001422AB" w:rsidRDefault="00A051B9" w:rsidP="00A051B9">
      <w:pPr>
        <w:pStyle w:val="BodyText"/>
      </w:pPr>
      <w:r w:rsidRPr="001422AB">
        <w:t xml:space="preserve">Skipper, G. E. and R. L. DuPont 2011, </w:t>
      </w:r>
      <w:proofErr w:type="gramStart"/>
      <w:r w:rsidRPr="001422AB">
        <w:t>The</w:t>
      </w:r>
      <w:proofErr w:type="gramEnd"/>
      <w:r w:rsidRPr="001422AB">
        <w:t xml:space="preserve"> physician health program: A replicable model of sustained recovery management, </w:t>
      </w:r>
      <w:r w:rsidRPr="001422AB">
        <w:rPr>
          <w:u w:val="single"/>
        </w:rPr>
        <w:t>Addiction Recovery Management</w:t>
      </w:r>
      <w:r w:rsidRPr="001422AB">
        <w:t>, Springer</w:t>
      </w:r>
      <w:r w:rsidRPr="001422AB">
        <w:rPr>
          <w:b/>
        </w:rPr>
        <w:t xml:space="preserve">: </w:t>
      </w:r>
      <w:r w:rsidRPr="001422AB">
        <w:t>281-299.</w:t>
      </w:r>
      <w:bookmarkEnd w:id="356"/>
    </w:p>
    <w:p w:rsidR="00A051B9" w:rsidRPr="001422AB" w:rsidRDefault="00A051B9" w:rsidP="00A051B9">
      <w:pPr>
        <w:pStyle w:val="BodyText"/>
      </w:pPr>
      <w:r w:rsidRPr="001422AB">
        <w:t xml:space="preserve">Smith, J. 2013, Monitoring Nurses with Substance-Use Disorders in New Jersey, </w:t>
      </w:r>
      <w:r w:rsidRPr="001422AB">
        <w:rPr>
          <w:u w:val="single"/>
        </w:rPr>
        <w:t>Nursing Clinics of North America</w:t>
      </w:r>
      <w:r w:rsidRPr="001422AB">
        <w:t xml:space="preserve"> </w:t>
      </w:r>
      <w:r w:rsidRPr="001422AB">
        <w:rPr>
          <w:b/>
        </w:rPr>
        <w:t>48</w:t>
      </w:r>
      <w:r w:rsidRPr="001422AB">
        <w:t>(3): 465-468.</w:t>
      </w:r>
      <w:bookmarkEnd w:id="354"/>
    </w:p>
    <w:p w:rsidR="00A051B9" w:rsidRPr="001422AB" w:rsidRDefault="00A051B9" w:rsidP="00A051B9">
      <w:pPr>
        <w:pStyle w:val="BodyText"/>
      </w:pPr>
      <w:r w:rsidRPr="001422AB">
        <w:t xml:space="preserve">Sim M and </w:t>
      </w:r>
      <w:proofErr w:type="spellStart"/>
      <w:r w:rsidRPr="001422AB">
        <w:t>Khong</w:t>
      </w:r>
      <w:proofErr w:type="spellEnd"/>
      <w:r w:rsidRPr="001422AB">
        <w:t xml:space="preserve"> E 2013, How was a drug-addicted doctor with Hep-C able to infect his patients</w:t>
      </w:r>
      <w:proofErr w:type="gramStart"/>
      <w:r w:rsidRPr="001422AB">
        <w:t>?,</w:t>
      </w:r>
      <w:proofErr w:type="gramEnd"/>
      <w:r w:rsidRPr="001422AB">
        <w:t xml:space="preserve"> The Conversation, 27 February  </w:t>
      </w:r>
    </w:p>
    <w:p w:rsidR="00A051B9" w:rsidRPr="001422AB" w:rsidRDefault="00A051B9" w:rsidP="00A051B9">
      <w:pPr>
        <w:pStyle w:val="BodyText"/>
      </w:pPr>
      <w:r w:rsidRPr="001422AB">
        <w:t xml:space="preserve">Sydney Morning Herald 2014, Suresh Nair case proves healthcare complaints process needs an overhaul, accessed 15 May 2015, &lt; http://www.smh.com.au/comment/smh-editorial/suresh-nair-case-proves-healthcare-complaints-process-needs-an-overhaul-20140607-zrzku.html&gt; </w:t>
      </w:r>
    </w:p>
    <w:p w:rsidR="00A051B9" w:rsidRPr="001422AB" w:rsidRDefault="00A051B9" w:rsidP="00A051B9">
      <w:pPr>
        <w:pStyle w:val="BodyText"/>
      </w:pPr>
      <w:bookmarkStart w:id="357" w:name="_ENREF_189"/>
      <w:r w:rsidRPr="001422AB">
        <w:t xml:space="preserve">Swan, N 2005, Addicted doctors, </w:t>
      </w:r>
      <w:r w:rsidRPr="001422AB">
        <w:rPr>
          <w:u w:val="single"/>
        </w:rPr>
        <w:t>Health report</w:t>
      </w:r>
      <w:r w:rsidRPr="001422AB">
        <w:t>, ABC.</w:t>
      </w:r>
      <w:bookmarkEnd w:id="357"/>
    </w:p>
    <w:p w:rsidR="00A051B9" w:rsidRPr="001422AB" w:rsidRDefault="00A051B9" w:rsidP="00A051B9">
      <w:pPr>
        <w:pStyle w:val="BodyText"/>
      </w:pPr>
      <w:r w:rsidRPr="001422AB">
        <w:t xml:space="preserve">UK Better </w:t>
      </w:r>
      <w:proofErr w:type="spellStart"/>
      <w:r w:rsidRPr="001422AB">
        <w:t>Regualation</w:t>
      </w:r>
      <w:proofErr w:type="spellEnd"/>
      <w:r w:rsidRPr="001422AB">
        <w:t xml:space="preserve"> Taskforce 2007, Principles of Good Regulation, UK</w:t>
      </w:r>
    </w:p>
    <w:p w:rsidR="00A051B9" w:rsidRPr="001422AB" w:rsidRDefault="00A051B9" w:rsidP="00A051B9">
      <w:pPr>
        <w:pStyle w:val="BodyText"/>
      </w:pPr>
      <w:proofErr w:type="spellStart"/>
      <w:r w:rsidRPr="001422AB">
        <w:t>Vecchio</w:t>
      </w:r>
      <w:proofErr w:type="spellEnd"/>
      <w:r w:rsidRPr="001422AB">
        <w:t xml:space="preserve"> N </w:t>
      </w:r>
      <w:proofErr w:type="spellStart"/>
      <w:r w:rsidRPr="001422AB">
        <w:t>Scuffham</w:t>
      </w:r>
      <w:proofErr w:type="spellEnd"/>
      <w:r w:rsidRPr="001422AB">
        <w:t xml:space="preserve"> PA, Hilton M and HA </w:t>
      </w:r>
      <w:proofErr w:type="spellStart"/>
      <w:r w:rsidRPr="001422AB">
        <w:t>WHiteford</w:t>
      </w:r>
      <w:proofErr w:type="spellEnd"/>
      <w:r w:rsidRPr="001422AB">
        <w:t xml:space="preserve"> 2010, Work-related injury among the nursing profession: an investigation of modifiable factors, Griffith Business School, Discussion Papers Economics, No 2010-05</w:t>
      </w:r>
    </w:p>
    <w:p w:rsidR="00A051B9" w:rsidRPr="001422AB" w:rsidRDefault="00A051B9" w:rsidP="00A051B9">
      <w:pPr>
        <w:pStyle w:val="BodyText"/>
      </w:pPr>
      <w:r w:rsidRPr="001422AB">
        <w:t>Victorian Auditor-General’s Office 2008, Patient Safety in Public Hospitals, May 2008 accessed on 18 February 2015 via &lt;</w:t>
      </w:r>
      <w:hyperlink r:id="rId41" w:history="1">
        <w:r w:rsidRPr="001422AB">
          <w:rPr>
            <w:rStyle w:val="Hyperlink"/>
          </w:rPr>
          <w:t>http://www.au</w:t>
        </w:r>
        <w:r w:rsidRPr="001422AB">
          <w:rPr>
            <w:rStyle w:val="Hyperlink"/>
          </w:rPr>
          <w:lastRenderedPageBreak/>
          <w:t>dit.vic.gov.au/reports_and_publications/reports_by_year/2008/20080528_patient_safety.aspx</w:t>
        </w:r>
      </w:hyperlink>
      <w:r w:rsidRPr="001422AB">
        <w:t>&gt;</w:t>
      </w:r>
    </w:p>
    <w:p w:rsidR="00A051B9" w:rsidRPr="001422AB" w:rsidRDefault="00A051B9" w:rsidP="00A051B9">
      <w:pPr>
        <w:pStyle w:val="BodyText"/>
      </w:pPr>
      <w:r w:rsidRPr="001422AB">
        <w:t>Wardell A 2014, Health Practitioner Regulation National Law 2009, accessed 1 September 2014, &lt;</w:t>
      </w:r>
      <w:hyperlink r:id="rId42" w:history="1">
        <w:r w:rsidRPr="001422AB">
          <w:rPr>
            <w:rStyle w:val="Hyperlink"/>
          </w:rPr>
          <w:t>http://ww5.cch.com.au/amed/amed113.html</w:t>
        </w:r>
      </w:hyperlink>
      <w:r w:rsidRPr="001422AB">
        <w:t xml:space="preserve"> &gt; </w:t>
      </w:r>
    </w:p>
    <w:p w:rsidR="00A051B9" w:rsidRPr="001422AB" w:rsidRDefault="00A051B9" w:rsidP="00A051B9">
      <w:pPr>
        <w:pStyle w:val="BodyText"/>
      </w:pPr>
      <w:bookmarkStart w:id="358" w:name="_ENREF_199"/>
      <w:bookmarkStart w:id="359" w:name="_ENREF_201"/>
      <w:proofErr w:type="spellStart"/>
      <w:r w:rsidRPr="001422AB">
        <w:t>Warhaft</w:t>
      </w:r>
      <w:proofErr w:type="spellEnd"/>
      <w:r w:rsidRPr="001422AB">
        <w:t xml:space="preserve">, N. J. 2004, The Victorian Doctors Health Program: the first 3 years, </w:t>
      </w:r>
      <w:r w:rsidRPr="001422AB">
        <w:rPr>
          <w:u w:val="single"/>
        </w:rPr>
        <w:t xml:space="preserve">Med J </w:t>
      </w:r>
      <w:proofErr w:type="spellStart"/>
      <w:r w:rsidRPr="001422AB">
        <w:rPr>
          <w:u w:val="single"/>
        </w:rPr>
        <w:t>Aust</w:t>
      </w:r>
      <w:proofErr w:type="spellEnd"/>
      <w:r w:rsidRPr="001422AB">
        <w:t xml:space="preserve"> </w:t>
      </w:r>
      <w:r w:rsidRPr="001422AB">
        <w:rPr>
          <w:b/>
        </w:rPr>
        <w:t>181</w:t>
      </w:r>
      <w:r w:rsidRPr="001422AB">
        <w:t>(7): 376-379.</w:t>
      </w:r>
      <w:bookmarkEnd w:id="358"/>
    </w:p>
    <w:p w:rsidR="00A051B9" w:rsidRPr="001422AB" w:rsidRDefault="00A051B9" w:rsidP="00A051B9">
      <w:pPr>
        <w:pStyle w:val="BodyText"/>
      </w:pPr>
      <w:r w:rsidRPr="001422AB">
        <w:t>Whelan G 2009, Mandatory reporting - impact on doctors health programs, 3rd Medical Indemnity Forum, Sydney</w:t>
      </w:r>
      <w:bookmarkEnd w:id="359"/>
    </w:p>
    <w:p w:rsidR="00A051B9" w:rsidRPr="001422AB" w:rsidRDefault="00A051B9" w:rsidP="00A051B9">
      <w:pPr>
        <w:pStyle w:val="BodyText"/>
      </w:pPr>
      <w:proofErr w:type="spellStart"/>
      <w:r w:rsidRPr="001422AB">
        <w:t>Wohlsen</w:t>
      </w:r>
      <w:proofErr w:type="spellEnd"/>
      <w:r w:rsidRPr="001422AB">
        <w:t xml:space="preserve">, M. 2007, Addicted doctors are allowed to practice, </w:t>
      </w:r>
      <w:r w:rsidRPr="001422AB">
        <w:rPr>
          <w:u w:val="single"/>
        </w:rPr>
        <w:t>USA Today</w:t>
      </w:r>
    </w:p>
    <w:p w:rsidR="00A051B9" w:rsidRPr="001422AB" w:rsidRDefault="00A051B9" w:rsidP="00A051B9">
      <w:pPr>
        <w:pStyle w:val="BodyText"/>
      </w:pPr>
    </w:p>
    <w:p w:rsidR="003A28BB" w:rsidRPr="005529DF" w:rsidRDefault="003A28BB">
      <w:pPr>
        <w:spacing w:before="180" w:after="0" w:line="300" w:lineRule="exact"/>
        <w:rPr>
          <w:rFonts w:ascii="Times New Roman" w:eastAsia="Times New Roman" w:hAnsi="Times New Roman" w:cs="Times New Roman"/>
          <w:lang w:eastAsia="en-AU"/>
        </w:rPr>
      </w:pPr>
    </w:p>
    <w:p w:rsidR="00EA3316" w:rsidRPr="005529DF" w:rsidRDefault="00EA3316" w:rsidP="003A28BB">
      <w:pPr>
        <w:pStyle w:val="Heading7"/>
        <w:rPr>
          <w:rFonts w:ascii="Times New Roman" w:hAnsi="Times New Roman"/>
        </w:rPr>
      </w:pPr>
      <w:bookmarkStart w:id="360" w:name="_Ref417394349"/>
      <w:bookmarkStart w:id="361" w:name="_Toc419702954"/>
      <w:bookmarkEnd w:id="360"/>
      <w:r w:rsidRPr="005529DF">
        <w:rPr>
          <w:rFonts w:ascii="Times New Roman" w:hAnsi="Times New Roman"/>
        </w:rPr>
        <w:t>Stakeholder organisations interviewed</w:t>
      </w:r>
      <w:bookmarkEnd w:id="361"/>
      <w:r w:rsidRPr="005529DF">
        <w:rPr>
          <w:rFonts w:ascii="Times New Roman" w:hAnsi="Times New Roman"/>
        </w:rPr>
        <w:t xml:space="preserve"> </w:t>
      </w:r>
    </w:p>
    <w:p w:rsidR="00EA3316" w:rsidRPr="007640DA" w:rsidRDefault="00EA3316" w:rsidP="00EA3316">
      <w:pPr>
        <w:pStyle w:val="Caption"/>
        <w:ind w:left="-1418" w:hanging="992"/>
        <w:rPr>
          <w:rStyle w:val="CaptionLabel"/>
          <w:rFonts w:ascii="Times New Roman" w:hAnsi="Times New Roman" w:cs="Times New Roman"/>
        </w:rPr>
      </w:pPr>
      <w:bookmarkStart w:id="362" w:name="_Toc419702961"/>
      <w:r w:rsidRPr="007640DA">
        <w:rPr>
          <w:rFonts w:ascii="Times New Roman" w:hAnsi="Times New Roman" w:cs="Times New Roman"/>
        </w:rPr>
        <w:t xml:space="preserve">Table </w:t>
      </w:r>
      <w:fldSimple w:instr=" STYLEREF 7 \s \* MERGEFORMAT ">
        <w:r w:rsidR="00B07965" w:rsidRPr="00B07965">
          <w:rPr>
            <w:rFonts w:ascii="Times New Roman" w:hAnsi="Times New Roman" w:cs="Times New Roman"/>
            <w:noProof/>
          </w:rPr>
          <w:t>A</w:t>
        </w:r>
      </w:fldSimple>
      <w:r w:rsidR="004D1416" w:rsidRPr="007640DA">
        <w:rPr>
          <w:rFonts w:ascii="Times New Roman" w:hAnsi="Times New Roman" w:cs="Times New Roman"/>
        </w:rPr>
        <w:fldChar w:fldCharType="begin"/>
      </w:r>
      <w:r w:rsidRPr="005529DF">
        <w:rPr>
          <w:rFonts w:ascii="Times New Roman" w:hAnsi="Times New Roman" w:cs="Times New Roman"/>
        </w:rPr>
        <w:instrText xml:space="preserve"> SEQ Table \s 7\* ARABIC </w:instrText>
      </w:r>
      <w:r w:rsidR="004D1416" w:rsidRPr="007640DA">
        <w:rPr>
          <w:rFonts w:ascii="Times New Roman" w:hAnsi="Times New Roman" w:cs="Times New Roman"/>
        </w:rPr>
        <w:fldChar w:fldCharType="separate"/>
      </w:r>
      <w:r w:rsidR="00B07965">
        <w:rPr>
          <w:rFonts w:ascii="Times New Roman" w:hAnsi="Times New Roman" w:cs="Times New Roman"/>
          <w:noProof/>
        </w:rPr>
        <w:t>1</w:t>
      </w:r>
      <w:r w:rsidR="004D1416" w:rsidRPr="007640DA">
        <w:rPr>
          <w:rFonts w:ascii="Times New Roman" w:hAnsi="Times New Roman" w:cs="Times New Roman"/>
        </w:rPr>
        <w:fldChar w:fldCharType="end"/>
      </w:r>
      <w:r w:rsidRPr="005529DF">
        <w:rPr>
          <w:rFonts w:ascii="Times New Roman" w:hAnsi="Times New Roman" w:cs="Times New Roman"/>
        </w:rPr>
        <w:tab/>
      </w:r>
      <w:r w:rsidRPr="005529DF">
        <w:rPr>
          <w:rStyle w:val="CaptionLabel"/>
          <w:rFonts w:ascii="Times New Roman" w:hAnsi="Times New Roman" w:cs="Times New Roman"/>
        </w:rPr>
        <w:t>Stakeholder organisations</w:t>
      </w:r>
      <w:bookmarkEnd w:id="362"/>
      <w:r w:rsidRPr="005529DF">
        <w:rPr>
          <w:rStyle w:val="CaptionLabel"/>
          <w:rFonts w:ascii="Times New Roman" w:hAnsi="Times New Roman" w:cs="Times New Roman"/>
        </w:rPr>
        <w:t xml:space="preserve"> </w:t>
      </w:r>
    </w:p>
    <w:tbl>
      <w:tblPr>
        <w:tblStyle w:val="ACILAllenTable"/>
        <w:tblW w:w="10207" w:type="dxa"/>
        <w:tblInd w:w="-2410" w:type="dxa"/>
        <w:tblLook w:val="04A0" w:firstRow="1" w:lastRow="0" w:firstColumn="1" w:lastColumn="0" w:noHBand="0" w:noVBand="1"/>
      </w:tblPr>
      <w:tblGrid>
        <w:gridCol w:w="2552"/>
        <w:gridCol w:w="7655"/>
      </w:tblGrid>
      <w:tr w:rsidR="00EA3316" w:rsidRPr="005529DF" w:rsidTr="003669E6">
        <w:trPr>
          <w:cnfStyle w:val="100000000000" w:firstRow="1" w:lastRow="0" w:firstColumn="0" w:lastColumn="0" w:oddVBand="0" w:evenVBand="0" w:oddHBand="0" w:evenHBand="0" w:firstRowFirstColumn="0" w:firstRowLastColumn="0" w:lastRowFirstColumn="0" w:lastRowLastColumn="0"/>
        </w:trPr>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Jurisdiction</w:t>
            </w:r>
          </w:p>
        </w:tc>
        <w:tc>
          <w:tcPr>
            <w:tcW w:w="7655"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 xml:space="preserve">Stakeholders </w:t>
            </w:r>
          </w:p>
        </w:tc>
      </w:tr>
      <w:tr w:rsidR="00EA3316" w:rsidRPr="005529DF" w:rsidTr="003669E6">
        <w:tc>
          <w:tcPr>
            <w:tcW w:w="10207" w:type="dxa"/>
            <w:gridSpan w:val="2"/>
            <w:shd w:val="clear" w:color="auto" w:fill="D9D9D9" w:themeFill="background1" w:themeFillShade="D9"/>
          </w:tcPr>
          <w:p w:rsidR="00EA3316" w:rsidRPr="005529DF" w:rsidRDefault="00EA3316" w:rsidP="003669E6">
            <w:pPr>
              <w:pStyle w:val="Source"/>
              <w:pBdr>
                <w:bottom w:val="none" w:sz="0" w:space="0" w:color="auto"/>
              </w:pBdr>
              <w:jc w:val="center"/>
              <w:rPr>
                <w:rFonts w:ascii="Times New Roman" w:hAnsi="Times New Roman"/>
                <w:b/>
                <w:i/>
              </w:rPr>
            </w:pPr>
            <w:r w:rsidRPr="005529DF">
              <w:rPr>
                <w:rFonts w:ascii="Times New Roman" w:hAnsi="Times New Roman"/>
                <w:b/>
                <w:i/>
              </w:rPr>
              <w:t>Australia</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Australia-wide</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Medical Radiation Board of Australia*</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Psychology Board of Australia</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Pharmacy Board of Australia</w:t>
            </w:r>
          </w:p>
          <w:p w:rsidR="00636556" w:rsidRPr="005529DF" w:rsidRDefault="00636556" w:rsidP="00EA3316">
            <w:pPr>
              <w:pStyle w:val="Tablelistbullet"/>
              <w:numPr>
                <w:ilvl w:val="0"/>
                <w:numId w:val="13"/>
              </w:numPr>
              <w:rPr>
                <w:rFonts w:ascii="Times New Roman" w:hAnsi="Times New Roman"/>
              </w:rPr>
            </w:pPr>
            <w:r w:rsidRPr="005529DF">
              <w:rPr>
                <w:rFonts w:ascii="Times New Roman" w:hAnsi="Times New Roman"/>
              </w:rPr>
              <w:t xml:space="preserve">Australian College of Nurses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Australian College of Midwives</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Australian and Nursing Midwifery Federation*</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Royal Australian College of General Practitioners</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Australian Nursing and Midwifery Accreditation Council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Commonwealth Chief Nursing and Midwifery Officer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Commonwealth Department of Health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Max Solutions</w:t>
            </w:r>
          </w:p>
          <w:p w:rsidR="00636556" w:rsidRPr="005529DF" w:rsidRDefault="00636556" w:rsidP="00636556">
            <w:pPr>
              <w:pStyle w:val="Tablelistbullet"/>
              <w:numPr>
                <w:ilvl w:val="0"/>
                <w:numId w:val="13"/>
              </w:numPr>
              <w:rPr>
                <w:rFonts w:ascii="Times New Roman" w:hAnsi="Times New Roman"/>
              </w:rPr>
            </w:pPr>
            <w:r w:rsidRPr="005529DF">
              <w:rPr>
                <w:rFonts w:ascii="Times New Roman" w:hAnsi="Times New Roman"/>
              </w:rPr>
              <w:t xml:space="preserve">AHPRA National Compliance Commissioner </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Victoria</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Nursing and Midwifery Health Program Victoria</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Victorian Department of Health Chief Nursing and Midwifery officer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Victorian Doctor’s Health Program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Australian Medical Association (AMA) Victoria</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Victorian Nursing and Midwifery Board of Australia  </w:t>
            </w:r>
          </w:p>
          <w:p w:rsidR="00636556" w:rsidRPr="005529DF" w:rsidRDefault="00636556" w:rsidP="00B27E2A">
            <w:pPr>
              <w:pStyle w:val="Tablelistbullet"/>
              <w:numPr>
                <w:ilvl w:val="0"/>
                <w:numId w:val="13"/>
              </w:numPr>
              <w:rPr>
                <w:rFonts w:ascii="Times New Roman" w:hAnsi="Times New Roman"/>
              </w:rPr>
            </w:pPr>
            <w:r w:rsidRPr="005529DF">
              <w:rPr>
                <w:rFonts w:ascii="Times New Roman" w:hAnsi="Times New Roman"/>
              </w:rPr>
              <w:t xml:space="preserve">AHPRA Victorian </w:t>
            </w:r>
            <w:r w:rsidR="00B02EE2">
              <w:rPr>
                <w:rFonts w:ascii="Times New Roman" w:hAnsi="Times New Roman"/>
              </w:rPr>
              <w:t xml:space="preserve">Manager of Health and Performance </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New South Wales</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NSW Nursing and Midwifery Board of Australia</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Medical Benevolent Association (NSW)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Impaired Registrant’s Health Program (NSW)</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Health Care Complaints Commission</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NSW Nursing and Midwifery Council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NSW Health: Hunter New England Local Health District – HNE Mental Health Service </w:t>
            </w:r>
          </w:p>
          <w:p w:rsidR="00636556" w:rsidRPr="005529DF" w:rsidRDefault="00636556" w:rsidP="00636556">
            <w:pPr>
              <w:pStyle w:val="Tablelistbullet"/>
              <w:numPr>
                <w:ilvl w:val="0"/>
                <w:numId w:val="13"/>
              </w:numPr>
              <w:rPr>
                <w:rFonts w:ascii="Times New Roman" w:hAnsi="Times New Roman"/>
              </w:rPr>
            </w:pPr>
            <w:r w:rsidRPr="005529DF">
              <w:rPr>
                <w:rFonts w:ascii="Times New Roman" w:hAnsi="Times New Roman"/>
              </w:rPr>
              <w:t>AHPRA NSW Director of Notifications</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Western Australia</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WA Department of Health Chief Nursing and Midwifery officer</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Western Australian Nursing and Midwifery Board of Australia</w:t>
            </w:r>
          </w:p>
          <w:p w:rsidR="00636556" w:rsidRPr="005529DF" w:rsidRDefault="00636556" w:rsidP="00636556">
            <w:pPr>
              <w:pStyle w:val="Tablelistbullet"/>
              <w:numPr>
                <w:ilvl w:val="0"/>
                <w:numId w:val="13"/>
              </w:numPr>
              <w:rPr>
                <w:rFonts w:ascii="Times New Roman" w:hAnsi="Times New Roman"/>
              </w:rPr>
            </w:pPr>
            <w:r w:rsidRPr="005529DF">
              <w:rPr>
                <w:rFonts w:ascii="Times New Roman" w:hAnsi="Times New Roman"/>
              </w:rPr>
              <w:t xml:space="preserve">AHPRA Western Australia Director of Notifications </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Australian Capital Territory</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ACT Department of Health Chief Nursing and Midwifery officer</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South Australia</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South Australian Nursing and Midwifery Board of Australia</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South Australia’s Doctor’s Health Advisory Service</w:t>
            </w:r>
          </w:p>
          <w:p w:rsidR="0063655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South Australian Department of Health, Principle Nurse and Midwife Adviser</w:t>
            </w:r>
          </w:p>
          <w:p w:rsidR="00636556" w:rsidRPr="005529DF" w:rsidRDefault="00636556" w:rsidP="00636556">
            <w:pPr>
              <w:pStyle w:val="Tablelistbullet"/>
              <w:numPr>
                <w:ilvl w:val="0"/>
                <w:numId w:val="13"/>
              </w:numPr>
              <w:rPr>
                <w:rFonts w:ascii="Times New Roman" w:hAnsi="Times New Roman"/>
              </w:rPr>
            </w:pPr>
            <w:r w:rsidRPr="005529DF">
              <w:rPr>
                <w:rFonts w:ascii="Times New Roman" w:hAnsi="Times New Roman"/>
              </w:rPr>
              <w:t xml:space="preserve">AHPRA South Australia State Manager  </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Northern Territory</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Northern Territory Nursing and Midwifery Board of Australia</w:t>
            </w:r>
          </w:p>
          <w:p w:rsidR="00636556" w:rsidRPr="005529DF" w:rsidRDefault="00636556" w:rsidP="00636556">
            <w:pPr>
              <w:pStyle w:val="Tablelistbullet"/>
              <w:numPr>
                <w:ilvl w:val="0"/>
                <w:numId w:val="13"/>
              </w:numPr>
              <w:rPr>
                <w:rFonts w:ascii="Times New Roman" w:hAnsi="Times New Roman"/>
              </w:rPr>
            </w:pPr>
            <w:r w:rsidRPr="005529DF">
              <w:rPr>
                <w:rFonts w:ascii="Times New Roman" w:hAnsi="Times New Roman"/>
              </w:rPr>
              <w:t>AHPRA Northern Territory Director of Notifications</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Tasmania</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Acting Chair of the Tasmanian NMBA </w:t>
            </w:r>
          </w:p>
          <w:p w:rsidR="00636556" w:rsidRPr="005529DF" w:rsidRDefault="00636556" w:rsidP="00636556">
            <w:pPr>
              <w:pStyle w:val="Tablelistbullet"/>
              <w:numPr>
                <w:ilvl w:val="0"/>
                <w:numId w:val="13"/>
              </w:numPr>
              <w:rPr>
                <w:rFonts w:ascii="Times New Roman" w:hAnsi="Times New Roman"/>
              </w:rPr>
            </w:pPr>
            <w:r w:rsidRPr="005529DF">
              <w:rPr>
                <w:rFonts w:ascii="Times New Roman" w:hAnsi="Times New Roman"/>
              </w:rPr>
              <w:t>AHPRA Tasmania Director of Notifications</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 xml:space="preserve">Queensland </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Queensland Nursing and Midwifery Board of Australia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Office of the Health Ombudsman </w:t>
            </w:r>
          </w:p>
          <w:p w:rsidR="00636556" w:rsidRPr="005529DF" w:rsidRDefault="00636556" w:rsidP="00636556">
            <w:pPr>
              <w:pStyle w:val="Tablelistbullet"/>
              <w:numPr>
                <w:ilvl w:val="0"/>
                <w:numId w:val="13"/>
              </w:numPr>
              <w:rPr>
                <w:rFonts w:ascii="Times New Roman" w:hAnsi="Times New Roman"/>
              </w:rPr>
            </w:pPr>
            <w:r w:rsidRPr="005529DF">
              <w:rPr>
                <w:rFonts w:ascii="Times New Roman" w:hAnsi="Times New Roman"/>
              </w:rPr>
              <w:t>AHPRA Queensland Director of Notifications</w:t>
            </w:r>
          </w:p>
        </w:tc>
      </w:tr>
      <w:tr w:rsidR="00EA3316" w:rsidRPr="005529DF" w:rsidTr="003669E6">
        <w:tc>
          <w:tcPr>
            <w:tcW w:w="10207" w:type="dxa"/>
            <w:gridSpan w:val="2"/>
            <w:shd w:val="clear" w:color="auto" w:fill="D9D9D9" w:themeFill="background1" w:themeFillShade="D9"/>
          </w:tcPr>
          <w:p w:rsidR="00EA3316" w:rsidRPr="005529DF" w:rsidRDefault="00EA3316" w:rsidP="003669E6">
            <w:pPr>
              <w:pStyle w:val="Source"/>
              <w:pBdr>
                <w:bottom w:val="none" w:sz="0" w:space="0" w:color="auto"/>
              </w:pBdr>
              <w:jc w:val="center"/>
              <w:rPr>
                <w:rFonts w:ascii="Times New Roman" w:hAnsi="Times New Roman"/>
                <w:b/>
                <w:i/>
              </w:rPr>
            </w:pPr>
            <w:r w:rsidRPr="005529DF">
              <w:rPr>
                <w:rFonts w:ascii="Times New Roman" w:hAnsi="Times New Roman"/>
                <w:b/>
                <w:i/>
              </w:rPr>
              <w:t>International</w:t>
            </w:r>
          </w:p>
        </w:tc>
      </w:tr>
      <w:tr w:rsidR="00EA3316" w:rsidRPr="005529DF" w:rsidTr="003669E6">
        <w:tc>
          <w:tcPr>
            <w:tcW w:w="2552" w:type="dxa"/>
          </w:tcPr>
          <w:p w:rsidR="00EA3316" w:rsidRPr="005529DF" w:rsidRDefault="00EA3316" w:rsidP="003669E6">
            <w:pPr>
              <w:pStyle w:val="Source"/>
              <w:pBdr>
                <w:bottom w:val="none" w:sz="0" w:space="0" w:color="auto"/>
              </w:pBdr>
              <w:rPr>
                <w:rFonts w:ascii="Times New Roman" w:hAnsi="Times New Roman"/>
              </w:rPr>
            </w:pPr>
            <w:r w:rsidRPr="005529DF">
              <w:rPr>
                <w:rFonts w:ascii="Times New Roman" w:hAnsi="Times New Roman"/>
              </w:rPr>
              <w:t xml:space="preserve">All international stakeholders </w:t>
            </w:r>
          </w:p>
        </w:tc>
        <w:tc>
          <w:tcPr>
            <w:tcW w:w="7655" w:type="dxa"/>
          </w:tcPr>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Canadian Medical Protective Association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National Clinical Assessment Service (NCAS) (UK)</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Medical Protection Society (UK)</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Irish College of General Practitioners</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Medical Council of New Zealand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 xml:space="preserve">Midwifery Council of New Zealand </w:t>
            </w:r>
          </w:p>
          <w:p w:rsidR="00EA3316" w:rsidRPr="005529DF" w:rsidRDefault="00EA3316" w:rsidP="00EA3316">
            <w:pPr>
              <w:pStyle w:val="Tablelistbullet"/>
              <w:numPr>
                <w:ilvl w:val="0"/>
                <w:numId w:val="13"/>
              </w:numPr>
              <w:rPr>
                <w:rFonts w:ascii="Times New Roman" w:hAnsi="Times New Roman"/>
              </w:rPr>
            </w:pPr>
            <w:r w:rsidRPr="005529DF">
              <w:rPr>
                <w:rFonts w:ascii="Times New Roman" w:hAnsi="Times New Roman"/>
              </w:rPr>
              <w:t>Dental Protection, London*</w:t>
            </w:r>
          </w:p>
          <w:p w:rsidR="002F6592" w:rsidRPr="005529DF" w:rsidRDefault="002F6592" w:rsidP="00EA3316">
            <w:pPr>
              <w:pStyle w:val="Tablelistbullet"/>
              <w:numPr>
                <w:ilvl w:val="0"/>
                <w:numId w:val="13"/>
              </w:numPr>
              <w:rPr>
                <w:rFonts w:ascii="Times New Roman" w:hAnsi="Times New Roman"/>
              </w:rPr>
            </w:pPr>
            <w:r w:rsidRPr="005529DF">
              <w:rPr>
                <w:rFonts w:ascii="Times New Roman" w:hAnsi="Times New Roman"/>
              </w:rPr>
              <w:t>British Columbia’s Early Intervention Program (Canada)</w:t>
            </w:r>
          </w:p>
          <w:p w:rsidR="002F6592" w:rsidRPr="005529DF" w:rsidRDefault="002F6592" w:rsidP="00EA3316">
            <w:pPr>
              <w:pStyle w:val="Tablelistbullet"/>
              <w:numPr>
                <w:ilvl w:val="0"/>
                <w:numId w:val="13"/>
              </w:numPr>
              <w:rPr>
                <w:rFonts w:ascii="Times New Roman" w:hAnsi="Times New Roman"/>
              </w:rPr>
            </w:pPr>
            <w:r w:rsidRPr="005529DF">
              <w:rPr>
                <w:rFonts w:ascii="Times New Roman" w:hAnsi="Times New Roman"/>
              </w:rPr>
              <w:t>Minnesota’s Health Professional Services Program (US)</w:t>
            </w:r>
          </w:p>
        </w:tc>
      </w:tr>
    </w:tbl>
    <w:p w:rsidR="00EA3316" w:rsidRPr="005529DF" w:rsidRDefault="00EA3316" w:rsidP="00EA3316">
      <w:pPr>
        <w:pStyle w:val="Source"/>
        <w:ind w:left="-2410"/>
        <w:rPr>
          <w:rFonts w:ascii="Times New Roman" w:hAnsi="Times New Roman"/>
        </w:rPr>
      </w:pPr>
      <w:r w:rsidRPr="005529DF">
        <w:rPr>
          <w:rFonts w:ascii="Times New Roman" w:hAnsi="Times New Roman"/>
          <w:i/>
        </w:rPr>
        <w:t>Note:</w:t>
      </w:r>
      <w:r w:rsidRPr="005529DF">
        <w:rPr>
          <w:rFonts w:ascii="Times New Roman" w:hAnsi="Times New Roman"/>
        </w:rPr>
        <w:t xml:space="preserve"> *Refers to submissions </w:t>
      </w:r>
    </w:p>
    <w:p w:rsidR="00EA3316" w:rsidRPr="005529DF" w:rsidRDefault="00EA3316" w:rsidP="00EA3316">
      <w:pPr>
        <w:pStyle w:val="Source"/>
        <w:ind w:left="-2410"/>
        <w:rPr>
          <w:rFonts w:ascii="Times New Roman" w:hAnsi="Times New Roman"/>
        </w:rPr>
      </w:pPr>
      <w:r w:rsidRPr="005529DF">
        <w:rPr>
          <w:rFonts w:ascii="Times New Roman" w:hAnsi="Times New Roman"/>
        </w:rPr>
        <w:t>So</w:t>
      </w:r>
      <w:r w:rsidR="00DB428D" w:rsidRPr="005529DF">
        <w:rPr>
          <w:rFonts w:ascii="Times New Roman" w:hAnsi="Times New Roman"/>
        </w:rPr>
        <w:t>urce: ACIL Allen Consulting</w:t>
      </w:r>
      <w:r w:rsidRPr="005529DF">
        <w:rPr>
          <w:rFonts w:ascii="Times New Roman" w:hAnsi="Times New Roman"/>
        </w:rPr>
        <w:t xml:space="preserve"> </w:t>
      </w:r>
    </w:p>
    <w:p w:rsidR="00EA3316" w:rsidRPr="005529DF" w:rsidRDefault="00EA3316">
      <w:pPr>
        <w:spacing w:before="180" w:after="0" w:line="300" w:lineRule="exact"/>
        <w:rPr>
          <w:rFonts w:ascii="Times New Roman" w:eastAsia="Times New Roman" w:hAnsi="Times New Roman" w:cs="Times New Roman"/>
          <w:lang w:eastAsia="en-AU"/>
        </w:rPr>
      </w:pPr>
    </w:p>
    <w:p w:rsidR="009F2D23" w:rsidRPr="005529DF" w:rsidRDefault="009F2D23">
      <w:pPr>
        <w:pStyle w:val="Heading7"/>
        <w:rPr>
          <w:rFonts w:ascii="Times New Roman" w:hAnsi="Times New Roman"/>
        </w:rPr>
      </w:pPr>
      <w:bookmarkStart w:id="363" w:name="_Toc419702955"/>
      <w:r w:rsidRPr="005529DF">
        <w:rPr>
          <w:rFonts w:ascii="Times New Roman" w:hAnsi="Times New Roman"/>
        </w:rPr>
        <w:t xml:space="preserve">Health </w:t>
      </w:r>
      <w:r w:rsidR="00654319" w:rsidRPr="005529DF">
        <w:rPr>
          <w:rFonts w:ascii="Times New Roman" w:hAnsi="Times New Roman"/>
        </w:rPr>
        <w:t>s</w:t>
      </w:r>
      <w:r w:rsidRPr="005529DF">
        <w:rPr>
          <w:rFonts w:ascii="Times New Roman" w:hAnsi="Times New Roman"/>
        </w:rPr>
        <w:t xml:space="preserve">upport </w:t>
      </w:r>
      <w:r w:rsidR="00654319" w:rsidRPr="005529DF">
        <w:rPr>
          <w:rFonts w:ascii="Times New Roman" w:hAnsi="Times New Roman"/>
        </w:rPr>
        <w:t>s</w:t>
      </w:r>
      <w:r w:rsidR="00277A2D" w:rsidRPr="005529DF">
        <w:rPr>
          <w:rFonts w:ascii="Times New Roman" w:hAnsi="Times New Roman"/>
        </w:rPr>
        <w:t>ervices</w:t>
      </w:r>
      <w:bookmarkEnd w:id="363"/>
      <w:r w:rsidR="00277A2D" w:rsidRPr="005529DF">
        <w:rPr>
          <w:rFonts w:ascii="Times New Roman" w:hAnsi="Times New Roman"/>
        </w:rPr>
        <w:t xml:space="preserve">  </w:t>
      </w:r>
    </w:p>
    <w:p w:rsidR="003A28BB" w:rsidRPr="005529DF" w:rsidRDefault="003A28BB" w:rsidP="003A28BB">
      <w:pPr>
        <w:pStyle w:val="BodyText"/>
      </w:pPr>
      <w:r w:rsidRPr="005529DF">
        <w:t xml:space="preserve">Provided in the table below is a list of health support </w:t>
      </w:r>
      <w:r w:rsidR="00654319" w:rsidRPr="005529DF">
        <w:t xml:space="preserve">services </w:t>
      </w:r>
      <w:r w:rsidRPr="005529DF">
        <w:t xml:space="preserve">identified as part of this review. </w:t>
      </w:r>
    </w:p>
    <w:p w:rsidR="003A28BB" w:rsidRPr="007640DA" w:rsidRDefault="003A28BB" w:rsidP="00B7192B">
      <w:pPr>
        <w:pStyle w:val="Caption"/>
        <w:framePr w:w="9921" w:hSpace="181" w:wrap="notBeside" w:vAnchor="text" w:hAnchor="text" w:x="-2550" w:y="1"/>
        <w:ind w:hanging="1135"/>
        <w:rPr>
          <w:rStyle w:val="CaptionLabel"/>
          <w:rFonts w:ascii="Times New Roman" w:hAnsi="Times New Roman" w:cs="Times New Roman"/>
        </w:rPr>
      </w:pPr>
      <w:bookmarkStart w:id="364" w:name="_Toc419702962"/>
      <w:r w:rsidRPr="007640DA">
        <w:rPr>
          <w:rFonts w:ascii="Times New Roman" w:hAnsi="Times New Roman" w:cs="Times New Roman"/>
        </w:rPr>
        <w:t xml:space="preserve">Table </w:t>
      </w:r>
      <w:fldSimple w:instr=" STYLEREF 7 \s \* MERGEFORMAT ">
        <w:r w:rsidR="00B07965" w:rsidRPr="00B07965">
          <w:rPr>
            <w:rFonts w:ascii="Times New Roman" w:hAnsi="Times New Roman" w:cs="Times New Roman"/>
            <w:noProof/>
          </w:rPr>
          <w:t>B</w:t>
        </w:r>
      </w:fldSimple>
      <w:r w:rsidR="004D1416" w:rsidRPr="007640DA">
        <w:rPr>
          <w:rFonts w:ascii="Times New Roman" w:hAnsi="Times New Roman" w:cs="Times New Roman"/>
        </w:rPr>
        <w:fldChar w:fldCharType="begin"/>
      </w:r>
      <w:r w:rsidR="00E42D51" w:rsidRPr="005529DF">
        <w:rPr>
          <w:rFonts w:ascii="Times New Roman" w:hAnsi="Times New Roman" w:cs="Times New Roman"/>
        </w:rPr>
        <w:instrText xml:space="preserve"> SEQ Table \s 7\* ARABIC </w:instrText>
      </w:r>
      <w:r w:rsidR="004D1416" w:rsidRPr="007640DA">
        <w:rPr>
          <w:rFonts w:ascii="Times New Roman" w:hAnsi="Times New Roman" w:cs="Times New Roman"/>
        </w:rPr>
        <w:fldChar w:fldCharType="separate"/>
      </w:r>
      <w:r w:rsidR="00B07965">
        <w:rPr>
          <w:rFonts w:ascii="Times New Roman" w:hAnsi="Times New Roman" w:cs="Times New Roman"/>
          <w:noProof/>
        </w:rPr>
        <w:t>1</w:t>
      </w:r>
      <w:r w:rsidR="004D1416" w:rsidRPr="007640DA">
        <w:rPr>
          <w:rFonts w:ascii="Times New Roman" w:hAnsi="Times New Roman" w:cs="Times New Roman"/>
        </w:rPr>
        <w:fldChar w:fldCharType="end"/>
      </w:r>
      <w:r w:rsidRPr="005529DF">
        <w:rPr>
          <w:rFonts w:ascii="Times New Roman" w:hAnsi="Times New Roman" w:cs="Times New Roman"/>
        </w:rPr>
        <w:tab/>
      </w:r>
      <w:r w:rsidRPr="005529DF">
        <w:rPr>
          <w:rStyle w:val="CaptionLabel"/>
          <w:rFonts w:ascii="Times New Roman" w:hAnsi="Times New Roman" w:cs="Times New Roman"/>
        </w:rPr>
        <w:t xml:space="preserve">National and international health support </w:t>
      </w:r>
      <w:r w:rsidR="00277A2D" w:rsidRPr="005529DF">
        <w:rPr>
          <w:rStyle w:val="CaptionLabel"/>
          <w:rFonts w:ascii="Times New Roman" w:hAnsi="Times New Roman" w:cs="Times New Roman"/>
        </w:rPr>
        <w:t>services</w:t>
      </w:r>
      <w:bookmarkEnd w:id="364"/>
      <w:r w:rsidR="00277A2D" w:rsidRPr="005529DF">
        <w:rPr>
          <w:rStyle w:val="CaptionLabel"/>
          <w:rFonts w:ascii="Times New Roman" w:hAnsi="Times New Roman" w:cs="Times New Roman"/>
        </w:rPr>
        <w:t xml:space="preserve"> </w:t>
      </w:r>
    </w:p>
    <w:tbl>
      <w:tblPr>
        <w:tblStyle w:val="ACILAllenTable"/>
        <w:tblW w:w="10207" w:type="dxa"/>
        <w:tblInd w:w="-142" w:type="dxa"/>
        <w:tblLook w:val="04A0" w:firstRow="1" w:lastRow="0" w:firstColumn="1" w:lastColumn="0" w:noHBand="0" w:noVBand="1"/>
      </w:tblPr>
      <w:tblGrid>
        <w:gridCol w:w="1843"/>
        <w:gridCol w:w="1418"/>
        <w:gridCol w:w="1843"/>
        <w:gridCol w:w="3260"/>
        <w:gridCol w:w="1843"/>
      </w:tblGrid>
      <w:tr w:rsidR="003A28BB" w:rsidRPr="005529DF" w:rsidTr="00A8669E">
        <w:trPr>
          <w:cnfStyle w:val="100000000000" w:firstRow="1" w:lastRow="0" w:firstColumn="0" w:lastColumn="0" w:oddVBand="0" w:evenVBand="0" w:oddHBand="0" w:evenHBand="0" w:firstRowFirstColumn="0" w:firstRowLastColumn="0" w:lastRowFirstColumn="0" w:lastRowLastColumn="0"/>
          <w:tblHeader/>
        </w:trPr>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Health program</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Jurisdiction </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Health profession</w:t>
            </w:r>
          </w:p>
        </w:tc>
        <w:tc>
          <w:tcPr>
            <w:tcW w:w="3260"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Services</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Funding arrangements</w:t>
            </w:r>
          </w:p>
        </w:tc>
      </w:tr>
      <w:tr w:rsidR="003A28BB" w:rsidRPr="005529DF" w:rsidTr="00A8669E">
        <w:tc>
          <w:tcPr>
            <w:tcW w:w="10207" w:type="dxa"/>
            <w:gridSpan w:val="5"/>
            <w:shd w:val="clear" w:color="auto" w:fill="D9D9D9" w:themeFill="background1" w:themeFillShade="D9"/>
          </w:tcPr>
          <w:p w:rsidR="003A28BB" w:rsidRPr="005529DF" w:rsidRDefault="003A28BB" w:rsidP="003A28BB">
            <w:pPr>
              <w:pStyle w:val="Source"/>
              <w:framePr w:w="9921" w:hSpace="181" w:wrap="notBeside" w:vAnchor="text" w:hAnchor="text" w:x="-2550" w:y="1"/>
              <w:pBdr>
                <w:bottom w:val="none" w:sz="0" w:space="0" w:color="auto"/>
              </w:pBdr>
              <w:jc w:val="center"/>
              <w:rPr>
                <w:rFonts w:ascii="Times New Roman" w:hAnsi="Times New Roman"/>
                <w:b/>
                <w:i/>
              </w:rPr>
            </w:pPr>
            <w:r w:rsidRPr="005529DF">
              <w:rPr>
                <w:rFonts w:ascii="Times New Roman" w:hAnsi="Times New Roman"/>
                <w:b/>
                <w:i/>
              </w:rPr>
              <w:t>Australia</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Victorian NMHPV</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Victoria</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Nursing and midwifery</w:t>
            </w:r>
          </w:p>
        </w:tc>
        <w:tc>
          <w:tcPr>
            <w:tcW w:w="3260"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Case management</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Referral to other health practitioners for treatment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Helpline</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Nurse-led counselling</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Online information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Prevention and education</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Research </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NMBA under a transition legacy </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Victorian Doctor’s Health Program</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Victoria</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Doctors</w:t>
            </w:r>
          </w:p>
        </w:tc>
        <w:tc>
          <w:tcPr>
            <w:tcW w:w="3260" w:type="dxa"/>
          </w:tcPr>
          <w:p w:rsidR="003A28BB" w:rsidRPr="005529DF" w:rsidRDefault="003A28BB" w:rsidP="003A28BB">
            <w:pPr>
              <w:pStyle w:val="Tablebody"/>
              <w:framePr w:w="9921" w:hSpace="181" w:wrap="notBeside" w:vAnchor="text" w:hAnchor="text" w:x="-2550" w:y="1"/>
              <w:rPr>
                <w:rFonts w:ascii="Times New Roman" w:hAnsi="Times New Roman"/>
              </w:rPr>
            </w:pPr>
            <w:r w:rsidRPr="005529DF">
              <w:rPr>
                <w:rFonts w:ascii="Times New Roman" w:hAnsi="Times New Roman"/>
              </w:rPr>
              <w:t xml:space="preserve">See Victorian NMHPV </w:t>
            </w:r>
          </w:p>
        </w:tc>
        <w:tc>
          <w:tcPr>
            <w:tcW w:w="1843"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Medical Practitioners Board of Australia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Universities</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Medical Benevolent Associations</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South Australian Doctor’s Health Advisory Service </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South Australia</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Doctors </w:t>
            </w:r>
          </w:p>
        </w:tc>
        <w:tc>
          <w:tcPr>
            <w:tcW w:w="3260"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GP led counselling (after hours)</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24-hour phone service</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Online information</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Education and prevention</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Research </w:t>
            </w:r>
          </w:p>
        </w:tc>
        <w:tc>
          <w:tcPr>
            <w:tcW w:w="1843"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Paid for by clients </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Impaired Registrant’s Health Program</w:t>
            </w:r>
          </w:p>
          <w:p w:rsidR="003A28BB" w:rsidRPr="005529DF" w:rsidRDefault="003A28BB" w:rsidP="003A28BB">
            <w:pPr>
              <w:pStyle w:val="Tablebody"/>
              <w:framePr w:w="9921" w:hSpace="181" w:wrap="notBeside" w:vAnchor="text" w:hAnchor="text" w:x="-2550" w:y="1"/>
              <w:rPr>
                <w:rFonts w:ascii="Times New Roman" w:hAnsi="Times New Roman"/>
              </w:rPr>
            </w:pP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New South Wales</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Doctors</w:t>
            </w:r>
          </w:p>
        </w:tc>
        <w:tc>
          <w:tcPr>
            <w:tcW w:w="3260"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Doctor-led counselling</w:t>
            </w:r>
          </w:p>
        </w:tc>
        <w:tc>
          <w:tcPr>
            <w:tcW w:w="1843"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NSW Medical Council </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Medical Benevolent Association</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New South Wales</w:t>
            </w:r>
          </w:p>
        </w:tc>
        <w:tc>
          <w:tcPr>
            <w:tcW w:w="1843" w:type="dxa"/>
          </w:tcPr>
          <w:p w:rsidR="003A28BB" w:rsidRPr="005529DF" w:rsidRDefault="003A28BB" w:rsidP="003A28BB">
            <w:pPr>
              <w:pStyle w:val="Tablelistbullet"/>
              <w:framePr w:w="9921" w:hSpace="181" w:wrap="notBeside" w:vAnchor="text" w:hAnchor="text" w:x="-2550" w:y="1"/>
              <w:numPr>
                <w:ilvl w:val="0"/>
                <w:numId w:val="0"/>
              </w:numPr>
              <w:ind w:left="227" w:hanging="227"/>
              <w:rPr>
                <w:rFonts w:ascii="Times New Roman" w:hAnsi="Times New Roman"/>
              </w:rPr>
            </w:pPr>
            <w:r w:rsidRPr="005529DF">
              <w:rPr>
                <w:rFonts w:ascii="Times New Roman" w:hAnsi="Times New Roman"/>
              </w:rPr>
              <w:t>Doctors</w:t>
            </w:r>
          </w:p>
        </w:tc>
        <w:tc>
          <w:tcPr>
            <w:tcW w:w="3260"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Counselling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Financial assistance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Recommendation to other health practitioners</w:t>
            </w:r>
          </w:p>
        </w:tc>
        <w:tc>
          <w:tcPr>
            <w:tcW w:w="1843"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Donations </w:t>
            </w:r>
          </w:p>
        </w:tc>
      </w:tr>
      <w:tr w:rsidR="003A28BB" w:rsidRPr="005529DF" w:rsidTr="00A8669E">
        <w:tc>
          <w:tcPr>
            <w:tcW w:w="10207" w:type="dxa"/>
            <w:gridSpan w:val="5"/>
            <w:shd w:val="clear" w:color="auto" w:fill="D9D9D9" w:themeFill="background1" w:themeFillShade="D9"/>
          </w:tcPr>
          <w:p w:rsidR="003A28BB" w:rsidRPr="005529DF" w:rsidRDefault="003A28BB" w:rsidP="003A28BB">
            <w:pPr>
              <w:pStyle w:val="Source"/>
              <w:framePr w:w="9921" w:hSpace="181" w:wrap="notBeside" w:vAnchor="text" w:hAnchor="text" w:x="-2550" w:y="1"/>
              <w:pBdr>
                <w:bottom w:val="none" w:sz="0" w:space="0" w:color="auto"/>
              </w:pBdr>
              <w:jc w:val="center"/>
              <w:rPr>
                <w:rFonts w:ascii="Times New Roman" w:hAnsi="Times New Roman"/>
                <w:b/>
                <w:i/>
              </w:rPr>
            </w:pPr>
            <w:r w:rsidRPr="005529DF">
              <w:rPr>
                <w:rFonts w:ascii="Times New Roman" w:hAnsi="Times New Roman"/>
                <w:b/>
                <w:i/>
              </w:rPr>
              <w:t>International</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Irish College of General Practitioners - Health in Practice Programme </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Ireland </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General Practitioners </w:t>
            </w:r>
          </w:p>
        </w:tc>
        <w:tc>
          <w:tcPr>
            <w:tcW w:w="3260"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Healthcare and mental health services</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Telephone helpline</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Information and advice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Medical education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Research</w:t>
            </w:r>
          </w:p>
        </w:tc>
        <w:tc>
          <w:tcPr>
            <w:tcW w:w="1843"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Irish College of General Practitioners </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Dentists Health Support Programme </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London, UK</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Dentists </w:t>
            </w:r>
          </w:p>
        </w:tc>
        <w:tc>
          <w:tcPr>
            <w:tcW w:w="3260"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Counselling provided by dentists with previous health impairment issues </w:t>
            </w:r>
          </w:p>
        </w:tc>
        <w:tc>
          <w:tcPr>
            <w:tcW w:w="1843"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Dentists Health Support Trust (independent of the Dental Association Committee)</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Royal College of Nursing -Counselling </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UK</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Nurses </w:t>
            </w:r>
          </w:p>
        </w:tc>
        <w:tc>
          <w:tcPr>
            <w:tcW w:w="3260"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Telephone service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Face to face counselling by appointment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Online information </w:t>
            </w:r>
          </w:p>
        </w:tc>
        <w:tc>
          <w:tcPr>
            <w:tcW w:w="1843"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Royal College of Nursing membership fees</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Health Professionals Services Program (HPSP)</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Minnesota, US</w:t>
            </w:r>
          </w:p>
        </w:tc>
        <w:tc>
          <w:tcPr>
            <w:tcW w:w="1843" w:type="dxa"/>
          </w:tcPr>
          <w:p w:rsidR="003A28BB" w:rsidRPr="005529DF" w:rsidRDefault="003A28BB" w:rsidP="003A28BB">
            <w:pPr>
              <w:pStyle w:val="Tablebody"/>
              <w:framePr w:w="9921" w:hSpace="181" w:wrap="notBeside" w:vAnchor="text" w:hAnchor="text" w:x="-2550" w:y="1"/>
              <w:rPr>
                <w:rFonts w:ascii="Times New Roman" w:hAnsi="Times New Roman"/>
              </w:rPr>
            </w:pPr>
            <w:r w:rsidRPr="005529DF">
              <w:rPr>
                <w:rFonts w:ascii="Times New Roman" w:hAnsi="Times New Roman"/>
              </w:rPr>
              <w:t xml:space="preserve">18 professions and health departments including nursing </w:t>
            </w:r>
          </w:p>
        </w:tc>
        <w:tc>
          <w:tcPr>
            <w:tcW w:w="3260"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Case management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Face to face counselling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Health assessments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Education and promotion</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Monitoring </w:t>
            </w:r>
          </w:p>
        </w:tc>
        <w:tc>
          <w:tcPr>
            <w:tcW w:w="1843"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98 per cent of HPSP funding comes from health-licensing boards</w:t>
            </w:r>
          </w:p>
        </w:tc>
      </w:tr>
      <w:tr w:rsidR="003A28BB" w:rsidRPr="005529DF" w:rsidTr="00A8669E">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Early Intervention Program</w:t>
            </w:r>
          </w:p>
        </w:tc>
        <w:tc>
          <w:tcPr>
            <w:tcW w:w="1418"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British Columbia, Canada</w:t>
            </w:r>
          </w:p>
        </w:tc>
        <w:tc>
          <w:tcPr>
            <w:tcW w:w="1843" w:type="dxa"/>
          </w:tcPr>
          <w:p w:rsidR="003A28BB" w:rsidRPr="005529DF" w:rsidRDefault="003A28BB" w:rsidP="003A28BB">
            <w:pPr>
              <w:pStyle w:val="Source"/>
              <w:framePr w:w="9921" w:hSpace="181" w:wrap="notBeside" w:vAnchor="text" w:hAnchor="text" w:x="-2550" w:y="1"/>
              <w:pBdr>
                <w:bottom w:val="none" w:sz="0" w:space="0" w:color="auto"/>
              </w:pBdr>
              <w:rPr>
                <w:rFonts w:ascii="Times New Roman" w:hAnsi="Times New Roman"/>
              </w:rPr>
            </w:pPr>
            <w:r w:rsidRPr="005529DF">
              <w:rPr>
                <w:rFonts w:ascii="Times New Roman" w:hAnsi="Times New Roman"/>
              </w:rPr>
              <w:t xml:space="preserve">Nurses </w:t>
            </w:r>
          </w:p>
        </w:tc>
        <w:tc>
          <w:tcPr>
            <w:tcW w:w="3260"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Medical assessment </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Referral to an appropriate medical practitioner</w:t>
            </w:r>
          </w:p>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Monitoring </w:t>
            </w:r>
          </w:p>
        </w:tc>
        <w:tc>
          <w:tcPr>
            <w:tcW w:w="1843" w:type="dxa"/>
          </w:tcPr>
          <w:p w:rsidR="003A28BB" w:rsidRPr="005529DF" w:rsidRDefault="003A28BB" w:rsidP="003A28BB">
            <w:pPr>
              <w:pStyle w:val="Tablelistbullet"/>
              <w:framePr w:w="9921" w:hSpace="181" w:wrap="notBeside" w:vAnchor="text" w:hAnchor="text" w:x="-2550" w:y="1"/>
              <w:numPr>
                <w:ilvl w:val="0"/>
                <w:numId w:val="13"/>
              </w:numPr>
              <w:rPr>
                <w:rFonts w:ascii="Times New Roman" w:hAnsi="Times New Roman"/>
              </w:rPr>
            </w:pPr>
            <w:r w:rsidRPr="005529DF">
              <w:rPr>
                <w:rFonts w:ascii="Times New Roman" w:hAnsi="Times New Roman"/>
              </w:rPr>
              <w:t xml:space="preserve">College of Registered Nurses of British Columbia </w:t>
            </w:r>
          </w:p>
        </w:tc>
      </w:tr>
    </w:tbl>
    <w:p w:rsidR="003A28BB" w:rsidRPr="005529DF" w:rsidRDefault="003A28BB" w:rsidP="003A28BB">
      <w:pPr>
        <w:pStyle w:val="Source"/>
        <w:framePr w:w="9921" w:hSpace="181" w:wrap="notBeside" w:vAnchor="text" w:hAnchor="text" w:x="-2550" w:y="1"/>
        <w:rPr>
          <w:rFonts w:ascii="Times New Roman" w:hAnsi="Times New Roman"/>
        </w:rPr>
      </w:pPr>
      <w:r w:rsidRPr="005529DF">
        <w:rPr>
          <w:rFonts w:ascii="Times New Roman" w:hAnsi="Times New Roman"/>
        </w:rPr>
        <w:t xml:space="preserve">Source: </w:t>
      </w:r>
      <w:r w:rsidR="008603EC" w:rsidRPr="005529DF">
        <w:rPr>
          <w:rFonts w:ascii="Times New Roman" w:hAnsi="Times New Roman"/>
        </w:rPr>
        <w:t>NMHPV 2014; Irish College of General Practitioner’s 2014; RCN 2014; HPSP 2012; CRNBC 2014, 2014a, 2014b, 2014c</w:t>
      </w:r>
    </w:p>
    <w:p w:rsidR="002C1BA1" w:rsidRPr="005529DF" w:rsidRDefault="002C1BA1" w:rsidP="00A231E3">
      <w:pPr>
        <w:pStyle w:val="ListDash"/>
        <w:numPr>
          <w:ilvl w:val="0"/>
          <w:numId w:val="0"/>
        </w:numPr>
      </w:pPr>
    </w:p>
    <w:sectPr w:rsidR="002C1BA1" w:rsidRPr="005529DF" w:rsidSect="0005156D">
      <w:headerReference w:type="even" r:id="rId43"/>
      <w:headerReference w:type="default" r:id="rId44"/>
      <w:footerReference w:type="even" r:id="rId45"/>
      <w:footerReference w:type="default" r:id="rId46"/>
      <w:headerReference w:type="first" r:id="rId47"/>
      <w:footerReference w:type="first" r:id="rId48"/>
      <w:pgSz w:w="11907" w:h="16839" w:code="9"/>
      <w:pgMar w:top="1134" w:right="850" w:bottom="907" w:left="3118" w:header="709" w:footer="567" w:gutter="56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0E3" w:rsidRDefault="003E40E3">
      <w:pPr>
        <w:spacing w:after="0" w:line="240" w:lineRule="auto"/>
      </w:pPr>
      <w:r>
        <w:separator/>
      </w:r>
    </w:p>
  </w:endnote>
  <w:endnote w:type="continuationSeparator" w:id="0">
    <w:p w:rsidR="003E40E3" w:rsidRDefault="003E4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Georgia">
    <w:panose1 w:val="020405020504050203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Novecento UltraLight">
    <w:panose1 w:val="00000000000000000000"/>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ovecento Book">
    <w:altName w:val="Arial"/>
    <w:panose1 w:val="00000000000000000000"/>
    <w:charset w:val="00"/>
    <w:family w:val="modern"/>
    <w:notTrueType/>
    <w:pitch w:val="variable"/>
    <w:sig w:usb0="00000007" w:usb1="00000000" w:usb2="00000000" w:usb3="00000000" w:csb0="00000093" w:csb1="00000000"/>
  </w:font>
  <w:font w:name="HelveticaNeueLT Std Lt Cn">
    <w:panose1 w:val="00000000000000000000"/>
    <w:charset w:val="00"/>
    <w:family w:val="swiss"/>
    <w:notTrueType/>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arvey Balls">
    <w:altName w:val="MS Mincho"/>
    <w:charset w:val="00"/>
    <w:family w:val="modern"/>
    <w:pitch w:val="fixed"/>
    <w:sig w:usb0="00000003" w:usb1="00000000" w:usb2="00000000" w:usb3="00000000" w:csb0="00000001" w:csb1="00000000"/>
  </w:font>
  <w:font w:name="AdvP4DF60E">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267" w:type="pct"/>
      <w:tblInd w:w="-1922" w:type="dxa"/>
      <w:tblBorders>
        <w:insideH w:val="single" w:sz="8" w:space="0" w:color="auto"/>
        <w:insideV w:val="single" w:sz="8" w:space="0" w:color="auto"/>
      </w:tblBorders>
      <w:tblLook w:val="04A0" w:firstRow="1" w:lastRow="0" w:firstColumn="1" w:lastColumn="0" w:noHBand="0" w:noVBand="1"/>
    </w:tblPr>
    <w:tblGrid>
      <w:gridCol w:w="9033"/>
      <w:gridCol w:w="478"/>
    </w:tblGrid>
    <w:tr w:rsidR="003E40E3" w:rsidRPr="00126062" w:rsidTr="000566E4">
      <w:trPr>
        <w:trHeight w:val="288"/>
      </w:trPr>
      <w:tc>
        <w:tcPr>
          <w:tcW w:w="9029" w:type="dxa"/>
          <w:vAlign w:val="bottom"/>
        </w:tcPr>
        <w:p w:rsidR="003E40E3" w:rsidRDefault="003E40E3" w:rsidP="000566E4">
          <w:pPr>
            <w:pStyle w:val="PortraitFooter"/>
          </w:pPr>
          <w:r w:rsidRPr="00126062">
            <w:fldChar w:fldCharType="begin"/>
          </w:r>
          <w:r w:rsidRPr="00126062">
            <w:instrText xml:space="preserve"> IF</w:instrText>
          </w:r>
          <w:fldSimple w:instr=" STYLEREF &quot;Title short&quot; \* Charformat ">
            <w:r w:rsidR="00B07965">
              <w:rPr>
                <w:noProof/>
              </w:rPr>
              <w:instrText>National health impairment</w:instrText>
            </w:r>
          </w:fldSimple>
          <w:r w:rsidRPr="00126062">
            <w:instrText xml:space="preserve"> &lt;&gt; "Error*" </w:instrText>
          </w:r>
          <w:fldSimple w:instr=" STYLEREF &quot;Title short&quot; \* Charformat ">
            <w:r w:rsidR="00B07965">
              <w:rPr>
                <w:noProof/>
              </w:rPr>
              <w:instrText>National health impairment</w:instrText>
            </w:r>
          </w:fldSimple>
          <w:r w:rsidRPr="00126062">
            <w:instrText xml:space="preserve"> </w:instrText>
          </w:r>
          <w:r w:rsidRPr="00126062">
            <w:fldChar w:fldCharType="separate"/>
          </w:r>
          <w:r w:rsidR="00B07965">
            <w:rPr>
              <w:noProof/>
            </w:rPr>
            <w:t>National health impairment</w:t>
          </w:r>
          <w:r w:rsidRPr="00126062">
            <w:fldChar w:fldCharType="end"/>
          </w:r>
          <w:r>
            <w:t xml:space="preserve"> </w:t>
          </w:r>
        </w:p>
        <w:p w:rsidR="003E40E3" w:rsidRPr="00126062" w:rsidRDefault="003E40E3" w:rsidP="000566E4">
          <w:pPr>
            <w:pStyle w:val="PortraitFooter"/>
            <w:rPr>
              <w:b/>
              <w:bCs/>
              <w:color w:val="4F81BD"/>
            </w:rPr>
          </w:pPr>
          <w:r w:rsidRPr="00126062">
            <w:fldChar w:fldCharType="begin"/>
          </w:r>
          <w:r w:rsidRPr="00126062">
            <w:instrText xml:space="preserve"> IF</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&lt;&gt; "Error*" </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w:instrText>
          </w:r>
          <w:r w:rsidRPr="00126062">
            <w:fldChar w:fldCharType="separate"/>
          </w:r>
          <w:r w:rsidR="00B07965">
            <w:rPr>
              <w:noProof/>
            </w:rPr>
            <w:t>Referral, treatment and rehabilitation services for regulated health practitioners with an impairment</w:t>
          </w:r>
          <w:r w:rsidRPr="00126062">
            <w:fldChar w:fldCharType="end"/>
          </w:r>
        </w:p>
      </w:tc>
      <w:tc>
        <w:tcPr>
          <w:tcW w:w="478" w:type="dxa"/>
        </w:tcPr>
        <w:p w:rsidR="003E40E3" w:rsidRPr="00CA607F" w:rsidRDefault="003E40E3" w:rsidP="000566E4">
          <w:pPr>
            <w:pStyle w:val="PageNumberLandscape"/>
            <w:rPr>
              <w:rStyle w:val="PageNumber"/>
            </w:rPr>
          </w:pPr>
          <w:r w:rsidRPr="00CA607F">
            <w:rPr>
              <w:rStyle w:val="PageNumber"/>
            </w:rPr>
            <w:fldChar w:fldCharType="begin"/>
          </w:r>
          <w:r w:rsidRPr="00CA607F">
            <w:rPr>
              <w:rStyle w:val="PageNumber"/>
            </w:rPr>
            <w:instrText xml:space="preserve"> PAGE   \* MERGEFORMAT </w:instrText>
          </w:r>
          <w:r w:rsidRPr="00CA607F">
            <w:rPr>
              <w:rStyle w:val="PageNumber"/>
            </w:rPr>
            <w:fldChar w:fldCharType="separate"/>
          </w:r>
          <w:r w:rsidR="00B07965">
            <w:rPr>
              <w:rStyle w:val="PageNumber"/>
              <w:noProof/>
            </w:rPr>
            <w:t>iii</w:t>
          </w:r>
          <w:r w:rsidRPr="00CA607F">
            <w:rPr>
              <w:rStyle w:val="PageNumber"/>
            </w:rPr>
            <w:fldChar w:fldCharType="end"/>
          </w:r>
        </w:p>
      </w:tc>
    </w:tr>
  </w:tbl>
  <w:p w:rsidR="003E40E3" w:rsidRPr="00126062" w:rsidRDefault="003E40E3" w:rsidP="000E21BF">
    <w:pPr>
      <w:pStyle w:val="Footer"/>
      <w:tabs>
        <w:tab w:val="right" w:pos="6521"/>
      </w:tabs>
      <w:jc w:val="right"/>
      <w:rPr>
        <w:rFonts w:ascii="Novecento Book" w:eastAsiaTheme="minorHAnsi" w:hAnsi="Novecento Book"/>
        <w:szCs w:val="14"/>
      </w:rPr>
    </w:pPr>
  </w:p>
  <w:p w:rsidR="003E40E3" w:rsidRPr="00126062" w:rsidRDefault="003E40E3" w:rsidP="00A367D0">
    <w:pPr>
      <w:pStyle w:val="Footer"/>
      <w:tabs>
        <w:tab w:val="right" w:pos="6521"/>
      </w:tabs>
      <w:jc w:val="right"/>
      <w:rPr>
        <w:rFonts w:ascii="Novecento Book" w:eastAsiaTheme="minorHAnsi" w:hAnsi="Novecento Book"/>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267" w:type="pct"/>
      <w:tblInd w:w="-1922" w:type="dxa"/>
      <w:tblBorders>
        <w:insideH w:val="single" w:sz="8" w:space="0" w:color="auto"/>
        <w:insideV w:val="single" w:sz="8" w:space="0" w:color="auto"/>
      </w:tblBorders>
      <w:tblLook w:val="04A0" w:firstRow="1" w:lastRow="0" w:firstColumn="1" w:lastColumn="0" w:noHBand="0" w:noVBand="1"/>
    </w:tblPr>
    <w:tblGrid>
      <w:gridCol w:w="8837"/>
      <w:gridCol w:w="674"/>
    </w:tblGrid>
    <w:tr w:rsidR="003E40E3" w:rsidRPr="00126062" w:rsidTr="000E21BF">
      <w:trPr>
        <w:trHeight w:val="288"/>
      </w:trPr>
      <w:tc>
        <w:tcPr>
          <w:tcW w:w="8834" w:type="dxa"/>
          <w:vAlign w:val="bottom"/>
        </w:tcPr>
        <w:p w:rsidR="003E40E3" w:rsidRPr="00126062" w:rsidRDefault="003E40E3" w:rsidP="000E21BF">
          <w:pPr>
            <w:pStyle w:val="PortraitFooter"/>
            <w:rPr>
              <w:b/>
              <w:bCs/>
              <w:color w:val="4F81BD"/>
            </w:rPr>
          </w:pPr>
          <w:r w:rsidRPr="00126062">
            <w:fldChar w:fldCharType="begin"/>
          </w:r>
          <w:r w:rsidRPr="00126062">
            <w:instrText xml:space="preserve"> IF</w:instrText>
          </w:r>
          <w:r w:rsidRPr="00126062">
            <w:fldChar w:fldCharType="begin"/>
          </w:r>
          <w:r w:rsidRPr="00126062">
            <w:instrText xml:space="preserve"> STYLEREF </w:instrText>
          </w:r>
          <w:r>
            <w:instrText>"</w:instrText>
          </w:r>
          <w:r w:rsidRPr="00126062">
            <w:instrText>Title</w:instrText>
          </w:r>
          <w:r>
            <w:instrText xml:space="preserve"> SHORT"</w:instrText>
          </w:r>
          <w:r w:rsidRPr="00126062">
            <w:instrText xml:space="preserve"> \* Charformat </w:instrText>
          </w:r>
          <w:r w:rsidRPr="00126062">
            <w:fldChar w:fldCharType="separate"/>
          </w:r>
          <w:r w:rsidR="00B07965">
            <w:rPr>
              <w:noProof/>
            </w:rPr>
            <w:instrText>National health impairment</w:instrText>
          </w:r>
          <w:r w:rsidRPr="00126062">
            <w:fldChar w:fldCharType="end"/>
          </w:r>
          <w:r w:rsidRPr="00126062">
            <w:instrText xml:space="preserve"> &lt;&gt; "Error*" </w:instrText>
          </w:r>
          <w:fldSimple w:instr=" STYLEREF &quot;Title SHORT&quot; \* Charformat ">
            <w:r w:rsidR="00B07965">
              <w:rPr>
                <w:noProof/>
              </w:rPr>
              <w:instrText>National health impairment</w:instrText>
            </w:r>
          </w:fldSimple>
          <w:r w:rsidRPr="00126062">
            <w:instrText xml:space="preserve"> </w:instrText>
          </w:r>
          <w:r w:rsidRPr="00126062">
            <w:fldChar w:fldCharType="separate"/>
          </w:r>
          <w:r w:rsidR="00B07965">
            <w:rPr>
              <w:noProof/>
            </w:rPr>
            <w:t>National health impairment</w:t>
          </w:r>
          <w:r w:rsidRPr="00126062">
            <w:fldChar w:fldCharType="end"/>
          </w:r>
          <w:r>
            <w:t xml:space="preserve"> </w:t>
          </w:r>
          <w:r w:rsidRPr="00126062">
            <w:fldChar w:fldCharType="begin"/>
          </w:r>
          <w:r w:rsidRPr="00126062">
            <w:instrText xml:space="preserve"> IF</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&lt;&gt; "Error*" </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w:instrText>
          </w:r>
          <w:r w:rsidRPr="00126062">
            <w:fldChar w:fldCharType="separate"/>
          </w:r>
          <w:r w:rsidR="00B07965">
            <w:rPr>
              <w:noProof/>
            </w:rPr>
            <w:t>Referral, treatment and rehabilitation services for regulated health practitioners with an impairment</w:t>
          </w:r>
          <w:r w:rsidRPr="00126062">
            <w:fldChar w:fldCharType="end"/>
          </w:r>
        </w:p>
      </w:tc>
      <w:tc>
        <w:tcPr>
          <w:tcW w:w="674" w:type="dxa"/>
        </w:tcPr>
        <w:p w:rsidR="003E40E3" w:rsidRPr="00452AD3" w:rsidRDefault="003E40E3" w:rsidP="000E21BF">
          <w:pPr>
            <w:jc w:val="right"/>
            <w:rPr>
              <w:rStyle w:val="PageNumber"/>
            </w:rPr>
          </w:pPr>
          <w:r w:rsidRPr="00452AD3">
            <w:rPr>
              <w:rStyle w:val="PageNumber"/>
            </w:rPr>
            <w:fldChar w:fldCharType="begin"/>
          </w:r>
          <w:r w:rsidRPr="00452AD3">
            <w:rPr>
              <w:rStyle w:val="PageNumber"/>
            </w:rPr>
            <w:instrText xml:space="preserve"> PAGE   \* MERGEFORMAT </w:instrText>
          </w:r>
          <w:r w:rsidRPr="00452AD3">
            <w:rPr>
              <w:rStyle w:val="PageNumber"/>
            </w:rPr>
            <w:fldChar w:fldCharType="separate"/>
          </w:r>
          <w:r w:rsidR="00B07965">
            <w:rPr>
              <w:rStyle w:val="PageNumber"/>
              <w:noProof/>
            </w:rPr>
            <w:t>vi</w:t>
          </w:r>
          <w:r w:rsidRPr="00452AD3">
            <w:rPr>
              <w:rStyle w:val="PageNumber"/>
            </w:rPr>
            <w:fldChar w:fldCharType="end"/>
          </w:r>
        </w:p>
      </w:tc>
    </w:tr>
  </w:tbl>
  <w:p w:rsidR="003E40E3" w:rsidRPr="00452AD3" w:rsidRDefault="003E40E3" w:rsidP="000566E4">
    <w:pPr>
      <w:pStyle w:val="Footer"/>
      <w:tabs>
        <w:tab w:val="right" w:pos="6521"/>
      </w:tabs>
      <w:jc w:val="right"/>
      <w:rPr>
        <w:rFonts w:ascii="Novecento Book" w:eastAsiaTheme="minorHAnsi" w:hAnsi="Novecento Book"/>
        <w:szCs w:val="14"/>
      </w:rPr>
    </w:pPr>
  </w:p>
  <w:p w:rsidR="003E40E3" w:rsidRPr="00126062" w:rsidRDefault="003E40E3" w:rsidP="00A367D0">
    <w:pPr>
      <w:pStyle w:val="Footer"/>
      <w:tabs>
        <w:tab w:val="right" w:pos="6521"/>
      </w:tabs>
      <w:jc w:val="right"/>
      <w:rPr>
        <w:rFonts w:ascii="Novecento Book" w:eastAsiaTheme="minorHAnsi" w:hAnsi="Novecento Book"/>
        <w:szCs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insideH w:val="single" w:sz="8" w:space="0" w:color="auto"/>
        <w:insideV w:val="single" w:sz="8" w:space="0" w:color="auto"/>
      </w:tblBorders>
      <w:tblLook w:val="04A0" w:firstRow="1" w:lastRow="0" w:firstColumn="1" w:lastColumn="0" w:noHBand="0" w:noVBand="1"/>
    </w:tblPr>
    <w:tblGrid>
      <w:gridCol w:w="14529"/>
      <w:gridCol w:w="769"/>
    </w:tblGrid>
    <w:tr w:rsidR="003E40E3" w:rsidRPr="00126062" w:rsidTr="00B92200">
      <w:trPr>
        <w:trHeight w:val="288"/>
      </w:trPr>
      <w:tc>
        <w:tcPr>
          <w:tcW w:w="9029" w:type="dxa"/>
          <w:vAlign w:val="bottom"/>
        </w:tcPr>
        <w:p w:rsidR="003E40E3" w:rsidRPr="00126062" w:rsidRDefault="003E40E3" w:rsidP="00B92200">
          <w:pPr>
            <w:pStyle w:val="LandscapeFooter"/>
            <w:rPr>
              <w:b w:val="0"/>
              <w:bCs/>
              <w:color w:val="4F81BD"/>
            </w:rPr>
          </w:pPr>
          <w:r w:rsidRPr="00126062">
            <w:fldChar w:fldCharType="begin"/>
          </w:r>
          <w:r w:rsidRPr="00126062">
            <w:instrText xml:space="preserve"> IF</w:instrText>
          </w:r>
          <w:r w:rsidRPr="00126062">
            <w:fldChar w:fldCharType="begin"/>
          </w:r>
          <w:r w:rsidRPr="00126062">
            <w:instrText xml:space="preserve"> STYLEREF </w:instrText>
          </w:r>
          <w:r>
            <w:instrText>"</w:instrText>
          </w:r>
          <w:r w:rsidRPr="00126062">
            <w:instrText>Title</w:instrText>
          </w:r>
          <w:r>
            <w:instrText xml:space="preserve"> SHORT"</w:instrText>
          </w:r>
          <w:r w:rsidRPr="00126062">
            <w:instrText xml:space="preserve"> \* Charformat </w:instrText>
          </w:r>
          <w:r w:rsidRPr="00126062">
            <w:fldChar w:fldCharType="separate"/>
          </w:r>
          <w:r w:rsidR="00B07965">
            <w:rPr>
              <w:noProof/>
            </w:rPr>
            <w:instrText>National health impairment</w:instrText>
          </w:r>
          <w:r w:rsidRPr="00126062">
            <w:fldChar w:fldCharType="end"/>
          </w:r>
          <w:r w:rsidRPr="00126062">
            <w:instrText xml:space="preserve"> &lt;&gt; "Error*" </w:instrText>
          </w:r>
          <w:fldSimple w:instr=" STYLEREF &quot;Title SHORT&quot; \* Charformat ">
            <w:r w:rsidR="00B07965">
              <w:rPr>
                <w:noProof/>
              </w:rPr>
              <w:instrText>National health impairment</w:instrText>
            </w:r>
          </w:fldSimple>
          <w:r w:rsidRPr="00126062">
            <w:instrText xml:space="preserve"> </w:instrText>
          </w:r>
          <w:r w:rsidRPr="00126062">
            <w:fldChar w:fldCharType="separate"/>
          </w:r>
          <w:r w:rsidR="00B07965">
            <w:rPr>
              <w:noProof/>
            </w:rPr>
            <w:t>National health impairment</w:t>
          </w:r>
          <w:r w:rsidRPr="00126062">
            <w:fldChar w:fldCharType="end"/>
          </w:r>
          <w:r>
            <w:t xml:space="preserve"> </w:t>
          </w:r>
          <w:r w:rsidRPr="00126062">
            <w:fldChar w:fldCharType="begin"/>
          </w:r>
          <w:r w:rsidRPr="00126062">
            <w:instrText xml:space="preserve"> IF</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&lt;&gt; "Error*" </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w:instrText>
          </w:r>
          <w:r w:rsidRPr="00126062">
            <w:fldChar w:fldCharType="separate"/>
          </w:r>
          <w:r w:rsidR="00B07965">
            <w:rPr>
              <w:noProof/>
            </w:rPr>
            <w:t>Referral, treatment and rehabilitation services for regulated health practitioners with an impairment</w:t>
          </w:r>
          <w:r w:rsidRPr="00126062">
            <w:fldChar w:fldCharType="end"/>
          </w:r>
        </w:p>
      </w:tc>
      <w:tc>
        <w:tcPr>
          <w:tcW w:w="478" w:type="dxa"/>
        </w:tcPr>
        <w:p w:rsidR="003E40E3" w:rsidRPr="00126062" w:rsidRDefault="003E40E3" w:rsidP="00B92200">
          <w:pPr>
            <w:jc w:val="right"/>
            <w:rPr>
              <w:rFonts w:ascii="HelveticaNeueLT Std Lt Cn" w:eastAsia="Calibri" w:hAnsi="HelveticaNeueLT Std Lt Cn"/>
            </w:rPr>
          </w:pPr>
          <w:r w:rsidRPr="00126062">
            <w:rPr>
              <w:rFonts w:ascii="HelveticaNeueLT Std Lt Cn" w:eastAsia="Calibri" w:hAnsi="HelveticaNeueLT Std Lt Cn"/>
            </w:rPr>
            <w:fldChar w:fldCharType="begin"/>
          </w:r>
          <w:r w:rsidRPr="00126062">
            <w:rPr>
              <w:rFonts w:ascii="HelveticaNeueLT Std Lt Cn" w:eastAsia="Calibri" w:hAnsi="HelveticaNeueLT Std Lt Cn"/>
            </w:rPr>
            <w:instrText xml:space="preserve"> PAGE   \* MERGEFORMAT </w:instrText>
          </w:r>
          <w:r w:rsidRPr="00126062">
            <w:rPr>
              <w:rFonts w:ascii="HelveticaNeueLT Std Lt Cn" w:eastAsia="Calibri" w:hAnsi="HelveticaNeueLT Std Lt Cn"/>
            </w:rPr>
            <w:fldChar w:fldCharType="separate"/>
          </w:r>
          <w:r w:rsidR="00B07965">
            <w:rPr>
              <w:rFonts w:ascii="HelveticaNeueLT Std Lt Cn" w:eastAsia="Calibri" w:hAnsi="HelveticaNeueLT Std Lt Cn"/>
              <w:noProof/>
            </w:rPr>
            <w:t>vii</w:t>
          </w:r>
          <w:r w:rsidRPr="00126062">
            <w:rPr>
              <w:rFonts w:ascii="HelveticaNeueLT Std Lt Cn" w:eastAsia="Calibri" w:hAnsi="HelveticaNeueLT Std Lt Cn"/>
            </w:rPr>
            <w:fldChar w:fldCharType="end"/>
          </w:r>
        </w:p>
      </w:tc>
    </w:tr>
  </w:tbl>
  <w:p w:rsidR="003E40E3" w:rsidRPr="00126062" w:rsidRDefault="003E40E3" w:rsidP="00B92200">
    <w:pPr>
      <w:pStyle w:val="Footer"/>
      <w:tabs>
        <w:tab w:val="right" w:pos="6521"/>
      </w:tabs>
      <w:jc w:val="right"/>
      <w:rPr>
        <w:rFonts w:ascii="Novecento Book" w:eastAsiaTheme="minorHAnsi" w:hAnsi="Novecento Book"/>
        <w:szCs w:val="1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267" w:type="pct"/>
      <w:tblInd w:w="-1922" w:type="dxa"/>
      <w:tblBorders>
        <w:insideH w:val="single" w:sz="8" w:space="0" w:color="auto"/>
        <w:insideV w:val="single" w:sz="8" w:space="0" w:color="auto"/>
      </w:tblBorders>
      <w:tblLook w:val="04A0" w:firstRow="1" w:lastRow="0" w:firstColumn="1" w:lastColumn="0" w:noHBand="0" w:noVBand="1"/>
    </w:tblPr>
    <w:tblGrid>
      <w:gridCol w:w="8837"/>
      <w:gridCol w:w="674"/>
    </w:tblGrid>
    <w:tr w:rsidR="003E40E3" w:rsidRPr="00126062" w:rsidTr="000E21BF">
      <w:trPr>
        <w:trHeight w:val="288"/>
      </w:trPr>
      <w:tc>
        <w:tcPr>
          <w:tcW w:w="8834" w:type="dxa"/>
          <w:vAlign w:val="bottom"/>
        </w:tcPr>
        <w:p w:rsidR="003E40E3" w:rsidRPr="00126062" w:rsidRDefault="003E40E3" w:rsidP="000E21BF">
          <w:pPr>
            <w:pStyle w:val="PortraitFooter"/>
            <w:rPr>
              <w:b/>
              <w:bCs/>
              <w:color w:val="4F81BD"/>
            </w:rPr>
          </w:pPr>
          <w:r w:rsidRPr="00126062">
            <w:fldChar w:fldCharType="begin"/>
          </w:r>
          <w:r w:rsidRPr="00126062">
            <w:instrText xml:space="preserve"> IF</w:instrText>
          </w:r>
          <w:r w:rsidRPr="00126062">
            <w:fldChar w:fldCharType="begin"/>
          </w:r>
          <w:r w:rsidRPr="00126062">
            <w:instrText xml:space="preserve"> STYLEREF </w:instrText>
          </w:r>
          <w:r>
            <w:instrText>"</w:instrText>
          </w:r>
          <w:r w:rsidRPr="00126062">
            <w:instrText>Title</w:instrText>
          </w:r>
          <w:r>
            <w:instrText xml:space="preserve"> SHORT"</w:instrText>
          </w:r>
          <w:r w:rsidRPr="00126062">
            <w:instrText xml:space="preserve"> \* Charformat </w:instrText>
          </w:r>
          <w:r w:rsidRPr="00126062">
            <w:fldChar w:fldCharType="separate"/>
          </w:r>
          <w:r w:rsidR="00B07965">
            <w:rPr>
              <w:noProof/>
            </w:rPr>
            <w:instrText>National health impairment</w:instrText>
          </w:r>
          <w:r w:rsidRPr="00126062">
            <w:fldChar w:fldCharType="end"/>
          </w:r>
          <w:r w:rsidRPr="00126062">
            <w:instrText xml:space="preserve"> &lt;&gt; "Error*" </w:instrText>
          </w:r>
          <w:fldSimple w:instr=" STYLEREF &quot;Title SHORT&quot; \* Charformat ">
            <w:r w:rsidR="00B07965">
              <w:rPr>
                <w:noProof/>
              </w:rPr>
              <w:instrText>National health impairment</w:instrText>
            </w:r>
          </w:fldSimple>
          <w:r w:rsidRPr="00126062">
            <w:instrText xml:space="preserve"> </w:instrText>
          </w:r>
          <w:r w:rsidRPr="00126062">
            <w:fldChar w:fldCharType="separate"/>
          </w:r>
          <w:r w:rsidR="00B07965">
            <w:rPr>
              <w:noProof/>
            </w:rPr>
            <w:t>National health impairment</w:t>
          </w:r>
          <w:r w:rsidRPr="00126062">
            <w:fldChar w:fldCharType="end"/>
          </w:r>
          <w:r>
            <w:t xml:space="preserve"> </w:t>
          </w:r>
          <w:r w:rsidRPr="00126062">
            <w:fldChar w:fldCharType="begin"/>
          </w:r>
          <w:r w:rsidRPr="00126062">
            <w:instrText xml:space="preserve"> IF</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&lt;&gt; "Error*" </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w:instrText>
          </w:r>
          <w:r w:rsidRPr="00126062">
            <w:fldChar w:fldCharType="separate"/>
          </w:r>
          <w:r w:rsidR="00B07965">
            <w:rPr>
              <w:noProof/>
            </w:rPr>
            <w:t>Referral, treatment and rehabilitation services for regulated health practitioners with an impairment</w:t>
          </w:r>
          <w:r w:rsidRPr="00126062">
            <w:fldChar w:fldCharType="end"/>
          </w:r>
        </w:p>
      </w:tc>
      <w:tc>
        <w:tcPr>
          <w:tcW w:w="674" w:type="dxa"/>
        </w:tcPr>
        <w:p w:rsidR="003E40E3" w:rsidRPr="00452AD3" w:rsidRDefault="003E40E3" w:rsidP="000E21BF">
          <w:pPr>
            <w:jc w:val="right"/>
            <w:rPr>
              <w:rStyle w:val="PageNumber"/>
            </w:rPr>
          </w:pPr>
          <w:r w:rsidRPr="00452AD3">
            <w:rPr>
              <w:rStyle w:val="PageNumber"/>
            </w:rPr>
            <w:fldChar w:fldCharType="begin"/>
          </w:r>
          <w:r w:rsidRPr="00452AD3">
            <w:rPr>
              <w:rStyle w:val="PageNumber"/>
            </w:rPr>
            <w:instrText xml:space="preserve"> PAGE   \* MERGEFORMAT </w:instrText>
          </w:r>
          <w:r w:rsidRPr="00452AD3">
            <w:rPr>
              <w:rStyle w:val="PageNumber"/>
            </w:rPr>
            <w:fldChar w:fldCharType="separate"/>
          </w:r>
          <w:r w:rsidR="00B07965">
            <w:rPr>
              <w:rStyle w:val="PageNumber"/>
              <w:noProof/>
            </w:rPr>
            <w:t>9</w:t>
          </w:r>
          <w:r w:rsidRPr="00452AD3">
            <w:rPr>
              <w:rStyle w:val="PageNumber"/>
            </w:rPr>
            <w:fldChar w:fldCharType="end"/>
          </w:r>
        </w:p>
      </w:tc>
    </w:tr>
  </w:tbl>
  <w:p w:rsidR="003E40E3" w:rsidRPr="00452AD3" w:rsidRDefault="003E40E3" w:rsidP="000566E4">
    <w:pPr>
      <w:pStyle w:val="Footer"/>
      <w:tabs>
        <w:tab w:val="right" w:pos="6521"/>
      </w:tabs>
      <w:jc w:val="right"/>
      <w:rPr>
        <w:rFonts w:ascii="Novecento Book" w:eastAsiaTheme="minorHAnsi" w:hAnsi="Novecento Book"/>
        <w:szCs w:val="14"/>
      </w:rPr>
    </w:pPr>
  </w:p>
  <w:p w:rsidR="003E40E3" w:rsidRPr="00126062" w:rsidRDefault="003E40E3" w:rsidP="00A367D0">
    <w:pPr>
      <w:pStyle w:val="Footer"/>
      <w:tabs>
        <w:tab w:val="right" w:pos="6521"/>
      </w:tabs>
      <w:jc w:val="right"/>
      <w:rPr>
        <w:rFonts w:ascii="Novecento Book" w:eastAsiaTheme="minorHAnsi" w:hAnsi="Novecento Book"/>
        <w:szCs w:val="14"/>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insideH w:val="single" w:sz="8" w:space="0" w:color="auto"/>
        <w:insideV w:val="single" w:sz="8" w:space="0" w:color="auto"/>
      </w:tblBorders>
      <w:tblLook w:val="04A0" w:firstRow="1" w:lastRow="0" w:firstColumn="1" w:lastColumn="0" w:noHBand="0" w:noVBand="1"/>
    </w:tblPr>
    <w:tblGrid>
      <w:gridCol w:w="14529"/>
      <w:gridCol w:w="769"/>
    </w:tblGrid>
    <w:tr w:rsidR="003E40E3" w:rsidRPr="00126062" w:rsidTr="00224D0D">
      <w:trPr>
        <w:trHeight w:val="288"/>
      </w:trPr>
      <w:tc>
        <w:tcPr>
          <w:tcW w:w="9029" w:type="dxa"/>
          <w:vAlign w:val="bottom"/>
        </w:tcPr>
        <w:p w:rsidR="003E40E3" w:rsidRPr="00C633E5" w:rsidRDefault="003E40E3" w:rsidP="00224D0D">
          <w:pPr>
            <w:pStyle w:val="LandscapeFooter"/>
            <w:rPr>
              <w:rFonts w:ascii="Times New Roman" w:hAnsi="Times New Roman" w:cs="Times New Roman"/>
              <w:b w:val="0"/>
              <w:bCs/>
              <w:color w:val="4F81BD"/>
            </w:rPr>
          </w:pPr>
          <w:r w:rsidRPr="00C633E5">
            <w:rPr>
              <w:rFonts w:ascii="Times New Roman" w:hAnsi="Times New Roman" w:cs="Times New Roman"/>
            </w:rPr>
            <w:fldChar w:fldCharType="begin"/>
          </w:r>
          <w:r w:rsidRPr="00C633E5">
            <w:rPr>
              <w:rFonts w:ascii="Times New Roman" w:hAnsi="Times New Roman" w:cs="Times New Roman"/>
            </w:rPr>
            <w:instrText xml:space="preserve"> IF</w:instrText>
          </w:r>
          <w:r w:rsidRPr="00C633E5">
            <w:rPr>
              <w:rFonts w:ascii="Times New Roman" w:hAnsi="Times New Roman" w:cs="Times New Roman"/>
            </w:rPr>
            <w:fldChar w:fldCharType="begin"/>
          </w:r>
          <w:r w:rsidRPr="00C633E5">
            <w:rPr>
              <w:rFonts w:ascii="Times New Roman" w:hAnsi="Times New Roman" w:cs="Times New Roman"/>
            </w:rPr>
            <w:instrText xml:space="preserve"> STYLEREF "Title SHORT" \* Charformat </w:instrText>
          </w:r>
          <w:r w:rsidRPr="00C633E5">
            <w:rPr>
              <w:rFonts w:ascii="Times New Roman" w:hAnsi="Times New Roman" w:cs="Times New Roman"/>
            </w:rPr>
            <w:fldChar w:fldCharType="separate"/>
          </w:r>
          <w:r w:rsidR="00B07965">
            <w:rPr>
              <w:rFonts w:ascii="Times New Roman" w:hAnsi="Times New Roman" w:cs="Times New Roman"/>
              <w:noProof/>
            </w:rPr>
            <w:instrText>National health impairment</w:instrText>
          </w:r>
          <w:r w:rsidRPr="00C633E5">
            <w:rPr>
              <w:rFonts w:ascii="Times New Roman" w:hAnsi="Times New Roman" w:cs="Times New Roman"/>
            </w:rPr>
            <w:fldChar w:fldCharType="end"/>
          </w:r>
          <w:r w:rsidRPr="00C633E5">
            <w:rPr>
              <w:rFonts w:ascii="Times New Roman" w:hAnsi="Times New Roman" w:cs="Times New Roman"/>
            </w:rPr>
            <w:instrText xml:space="preserve"> &lt;&gt; "Error*" </w:instrText>
          </w:r>
          <w:r w:rsidRPr="00C633E5">
            <w:rPr>
              <w:rFonts w:ascii="Times New Roman" w:hAnsi="Times New Roman" w:cs="Times New Roman"/>
            </w:rPr>
            <w:fldChar w:fldCharType="begin"/>
          </w:r>
          <w:r w:rsidRPr="00C633E5">
            <w:rPr>
              <w:rFonts w:ascii="Times New Roman" w:hAnsi="Times New Roman" w:cs="Times New Roman"/>
            </w:rPr>
            <w:instrText xml:space="preserve"> STYLEREF "Title SHORT" \* Charformat </w:instrText>
          </w:r>
          <w:r w:rsidRPr="00C633E5">
            <w:rPr>
              <w:rFonts w:ascii="Times New Roman" w:hAnsi="Times New Roman" w:cs="Times New Roman"/>
            </w:rPr>
            <w:fldChar w:fldCharType="separate"/>
          </w:r>
          <w:r w:rsidR="00B07965">
            <w:rPr>
              <w:rFonts w:ascii="Times New Roman" w:hAnsi="Times New Roman" w:cs="Times New Roman"/>
              <w:noProof/>
            </w:rPr>
            <w:instrText>National health impairment</w:instrText>
          </w:r>
          <w:r w:rsidRPr="00C633E5">
            <w:rPr>
              <w:rFonts w:ascii="Times New Roman" w:hAnsi="Times New Roman" w:cs="Times New Roman"/>
              <w:noProof/>
            </w:rPr>
            <w:fldChar w:fldCharType="end"/>
          </w:r>
          <w:r w:rsidRPr="00C633E5">
            <w:rPr>
              <w:rFonts w:ascii="Times New Roman" w:hAnsi="Times New Roman" w:cs="Times New Roman"/>
            </w:rPr>
            <w:instrText xml:space="preserve"> </w:instrText>
          </w:r>
          <w:r w:rsidRPr="00C633E5">
            <w:rPr>
              <w:rFonts w:ascii="Times New Roman" w:hAnsi="Times New Roman" w:cs="Times New Roman"/>
            </w:rPr>
            <w:fldChar w:fldCharType="separate"/>
          </w:r>
          <w:r w:rsidR="00B07965">
            <w:rPr>
              <w:rFonts w:ascii="Times New Roman" w:hAnsi="Times New Roman" w:cs="Times New Roman"/>
              <w:noProof/>
            </w:rPr>
            <w:t>National health impairment</w:t>
          </w:r>
          <w:r w:rsidRPr="00C633E5">
            <w:rPr>
              <w:rFonts w:ascii="Times New Roman" w:hAnsi="Times New Roman" w:cs="Times New Roman"/>
            </w:rPr>
            <w:fldChar w:fldCharType="end"/>
          </w:r>
          <w:r w:rsidRPr="00C633E5">
            <w:rPr>
              <w:rFonts w:ascii="Times New Roman" w:hAnsi="Times New Roman" w:cs="Times New Roman"/>
            </w:rPr>
            <w:t xml:space="preserve"> </w:t>
          </w:r>
          <w:r w:rsidRPr="00C633E5">
            <w:rPr>
              <w:rFonts w:ascii="Times New Roman" w:hAnsi="Times New Roman" w:cs="Times New Roman"/>
            </w:rPr>
            <w:fldChar w:fldCharType="begin"/>
          </w:r>
          <w:r w:rsidRPr="00C633E5">
            <w:rPr>
              <w:rFonts w:ascii="Times New Roman" w:hAnsi="Times New Roman" w:cs="Times New Roman"/>
            </w:rPr>
            <w:instrText xml:space="preserve"> IF</w:instrText>
          </w:r>
          <w:r w:rsidRPr="00C633E5">
            <w:rPr>
              <w:rFonts w:ascii="Times New Roman" w:hAnsi="Times New Roman" w:cs="Times New Roman"/>
            </w:rPr>
            <w:fldChar w:fldCharType="begin"/>
          </w:r>
          <w:r w:rsidRPr="00C633E5">
            <w:rPr>
              <w:rFonts w:ascii="Times New Roman" w:hAnsi="Times New Roman" w:cs="Times New Roman"/>
            </w:rPr>
            <w:instrText xml:space="preserve"> STYLEREF Title \* Charformat </w:instrText>
          </w:r>
          <w:r w:rsidRPr="00C633E5">
            <w:rPr>
              <w:rFonts w:ascii="Times New Roman" w:hAnsi="Times New Roman" w:cs="Times New Roman"/>
            </w:rPr>
            <w:fldChar w:fldCharType="separate"/>
          </w:r>
          <w:r w:rsidR="00B07965">
            <w:rPr>
              <w:rFonts w:ascii="Times New Roman" w:hAnsi="Times New Roman" w:cs="Times New Roman"/>
              <w:noProof/>
            </w:rPr>
            <w:instrText>Referral, treatment and rehabilitation services for regulated health practitioners with an impairment</w:instrText>
          </w:r>
          <w:r w:rsidRPr="00C633E5">
            <w:rPr>
              <w:rFonts w:ascii="Times New Roman" w:hAnsi="Times New Roman" w:cs="Times New Roman"/>
              <w:noProof/>
            </w:rPr>
            <w:fldChar w:fldCharType="end"/>
          </w:r>
          <w:r w:rsidRPr="00C633E5">
            <w:rPr>
              <w:rFonts w:ascii="Times New Roman" w:hAnsi="Times New Roman" w:cs="Times New Roman"/>
            </w:rPr>
            <w:instrText xml:space="preserve"> &lt;&gt; "Error*" </w:instrText>
          </w:r>
          <w:r w:rsidRPr="00C633E5">
            <w:rPr>
              <w:rFonts w:ascii="Times New Roman" w:hAnsi="Times New Roman" w:cs="Times New Roman"/>
            </w:rPr>
            <w:fldChar w:fldCharType="begin"/>
          </w:r>
          <w:r w:rsidRPr="00C633E5">
            <w:rPr>
              <w:rFonts w:ascii="Times New Roman" w:hAnsi="Times New Roman" w:cs="Times New Roman"/>
            </w:rPr>
            <w:instrText xml:space="preserve"> STYLEREF Title \* Charformat </w:instrText>
          </w:r>
          <w:r w:rsidRPr="00C633E5">
            <w:rPr>
              <w:rFonts w:ascii="Times New Roman" w:hAnsi="Times New Roman" w:cs="Times New Roman"/>
            </w:rPr>
            <w:fldChar w:fldCharType="separate"/>
          </w:r>
          <w:r w:rsidR="00B07965">
            <w:rPr>
              <w:rFonts w:ascii="Times New Roman" w:hAnsi="Times New Roman" w:cs="Times New Roman"/>
              <w:noProof/>
            </w:rPr>
            <w:instrText>Referral, treatment and rehabilitation services for regulated health practitioners with an impairment</w:instrText>
          </w:r>
          <w:r w:rsidRPr="00C633E5">
            <w:rPr>
              <w:rFonts w:ascii="Times New Roman" w:hAnsi="Times New Roman" w:cs="Times New Roman"/>
              <w:noProof/>
            </w:rPr>
            <w:fldChar w:fldCharType="end"/>
          </w:r>
          <w:r w:rsidRPr="00C633E5">
            <w:rPr>
              <w:rFonts w:ascii="Times New Roman" w:hAnsi="Times New Roman" w:cs="Times New Roman"/>
            </w:rPr>
            <w:instrText xml:space="preserve"> </w:instrText>
          </w:r>
          <w:r w:rsidRPr="00C633E5">
            <w:rPr>
              <w:rFonts w:ascii="Times New Roman" w:hAnsi="Times New Roman" w:cs="Times New Roman"/>
            </w:rPr>
            <w:fldChar w:fldCharType="separate"/>
          </w:r>
          <w:r w:rsidR="00B07965">
            <w:rPr>
              <w:rFonts w:ascii="Times New Roman" w:hAnsi="Times New Roman" w:cs="Times New Roman"/>
              <w:noProof/>
            </w:rPr>
            <w:t>Referral, treatment and rehabilitation services for regulated health practitioners with an impairment</w:t>
          </w:r>
          <w:r w:rsidRPr="00C633E5">
            <w:rPr>
              <w:rFonts w:ascii="Times New Roman" w:hAnsi="Times New Roman" w:cs="Times New Roman"/>
            </w:rPr>
            <w:fldChar w:fldCharType="end"/>
          </w:r>
        </w:p>
      </w:tc>
      <w:tc>
        <w:tcPr>
          <w:tcW w:w="478" w:type="dxa"/>
        </w:tcPr>
        <w:p w:rsidR="003E40E3" w:rsidRPr="00C633E5" w:rsidRDefault="003E40E3" w:rsidP="00224D0D">
          <w:pPr>
            <w:jc w:val="right"/>
            <w:rPr>
              <w:rFonts w:ascii="Times New Roman" w:eastAsia="Calibri" w:hAnsi="Times New Roman" w:cs="Times New Roman"/>
            </w:rPr>
          </w:pPr>
          <w:r w:rsidRPr="00C633E5">
            <w:rPr>
              <w:rFonts w:ascii="Times New Roman" w:eastAsia="Calibri" w:hAnsi="Times New Roman" w:cs="Times New Roman"/>
            </w:rPr>
            <w:fldChar w:fldCharType="begin"/>
          </w:r>
          <w:r w:rsidRPr="00C633E5">
            <w:rPr>
              <w:rFonts w:ascii="Times New Roman" w:eastAsia="Calibri" w:hAnsi="Times New Roman" w:cs="Times New Roman"/>
            </w:rPr>
            <w:instrText xml:space="preserve"> PAGE   \* MERGEFORMAT </w:instrText>
          </w:r>
          <w:r w:rsidRPr="00C633E5">
            <w:rPr>
              <w:rFonts w:ascii="Times New Roman" w:eastAsia="Calibri" w:hAnsi="Times New Roman" w:cs="Times New Roman"/>
            </w:rPr>
            <w:fldChar w:fldCharType="separate"/>
          </w:r>
          <w:r w:rsidR="00B07965">
            <w:rPr>
              <w:rFonts w:ascii="Times New Roman" w:eastAsia="Calibri" w:hAnsi="Times New Roman" w:cs="Times New Roman"/>
              <w:noProof/>
            </w:rPr>
            <w:t>28</w:t>
          </w:r>
          <w:r w:rsidRPr="00C633E5">
            <w:rPr>
              <w:rFonts w:ascii="Times New Roman" w:eastAsia="Calibri" w:hAnsi="Times New Roman" w:cs="Times New Roman"/>
            </w:rPr>
            <w:fldChar w:fldCharType="end"/>
          </w:r>
        </w:p>
      </w:tc>
    </w:tr>
  </w:tbl>
  <w:p w:rsidR="003E40E3" w:rsidRPr="00126062" w:rsidRDefault="003E40E3" w:rsidP="00224D0D">
    <w:pPr>
      <w:pStyle w:val="Footer"/>
      <w:tabs>
        <w:tab w:val="right" w:pos="6521"/>
      </w:tabs>
      <w:jc w:val="right"/>
      <w:rPr>
        <w:rFonts w:ascii="Novecento Book" w:eastAsiaTheme="minorHAnsi" w:hAnsi="Novecento Book"/>
        <w:szCs w:val="14"/>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267" w:type="pct"/>
      <w:tblInd w:w="-1922" w:type="dxa"/>
      <w:tblBorders>
        <w:insideH w:val="single" w:sz="8" w:space="0" w:color="auto"/>
        <w:insideV w:val="single" w:sz="8" w:space="0" w:color="auto"/>
      </w:tblBorders>
      <w:tblLook w:val="04A0" w:firstRow="1" w:lastRow="0" w:firstColumn="1" w:lastColumn="0" w:noHBand="0" w:noVBand="1"/>
    </w:tblPr>
    <w:tblGrid>
      <w:gridCol w:w="8837"/>
      <w:gridCol w:w="674"/>
    </w:tblGrid>
    <w:tr w:rsidR="003E40E3" w:rsidRPr="00126062" w:rsidTr="000E21BF">
      <w:trPr>
        <w:trHeight w:val="288"/>
      </w:trPr>
      <w:tc>
        <w:tcPr>
          <w:tcW w:w="8834" w:type="dxa"/>
          <w:vAlign w:val="bottom"/>
        </w:tcPr>
        <w:p w:rsidR="003E40E3" w:rsidRPr="00126062" w:rsidRDefault="003E40E3" w:rsidP="000E21BF">
          <w:pPr>
            <w:pStyle w:val="PortraitFooter"/>
            <w:rPr>
              <w:b/>
              <w:bCs/>
              <w:color w:val="4F81BD"/>
            </w:rPr>
          </w:pPr>
          <w:r w:rsidRPr="00126062">
            <w:fldChar w:fldCharType="begin"/>
          </w:r>
          <w:r w:rsidRPr="00126062">
            <w:instrText xml:space="preserve"> IF</w:instrText>
          </w:r>
          <w:r w:rsidRPr="00126062">
            <w:fldChar w:fldCharType="begin"/>
          </w:r>
          <w:r w:rsidRPr="00126062">
            <w:instrText xml:space="preserve"> STYLEREF </w:instrText>
          </w:r>
          <w:r>
            <w:instrText>"</w:instrText>
          </w:r>
          <w:r w:rsidRPr="00126062">
            <w:instrText>Title</w:instrText>
          </w:r>
          <w:r>
            <w:instrText xml:space="preserve"> SHORT"</w:instrText>
          </w:r>
          <w:r w:rsidRPr="00126062">
            <w:instrText xml:space="preserve"> \* Charformat </w:instrText>
          </w:r>
          <w:r w:rsidRPr="00126062">
            <w:fldChar w:fldCharType="separate"/>
          </w:r>
          <w:r w:rsidR="00B07965">
            <w:rPr>
              <w:noProof/>
            </w:rPr>
            <w:instrText>National health impairment</w:instrText>
          </w:r>
          <w:r w:rsidRPr="00126062">
            <w:fldChar w:fldCharType="end"/>
          </w:r>
          <w:r w:rsidRPr="00126062">
            <w:instrText xml:space="preserve"> &lt;&gt; "Error*" </w:instrText>
          </w:r>
          <w:fldSimple w:instr=" STYLEREF &quot;Title SHORT&quot; \* Charformat ">
            <w:r w:rsidR="00B07965">
              <w:rPr>
                <w:noProof/>
              </w:rPr>
              <w:instrText>National health impairment</w:instrText>
            </w:r>
          </w:fldSimple>
          <w:r w:rsidRPr="00126062">
            <w:instrText xml:space="preserve"> </w:instrText>
          </w:r>
          <w:r w:rsidRPr="00126062">
            <w:fldChar w:fldCharType="separate"/>
          </w:r>
          <w:r w:rsidR="00B07965">
            <w:rPr>
              <w:noProof/>
            </w:rPr>
            <w:t>National health impairment</w:t>
          </w:r>
          <w:r w:rsidRPr="00126062">
            <w:fldChar w:fldCharType="end"/>
          </w:r>
          <w:r>
            <w:t xml:space="preserve"> </w:t>
          </w:r>
          <w:r w:rsidRPr="00126062">
            <w:fldChar w:fldCharType="begin"/>
          </w:r>
          <w:r w:rsidRPr="00126062">
            <w:instrText xml:space="preserve"> IF</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&lt;&gt; "Error*" </w:instrText>
          </w:r>
          <w:fldSimple w:instr=" STYLEREF Title \* Charformat ">
            <w:r w:rsidR="00B07965">
              <w:rPr>
                <w:noProof/>
              </w:rPr>
              <w:instrText>Referral, treatment and rehabilitation services for regulated health practitioners with an impairment</w:instrText>
            </w:r>
          </w:fldSimple>
          <w:r w:rsidRPr="00126062">
            <w:instrText xml:space="preserve"> </w:instrText>
          </w:r>
          <w:r w:rsidRPr="00126062">
            <w:fldChar w:fldCharType="separate"/>
          </w:r>
          <w:r w:rsidR="00B07965">
            <w:rPr>
              <w:noProof/>
            </w:rPr>
            <w:t>Referral, treatment and rehabilitation services for regulated health practitioners with an impairment</w:t>
          </w:r>
          <w:r w:rsidRPr="00126062">
            <w:fldChar w:fldCharType="end"/>
          </w:r>
        </w:p>
      </w:tc>
      <w:tc>
        <w:tcPr>
          <w:tcW w:w="674" w:type="dxa"/>
        </w:tcPr>
        <w:p w:rsidR="003E40E3" w:rsidRPr="00452AD3" w:rsidRDefault="003E40E3" w:rsidP="000E21BF">
          <w:pPr>
            <w:jc w:val="right"/>
            <w:rPr>
              <w:rStyle w:val="PageNumber"/>
            </w:rPr>
          </w:pPr>
          <w:r w:rsidRPr="00452AD3">
            <w:rPr>
              <w:rStyle w:val="PageNumber"/>
            </w:rPr>
            <w:fldChar w:fldCharType="begin"/>
          </w:r>
          <w:r w:rsidRPr="00452AD3">
            <w:rPr>
              <w:rStyle w:val="PageNumber"/>
            </w:rPr>
            <w:instrText xml:space="preserve"> PAGE   \* MERGEFORMAT </w:instrText>
          </w:r>
          <w:r w:rsidRPr="00452AD3">
            <w:rPr>
              <w:rStyle w:val="PageNumber"/>
            </w:rPr>
            <w:fldChar w:fldCharType="separate"/>
          </w:r>
          <w:r w:rsidR="00B07965">
            <w:rPr>
              <w:rStyle w:val="PageNumber"/>
              <w:noProof/>
            </w:rPr>
            <w:t>32</w:t>
          </w:r>
          <w:r w:rsidRPr="00452AD3">
            <w:rPr>
              <w:rStyle w:val="PageNumber"/>
            </w:rPr>
            <w:fldChar w:fldCharType="end"/>
          </w:r>
        </w:p>
      </w:tc>
    </w:tr>
  </w:tbl>
  <w:p w:rsidR="003E40E3" w:rsidRPr="00452AD3" w:rsidRDefault="003E40E3" w:rsidP="000566E4">
    <w:pPr>
      <w:pStyle w:val="Footer"/>
      <w:tabs>
        <w:tab w:val="right" w:pos="6521"/>
      </w:tabs>
      <w:jc w:val="right"/>
      <w:rPr>
        <w:rFonts w:ascii="Novecento Book" w:eastAsiaTheme="minorHAnsi" w:hAnsi="Novecento Book"/>
        <w:szCs w:val="14"/>
      </w:rPr>
    </w:pPr>
  </w:p>
  <w:p w:rsidR="003E40E3" w:rsidRPr="00126062" w:rsidRDefault="003E40E3" w:rsidP="00A367D0">
    <w:pPr>
      <w:pStyle w:val="Footer"/>
      <w:tabs>
        <w:tab w:val="right" w:pos="6521"/>
      </w:tabs>
      <w:jc w:val="right"/>
      <w:rPr>
        <w:rFonts w:ascii="Novecento Book" w:eastAsiaTheme="minorHAnsi" w:hAnsi="Novecento Book"/>
        <w:szCs w:val="14"/>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0E3" w:rsidRDefault="003E40E3">
      <w:pPr>
        <w:spacing w:after="0" w:line="240" w:lineRule="auto"/>
      </w:pPr>
      <w:r>
        <w:separator/>
      </w:r>
    </w:p>
  </w:footnote>
  <w:footnote w:type="continuationSeparator" w:id="0">
    <w:p w:rsidR="003E40E3" w:rsidRDefault="003E40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Pr="00126062" w:rsidRDefault="003E40E3" w:rsidP="00C22B51">
    <w:pPr>
      <w:pBdr>
        <w:top w:val="single" w:sz="6" w:space="2" w:color="A6A6A6" w:themeColor="background1" w:themeShade="A6"/>
      </w:pBdr>
      <w:tabs>
        <w:tab w:val="left" w:pos="567"/>
      </w:tabs>
      <w:ind w:left="-567"/>
      <w:jc w:val="right"/>
      <w:rPr>
        <w:rFonts w:ascii="Novecento Book" w:hAnsi="Novecento Book"/>
        <w:b/>
        <w:spacing w:val="22"/>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Pr="00126062" w:rsidRDefault="003E40E3" w:rsidP="00A367D0">
    <w:pPr>
      <w:pStyle w:val="AACHeader"/>
    </w:pPr>
    <w:r>
      <w:t xml:space="preserve">ACIL ALLEN </w:t>
    </w:r>
    <w:r>
      <w:rPr>
        <w:color w:val="BFBFBF" w:themeColor="background1" w:themeShade="BF"/>
      </w:rPr>
      <w:t>CONSULTING</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Pr="00126062" w:rsidRDefault="003E40E3" w:rsidP="00A367D0">
    <w:pPr>
      <w:pStyle w:val="AACHeader"/>
    </w:pPr>
    <w:r>
      <w:t xml:space="preserve">ACIL ALLEN </w:t>
    </w:r>
    <w:r>
      <w:rPr>
        <w:color w:val="BFBFBF" w:themeColor="background1" w:themeShade="BF"/>
      </w:rPr>
      <w:t>CONSULTING</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Pr="00126062" w:rsidRDefault="003E40E3" w:rsidP="00B92200">
    <w:pPr>
      <w:pStyle w:val="LandscapeHeader"/>
    </w:pPr>
    <w:r>
      <w:t xml:space="preserve">ACIL ALLEN </w:t>
    </w:r>
    <w:r>
      <w:rPr>
        <w:color w:val="BFBFBF" w:themeColor="background1" w:themeShade="BF"/>
      </w:rPr>
      <w:t>CONSULTING</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Pr="00126062" w:rsidRDefault="003E40E3" w:rsidP="00A367D0">
    <w:pPr>
      <w:pStyle w:val="AACHeader"/>
    </w:pPr>
    <w:r>
      <w:t xml:space="preserve">ACIL ALLEN </w:t>
    </w:r>
    <w:r>
      <w:rPr>
        <w:color w:val="BFBFBF" w:themeColor="background1" w:themeShade="BF"/>
      </w:rPr>
      <w:t>CONSULTING</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Pr="00126062" w:rsidRDefault="003E40E3" w:rsidP="00224D0D">
    <w:pPr>
      <w:pStyle w:val="LandscapeHeader"/>
    </w:pPr>
    <w:r>
      <w:t xml:space="preserve">ACIL ALLEN </w:t>
    </w:r>
    <w:r>
      <w:rPr>
        <w:color w:val="BFBFBF" w:themeColor="background1" w:themeShade="BF"/>
      </w:rPr>
      <w:t>CONSULTING</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Pr="00126062" w:rsidRDefault="003E40E3" w:rsidP="00A367D0">
    <w:pPr>
      <w:pStyle w:val="AACHeader"/>
    </w:pPr>
    <w:r>
      <w:t xml:space="preserve">ACIL ALLEN </w:t>
    </w:r>
    <w:r>
      <w:rPr>
        <w:color w:val="BFBFBF" w:themeColor="background1" w:themeShade="BF"/>
      </w:rPr>
      <w:t>CONSULTING</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0E3" w:rsidRDefault="003E40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FFFFFF7C"/>
    <w:multiLevelType w:val="singleLevel"/>
    <w:tmpl w:val="4914FE6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11495BE"/>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1A349728"/>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C88EA846"/>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2E81BEE"/>
    <w:multiLevelType w:val="hybridMultilevel"/>
    <w:tmpl w:val="497467C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032B447C"/>
    <w:multiLevelType w:val="multilevel"/>
    <w:tmpl w:val="009E2550"/>
    <w:lvl w:ilvl="0">
      <w:start w:val="1"/>
      <w:numFmt w:val="bullet"/>
      <w:lvlText w:val="¾"/>
      <w:lvlJc w:val="left"/>
      <w:pPr>
        <w:ind w:left="284" w:hanging="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418" w:hanging="284"/>
      </w:pPr>
      <w:rPr>
        <w:rFonts w:ascii="Symbol" w:hAnsi="Symbol" w:hint="default"/>
      </w:rPr>
    </w:lvl>
    <w:lvl w:ilvl="3">
      <w:start w:val="1"/>
      <w:numFmt w:val="none"/>
      <w:suff w:val="nothing"/>
      <w:lvlText w:val=""/>
      <w:lvlJc w:val="left"/>
      <w:pPr>
        <w:ind w:left="4320" w:hanging="360"/>
      </w:pPr>
      <w:rPr>
        <w:rFonts w:hint="default"/>
      </w:rPr>
    </w:lvl>
    <w:lvl w:ilvl="4">
      <w:start w:val="1"/>
      <w:numFmt w:val="none"/>
      <w:suff w:val="nothing"/>
      <w:lvlText w:val=""/>
      <w:lvlJc w:val="left"/>
      <w:pPr>
        <w:ind w:left="5040" w:hanging="360"/>
      </w:pPr>
      <w:rPr>
        <w:rFonts w:hint="default"/>
      </w:rPr>
    </w:lvl>
    <w:lvl w:ilvl="5">
      <w:start w:val="1"/>
      <w:numFmt w:val="none"/>
      <w:suff w:val="nothing"/>
      <w:lvlText w:val=""/>
      <w:lvlJc w:val="left"/>
      <w:pPr>
        <w:ind w:left="5760" w:hanging="360"/>
      </w:pPr>
      <w:rPr>
        <w:rFonts w:hint="default"/>
      </w:rPr>
    </w:lvl>
    <w:lvl w:ilvl="6">
      <w:start w:val="1"/>
      <w:numFmt w:val="none"/>
      <w:suff w:val="nothing"/>
      <w:lvlText w:val=""/>
      <w:lvlJc w:val="left"/>
      <w:pPr>
        <w:ind w:left="6480" w:hanging="360"/>
      </w:pPr>
      <w:rPr>
        <w:rFonts w:hint="default"/>
      </w:rPr>
    </w:lvl>
    <w:lvl w:ilvl="7">
      <w:start w:val="1"/>
      <w:numFmt w:val="none"/>
      <w:suff w:val="nothing"/>
      <w:lvlText w:val=""/>
      <w:lvlJc w:val="left"/>
      <w:pPr>
        <w:ind w:left="7200" w:hanging="360"/>
      </w:pPr>
      <w:rPr>
        <w:rFonts w:hint="default"/>
      </w:rPr>
    </w:lvl>
    <w:lvl w:ilvl="8">
      <w:start w:val="1"/>
      <w:numFmt w:val="none"/>
      <w:suff w:val="nothing"/>
      <w:lvlText w:val=""/>
      <w:lvlJc w:val="left"/>
      <w:pPr>
        <w:ind w:left="7920" w:hanging="360"/>
      </w:pPr>
      <w:rPr>
        <w:rFonts w:hint="default"/>
      </w:rPr>
    </w:lvl>
  </w:abstractNum>
  <w:abstractNum w:abstractNumId="6" w15:restartNumberingAfterBreak="0">
    <w:nsid w:val="033072CA"/>
    <w:multiLevelType w:val="multilevel"/>
    <w:tmpl w:val="C82E1A30"/>
    <w:styleLink w:val="ACILAllenNumberedList"/>
    <w:lvl w:ilvl="0">
      <w:start w:val="1"/>
      <w:numFmt w:val="decimal"/>
      <w:pStyle w:val="ListNumber"/>
      <w:lvlText w:val="%1."/>
      <w:lvlJc w:val="left"/>
      <w:pPr>
        <w:ind w:left="340" w:hanging="340"/>
      </w:pPr>
      <w:rPr>
        <w:rFonts w:asciiTheme="minorHAnsi" w:hAnsiTheme="minorHAnsi" w:hint="default"/>
      </w:rPr>
    </w:lvl>
    <w:lvl w:ilvl="1">
      <w:start w:val="1"/>
      <w:numFmt w:val="lowerLetter"/>
      <w:pStyle w:val="ListNumber2"/>
      <w:lvlText w:val="%2)"/>
      <w:lvlJc w:val="left"/>
      <w:pPr>
        <w:ind w:left="709" w:hanging="369"/>
      </w:pPr>
      <w:rPr>
        <w:rFonts w:hint="default"/>
      </w:rPr>
    </w:lvl>
    <w:lvl w:ilvl="2">
      <w:start w:val="1"/>
      <w:numFmt w:val="lowerRoman"/>
      <w:pStyle w:val="ListNumber3"/>
      <w:lvlText w:val="%3)"/>
      <w:lvlJc w:val="left"/>
      <w:pPr>
        <w:ind w:left="1213" w:hanging="504"/>
      </w:pPr>
      <w:rPr>
        <w:rFonts w:hint="default"/>
      </w:rPr>
    </w:lvl>
    <w:lvl w:ilvl="3">
      <w:start w:val="1"/>
      <w:numFmt w:val="decimal"/>
      <w:lvlText w:val="(%4)"/>
      <w:lvlJc w:val="left"/>
      <w:pPr>
        <w:ind w:left="1701" w:hanging="499"/>
      </w:pPr>
      <w:rPr>
        <w:rFonts w:hint="default"/>
      </w:rPr>
    </w:lvl>
    <w:lvl w:ilvl="4">
      <w:start w:val="1"/>
      <w:numFmt w:val="lowerLetter"/>
      <w:lvlText w:val="(%5)"/>
      <w:lvlJc w:val="left"/>
      <w:pPr>
        <w:ind w:left="2126" w:hanging="357"/>
      </w:pPr>
      <w:rPr>
        <w:rFonts w:hint="default"/>
      </w:rPr>
    </w:lvl>
    <w:lvl w:ilvl="5">
      <w:start w:val="1"/>
      <w:numFmt w:val="lowerRoman"/>
      <w:lvlText w:val="(%6)"/>
      <w:lvlJc w:val="left"/>
      <w:pPr>
        <w:ind w:left="2880" w:hanging="360"/>
      </w:pPr>
      <w:rPr>
        <w:rFonts w:hint="default"/>
      </w:rPr>
    </w:lvl>
    <w:lvl w:ilvl="6">
      <w:start w:val="1"/>
      <w:numFmt w:val="none"/>
      <w:lvlText w:val="%7"/>
      <w:lvlJc w:val="left"/>
      <w:pPr>
        <w:ind w:left="3240" w:hanging="360"/>
      </w:pPr>
      <w:rPr>
        <w:rFonts w:ascii="Garamond" w:hAnsi="Garamond" w:hint="default"/>
      </w:rPr>
    </w:lvl>
    <w:lvl w:ilvl="7">
      <w:start w:val="1"/>
      <w:numFmt w:val="none"/>
      <w:lvlText w:val="%8"/>
      <w:lvlJc w:val="left"/>
      <w:pPr>
        <w:ind w:left="3600" w:hanging="360"/>
      </w:pPr>
      <w:rPr>
        <w:rFonts w:ascii="Garamond" w:hAnsi="Garamond" w:hint="default"/>
      </w:rPr>
    </w:lvl>
    <w:lvl w:ilvl="8">
      <w:start w:val="1"/>
      <w:numFmt w:val="none"/>
      <w:lvlText w:val="%9"/>
      <w:lvlJc w:val="left"/>
      <w:pPr>
        <w:ind w:left="3960" w:hanging="360"/>
      </w:pPr>
      <w:rPr>
        <w:rFonts w:ascii="Garamond" w:hAnsi="Garamond" w:hint="default"/>
      </w:rPr>
    </w:lvl>
  </w:abstractNum>
  <w:abstractNum w:abstractNumId="7" w15:restartNumberingAfterBreak="0">
    <w:nsid w:val="05E12EE7"/>
    <w:multiLevelType w:val="hybridMultilevel"/>
    <w:tmpl w:val="43463A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5E53FB0"/>
    <w:multiLevelType w:val="multilevel"/>
    <w:tmpl w:val="009E2550"/>
    <w:lvl w:ilvl="0">
      <w:start w:val="1"/>
      <w:numFmt w:val="bullet"/>
      <w:lvlText w:val="¾"/>
      <w:lvlJc w:val="left"/>
      <w:pPr>
        <w:ind w:left="284" w:hanging="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418" w:hanging="284"/>
      </w:pPr>
      <w:rPr>
        <w:rFonts w:ascii="Symbol" w:hAnsi="Symbol" w:hint="default"/>
      </w:rPr>
    </w:lvl>
    <w:lvl w:ilvl="3">
      <w:start w:val="1"/>
      <w:numFmt w:val="none"/>
      <w:suff w:val="nothing"/>
      <w:lvlText w:val=""/>
      <w:lvlJc w:val="left"/>
      <w:pPr>
        <w:ind w:left="4320" w:hanging="360"/>
      </w:pPr>
      <w:rPr>
        <w:rFonts w:hint="default"/>
      </w:rPr>
    </w:lvl>
    <w:lvl w:ilvl="4">
      <w:start w:val="1"/>
      <w:numFmt w:val="none"/>
      <w:suff w:val="nothing"/>
      <w:lvlText w:val=""/>
      <w:lvlJc w:val="left"/>
      <w:pPr>
        <w:ind w:left="5040" w:hanging="360"/>
      </w:pPr>
      <w:rPr>
        <w:rFonts w:hint="default"/>
      </w:rPr>
    </w:lvl>
    <w:lvl w:ilvl="5">
      <w:start w:val="1"/>
      <w:numFmt w:val="none"/>
      <w:suff w:val="nothing"/>
      <w:lvlText w:val=""/>
      <w:lvlJc w:val="left"/>
      <w:pPr>
        <w:ind w:left="5760" w:hanging="360"/>
      </w:pPr>
      <w:rPr>
        <w:rFonts w:hint="default"/>
      </w:rPr>
    </w:lvl>
    <w:lvl w:ilvl="6">
      <w:start w:val="1"/>
      <w:numFmt w:val="none"/>
      <w:suff w:val="nothing"/>
      <w:lvlText w:val=""/>
      <w:lvlJc w:val="left"/>
      <w:pPr>
        <w:ind w:left="6480" w:hanging="360"/>
      </w:pPr>
      <w:rPr>
        <w:rFonts w:hint="default"/>
      </w:rPr>
    </w:lvl>
    <w:lvl w:ilvl="7">
      <w:start w:val="1"/>
      <w:numFmt w:val="none"/>
      <w:suff w:val="nothing"/>
      <w:lvlText w:val=""/>
      <w:lvlJc w:val="left"/>
      <w:pPr>
        <w:ind w:left="7200" w:hanging="360"/>
      </w:pPr>
      <w:rPr>
        <w:rFonts w:hint="default"/>
      </w:rPr>
    </w:lvl>
    <w:lvl w:ilvl="8">
      <w:start w:val="1"/>
      <w:numFmt w:val="none"/>
      <w:suff w:val="nothing"/>
      <w:lvlText w:val=""/>
      <w:lvlJc w:val="left"/>
      <w:pPr>
        <w:ind w:left="7920" w:hanging="360"/>
      </w:pPr>
      <w:rPr>
        <w:rFonts w:hint="default"/>
      </w:rPr>
    </w:lvl>
  </w:abstractNum>
  <w:abstractNum w:abstractNumId="9" w15:restartNumberingAfterBreak="0">
    <w:nsid w:val="05F3692F"/>
    <w:multiLevelType w:val="multilevel"/>
    <w:tmpl w:val="2AD204A8"/>
    <w:numStyleLink w:val="ACILAllenBoxListNumbering"/>
  </w:abstractNum>
  <w:abstractNum w:abstractNumId="10" w15:restartNumberingAfterBreak="0">
    <w:nsid w:val="06163868"/>
    <w:multiLevelType w:val="hybridMultilevel"/>
    <w:tmpl w:val="8E7E19B6"/>
    <w:lvl w:ilvl="0" w:tplc="A70ABD72">
      <w:start w:val="1"/>
      <w:numFmt w:val="decimal"/>
      <w:lvlText w:val="%1."/>
      <w:lvlJc w:val="left"/>
      <w:pPr>
        <w:ind w:left="360" w:hanging="360"/>
      </w:pPr>
      <w:rPr>
        <w:rFonts w:hint="default"/>
        <w:u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6742EAD"/>
    <w:multiLevelType w:val="hybridMultilevel"/>
    <w:tmpl w:val="D2CA21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88509EA"/>
    <w:multiLevelType w:val="multilevel"/>
    <w:tmpl w:val="9DB25304"/>
    <w:styleLink w:val="ACILAllenTableListNumbering"/>
    <w:lvl w:ilvl="0">
      <w:start w:val="1"/>
      <w:numFmt w:val="decimal"/>
      <w:pStyle w:val="Tablelistnumber"/>
      <w:lvlText w:val="%1."/>
      <w:lvlJc w:val="left"/>
      <w:pPr>
        <w:ind w:left="284" w:hanging="284"/>
      </w:pPr>
      <w:rPr>
        <w:rFonts w:asciiTheme="minorHAnsi" w:hAnsiTheme="minorHAnsi" w:hint="default"/>
        <w:caps w:val="0"/>
        <w:strike w:val="0"/>
        <w:dstrike w:val="0"/>
        <w:vanish w:val="0"/>
        <w:color w:val="auto"/>
        <w:sz w:val="16"/>
        <w:vertAlign w:val="baseline"/>
      </w:rPr>
    </w:lvl>
    <w:lvl w:ilvl="1">
      <w:start w:val="1"/>
      <w:numFmt w:val="lowerLetter"/>
      <w:pStyle w:val="Tablelistnumber2"/>
      <w:lvlText w:val="%2)"/>
      <w:lvlJc w:val="left"/>
      <w:pPr>
        <w:ind w:left="567" w:hanging="283"/>
      </w:pPr>
      <w:rPr>
        <w:rFonts w:hint="default"/>
      </w:rPr>
    </w:lvl>
    <w:lvl w:ilvl="2">
      <w:start w:val="1"/>
      <w:numFmt w:val="lowerRoman"/>
      <w:pStyle w:val="Tablelistnumber3"/>
      <w:lvlText w:val="%3)"/>
      <w:lvlJc w:val="left"/>
      <w:pPr>
        <w:ind w:left="851" w:hanging="284"/>
      </w:pPr>
      <w:rPr>
        <w:rFonts w:hint="default"/>
      </w:rPr>
    </w:lvl>
    <w:lvl w:ilvl="3">
      <w:start w:val="1"/>
      <w:numFmt w:val="none"/>
      <w:suff w:val="nothing"/>
      <w:lvlText w:val=""/>
      <w:lvlJc w:val="left"/>
      <w:pPr>
        <w:ind w:left="1134" w:firstLine="0"/>
      </w:pPr>
      <w:rPr>
        <w:rFonts w:hint="default"/>
      </w:rPr>
    </w:lvl>
    <w:lvl w:ilvl="4">
      <w:start w:val="1"/>
      <w:numFmt w:val="none"/>
      <w:suff w:val="nothing"/>
      <w:lvlText w:val=""/>
      <w:lvlJc w:val="left"/>
      <w:pPr>
        <w:ind w:left="-32767" w:firstLine="0"/>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13" w15:restartNumberingAfterBreak="0">
    <w:nsid w:val="0C6824A6"/>
    <w:multiLevelType w:val="multilevel"/>
    <w:tmpl w:val="32403E0C"/>
    <w:styleLink w:val="ATBoxBulletedList"/>
    <w:lvl w:ilvl="0">
      <w:numFmt w:val="bullet"/>
      <w:lvlText w:val=""/>
      <w:lvlJc w:val="left"/>
      <w:pPr>
        <w:tabs>
          <w:tab w:val="num" w:pos="454"/>
        </w:tabs>
        <w:ind w:left="454" w:hanging="227"/>
      </w:pPr>
      <w:rPr>
        <w:rFonts w:ascii="Symbol" w:hAnsi="Symbol" w:hint="default"/>
        <w:color w:val="auto"/>
      </w:rPr>
    </w:lvl>
    <w:lvl w:ilvl="1">
      <w:start w:val="1"/>
      <w:numFmt w:val="bullet"/>
      <w:lvlText w:val="–"/>
      <w:lvlJc w:val="left"/>
      <w:pPr>
        <w:ind w:left="1440" w:hanging="360"/>
      </w:pPr>
      <w:rPr>
        <w:rFonts w:ascii="Arial" w:hAnsi="Arial" w:hint="default"/>
      </w:rPr>
    </w:lvl>
    <w:lvl w:ilvl="2">
      <w:start w:val="1"/>
      <w:numFmt w:val="bullet"/>
      <w:lvlText w:val="…"/>
      <w:lvlJc w:val="left"/>
      <w:pPr>
        <w:ind w:left="2160" w:hanging="360"/>
      </w:pPr>
      <w:rPr>
        <w:rFonts w:ascii="Garamond" w:hAnsi="Garamond" w:hint="default"/>
      </w:rPr>
    </w:lvl>
    <w:lvl w:ilvl="3">
      <w:start w:val="1"/>
      <w:numFmt w:val="none"/>
      <w:lvlText w:val=""/>
      <w:lvlJc w:val="left"/>
      <w:pPr>
        <w:ind w:left="2880" w:hanging="360"/>
      </w:pPr>
      <w:rPr>
        <w:rFonts w:hint="default"/>
      </w:rPr>
    </w:lvl>
    <w:lvl w:ilvl="4">
      <w:start w:val="1"/>
      <w:numFmt w:val="none"/>
      <w:lvlText w:val=""/>
      <w:lvlJc w:val="left"/>
      <w:pPr>
        <w:ind w:left="3600" w:hanging="360"/>
      </w:pPr>
      <w:rPr>
        <w:rFonts w:hint="default"/>
      </w:rPr>
    </w:lvl>
    <w:lvl w:ilvl="5">
      <w:start w:val="1"/>
      <w:numFmt w:val="none"/>
      <w:lvlText w:val=""/>
      <w:lvlJc w:val="left"/>
      <w:pPr>
        <w:ind w:left="4320" w:hanging="360"/>
      </w:pPr>
      <w:rPr>
        <w:rFonts w:hint="default"/>
      </w:rPr>
    </w:lvl>
    <w:lvl w:ilvl="6">
      <w:start w:val="1"/>
      <w:numFmt w:val="none"/>
      <w:lvlText w:val=""/>
      <w:lvlJc w:val="left"/>
      <w:pPr>
        <w:ind w:left="5040" w:hanging="360"/>
      </w:pPr>
      <w:rPr>
        <w:rFonts w:hint="default"/>
      </w:rPr>
    </w:lvl>
    <w:lvl w:ilvl="7">
      <w:start w:val="1"/>
      <w:numFmt w:val="none"/>
      <w:lvlText w:val=""/>
      <w:lvlJc w:val="left"/>
      <w:pPr>
        <w:ind w:left="5760" w:hanging="360"/>
      </w:pPr>
      <w:rPr>
        <w:rFonts w:hint="default"/>
      </w:rPr>
    </w:lvl>
    <w:lvl w:ilvl="8">
      <w:start w:val="1"/>
      <w:numFmt w:val="none"/>
      <w:lvlText w:val=""/>
      <w:lvlJc w:val="left"/>
      <w:pPr>
        <w:ind w:left="6480" w:hanging="360"/>
      </w:pPr>
      <w:rPr>
        <w:rFonts w:hint="default"/>
      </w:rPr>
    </w:lvl>
  </w:abstractNum>
  <w:abstractNum w:abstractNumId="14" w15:restartNumberingAfterBreak="0">
    <w:nsid w:val="0FBC535B"/>
    <w:multiLevelType w:val="multilevel"/>
    <w:tmpl w:val="CC5C7C98"/>
    <w:styleLink w:val="ACILAllenDashedList"/>
    <w:lvl w:ilvl="0">
      <w:start w:val="1"/>
      <w:numFmt w:val="bullet"/>
      <w:pStyle w:val="ListDash"/>
      <w:lvlText w:val=""/>
      <w:lvlJc w:val="left"/>
      <w:pPr>
        <w:ind w:left="284" w:hanging="284"/>
      </w:pPr>
      <w:rPr>
        <w:rFonts w:ascii="Symbol" w:hAnsi="Symbol" w:hint="default"/>
      </w:rPr>
    </w:lvl>
    <w:lvl w:ilvl="1">
      <w:start w:val="1"/>
      <w:numFmt w:val="bullet"/>
      <w:pStyle w:val="ListDash2"/>
      <w:lvlText w:val=""/>
      <w:lvlJc w:val="left"/>
      <w:pPr>
        <w:ind w:left="851" w:hanging="284"/>
      </w:pPr>
      <w:rPr>
        <w:rFonts w:ascii="Symbol" w:hAnsi="Symbol" w:hint="default"/>
      </w:rPr>
    </w:lvl>
    <w:lvl w:ilvl="2">
      <w:start w:val="1"/>
      <w:numFmt w:val="bullet"/>
      <w:pStyle w:val="ListDash3"/>
      <w:lvlText w:val=""/>
      <w:lvlJc w:val="left"/>
      <w:pPr>
        <w:ind w:left="1418" w:hanging="284"/>
      </w:pPr>
      <w:rPr>
        <w:rFonts w:ascii="Symbol" w:hAnsi="Symbol" w:hint="default"/>
      </w:rPr>
    </w:lvl>
    <w:lvl w:ilvl="3">
      <w:start w:val="1"/>
      <w:numFmt w:val="none"/>
      <w:suff w:val="nothing"/>
      <w:lvlText w:val=""/>
      <w:lvlJc w:val="left"/>
      <w:pPr>
        <w:ind w:left="4320" w:hanging="360"/>
      </w:pPr>
      <w:rPr>
        <w:rFonts w:hint="default"/>
      </w:rPr>
    </w:lvl>
    <w:lvl w:ilvl="4">
      <w:start w:val="1"/>
      <w:numFmt w:val="none"/>
      <w:suff w:val="nothing"/>
      <w:lvlText w:val=""/>
      <w:lvlJc w:val="left"/>
      <w:pPr>
        <w:ind w:left="5040" w:hanging="360"/>
      </w:pPr>
      <w:rPr>
        <w:rFonts w:hint="default"/>
      </w:rPr>
    </w:lvl>
    <w:lvl w:ilvl="5">
      <w:start w:val="1"/>
      <w:numFmt w:val="none"/>
      <w:suff w:val="nothing"/>
      <w:lvlText w:val=""/>
      <w:lvlJc w:val="left"/>
      <w:pPr>
        <w:ind w:left="5760" w:hanging="360"/>
      </w:pPr>
      <w:rPr>
        <w:rFonts w:hint="default"/>
      </w:rPr>
    </w:lvl>
    <w:lvl w:ilvl="6">
      <w:start w:val="1"/>
      <w:numFmt w:val="none"/>
      <w:suff w:val="nothing"/>
      <w:lvlText w:val=""/>
      <w:lvlJc w:val="left"/>
      <w:pPr>
        <w:ind w:left="6480" w:hanging="360"/>
      </w:pPr>
      <w:rPr>
        <w:rFonts w:hint="default"/>
      </w:rPr>
    </w:lvl>
    <w:lvl w:ilvl="7">
      <w:start w:val="1"/>
      <w:numFmt w:val="none"/>
      <w:suff w:val="nothing"/>
      <w:lvlText w:val=""/>
      <w:lvlJc w:val="left"/>
      <w:pPr>
        <w:ind w:left="7200" w:hanging="360"/>
      </w:pPr>
      <w:rPr>
        <w:rFonts w:hint="default"/>
      </w:rPr>
    </w:lvl>
    <w:lvl w:ilvl="8">
      <w:start w:val="1"/>
      <w:numFmt w:val="none"/>
      <w:suff w:val="nothing"/>
      <w:lvlText w:val=""/>
      <w:lvlJc w:val="left"/>
      <w:pPr>
        <w:ind w:left="7920" w:hanging="360"/>
      </w:pPr>
      <w:rPr>
        <w:rFonts w:hint="default"/>
      </w:rPr>
    </w:lvl>
  </w:abstractNum>
  <w:abstractNum w:abstractNumId="15" w15:restartNumberingAfterBreak="0">
    <w:nsid w:val="0FD50E2C"/>
    <w:multiLevelType w:val="multilevel"/>
    <w:tmpl w:val="71F6571A"/>
    <w:styleLink w:val="ATbulletedlist"/>
    <w:lvl w:ilvl="0">
      <w:start w:val="1"/>
      <w:numFmt w:val="bullet"/>
      <w:lvlText w:val="•"/>
      <w:lvlJc w:val="left"/>
      <w:pPr>
        <w:ind w:left="340" w:hanging="340"/>
      </w:pPr>
      <w:rPr>
        <w:rFonts w:ascii="Garamond" w:hAnsi="Garamond" w:hint="default"/>
      </w:rPr>
    </w:lvl>
    <w:lvl w:ilvl="1">
      <w:start w:val="1"/>
      <w:numFmt w:val="bullet"/>
      <w:lvlText w:val="−"/>
      <w:lvlJc w:val="left"/>
      <w:pPr>
        <w:ind w:left="680" w:hanging="340"/>
      </w:pPr>
      <w:rPr>
        <w:rFonts w:ascii="Garamond" w:hAnsi="Garamond"/>
        <w:sz w:val="24"/>
      </w:rPr>
    </w:lvl>
    <w:lvl w:ilvl="2">
      <w:start w:val="1"/>
      <w:numFmt w:val="bullet"/>
      <w:lvlText w:val="…"/>
      <w:lvlJc w:val="left"/>
      <w:pPr>
        <w:ind w:left="1020" w:hanging="340"/>
      </w:pPr>
      <w:rPr>
        <w:rFonts w:ascii="Garamond" w:hAnsi="Garamond" w:hint="default"/>
      </w:rPr>
    </w:lvl>
    <w:lvl w:ilvl="3">
      <w:start w:val="1"/>
      <w:numFmt w:val="bullet"/>
      <w:lvlText w:val="•"/>
      <w:lvlJc w:val="left"/>
      <w:pPr>
        <w:ind w:left="1360" w:hanging="340"/>
      </w:pPr>
      <w:rPr>
        <w:rFonts w:ascii="Garamond" w:hAnsi="Garamond" w:hint="default"/>
      </w:rPr>
    </w:lvl>
    <w:lvl w:ilvl="4">
      <w:start w:val="1"/>
      <w:numFmt w:val="bullet"/>
      <w:lvlText w:val="−"/>
      <w:lvlJc w:val="left"/>
      <w:pPr>
        <w:ind w:left="1700" w:hanging="340"/>
      </w:pPr>
      <w:rPr>
        <w:rFonts w:ascii="Garamond" w:hAnsi="Garamond" w:hint="default"/>
      </w:rPr>
    </w:lvl>
    <w:lvl w:ilvl="5">
      <w:start w:val="1"/>
      <w:numFmt w:val="bullet"/>
      <w:lvlText w:val="…"/>
      <w:lvlJc w:val="left"/>
      <w:pPr>
        <w:ind w:left="2040" w:hanging="340"/>
      </w:pPr>
      <w:rPr>
        <w:rFonts w:ascii="Garamond" w:hAnsi="Garamond" w:hint="default"/>
      </w:rPr>
    </w:lvl>
    <w:lvl w:ilvl="6">
      <w:start w:val="1"/>
      <w:numFmt w:val="none"/>
      <w:lvlText w:val="%7"/>
      <w:lvlJc w:val="left"/>
      <w:pPr>
        <w:ind w:left="2380" w:hanging="340"/>
      </w:pPr>
      <w:rPr>
        <w:rFonts w:ascii="Garamond" w:hAnsi="Garamond" w:hint="default"/>
      </w:rPr>
    </w:lvl>
    <w:lvl w:ilvl="7">
      <w:start w:val="1"/>
      <w:numFmt w:val="none"/>
      <w:lvlText w:val="%8"/>
      <w:lvlJc w:val="left"/>
      <w:pPr>
        <w:ind w:left="2720" w:hanging="340"/>
      </w:pPr>
      <w:rPr>
        <w:rFonts w:ascii="Garamond" w:hAnsi="Garamond" w:hint="default"/>
      </w:rPr>
    </w:lvl>
    <w:lvl w:ilvl="8">
      <w:start w:val="1"/>
      <w:numFmt w:val="none"/>
      <w:lvlText w:val="%9"/>
      <w:lvlJc w:val="left"/>
      <w:pPr>
        <w:ind w:left="3060" w:hanging="340"/>
      </w:pPr>
      <w:rPr>
        <w:rFonts w:ascii="Garamond" w:hAnsi="Garamond" w:hint="default"/>
      </w:rPr>
    </w:lvl>
  </w:abstractNum>
  <w:abstractNum w:abstractNumId="16" w15:restartNumberingAfterBreak="0">
    <w:nsid w:val="17B8215F"/>
    <w:multiLevelType w:val="hybridMultilevel"/>
    <w:tmpl w:val="1A48B7F6"/>
    <w:lvl w:ilvl="0" w:tplc="91EEC954">
      <w:start w:val="1"/>
      <w:numFmt w:val="bullet"/>
      <w:pStyle w:val="TableQuoteBullet"/>
      <w:lvlText w:val=""/>
      <w:lvlJc w:val="left"/>
      <w:pPr>
        <w:ind w:left="473" w:hanging="360"/>
      </w:pPr>
      <w:rPr>
        <w:rFonts w:ascii="Wingdings" w:hAnsi="Wingdings" w:hint="default"/>
      </w:rPr>
    </w:lvl>
    <w:lvl w:ilvl="1" w:tplc="0C090003" w:tentative="1">
      <w:start w:val="1"/>
      <w:numFmt w:val="bullet"/>
      <w:lvlText w:val="o"/>
      <w:lvlJc w:val="left"/>
      <w:pPr>
        <w:ind w:left="1193" w:hanging="360"/>
      </w:pPr>
      <w:rPr>
        <w:rFonts w:ascii="Courier New" w:hAnsi="Courier New" w:cs="Courier New" w:hint="default"/>
      </w:rPr>
    </w:lvl>
    <w:lvl w:ilvl="2" w:tplc="0C090005" w:tentative="1">
      <w:start w:val="1"/>
      <w:numFmt w:val="bullet"/>
      <w:lvlText w:val=""/>
      <w:lvlJc w:val="left"/>
      <w:pPr>
        <w:ind w:left="1913" w:hanging="360"/>
      </w:pPr>
      <w:rPr>
        <w:rFonts w:ascii="Wingdings" w:hAnsi="Wingdings" w:hint="default"/>
      </w:rPr>
    </w:lvl>
    <w:lvl w:ilvl="3" w:tplc="0C090001" w:tentative="1">
      <w:start w:val="1"/>
      <w:numFmt w:val="bullet"/>
      <w:lvlText w:val=""/>
      <w:lvlJc w:val="left"/>
      <w:pPr>
        <w:ind w:left="2633" w:hanging="360"/>
      </w:pPr>
      <w:rPr>
        <w:rFonts w:ascii="Symbol" w:hAnsi="Symbol" w:hint="default"/>
      </w:rPr>
    </w:lvl>
    <w:lvl w:ilvl="4" w:tplc="0C090003" w:tentative="1">
      <w:start w:val="1"/>
      <w:numFmt w:val="bullet"/>
      <w:lvlText w:val="o"/>
      <w:lvlJc w:val="left"/>
      <w:pPr>
        <w:ind w:left="3353" w:hanging="360"/>
      </w:pPr>
      <w:rPr>
        <w:rFonts w:ascii="Courier New" w:hAnsi="Courier New" w:cs="Courier New" w:hint="default"/>
      </w:rPr>
    </w:lvl>
    <w:lvl w:ilvl="5" w:tplc="0C090005" w:tentative="1">
      <w:start w:val="1"/>
      <w:numFmt w:val="bullet"/>
      <w:lvlText w:val=""/>
      <w:lvlJc w:val="left"/>
      <w:pPr>
        <w:ind w:left="4073" w:hanging="360"/>
      </w:pPr>
      <w:rPr>
        <w:rFonts w:ascii="Wingdings" w:hAnsi="Wingdings" w:hint="default"/>
      </w:rPr>
    </w:lvl>
    <w:lvl w:ilvl="6" w:tplc="0C090001" w:tentative="1">
      <w:start w:val="1"/>
      <w:numFmt w:val="bullet"/>
      <w:lvlText w:val=""/>
      <w:lvlJc w:val="left"/>
      <w:pPr>
        <w:ind w:left="4793" w:hanging="360"/>
      </w:pPr>
      <w:rPr>
        <w:rFonts w:ascii="Symbol" w:hAnsi="Symbol" w:hint="default"/>
      </w:rPr>
    </w:lvl>
    <w:lvl w:ilvl="7" w:tplc="0C090003" w:tentative="1">
      <w:start w:val="1"/>
      <w:numFmt w:val="bullet"/>
      <w:lvlText w:val="o"/>
      <w:lvlJc w:val="left"/>
      <w:pPr>
        <w:ind w:left="5513" w:hanging="360"/>
      </w:pPr>
      <w:rPr>
        <w:rFonts w:ascii="Courier New" w:hAnsi="Courier New" w:cs="Courier New" w:hint="default"/>
      </w:rPr>
    </w:lvl>
    <w:lvl w:ilvl="8" w:tplc="0C090005" w:tentative="1">
      <w:start w:val="1"/>
      <w:numFmt w:val="bullet"/>
      <w:lvlText w:val=""/>
      <w:lvlJc w:val="left"/>
      <w:pPr>
        <w:ind w:left="6233" w:hanging="360"/>
      </w:pPr>
      <w:rPr>
        <w:rFonts w:ascii="Wingdings" w:hAnsi="Wingdings" w:hint="default"/>
      </w:rPr>
    </w:lvl>
  </w:abstractNum>
  <w:abstractNum w:abstractNumId="17" w15:restartNumberingAfterBreak="0">
    <w:nsid w:val="184A0171"/>
    <w:multiLevelType w:val="multilevel"/>
    <w:tmpl w:val="CC5C7C98"/>
    <w:numStyleLink w:val="ACILAllenDashedList"/>
  </w:abstractNum>
  <w:abstractNum w:abstractNumId="18" w15:restartNumberingAfterBreak="0">
    <w:nsid w:val="1AA603FD"/>
    <w:multiLevelType w:val="multilevel"/>
    <w:tmpl w:val="6E0A09FC"/>
    <w:lvl w:ilvl="0">
      <w:start w:val="1"/>
      <w:numFmt w:val="decimal"/>
      <w:lvlText w:val="%1."/>
      <w:lvlJc w:val="left"/>
      <w:pPr>
        <w:ind w:left="284" w:hanging="284"/>
      </w:pPr>
      <w:rPr>
        <w:rFonts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418" w:hanging="284"/>
      </w:pPr>
      <w:rPr>
        <w:rFonts w:ascii="Symbol" w:hAnsi="Symbol" w:hint="default"/>
      </w:rPr>
    </w:lvl>
    <w:lvl w:ilvl="3">
      <w:start w:val="1"/>
      <w:numFmt w:val="none"/>
      <w:suff w:val="nothing"/>
      <w:lvlText w:val=""/>
      <w:lvlJc w:val="left"/>
      <w:pPr>
        <w:ind w:left="4320" w:hanging="360"/>
      </w:pPr>
      <w:rPr>
        <w:rFonts w:hint="default"/>
      </w:rPr>
    </w:lvl>
    <w:lvl w:ilvl="4">
      <w:start w:val="1"/>
      <w:numFmt w:val="none"/>
      <w:suff w:val="nothing"/>
      <w:lvlText w:val=""/>
      <w:lvlJc w:val="left"/>
      <w:pPr>
        <w:ind w:left="5040" w:hanging="360"/>
      </w:pPr>
      <w:rPr>
        <w:rFonts w:hint="default"/>
      </w:rPr>
    </w:lvl>
    <w:lvl w:ilvl="5">
      <w:start w:val="1"/>
      <w:numFmt w:val="none"/>
      <w:suff w:val="nothing"/>
      <w:lvlText w:val=""/>
      <w:lvlJc w:val="left"/>
      <w:pPr>
        <w:ind w:left="5760" w:hanging="360"/>
      </w:pPr>
      <w:rPr>
        <w:rFonts w:hint="default"/>
      </w:rPr>
    </w:lvl>
    <w:lvl w:ilvl="6">
      <w:start w:val="1"/>
      <w:numFmt w:val="none"/>
      <w:suff w:val="nothing"/>
      <w:lvlText w:val=""/>
      <w:lvlJc w:val="left"/>
      <w:pPr>
        <w:ind w:left="6480" w:hanging="360"/>
      </w:pPr>
      <w:rPr>
        <w:rFonts w:hint="default"/>
      </w:rPr>
    </w:lvl>
    <w:lvl w:ilvl="7">
      <w:start w:val="1"/>
      <w:numFmt w:val="none"/>
      <w:suff w:val="nothing"/>
      <w:lvlText w:val=""/>
      <w:lvlJc w:val="left"/>
      <w:pPr>
        <w:ind w:left="7200" w:hanging="360"/>
      </w:pPr>
      <w:rPr>
        <w:rFonts w:hint="default"/>
      </w:rPr>
    </w:lvl>
    <w:lvl w:ilvl="8">
      <w:start w:val="1"/>
      <w:numFmt w:val="none"/>
      <w:suff w:val="nothing"/>
      <w:lvlText w:val=""/>
      <w:lvlJc w:val="left"/>
      <w:pPr>
        <w:ind w:left="7920" w:hanging="360"/>
      </w:pPr>
      <w:rPr>
        <w:rFonts w:hint="default"/>
      </w:rPr>
    </w:lvl>
  </w:abstractNum>
  <w:abstractNum w:abstractNumId="19" w15:restartNumberingAfterBreak="0">
    <w:nsid w:val="2246223E"/>
    <w:multiLevelType w:val="hybridMultilevel"/>
    <w:tmpl w:val="6346F2E4"/>
    <w:lvl w:ilvl="0" w:tplc="247E82F4">
      <w:start w:val="1"/>
      <w:numFmt w:val="lowerRoman"/>
      <w:lvlText w:val="%1."/>
      <w:lvlJc w:val="left"/>
      <w:pPr>
        <w:ind w:left="1619" w:hanging="720"/>
      </w:pPr>
      <w:rPr>
        <w:rFonts w:hint="default"/>
        <w:i/>
      </w:rPr>
    </w:lvl>
    <w:lvl w:ilvl="1" w:tplc="04090001">
      <w:start w:val="1"/>
      <w:numFmt w:val="bullet"/>
      <w:lvlText w:val=""/>
      <w:lvlJc w:val="left"/>
      <w:pPr>
        <w:ind w:left="1979" w:hanging="360"/>
      </w:pPr>
      <w:rPr>
        <w:rFonts w:ascii="Symbol" w:hAnsi="Symbol" w:hint="default"/>
      </w:r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20" w15:restartNumberingAfterBreak="0">
    <w:nsid w:val="22DB63C9"/>
    <w:multiLevelType w:val="hybridMultilevel"/>
    <w:tmpl w:val="B25847A8"/>
    <w:lvl w:ilvl="0" w:tplc="6B145A3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1E93B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BEB2C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72FE6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7659C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30155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9C547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CA213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FCADB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45C0796"/>
    <w:multiLevelType w:val="multilevel"/>
    <w:tmpl w:val="0C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50B3D86"/>
    <w:multiLevelType w:val="multilevel"/>
    <w:tmpl w:val="1A3CEB72"/>
    <w:lvl w:ilvl="0">
      <w:start w:val="1"/>
      <w:numFmt w:val="bullet"/>
      <w:lvlText w:val=""/>
      <w:lvlJc w:val="left"/>
      <w:pPr>
        <w:ind w:left="340" w:hanging="340"/>
      </w:pPr>
      <w:rPr>
        <w:rFonts w:ascii="Symbol" w:hAnsi="Symbol" w:hint="default"/>
      </w:rPr>
    </w:lvl>
    <w:lvl w:ilvl="1">
      <w:start w:val="1"/>
      <w:numFmt w:val="lowerLetter"/>
      <w:lvlText w:val="%2)"/>
      <w:lvlJc w:val="left"/>
      <w:pPr>
        <w:ind w:left="709" w:hanging="369"/>
      </w:pPr>
      <w:rPr>
        <w:rFonts w:hint="default"/>
      </w:rPr>
    </w:lvl>
    <w:lvl w:ilvl="2">
      <w:start w:val="1"/>
      <w:numFmt w:val="lowerRoman"/>
      <w:lvlText w:val="%3)"/>
      <w:lvlJc w:val="left"/>
      <w:pPr>
        <w:ind w:left="1213" w:hanging="504"/>
      </w:pPr>
      <w:rPr>
        <w:rFonts w:hint="default"/>
      </w:rPr>
    </w:lvl>
    <w:lvl w:ilvl="3">
      <w:start w:val="1"/>
      <w:numFmt w:val="decimal"/>
      <w:lvlText w:val="(%4)"/>
      <w:lvlJc w:val="left"/>
      <w:pPr>
        <w:ind w:left="1701" w:hanging="499"/>
      </w:pPr>
      <w:rPr>
        <w:rFonts w:hint="default"/>
      </w:rPr>
    </w:lvl>
    <w:lvl w:ilvl="4">
      <w:start w:val="1"/>
      <w:numFmt w:val="lowerLetter"/>
      <w:lvlText w:val="(%5)"/>
      <w:lvlJc w:val="left"/>
      <w:pPr>
        <w:ind w:left="2126" w:hanging="357"/>
      </w:pPr>
      <w:rPr>
        <w:rFonts w:hint="default"/>
      </w:rPr>
    </w:lvl>
    <w:lvl w:ilvl="5">
      <w:start w:val="1"/>
      <w:numFmt w:val="lowerRoman"/>
      <w:lvlText w:val="(%6)"/>
      <w:lvlJc w:val="left"/>
      <w:pPr>
        <w:ind w:left="2880" w:hanging="360"/>
      </w:pPr>
      <w:rPr>
        <w:rFonts w:hint="default"/>
      </w:rPr>
    </w:lvl>
    <w:lvl w:ilvl="6">
      <w:start w:val="1"/>
      <w:numFmt w:val="none"/>
      <w:lvlText w:val="%7"/>
      <w:lvlJc w:val="left"/>
      <w:pPr>
        <w:ind w:left="3240" w:hanging="360"/>
      </w:pPr>
      <w:rPr>
        <w:rFonts w:ascii="Garamond" w:hAnsi="Garamond" w:hint="default"/>
      </w:rPr>
    </w:lvl>
    <w:lvl w:ilvl="7">
      <w:start w:val="1"/>
      <w:numFmt w:val="none"/>
      <w:lvlText w:val="%8"/>
      <w:lvlJc w:val="left"/>
      <w:pPr>
        <w:ind w:left="3600" w:hanging="360"/>
      </w:pPr>
      <w:rPr>
        <w:rFonts w:ascii="Garamond" w:hAnsi="Garamond" w:hint="default"/>
      </w:rPr>
    </w:lvl>
    <w:lvl w:ilvl="8">
      <w:start w:val="1"/>
      <w:numFmt w:val="none"/>
      <w:lvlText w:val="%9"/>
      <w:lvlJc w:val="left"/>
      <w:pPr>
        <w:ind w:left="3960" w:hanging="360"/>
      </w:pPr>
      <w:rPr>
        <w:rFonts w:ascii="Garamond" w:hAnsi="Garamond" w:hint="default"/>
      </w:rPr>
    </w:lvl>
  </w:abstractNum>
  <w:abstractNum w:abstractNumId="23" w15:restartNumberingAfterBreak="0">
    <w:nsid w:val="27F10F48"/>
    <w:multiLevelType w:val="hybridMultilevel"/>
    <w:tmpl w:val="D8D26974"/>
    <w:lvl w:ilvl="0" w:tplc="140A30B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DE038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D2028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E0AA0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E4206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985CF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38BB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62012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0E63E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9B82C3A"/>
    <w:multiLevelType w:val="hybridMultilevel"/>
    <w:tmpl w:val="D9ECD25E"/>
    <w:lvl w:ilvl="0" w:tplc="097AEBC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B8E28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2621E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1AF59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02A21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52526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209D5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EEB40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30A2B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FAA5670"/>
    <w:multiLevelType w:val="multilevel"/>
    <w:tmpl w:val="5F4A1496"/>
    <w:styleLink w:val="ACILAllenPartNumbers"/>
    <w:lvl w:ilvl="0">
      <w:start w:val="1"/>
      <w:numFmt w:val="cardinalText"/>
      <w:suff w:val="nothing"/>
      <w:lvlText w:val="Part %1"/>
      <w:lvlJc w:val="left"/>
      <w:pPr>
        <w:ind w:left="360" w:hanging="360"/>
      </w:pPr>
      <w:rPr>
        <w:rFonts w:hint="default"/>
        <w:spacing w:val="40"/>
        <w:sz w:val="160"/>
      </w:rPr>
    </w:lvl>
    <w:lvl w:ilvl="1">
      <w:start w:val="1"/>
      <w:numFmt w:val="upperRoman"/>
      <w:suff w:val="nothing"/>
      <w:lvlText w:val="%2"/>
      <w:lvlJc w:val="center"/>
      <w:pPr>
        <w:ind w:left="0" w:firstLine="0"/>
      </w:pPr>
      <w:rPr>
        <w:rFonts w:ascii="Georgia" w:hAnsi="Georgia" w:hint="default"/>
        <w:b/>
        <w:i w:val="0"/>
        <w:color w:val="FFFFFF" w:themeColor="background1"/>
        <w:sz w:val="96"/>
      </w:rPr>
    </w:lvl>
    <w:lvl w:ilvl="2">
      <w:start w:val="1"/>
      <w:numFmt w:val="none"/>
      <w:suff w:val="nothing"/>
      <w:lvlText w:val=""/>
      <w:lvlJc w:val="left"/>
      <w:pPr>
        <w:ind w:left="1080" w:hanging="360"/>
      </w:pPr>
      <w:rPr>
        <w:rFonts w:hint="default"/>
      </w:rPr>
    </w:lvl>
    <w:lvl w:ilvl="3">
      <w:start w:val="1"/>
      <w:numFmt w:val="none"/>
      <w:suff w:val="nothing"/>
      <w:lvlText w:val=""/>
      <w:lvlJc w:val="left"/>
      <w:pPr>
        <w:ind w:left="1440" w:hanging="360"/>
      </w:pPr>
      <w:rPr>
        <w:rFonts w:hint="default"/>
      </w:rPr>
    </w:lvl>
    <w:lvl w:ilvl="4">
      <w:start w:val="1"/>
      <w:numFmt w:val="none"/>
      <w:suff w:val="nothing"/>
      <w:lvlText w:val=""/>
      <w:lvlJc w:val="left"/>
      <w:pPr>
        <w:ind w:left="1800" w:hanging="360"/>
      </w:pPr>
      <w:rPr>
        <w:rFonts w:hint="default"/>
      </w:rPr>
    </w:lvl>
    <w:lvl w:ilvl="5">
      <w:start w:val="1"/>
      <w:numFmt w:val="none"/>
      <w:suff w:val="nothing"/>
      <w:lvlText w:val=""/>
      <w:lvlJc w:val="left"/>
      <w:pPr>
        <w:ind w:left="2160" w:hanging="360"/>
      </w:pPr>
      <w:rPr>
        <w:rFonts w:hint="default"/>
      </w:rPr>
    </w:lvl>
    <w:lvl w:ilvl="6">
      <w:start w:val="1"/>
      <w:numFmt w:val="none"/>
      <w:suff w:val="nothing"/>
      <w:lvlText w:val=""/>
      <w:lvlJc w:val="left"/>
      <w:pPr>
        <w:ind w:left="2520" w:hanging="360"/>
      </w:pPr>
      <w:rPr>
        <w:rFonts w:hint="default"/>
      </w:rPr>
    </w:lvl>
    <w:lvl w:ilvl="7">
      <w:start w:val="1"/>
      <w:numFmt w:val="none"/>
      <w:suff w:val="nothing"/>
      <w:lvlText w:val="%8"/>
      <w:lvlJc w:val="left"/>
      <w:pPr>
        <w:ind w:left="2880" w:hanging="360"/>
      </w:pPr>
      <w:rPr>
        <w:rFonts w:hint="default"/>
      </w:rPr>
    </w:lvl>
    <w:lvl w:ilvl="8">
      <w:start w:val="1"/>
      <w:numFmt w:val="none"/>
      <w:suff w:val="nothing"/>
      <w:lvlText w:val="%9"/>
      <w:lvlJc w:val="left"/>
      <w:pPr>
        <w:ind w:left="3240" w:hanging="360"/>
      </w:pPr>
      <w:rPr>
        <w:rFonts w:hint="default"/>
      </w:rPr>
    </w:lvl>
  </w:abstractNum>
  <w:abstractNum w:abstractNumId="26" w15:restartNumberingAfterBreak="0">
    <w:nsid w:val="34875C3E"/>
    <w:multiLevelType w:val="hybridMultilevel"/>
    <w:tmpl w:val="E65C0656"/>
    <w:lvl w:ilvl="0" w:tplc="66985784">
      <w:start w:val="2"/>
      <w:numFmt w:val="lowerLetter"/>
      <w:lvlText w:val="(%1)"/>
      <w:lvlJc w:val="left"/>
      <w:pPr>
        <w:ind w:left="14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DF70571A">
      <w:start w:val="1"/>
      <w:numFmt w:val="lowerLetter"/>
      <w:lvlText w:val="%2"/>
      <w:lvlJc w:val="left"/>
      <w:pPr>
        <w:ind w:left="18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E2CC4204">
      <w:start w:val="1"/>
      <w:numFmt w:val="lowerRoman"/>
      <w:lvlText w:val="%3"/>
      <w:lvlJc w:val="left"/>
      <w:pPr>
        <w:ind w:left="25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E9C85106">
      <w:start w:val="1"/>
      <w:numFmt w:val="decimal"/>
      <w:lvlText w:val="%4"/>
      <w:lvlJc w:val="left"/>
      <w:pPr>
        <w:ind w:left="32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B4908716">
      <w:start w:val="1"/>
      <w:numFmt w:val="lowerLetter"/>
      <w:lvlText w:val="%5"/>
      <w:lvlJc w:val="left"/>
      <w:pPr>
        <w:ind w:left="39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BB6EF92C">
      <w:start w:val="1"/>
      <w:numFmt w:val="lowerRoman"/>
      <w:lvlText w:val="%6"/>
      <w:lvlJc w:val="left"/>
      <w:pPr>
        <w:ind w:left="46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B6580056">
      <w:start w:val="1"/>
      <w:numFmt w:val="decimal"/>
      <w:lvlText w:val="%7"/>
      <w:lvlJc w:val="left"/>
      <w:pPr>
        <w:ind w:left="54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4FB8B244">
      <w:start w:val="1"/>
      <w:numFmt w:val="lowerLetter"/>
      <w:lvlText w:val="%8"/>
      <w:lvlJc w:val="left"/>
      <w:pPr>
        <w:ind w:left="61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644E6FC4">
      <w:start w:val="1"/>
      <w:numFmt w:val="lowerRoman"/>
      <w:lvlText w:val="%9"/>
      <w:lvlJc w:val="left"/>
      <w:pPr>
        <w:ind w:left="68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5D26D71"/>
    <w:multiLevelType w:val="multilevel"/>
    <w:tmpl w:val="A2BED88C"/>
    <w:styleLink w:val="ACILAllenBoxBulletedList"/>
    <w:lvl w:ilvl="0">
      <w:numFmt w:val="bullet"/>
      <w:pStyle w:val="BoxListBullet"/>
      <w:lvlText w:val=""/>
      <w:lvlJc w:val="left"/>
      <w:pPr>
        <w:ind w:left="284" w:hanging="284"/>
      </w:pPr>
      <w:rPr>
        <w:rFonts w:ascii="Wingdings" w:hAnsi="Wingdings" w:hint="default"/>
        <w:color w:val="auto"/>
        <w:position w:val="-2"/>
      </w:rPr>
    </w:lvl>
    <w:lvl w:ilvl="1">
      <w:start w:val="1"/>
      <w:numFmt w:val="bullet"/>
      <w:pStyle w:val="BoxListBullet2"/>
      <w:lvlText w:val=""/>
      <w:lvlJc w:val="left"/>
      <w:pPr>
        <w:ind w:left="567" w:hanging="283"/>
      </w:pPr>
      <w:rPr>
        <w:rFonts w:ascii="Wingdings" w:hAnsi="Wingdings" w:hint="default"/>
      </w:rPr>
    </w:lvl>
    <w:lvl w:ilvl="2">
      <w:start w:val="1"/>
      <w:numFmt w:val="bullet"/>
      <w:pStyle w:val="BoxListBullet3"/>
      <w:lvlText w:val="…"/>
      <w:lvlJc w:val="left"/>
      <w:pPr>
        <w:ind w:left="851" w:hanging="284"/>
      </w:pPr>
      <w:rPr>
        <w:rFonts w:ascii="Times New Roman" w:hAnsi="Times New Roman" w:cs="Times New Roman" w:hint="default"/>
        <w:position w:val="4"/>
      </w:rPr>
    </w:lvl>
    <w:lvl w:ilvl="3">
      <w:start w:val="1"/>
      <w:numFmt w:val="none"/>
      <w:suff w:val="nothing"/>
      <w:lvlText w:val=""/>
      <w:lvlJc w:val="left"/>
      <w:pPr>
        <w:ind w:left="1134"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3BCD6949"/>
    <w:multiLevelType w:val="multilevel"/>
    <w:tmpl w:val="0C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D7D2086"/>
    <w:multiLevelType w:val="hybridMultilevel"/>
    <w:tmpl w:val="6346F2E4"/>
    <w:lvl w:ilvl="0" w:tplc="247E82F4">
      <w:start w:val="1"/>
      <w:numFmt w:val="lowerRoman"/>
      <w:lvlText w:val="%1."/>
      <w:lvlJc w:val="left"/>
      <w:pPr>
        <w:ind w:left="1619" w:hanging="720"/>
      </w:pPr>
      <w:rPr>
        <w:rFonts w:hint="default"/>
        <w:i/>
      </w:rPr>
    </w:lvl>
    <w:lvl w:ilvl="1" w:tplc="04090001">
      <w:start w:val="1"/>
      <w:numFmt w:val="bullet"/>
      <w:lvlText w:val=""/>
      <w:lvlJc w:val="left"/>
      <w:pPr>
        <w:ind w:left="1979" w:hanging="360"/>
      </w:pPr>
      <w:rPr>
        <w:rFonts w:ascii="Symbol" w:hAnsi="Symbol" w:hint="default"/>
      </w:r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30" w15:restartNumberingAfterBreak="0">
    <w:nsid w:val="43222DA2"/>
    <w:multiLevelType w:val="hybridMultilevel"/>
    <w:tmpl w:val="E48C4CF4"/>
    <w:lvl w:ilvl="0" w:tplc="ECBEBE16">
      <w:start w:val="1"/>
      <w:numFmt w:val="bullet"/>
      <w:pStyle w:val="BoxQuoteListBullet"/>
      <w:lvlText w:val=""/>
      <w:lvlJc w:val="left"/>
      <w:pPr>
        <w:ind w:left="587" w:hanging="360"/>
      </w:pPr>
      <w:rPr>
        <w:rFonts w:ascii="Symbol" w:hAnsi="Symbol" w:hint="default"/>
      </w:rPr>
    </w:lvl>
    <w:lvl w:ilvl="1" w:tplc="45683542" w:tentative="1">
      <w:start w:val="1"/>
      <w:numFmt w:val="bullet"/>
      <w:lvlText w:val="o"/>
      <w:lvlJc w:val="left"/>
      <w:pPr>
        <w:ind w:left="1307" w:hanging="360"/>
      </w:pPr>
      <w:rPr>
        <w:rFonts w:ascii="Courier New" w:hAnsi="Courier New" w:cs="Courier New" w:hint="default"/>
      </w:rPr>
    </w:lvl>
    <w:lvl w:ilvl="2" w:tplc="87A8D99A" w:tentative="1">
      <w:start w:val="1"/>
      <w:numFmt w:val="bullet"/>
      <w:lvlText w:val=""/>
      <w:lvlJc w:val="left"/>
      <w:pPr>
        <w:ind w:left="2027" w:hanging="360"/>
      </w:pPr>
      <w:rPr>
        <w:rFonts w:ascii="Wingdings" w:hAnsi="Wingdings" w:hint="default"/>
      </w:rPr>
    </w:lvl>
    <w:lvl w:ilvl="3" w:tplc="95429438" w:tentative="1">
      <w:start w:val="1"/>
      <w:numFmt w:val="bullet"/>
      <w:lvlText w:val=""/>
      <w:lvlJc w:val="left"/>
      <w:pPr>
        <w:ind w:left="2747" w:hanging="360"/>
      </w:pPr>
      <w:rPr>
        <w:rFonts w:ascii="Symbol" w:hAnsi="Symbol" w:hint="default"/>
      </w:rPr>
    </w:lvl>
    <w:lvl w:ilvl="4" w:tplc="BA586674" w:tentative="1">
      <w:start w:val="1"/>
      <w:numFmt w:val="bullet"/>
      <w:lvlText w:val="o"/>
      <w:lvlJc w:val="left"/>
      <w:pPr>
        <w:ind w:left="3467" w:hanging="360"/>
      </w:pPr>
      <w:rPr>
        <w:rFonts w:ascii="Courier New" w:hAnsi="Courier New" w:cs="Courier New" w:hint="default"/>
      </w:rPr>
    </w:lvl>
    <w:lvl w:ilvl="5" w:tplc="0F7A370E" w:tentative="1">
      <w:start w:val="1"/>
      <w:numFmt w:val="bullet"/>
      <w:lvlText w:val=""/>
      <w:lvlJc w:val="left"/>
      <w:pPr>
        <w:ind w:left="4187" w:hanging="360"/>
      </w:pPr>
      <w:rPr>
        <w:rFonts w:ascii="Wingdings" w:hAnsi="Wingdings" w:hint="default"/>
      </w:rPr>
    </w:lvl>
    <w:lvl w:ilvl="6" w:tplc="84D461FC" w:tentative="1">
      <w:start w:val="1"/>
      <w:numFmt w:val="bullet"/>
      <w:lvlText w:val=""/>
      <w:lvlJc w:val="left"/>
      <w:pPr>
        <w:ind w:left="4907" w:hanging="360"/>
      </w:pPr>
      <w:rPr>
        <w:rFonts w:ascii="Symbol" w:hAnsi="Symbol" w:hint="default"/>
      </w:rPr>
    </w:lvl>
    <w:lvl w:ilvl="7" w:tplc="9CE8E02C" w:tentative="1">
      <w:start w:val="1"/>
      <w:numFmt w:val="bullet"/>
      <w:lvlText w:val="o"/>
      <w:lvlJc w:val="left"/>
      <w:pPr>
        <w:ind w:left="5627" w:hanging="360"/>
      </w:pPr>
      <w:rPr>
        <w:rFonts w:ascii="Courier New" w:hAnsi="Courier New" w:cs="Courier New" w:hint="default"/>
      </w:rPr>
    </w:lvl>
    <w:lvl w:ilvl="8" w:tplc="852A1C84" w:tentative="1">
      <w:start w:val="1"/>
      <w:numFmt w:val="bullet"/>
      <w:lvlText w:val=""/>
      <w:lvlJc w:val="left"/>
      <w:pPr>
        <w:ind w:left="6347" w:hanging="360"/>
      </w:pPr>
      <w:rPr>
        <w:rFonts w:ascii="Wingdings" w:hAnsi="Wingdings" w:hint="default"/>
      </w:rPr>
    </w:lvl>
  </w:abstractNum>
  <w:abstractNum w:abstractNumId="31" w15:restartNumberingAfterBreak="0">
    <w:nsid w:val="43D200A3"/>
    <w:multiLevelType w:val="singleLevel"/>
    <w:tmpl w:val="5B28AA70"/>
    <w:lvl w:ilvl="0">
      <w:start w:val="1"/>
      <w:numFmt w:val="bullet"/>
      <w:pStyle w:val="SideDash"/>
      <w:lvlText w:val="–"/>
      <w:lvlJc w:val="left"/>
      <w:pPr>
        <w:tabs>
          <w:tab w:val="num" w:pos="170"/>
        </w:tabs>
        <w:ind w:left="170" w:hanging="170"/>
      </w:pPr>
      <w:rPr>
        <w:rFonts w:ascii="Times New Roman" w:hAnsi="Times New Roman" w:cs="Times New Roman" w:hint="default"/>
        <w:b w:val="0"/>
        <w:i/>
        <w:sz w:val="20"/>
      </w:rPr>
    </w:lvl>
  </w:abstractNum>
  <w:abstractNum w:abstractNumId="32" w15:restartNumberingAfterBreak="0">
    <w:nsid w:val="448C61FD"/>
    <w:multiLevelType w:val="multilevel"/>
    <w:tmpl w:val="1FA672DC"/>
    <w:styleLink w:val="ACILAllenTableBulletedList"/>
    <w:lvl w:ilvl="0">
      <w:start w:val="1"/>
      <w:numFmt w:val="bullet"/>
      <w:pStyle w:val="Tablelistbullet"/>
      <w:lvlText w:val=""/>
      <w:lvlJc w:val="left"/>
      <w:pPr>
        <w:ind w:left="227" w:hanging="227"/>
      </w:pPr>
      <w:rPr>
        <w:rFonts w:ascii="Wingdings" w:hAnsi="Wingdings" w:hint="default"/>
        <w:color w:val="auto"/>
      </w:rPr>
    </w:lvl>
    <w:lvl w:ilvl="1">
      <w:start w:val="1"/>
      <w:numFmt w:val="bullet"/>
      <w:pStyle w:val="Tablelistbullet2"/>
      <w:lvlText w:val=""/>
      <w:lvlJc w:val="left"/>
      <w:pPr>
        <w:ind w:left="454" w:hanging="227"/>
      </w:pPr>
      <w:rPr>
        <w:rFonts w:ascii="Wingdings" w:hAnsi="Wingdings" w:hint="default"/>
      </w:rPr>
    </w:lvl>
    <w:lvl w:ilvl="2">
      <w:start w:val="1"/>
      <w:numFmt w:val="bullet"/>
      <w:pStyle w:val="Tablelistbullet3"/>
      <w:lvlText w:val="…"/>
      <w:lvlJc w:val="left"/>
      <w:pPr>
        <w:ind w:left="680" w:hanging="226"/>
      </w:pPr>
      <w:rPr>
        <w:rFonts w:ascii="Arial" w:hAnsi="Arial" w:hint="default"/>
        <w:position w:val="2"/>
      </w:rPr>
    </w:lvl>
    <w:lvl w:ilvl="3">
      <w:start w:val="1"/>
      <w:numFmt w:val="none"/>
      <w:suff w:val="nothing"/>
      <w:lvlText w:val=""/>
      <w:lvlJc w:val="left"/>
      <w:pPr>
        <w:ind w:left="907" w:firstLine="0"/>
      </w:pPr>
      <w:rPr>
        <w:rFonts w:hint="default"/>
      </w:rPr>
    </w:lvl>
    <w:lvl w:ilvl="4">
      <w:start w:val="1"/>
      <w:numFmt w:val="none"/>
      <w:suff w:val="nothing"/>
      <w:lvlText w:val=""/>
      <w:lvlJc w:val="left"/>
      <w:pPr>
        <w:ind w:left="-32767" w:firstLine="0"/>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33" w15:restartNumberingAfterBreak="0">
    <w:nsid w:val="49406820"/>
    <w:multiLevelType w:val="hybridMultilevel"/>
    <w:tmpl w:val="73CA79EE"/>
    <w:lvl w:ilvl="0" w:tplc="6D56D942">
      <w:start w:val="1"/>
      <w:numFmt w:val="bullet"/>
      <w:lvlText w:val=""/>
      <w:lvlJc w:val="left"/>
      <w:pPr>
        <w:ind w:left="2860" w:hanging="360"/>
      </w:pPr>
      <w:rPr>
        <w:rFonts w:ascii="Symbol" w:hAnsi="Symbol" w:hint="default"/>
      </w:rPr>
    </w:lvl>
    <w:lvl w:ilvl="1" w:tplc="0C090003">
      <w:start w:val="1"/>
      <w:numFmt w:val="bullet"/>
      <w:lvlText w:val="o"/>
      <w:lvlJc w:val="left"/>
      <w:pPr>
        <w:ind w:left="3580" w:hanging="360"/>
      </w:pPr>
      <w:rPr>
        <w:rFonts w:ascii="Courier New" w:hAnsi="Courier New" w:cs="Courier New" w:hint="default"/>
      </w:rPr>
    </w:lvl>
    <w:lvl w:ilvl="2" w:tplc="0C090005" w:tentative="1">
      <w:start w:val="1"/>
      <w:numFmt w:val="bullet"/>
      <w:lvlText w:val=""/>
      <w:lvlJc w:val="left"/>
      <w:pPr>
        <w:ind w:left="4300" w:hanging="360"/>
      </w:pPr>
      <w:rPr>
        <w:rFonts w:ascii="Wingdings" w:hAnsi="Wingdings" w:hint="default"/>
      </w:rPr>
    </w:lvl>
    <w:lvl w:ilvl="3" w:tplc="0C090001" w:tentative="1">
      <w:start w:val="1"/>
      <w:numFmt w:val="bullet"/>
      <w:lvlText w:val=""/>
      <w:lvlJc w:val="left"/>
      <w:pPr>
        <w:ind w:left="5020" w:hanging="360"/>
      </w:pPr>
      <w:rPr>
        <w:rFonts w:ascii="Symbol" w:hAnsi="Symbol" w:hint="default"/>
      </w:rPr>
    </w:lvl>
    <w:lvl w:ilvl="4" w:tplc="0C090003" w:tentative="1">
      <w:start w:val="1"/>
      <w:numFmt w:val="bullet"/>
      <w:lvlText w:val="o"/>
      <w:lvlJc w:val="left"/>
      <w:pPr>
        <w:ind w:left="5740" w:hanging="360"/>
      </w:pPr>
      <w:rPr>
        <w:rFonts w:ascii="Courier New" w:hAnsi="Courier New" w:cs="Courier New" w:hint="default"/>
      </w:rPr>
    </w:lvl>
    <w:lvl w:ilvl="5" w:tplc="0C090005" w:tentative="1">
      <w:start w:val="1"/>
      <w:numFmt w:val="bullet"/>
      <w:lvlText w:val=""/>
      <w:lvlJc w:val="left"/>
      <w:pPr>
        <w:ind w:left="6460" w:hanging="360"/>
      </w:pPr>
      <w:rPr>
        <w:rFonts w:ascii="Wingdings" w:hAnsi="Wingdings" w:hint="default"/>
      </w:rPr>
    </w:lvl>
    <w:lvl w:ilvl="6" w:tplc="0C090001" w:tentative="1">
      <w:start w:val="1"/>
      <w:numFmt w:val="bullet"/>
      <w:lvlText w:val=""/>
      <w:lvlJc w:val="left"/>
      <w:pPr>
        <w:ind w:left="7180" w:hanging="360"/>
      </w:pPr>
      <w:rPr>
        <w:rFonts w:ascii="Symbol" w:hAnsi="Symbol" w:hint="default"/>
      </w:rPr>
    </w:lvl>
    <w:lvl w:ilvl="7" w:tplc="0C090003" w:tentative="1">
      <w:start w:val="1"/>
      <w:numFmt w:val="bullet"/>
      <w:lvlText w:val="o"/>
      <w:lvlJc w:val="left"/>
      <w:pPr>
        <w:ind w:left="7900" w:hanging="360"/>
      </w:pPr>
      <w:rPr>
        <w:rFonts w:ascii="Courier New" w:hAnsi="Courier New" w:cs="Courier New" w:hint="default"/>
      </w:rPr>
    </w:lvl>
    <w:lvl w:ilvl="8" w:tplc="0C090005" w:tentative="1">
      <w:start w:val="1"/>
      <w:numFmt w:val="bullet"/>
      <w:lvlText w:val=""/>
      <w:lvlJc w:val="left"/>
      <w:pPr>
        <w:ind w:left="8620" w:hanging="360"/>
      </w:pPr>
      <w:rPr>
        <w:rFonts w:ascii="Wingdings" w:hAnsi="Wingdings" w:hint="default"/>
      </w:rPr>
    </w:lvl>
  </w:abstractNum>
  <w:abstractNum w:abstractNumId="34" w15:restartNumberingAfterBreak="0">
    <w:nsid w:val="4B11073C"/>
    <w:multiLevelType w:val="hybridMultilevel"/>
    <w:tmpl w:val="EE469740"/>
    <w:lvl w:ilvl="0" w:tplc="F0207E0E">
      <w:start w:val="1"/>
      <w:numFmt w:val="decimal"/>
      <w:lvlText w:val="%1."/>
      <w:lvlJc w:val="left"/>
      <w:pPr>
        <w:ind w:left="36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0301822"/>
    <w:multiLevelType w:val="hybridMultilevel"/>
    <w:tmpl w:val="057809A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4F21326"/>
    <w:multiLevelType w:val="hybridMultilevel"/>
    <w:tmpl w:val="6346F2E4"/>
    <w:lvl w:ilvl="0" w:tplc="247E82F4">
      <w:start w:val="1"/>
      <w:numFmt w:val="lowerRoman"/>
      <w:lvlText w:val="%1."/>
      <w:lvlJc w:val="left"/>
      <w:pPr>
        <w:ind w:left="1619" w:hanging="720"/>
      </w:pPr>
      <w:rPr>
        <w:rFonts w:hint="default"/>
        <w:i/>
      </w:rPr>
    </w:lvl>
    <w:lvl w:ilvl="1" w:tplc="04090001">
      <w:start w:val="1"/>
      <w:numFmt w:val="bullet"/>
      <w:lvlText w:val=""/>
      <w:lvlJc w:val="left"/>
      <w:pPr>
        <w:ind w:left="1979" w:hanging="360"/>
      </w:pPr>
      <w:rPr>
        <w:rFonts w:ascii="Symbol" w:hAnsi="Symbol" w:hint="default"/>
      </w:r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37" w15:restartNumberingAfterBreak="0">
    <w:nsid w:val="5AE96AD2"/>
    <w:multiLevelType w:val="hybridMultilevel"/>
    <w:tmpl w:val="B20638B4"/>
    <w:lvl w:ilvl="0" w:tplc="3B241F94">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C516583"/>
    <w:multiLevelType w:val="multilevel"/>
    <w:tmpl w:val="2AD0BF0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753703"/>
    <w:multiLevelType w:val="hybridMultilevel"/>
    <w:tmpl w:val="45B6E78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Times New Roman"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Times New Roman"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Times New Roman" w:hint="default"/>
      </w:rPr>
    </w:lvl>
    <w:lvl w:ilvl="8" w:tplc="0C090005">
      <w:start w:val="1"/>
      <w:numFmt w:val="bullet"/>
      <w:lvlText w:val=""/>
      <w:lvlJc w:val="left"/>
      <w:pPr>
        <w:ind w:left="6120" w:hanging="360"/>
      </w:pPr>
      <w:rPr>
        <w:rFonts w:ascii="Wingdings" w:hAnsi="Wingdings" w:hint="default"/>
      </w:rPr>
    </w:lvl>
  </w:abstractNum>
  <w:abstractNum w:abstractNumId="40" w15:restartNumberingAfterBreak="0">
    <w:nsid w:val="5CA3243E"/>
    <w:multiLevelType w:val="hybridMultilevel"/>
    <w:tmpl w:val="6346F2E4"/>
    <w:lvl w:ilvl="0" w:tplc="247E82F4">
      <w:start w:val="1"/>
      <w:numFmt w:val="lowerRoman"/>
      <w:lvlText w:val="%1."/>
      <w:lvlJc w:val="left"/>
      <w:pPr>
        <w:ind w:left="1619" w:hanging="720"/>
      </w:pPr>
      <w:rPr>
        <w:rFonts w:hint="default"/>
        <w:i/>
      </w:rPr>
    </w:lvl>
    <w:lvl w:ilvl="1" w:tplc="04090001">
      <w:start w:val="1"/>
      <w:numFmt w:val="bullet"/>
      <w:lvlText w:val=""/>
      <w:lvlJc w:val="left"/>
      <w:pPr>
        <w:ind w:left="1979" w:hanging="360"/>
      </w:pPr>
      <w:rPr>
        <w:rFonts w:ascii="Symbol" w:hAnsi="Symbol" w:hint="default"/>
      </w:r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41" w15:restartNumberingAfterBreak="0">
    <w:nsid w:val="5F2426D5"/>
    <w:multiLevelType w:val="hybridMultilevel"/>
    <w:tmpl w:val="D36A372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17816DE"/>
    <w:multiLevelType w:val="multilevel"/>
    <w:tmpl w:val="009E2550"/>
    <w:lvl w:ilvl="0">
      <w:start w:val="1"/>
      <w:numFmt w:val="bullet"/>
      <w:lvlText w:val="¾"/>
      <w:lvlJc w:val="left"/>
      <w:pPr>
        <w:ind w:left="284" w:hanging="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418" w:hanging="284"/>
      </w:pPr>
      <w:rPr>
        <w:rFonts w:ascii="Symbol" w:hAnsi="Symbol" w:hint="default"/>
      </w:rPr>
    </w:lvl>
    <w:lvl w:ilvl="3">
      <w:start w:val="1"/>
      <w:numFmt w:val="none"/>
      <w:suff w:val="nothing"/>
      <w:lvlText w:val=""/>
      <w:lvlJc w:val="left"/>
      <w:pPr>
        <w:ind w:left="4320" w:hanging="360"/>
      </w:pPr>
      <w:rPr>
        <w:rFonts w:hint="default"/>
      </w:rPr>
    </w:lvl>
    <w:lvl w:ilvl="4">
      <w:start w:val="1"/>
      <w:numFmt w:val="none"/>
      <w:suff w:val="nothing"/>
      <w:lvlText w:val=""/>
      <w:lvlJc w:val="left"/>
      <w:pPr>
        <w:ind w:left="5040" w:hanging="360"/>
      </w:pPr>
      <w:rPr>
        <w:rFonts w:hint="default"/>
      </w:rPr>
    </w:lvl>
    <w:lvl w:ilvl="5">
      <w:start w:val="1"/>
      <w:numFmt w:val="none"/>
      <w:suff w:val="nothing"/>
      <w:lvlText w:val=""/>
      <w:lvlJc w:val="left"/>
      <w:pPr>
        <w:ind w:left="5760" w:hanging="360"/>
      </w:pPr>
      <w:rPr>
        <w:rFonts w:hint="default"/>
      </w:rPr>
    </w:lvl>
    <w:lvl w:ilvl="6">
      <w:start w:val="1"/>
      <w:numFmt w:val="none"/>
      <w:suff w:val="nothing"/>
      <w:lvlText w:val=""/>
      <w:lvlJc w:val="left"/>
      <w:pPr>
        <w:ind w:left="6480" w:hanging="360"/>
      </w:pPr>
      <w:rPr>
        <w:rFonts w:hint="default"/>
      </w:rPr>
    </w:lvl>
    <w:lvl w:ilvl="7">
      <w:start w:val="1"/>
      <w:numFmt w:val="none"/>
      <w:suff w:val="nothing"/>
      <w:lvlText w:val=""/>
      <w:lvlJc w:val="left"/>
      <w:pPr>
        <w:ind w:left="7200" w:hanging="360"/>
      </w:pPr>
      <w:rPr>
        <w:rFonts w:hint="default"/>
      </w:rPr>
    </w:lvl>
    <w:lvl w:ilvl="8">
      <w:start w:val="1"/>
      <w:numFmt w:val="none"/>
      <w:suff w:val="nothing"/>
      <w:lvlText w:val=""/>
      <w:lvlJc w:val="left"/>
      <w:pPr>
        <w:ind w:left="7920" w:hanging="360"/>
      </w:pPr>
      <w:rPr>
        <w:rFonts w:hint="default"/>
      </w:rPr>
    </w:lvl>
  </w:abstractNum>
  <w:abstractNum w:abstractNumId="43" w15:restartNumberingAfterBreak="0">
    <w:nsid w:val="64F264CF"/>
    <w:multiLevelType w:val="multilevel"/>
    <w:tmpl w:val="0A20C048"/>
    <w:lvl w:ilvl="0">
      <w:start w:val="1"/>
      <w:numFmt w:val="decimal"/>
      <w:pStyle w:val="Heading1"/>
      <w:lvlText w:val="%1"/>
      <w:lvlJc w:val="left"/>
      <w:pPr>
        <w:tabs>
          <w:tab w:val="num" w:pos="902"/>
        </w:tabs>
        <w:ind w:left="902" w:hanging="902"/>
      </w:pPr>
      <w:rPr>
        <w:rFonts w:hint="default"/>
      </w:rPr>
    </w:lvl>
    <w:lvl w:ilvl="1">
      <w:start w:val="1"/>
      <w:numFmt w:val="decimal"/>
      <w:pStyle w:val="Heading2"/>
      <w:lvlText w:val="%1.%2"/>
      <w:lvlJc w:val="left"/>
      <w:pPr>
        <w:tabs>
          <w:tab w:val="num" w:pos="902"/>
        </w:tabs>
        <w:ind w:left="902" w:hanging="902"/>
      </w:pPr>
      <w:rPr>
        <w:rFonts w:ascii="Times New Roman" w:hAnsi="Times New Roman" w:cs="Times New Roman" w:hint="default"/>
      </w:rPr>
    </w:lvl>
    <w:lvl w:ilvl="2">
      <w:start w:val="1"/>
      <w:numFmt w:val="decimal"/>
      <w:pStyle w:val="Heading3"/>
      <w:lvlText w:val="%1.%2.%3"/>
      <w:lvlJc w:val="left"/>
      <w:pPr>
        <w:tabs>
          <w:tab w:val="num" w:pos="902"/>
        </w:tabs>
        <w:ind w:left="902" w:hanging="902"/>
      </w:pPr>
      <w:rPr>
        <w:rFonts w:hint="default"/>
        <w:b/>
        <w:color w:val="9255A1" w:themeColor="accent4" w:themeShade="BF"/>
        <w:sz w:val="22"/>
        <w:szCs w:val="22"/>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lvlText w:val=""/>
      <w:lvlJc w:val="left"/>
      <w:pPr>
        <w:tabs>
          <w:tab w:val="num" w:pos="1152"/>
        </w:tabs>
        <w:ind w:left="1152" w:hanging="1152"/>
      </w:pPr>
      <w:rPr>
        <w:rFonts w:hint="default"/>
      </w:rPr>
    </w:lvl>
    <w:lvl w:ilvl="6">
      <w:start w:val="1"/>
      <w:numFmt w:val="upperLetter"/>
      <w:pStyle w:val="Heading7"/>
      <w:lvlText w:val="Appendix %7"/>
      <w:lvlJc w:val="left"/>
      <w:pPr>
        <w:tabs>
          <w:tab w:val="num" w:pos="0"/>
        </w:tabs>
        <w:ind w:left="0" w:hanging="2552"/>
      </w:pPr>
      <w:rPr>
        <w:rFonts w:ascii="Times New Roman" w:hAnsi="Times New Roman" w:cs="Times New Roman" w:hint="default"/>
      </w:rPr>
    </w:lvl>
    <w:lvl w:ilvl="7">
      <w:start w:val="1"/>
      <w:numFmt w:val="decimal"/>
      <w:pStyle w:val="Heading8"/>
      <w:lvlText w:val="%7.%8"/>
      <w:lvlJc w:val="left"/>
      <w:pPr>
        <w:tabs>
          <w:tab w:val="num" w:pos="902"/>
        </w:tabs>
        <w:ind w:left="902" w:hanging="902"/>
      </w:pPr>
      <w:rPr>
        <w:rFonts w:hint="default"/>
      </w:rPr>
    </w:lvl>
    <w:lvl w:ilvl="8">
      <w:start w:val="1"/>
      <w:numFmt w:val="decimal"/>
      <w:pStyle w:val="Heading9"/>
      <w:lvlText w:val="%7.%8.%9"/>
      <w:lvlJc w:val="left"/>
      <w:pPr>
        <w:tabs>
          <w:tab w:val="num" w:pos="902"/>
        </w:tabs>
        <w:ind w:left="902" w:hanging="902"/>
      </w:pPr>
      <w:rPr>
        <w:rFonts w:hint="default"/>
      </w:rPr>
    </w:lvl>
  </w:abstractNum>
  <w:abstractNum w:abstractNumId="44" w15:restartNumberingAfterBreak="0">
    <w:nsid w:val="657D4C04"/>
    <w:multiLevelType w:val="hybridMultilevel"/>
    <w:tmpl w:val="6346F2E4"/>
    <w:lvl w:ilvl="0" w:tplc="247E82F4">
      <w:start w:val="1"/>
      <w:numFmt w:val="lowerRoman"/>
      <w:lvlText w:val="%1."/>
      <w:lvlJc w:val="left"/>
      <w:pPr>
        <w:ind w:left="1619" w:hanging="720"/>
      </w:pPr>
      <w:rPr>
        <w:rFonts w:hint="default"/>
        <w:i/>
      </w:rPr>
    </w:lvl>
    <w:lvl w:ilvl="1" w:tplc="04090001">
      <w:start w:val="1"/>
      <w:numFmt w:val="bullet"/>
      <w:lvlText w:val=""/>
      <w:lvlJc w:val="left"/>
      <w:pPr>
        <w:ind w:left="1979" w:hanging="360"/>
      </w:pPr>
      <w:rPr>
        <w:rFonts w:ascii="Symbol" w:hAnsi="Symbol" w:hint="default"/>
      </w:r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45" w15:restartNumberingAfterBreak="0">
    <w:nsid w:val="6B404337"/>
    <w:multiLevelType w:val="multilevel"/>
    <w:tmpl w:val="0C090023"/>
    <w:styleLink w:val="ArticleSection"/>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6" w15:restartNumberingAfterBreak="0">
    <w:nsid w:val="6D262645"/>
    <w:multiLevelType w:val="hybridMultilevel"/>
    <w:tmpl w:val="CCAA47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7" w15:restartNumberingAfterBreak="0">
    <w:nsid w:val="6D617B2B"/>
    <w:multiLevelType w:val="multilevel"/>
    <w:tmpl w:val="BE988648"/>
    <w:styleLink w:val="ACILAllenBulletedlist"/>
    <w:lvl w:ilvl="0">
      <w:start w:val="1"/>
      <w:numFmt w:val="bullet"/>
      <w:pStyle w:val="ListBullet"/>
      <w:lvlText w:val=""/>
      <w:lvlJc w:val="left"/>
      <w:pPr>
        <w:ind w:left="340" w:hanging="340"/>
      </w:pPr>
      <w:rPr>
        <w:rFonts w:ascii="Wingdings" w:hAnsi="Wingdings"/>
        <w:position w:val="-4"/>
        <w:sz w:val="28"/>
      </w:rPr>
    </w:lvl>
    <w:lvl w:ilvl="1">
      <w:start w:val="1"/>
      <w:numFmt w:val="bullet"/>
      <w:pStyle w:val="ListBullet2"/>
      <w:lvlText w:val=""/>
      <w:lvlJc w:val="left"/>
      <w:pPr>
        <w:ind w:left="680" w:hanging="340"/>
      </w:pPr>
      <w:rPr>
        <w:rFonts w:ascii="Wingdings" w:hAnsi="Wingdings" w:hint="default"/>
        <w:position w:val="-2"/>
        <w:sz w:val="24"/>
      </w:rPr>
    </w:lvl>
    <w:lvl w:ilvl="2">
      <w:start w:val="1"/>
      <w:numFmt w:val="bullet"/>
      <w:pStyle w:val="ListBullet3"/>
      <w:lvlText w:val="…"/>
      <w:lvlJc w:val="left"/>
      <w:pPr>
        <w:ind w:left="1020" w:hanging="340"/>
      </w:pPr>
      <w:rPr>
        <w:rFonts w:asciiTheme="minorHAnsi" w:hAnsiTheme="minorHAnsi" w:hint="default"/>
        <w:position w:val="6"/>
      </w:rPr>
    </w:lvl>
    <w:lvl w:ilvl="3">
      <w:start w:val="1"/>
      <w:numFmt w:val="none"/>
      <w:lvlText w:val="%4"/>
      <w:lvlJc w:val="left"/>
      <w:pPr>
        <w:ind w:left="1021" w:hanging="1"/>
      </w:pPr>
      <w:rPr>
        <w:rFonts w:ascii="Garamond" w:hAnsi="Garamond" w:hint="default"/>
      </w:rPr>
    </w:lvl>
    <w:lvl w:ilvl="4">
      <w:start w:val="1"/>
      <w:numFmt w:val="none"/>
      <w:lvlText w:val="%5"/>
      <w:lvlJc w:val="left"/>
      <w:pPr>
        <w:ind w:left="1700" w:hanging="340"/>
      </w:pPr>
      <w:rPr>
        <w:rFonts w:ascii="Garamond" w:hAnsi="Garamond" w:hint="default"/>
      </w:rPr>
    </w:lvl>
    <w:lvl w:ilvl="5">
      <w:start w:val="1"/>
      <w:numFmt w:val="none"/>
      <w:suff w:val="nothing"/>
      <w:lvlText w:val=""/>
      <w:lvlJc w:val="left"/>
      <w:pPr>
        <w:ind w:left="2040" w:hanging="340"/>
      </w:pPr>
      <w:rPr>
        <w:rFonts w:hint="default"/>
      </w:rPr>
    </w:lvl>
    <w:lvl w:ilvl="6">
      <w:start w:val="1"/>
      <w:numFmt w:val="none"/>
      <w:lvlText w:val="%7"/>
      <w:lvlJc w:val="left"/>
      <w:pPr>
        <w:ind w:left="2380" w:hanging="340"/>
      </w:pPr>
      <w:rPr>
        <w:rFonts w:ascii="Garamond" w:hAnsi="Garamond" w:hint="default"/>
      </w:rPr>
    </w:lvl>
    <w:lvl w:ilvl="7">
      <w:start w:val="1"/>
      <w:numFmt w:val="none"/>
      <w:lvlText w:val="%8"/>
      <w:lvlJc w:val="left"/>
      <w:pPr>
        <w:ind w:left="2720" w:hanging="340"/>
      </w:pPr>
      <w:rPr>
        <w:rFonts w:ascii="Garamond" w:hAnsi="Garamond" w:hint="default"/>
      </w:rPr>
    </w:lvl>
    <w:lvl w:ilvl="8">
      <w:start w:val="1"/>
      <w:numFmt w:val="none"/>
      <w:lvlText w:val="%9"/>
      <w:lvlJc w:val="left"/>
      <w:pPr>
        <w:ind w:left="3060" w:hanging="340"/>
      </w:pPr>
      <w:rPr>
        <w:rFonts w:ascii="Garamond" w:hAnsi="Garamond" w:hint="default"/>
      </w:rPr>
    </w:lvl>
  </w:abstractNum>
  <w:abstractNum w:abstractNumId="48" w15:restartNumberingAfterBreak="0">
    <w:nsid w:val="6DF5227A"/>
    <w:multiLevelType w:val="hybridMultilevel"/>
    <w:tmpl w:val="6346F2E4"/>
    <w:lvl w:ilvl="0" w:tplc="247E82F4">
      <w:start w:val="1"/>
      <w:numFmt w:val="lowerRoman"/>
      <w:lvlText w:val="%1."/>
      <w:lvlJc w:val="left"/>
      <w:pPr>
        <w:ind w:left="1619" w:hanging="720"/>
      </w:pPr>
      <w:rPr>
        <w:rFonts w:hint="default"/>
        <w:i/>
      </w:rPr>
    </w:lvl>
    <w:lvl w:ilvl="1" w:tplc="04090001">
      <w:start w:val="1"/>
      <w:numFmt w:val="bullet"/>
      <w:lvlText w:val=""/>
      <w:lvlJc w:val="left"/>
      <w:pPr>
        <w:ind w:left="1979" w:hanging="360"/>
      </w:pPr>
      <w:rPr>
        <w:rFonts w:ascii="Symbol" w:hAnsi="Symbol" w:hint="default"/>
      </w:r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49" w15:restartNumberingAfterBreak="0">
    <w:nsid w:val="714118F0"/>
    <w:multiLevelType w:val="hybridMultilevel"/>
    <w:tmpl w:val="A6326F9A"/>
    <w:lvl w:ilvl="0" w:tplc="F11C6B9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0844C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084907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F4885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F2C76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4C0A45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E2F69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4E48A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43494B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2D94B06"/>
    <w:multiLevelType w:val="hybridMultilevel"/>
    <w:tmpl w:val="C1E0400C"/>
    <w:lvl w:ilvl="0" w:tplc="3B241F94">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4664E01"/>
    <w:multiLevelType w:val="hybridMultilevel"/>
    <w:tmpl w:val="789EB47E"/>
    <w:lvl w:ilvl="0" w:tplc="F328FBA4">
      <w:start w:val="1"/>
      <w:numFmt w:val="lowerLetter"/>
      <w:lvlText w:val="(%1)"/>
      <w:lvlJc w:val="left"/>
      <w:pPr>
        <w:ind w:left="14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578E4C28">
      <w:start w:val="1"/>
      <w:numFmt w:val="lowerRoman"/>
      <w:lvlText w:val="(%2)"/>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F48A1DAC">
      <w:start w:val="1"/>
      <w:numFmt w:val="lowerRoman"/>
      <w:lvlText w:val="%3"/>
      <w:lvlJc w:val="left"/>
      <w:pPr>
        <w:ind w:left="25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950ECA74">
      <w:start w:val="1"/>
      <w:numFmt w:val="decimal"/>
      <w:lvlText w:val="%4"/>
      <w:lvlJc w:val="left"/>
      <w:pPr>
        <w:ind w:left="32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62B07BDC">
      <w:start w:val="1"/>
      <w:numFmt w:val="lowerLetter"/>
      <w:lvlText w:val="%5"/>
      <w:lvlJc w:val="left"/>
      <w:pPr>
        <w:ind w:left="39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2F8EBE76">
      <w:start w:val="1"/>
      <w:numFmt w:val="lowerRoman"/>
      <w:lvlText w:val="%6"/>
      <w:lvlJc w:val="left"/>
      <w:pPr>
        <w:ind w:left="46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317008DC">
      <w:start w:val="1"/>
      <w:numFmt w:val="decimal"/>
      <w:lvlText w:val="%7"/>
      <w:lvlJc w:val="left"/>
      <w:pPr>
        <w:ind w:left="54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2A123890">
      <w:start w:val="1"/>
      <w:numFmt w:val="lowerLetter"/>
      <w:lvlText w:val="%8"/>
      <w:lvlJc w:val="left"/>
      <w:pPr>
        <w:ind w:left="61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53F2D2DE">
      <w:start w:val="1"/>
      <w:numFmt w:val="lowerRoman"/>
      <w:lvlText w:val="%9"/>
      <w:lvlJc w:val="left"/>
      <w:pPr>
        <w:ind w:left="68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4907FE1"/>
    <w:multiLevelType w:val="hybridMultilevel"/>
    <w:tmpl w:val="EF02A540"/>
    <w:lvl w:ilvl="0" w:tplc="0D7476D4">
      <w:start w:val="1"/>
      <w:numFmt w:val="bullet"/>
      <w:pStyle w:val="QuoteListBullet"/>
      <w:lvlText w:val="•"/>
      <w:lvlJc w:val="left"/>
      <w:pPr>
        <w:ind w:left="1060" w:hanging="360"/>
      </w:pPr>
      <w:rPr>
        <w:rFonts w:ascii="Century" w:hAnsi="Century" w:cs="Times New Roman" w:hint="default"/>
      </w:rPr>
    </w:lvl>
    <w:lvl w:ilvl="1" w:tplc="2674AA5A" w:tentative="1">
      <w:start w:val="1"/>
      <w:numFmt w:val="bullet"/>
      <w:lvlText w:val="o"/>
      <w:lvlJc w:val="left"/>
      <w:pPr>
        <w:ind w:left="1780" w:hanging="360"/>
      </w:pPr>
      <w:rPr>
        <w:rFonts w:ascii="Courier New" w:hAnsi="Courier New" w:cs="Courier New" w:hint="default"/>
      </w:rPr>
    </w:lvl>
    <w:lvl w:ilvl="2" w:tplc="EC6A1D18" w:tentative="1">
      <w:start w:val="1"/>
      <w:numFmt w:val="bullet"/>
      <w:lvlText w:val=""/>
      <w:lvlJc w:val="left"/>
      <w:pPr>
        <w:ind w:left="2500" w:hanging="360"/>
      </w:pPr>
      <w:rPr>
        <w:rFonts w:ascii="Wingdings" w:hAnsi="Wingdings" w:hint="default"/>
      </w:rPr>
    </w:lvl>
    <w:lvl w:ilvl="3" w:tplc="62CA421E" w:tentative="1">
      <w:start w:val="1"/>
      <w:numFmt w:val="bullet"/>
      <w:lvlText w:val=""/>
      <w:lvlJc w:val="left"/>
      <w:pPr>
        <w:ind w:left="3220" w:hanging="360"/>
      </w:pPr>
      <w:rPr>
        <w:rFonts w:ascii="Symbol" w:hAnsi="Symbol" w:hint="default"/>
      </w:rPr>
    </w:lvl>
    <w:lvl w:ilvl="4" w:tplc="ED3CD158" w:tentative="1">
      <w:start w:val="1"/>
      <w:numFmt w:val="bullet"/>
      <w:lvlText w:val="o"/>
      <w:lvlJc w:val="left"/>
      <w:pPr>
        <w:ind w:left="3940" w:hanging="360"/>
      </w:pPr>
      <w:rPr>
        <w:rFonts w:ascii="Courier New" w:hAnsi="Courier New" w:cs="Courier New" w:hint="default"/>
      </w:rPr>
    </w:lvl>
    <w:lvl w:ilvl="5" w:tplc="CE2CEAA8" w:tentative="1">
      <w:start w:val="1"/>
      <w:numFmt w:val="bullet"/>
      <w:lvlText w:val=""/>
      <w:lvlJc w:val="left"/>
      <w:pPr>
        <w:ind w:left="4660" w:hanging="360"/>
      </w:pPr>
      <w:rPr>
        <w:rFonts w:ascii="Wingdings" w:hAnsi="Wingdings" w:hint="default"/>
      </w:rPr>
    </w:lvl>
    <w:lvl w:ilvl="6" w:tplc="D9820910" w:tentative="1">
      <w:start w:val="1"/>
      <w:numFmt w:val="bullet"/>
      <w:lvlText w:val=""/>
      <w:lvlJc w:val="left"/>
      <w:pPr>
        <w:ind w:left="5380" w:hanging="360"/>
      </w:pPr>
      <w:rPr>
        <w:rFonts w:ascii="Symbol" w:hAnsi="Symbol" w:hint="default"/>
      </w:rPr>
    </w:lvl>
    <w:lvl w:ilvl="7" w:tplc="2D52F2DE" w:tentative="1">
      <w:start w:val="1"/>
      <w:numFmt w:val="bullet"/>
      <w:lvlText w:val="o"/>
      <w:lvlJc w:val="left"/>
      <w:pPr>
        <w:ind w:left="6100" w:hanging="360"/>
      </w:pPr>
      <w:rPr>
        <w:rFonts w:ascii="Courier New" w:hAnsi="Courier New" w:cs="Courier New" w:hint="default"/>
      </w:rPr>
    </w:lvl>
    <w:lvl w:ilvl="8" w:tplc="DB36473E" w:tentative="1">
      <w:start w:val="1"/>
      <w:numFmt w:val="bullet"/>
      <w:lvlText w:val=""/>
      <w:lvlJc w:val="left"/>
      <w:pPr>
        <w:ind w:left="6820" w:hanging="360"/>
      </w:pPr>
      <w:rPr>
        <w:rFonts w:ascii="Wingdings" w:hAnsi="Wingdings" w:hint="default"/>
      </w:rPr>
    </w:lvl>
  </w:abstractNum>
  <w:abstractNum w:abstractNumId="53" w15:restartNumberingAfterBreak="0">
    <w:nsid w:val="7A197097"/>
    <w:multiLevelType w:val="multilevel"/>
    <w:tmpl w:val="2AD204A8"/>
    <w:styleLink w:val="ACILAllenBoxListNumbering"/>
    <w:lvl w:ilvl="0">
      <w:start w:val="1"/>
      <w:numFmt w:val="decimal"/>
      <w:lvlText w:val="%1."/>
      <w:lvlJc w:val="left"/>
      <w:pPr>
        <w:ind w:left="284" w:hanging="284"/>
      </w:pPr>
      <w:rPr>
        <w:rFonts w:ascii="Times New Roman" w:hAnsi="Times New Roman" w:hint="default"/>
        <w:caps w:val="0"/>
        <w:strike w:val="0"/>
        <w:dstrike w:val="0"/>
        <w:vanish w:val="0"/>
        <w:color w:val="auto"/>
        <w:sz w:val="16"/>
        <w:vertAlign w:val="baseline"/>
      </w:rPr>
    </w:lvl>
    <w:lvl w:ilvl="1">
      <w:start w:val="1"/>
      <w:numFmt w:val="lowerLetter"/>
      <w:lvlText w:val="%2)"/>
      <w:lvlJc w:val="left"/>
      <w:pPr>
        <w:ind w:left="567" w:hanging="283"/>
      </w:pPr>
      <w:rPr>
        <w:rFonts w:hint="default"/>
      </w:rPr>
    </w:lvl>
    <w:lvl w:ilvl="2">
      <w:start w:val="1"/>
      <w:numFmt w:val="lowerRoman"/>
      <w:lvlText w:val="%3)"/>
      <w:lvlJc w:val="left"/>
      <w:pPr>
        <w:ind w:left="851" w:hanging="284"/>
      </w:pPr>
      <w:rPr>
        <w:rFonts w:hint="default"/>
      </w:rPr>
    </w:lvl>
    <w:lvl w:ilvl="3">
      <w:start w:val="1"/>
      <w:numFmt w:val="none"/>
      <w:suff w:val="nothing"/>
      <w:lvlText w:val=""/>
      <w:lvlJc w:val="left"/>
      <w:pPr>
        <w:ind w:left="1134" w:firstLine="0"/>
      </w:pPr>
      <w:rPr>
        <w:rFonts w:hint="default"/>
      </w:rPr>
    </w:lvl>
    <w:lvl w:ilvl="4">
      <w:start w:val="1"/>
      <w:numFmt w:val="none"/>
      <w:suff w:val="nothing"/>
      <w:lvlText w:val=""/>
      <w:lvlJc w:val="left"/>
      <w:pPr>
        <w:ind w:left="-32767" w:firstLine="0"/>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54" w15:restartNumberingAfterBreak="0">
    <w:nsid w:val="7A4632C8"/>
    <w:multiLevelType w:val="multilevel"/>
    <w:tmpl w:val="2C2CF3B2"/>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Arial" w:hAnsi="Arial" w:hint="default"/>
      </w:rPr>
    </w:lvl>
    <w:lvl w:ilvl="2">
      <w:start w:val="1"/>
      <w:numFmt w:val="bullet"/>
      <w:lvlText w:val="…"/>
      <w:lvlJc w:val="left"/>
      <w:pPr>
        <w:ind w:left="1080" w:hanging="360"/>
      </w:pPr>
      <w:rPr>
        <w:rFonts w:ascii="Garamond" w:hAnsi="Garamond"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55" w15:restartNumberingAfterBreak="0">
    <w:nsid w:val="7B930660"/>
    <w:multiLevelType w:val="hybridMultilevel"/>
    <w:tmpl w:val="754437B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56" w15:restartNumberingAfterBreak="0">
    <w:nsid w:val="7E1C43AE"/>
    <w:multiLevelType w:val="hybridMultilevel"/>
    <w:tmpl w:val="8E7E19B6"/>
    <w:lvl w:ilvl="0" w:tplc="A70ABD72">
      <w:start w:val="1"/>
      <w:numFmt w:val="decimal"/>
      <w:lvlText w:val="%1."/>
      <w:lvlJc w:val="left"/>
      <w:pPr>
        <w:ind w:left="360" w:hanging="360"/>
      </w:pPr>
      <w:rPr>
        <w:rFonts w:hint="default"/>
        <w:u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28"/>
  </w:num>
  <w:num w:numId="6">
    <w:abstractNumId w:val="21"/>
  </w:num>
  <w:num w:numId="7">
    <w:abstractNumId w:val="45"/>
  </w:num>
  <w:num w:numId="8">
    <w:abstractNumId w:val="31"/>
  </w:num>
  <w:num w:numId="9">
    <w:abstractNumId w:val="52"/>
  </w:num>
  <w:num w:numId="10">
    <w:abstractNumId w:val="27"/>
  </w:num>
  <w:num w:numId="11">
    <w:abstractNumId w:val="53"/>
  </w:num>
  <w:num w:numId="12">
    <w:abstractNumId w:val="6"/>
  </w:num>
  <w:num w:numId="13">
    <w:abstractNumId w:val="32"/>
  </w:num>
  <w:num w:numId="14">
    <w:abstractNumId w:val="47"/>
  </w:num>
  <w:num w:numId="15">
    <w:abstractNumId w:val="14"/>
  </w:num>
  <w:num w:numId="16">
    <w:abstractNumId w:val="15"/>
  </w:num>
  <w:num w:numId="17">
    <w:abstractNumId w:val="13"/>
  </w:num>
  <w:num w:numId="18">
    <w:abstractNumId w:val="25"/>
  </w:num>
  <w:num w:numId="19">
    <w:abstractNumId w:val="17"/>
  </w:num>
  <w:num w:numId="20">
    <w:abstractNumId w:val="43"/>
  </w:num>
  <w:num w:numId="21">
    <w:abstractNumId w:val="12"/>
  </w:num>
  <w:num w:numId="22">
    <w:abstractNumId w:val="16"/>
  </w:num>
  <w:num w:numId="23">
    <w:abstractNumId w:val="30"/>
  </w:num>
  <w:num w:numId="24">
    <w:abstractNumId w:val="53"/>
  </w:num>
  <w:num w:numId="25">
    <w:abstractNumId w:val="6"/>
  </w:num>
  <w:num w:numId="26">
    <w:abstractNumId w:val="47"/>
  </w:num>
  <w:num w:numId="27">
    <w:abstractNumId w:val="27"/>
  </w:num>
  <w:num w:numId="28">
    <w:abstractNumId w:val="32"/>
  </w:num>
  <w:num w:numId="29">
    <w:abstractNumId w:val="43"/>
  </w:num>
  <w:num w:numId="30">
    <w:abstractNumId w:val="17"/>
    <w:lvlOverride w:ilvl="0">
      <w:lvl w:ilvl="0">
        <w:start w:val="1"/>
        <w:numFmt w:val="bullet"/>
        <w:pStyle w:val="ListDash"/>
        <w:lvlText w:val=""/>
        <w:lvlJc w:val="left"/>
        <w:pPr>
          <w:ind w:left="284" w:hanging="284"/>
        </w:pPr>
        <w:rPr>
          <w:rFonts w:ascii="Symbol" w:hAnsi="Symbol" w:hint="default"/>
          <w:color w:val="000000" w:themeColor="text1"/>
        </w:rPr>
      </w:lvl>
    </w:lvlOverride>
  </w:num>
  <w:num w:numId="31">
    <w:abstractNumId w:val="26"/>
  </w:num>
  <w:num w:numId="32">
    <w:abstractNumId w:val="51"/>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6"/>
    <w:lvlOverride w:ilvl="0">
      <w:startOverride w:val="1"/>
      <w:lvl w:ilvl="0">
        <w:start w:val="1"/>
        <w:numFmt w:val="decimal"/>
        <w:pStyle w:val="ListNumber"/>
        <w:lvlText w:val="%1."/>
        <w:lvlJc w:val="left"/>
        <w:pPr>
          <w:ind w:left="340" w:hanging="340"/>
        </w:pPr>
        <w:rPr>
          <w:rFonts w:ascii="Times New Roman" w:hAnsi="Times New Roman" w:hint="default"/>
          <w:b w:val="0"/>
        </w:rPr>
      </w:lvl>
    </w:lvlOverride>
    <w:lvlOverride w:ilvl="1">
      <w:startOverride w:val="1"/>
      <w:lvl w:ilvl="1">
        <w:start w:val="1"/>
        <w:numFmt w:val="decimal"/>
        <w:pStyle w:val="ListNumber2"/>
        <w:lvlText w:val=""/>
        <w:lvlJc w:val="left"/>
      </w:lvl>
    </w:lvlOverride>
    <w:lvlOverride w:ilvl="2">
      <w:startOverride w:val="1"/>
      <w:lvl w:ilvl="2">
        <w:start w:val="1"/>
        <w:numFmt w:val="decimal"/>
        <w:pStyle w:val="ListNumber3"/>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36">
    <w:abstractNumId w:val="43"/>
  </w:num>
  <w:num w:numId="37">
    <w:abstractNumId w:val="18"/>
  </w:num>
  <w:num w:numId="38">
    <w:abstractNumId w:val="43"/>
  </w:num>
  <w:num w:numId="39">
    <w:abstractNumId w:val="35"/>
  </w:num>
  <w:num w:numId="40">
    <w:abstractNumId w:val="32"/>
    <w:lvlOverride w:ilvl="0">
      <w:lvl w:ilvl="0">
        <w:start w:val="1"/>
        <w:numFmt w:val="bullet"/>
        <w:pStyle w:val="Tablelistbullet"/>
        <w:lvlText w:val=""/>
        <w:lvlJc w:val="left"/>
        <w:pPr>
          <w:ind w:left="227" w:hanging="227"/>
        </w:pPr>
        <w:rPr>
          <w:rFonts w:ascii="Wingdings" w:hAnsi="Wingdings" w:hint="default"/>
          <w:color w:val="auto"/>
        </w:rPr>
      </w:lvl>
    </w:lvlOverride>
  </w:num>
  <w:num w:numId="41">
    <w:abstractNumId w:val="11"/>
  </w:num>
  <w:num w:numId="42">
    <w:abstractNumId w:val="7"/>
  </w:num>
  <w:num w:numId="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4"/>
  </w:num>
  <w:num w:numId="45">
    <w:abstractNumId w:val="33"/>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41"/>
  </w:num>
  <w:num w:numId="50">
    <w:abstractNumId w:val="46"/>
  </w:num>
  <w:num w:numId="51">
    <w:abstractNumId w:val="4"/>
  </w:num>
  <w:num w:numId="52">
    <w:abstractNumId w:val="50"/>
  </w:num>
  <w:num w:numId="53">
    <w:abstractNumId w:val="37"/>
  </w:num>
  <w:num w:numId="54">
    <w:abstractNumId w:val="56"/>
  </w:num>
  <w:num w:numId="55">
    <w:abstractNumId w:val="10"/>
  </w:num>
  <w:num w:numId="56">
    <w:abstractNumId w:val="23"/>
  </w:num>
  <w:num w:numId="57">
    <w:abstractNumId w:val="20"/>
  </w:num>
  <w:num w:numId="58">
    <w:abstractNumId w:val="24"/>
  </w:num>
  <w:num w:numId="59">
    <w:abstractNumId w:val="49"/>
  </w:num>
  <w:num w:numId="60">
    <w:abstractNumId w:val="43"/>
  </w:num>
  <w:num w:numId="61">
    <w:abstractNumId w:val="43"/>
  </w:num>
  <w:num w:numId="62">
    <w:abstractNumId w:val="5"/>
  </w:num>
  <w:num w:numId="63">
    <w:abstractNumId w:val="17"/>
  </w:num>
  <w:num w:numId="64">
    <w:abstractNumId w:val="17"/>
  </w:num>
  <w:num w:numId="65">
    <w:abstractNumId w:val="42"/>
  </w:num>
  <w:num w:numId="66">
    <w:abstractNumId w:val="8"/>
  </w:num>
  <w:num w:numId="67">
    <w:abstractNumId w:val="9"/>
  </w:num>
  <w:num w:numId="68">
    <w:abstractNumId w:val="6"/>
    <w:lvlOverride w:ilvl="0">
      <w:lvl w:ilvl="0">
        <w:start w:val="1"/>
        <w:numFmt w:val="decimal"/>
        <w:pStyle w:val="ListNumber"/>
        <w:lvlText w:val="%1."/>
        <w:lvlJc w:val="left"/>
        <w:pPr>
          <w:ind w:left="340" w:hanging="340"/>
        </w:pPr>
        <w:rPr>
          <w:rFonts w:ascii="Times New Roman" w:hAnsi="Times New Roman" w:cs="Times New Roman" w:hint="default"/>
        </w:rPr>
      </w:lvl>
    </w:lvlOverride>
  </w:num>
  <w:num w:numId="69">
    <w:abstractNumId w:val="6"/>
    <w:lvlOverride w:ilvl="0">
      <w:startOverride w:val="1"/>
      <w:lvl w:ilvl="0">
        <w:start w:val="1"/>
        <w:numFmt w:val="decimal"/>
        <w:pStyle w:val="ListNumber"/>
        <w:lvlText w:val="%1."/>
        <w:lvlJc w:val="left"/>
        <w:pPr>
          <w:ind w:left="340" w:hanging="340"/>
        </w:pPr>
        <w:rPr>
          <w:rFonts w:ascii="Times New Roman" w:hAnsi="Times New Roman" w:hint="default"/>
          <w:b w:val="0"/>
        </w:rPr>
      </w:lvl>
    </w:lvlOverride>
    <w:lvlOverride w:ilvl="1">
      <w:startOverride w:val="1"/>
      <w:lvl w:ilvl="1">
        <w:start w:val="1"/>
        <w:numFmt w:val="decimal"/>
        <w:pStyle w:val="ListNumber2"/>
        <w:lvlText w:val=""/>
        <w:lvlJc w:val="left"/>
      </w:lvl>
    </w:lvlOverride>
    <w:lvlOverride w:ilvl="2">
      <w:startOverride w:val="1"/>
      <w:lvl w:ilvl="2">
        <w:start w:val="1"/>
        <w:numFmt w:val="decimal"/>
        <w:pStyle w:val="ListNumber3"/>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70">
    <w:abstractNumId w:val="17"/>
  </w:num>
  <w:num w:numId="71">
    <w:abstractNumId w:val="17"/>
  </w:num>
  <w:num w:numId="72">
    <w:abstractNumId w:val="38"/>
  </w:num>
  <w:num w:numId="73">
    <w:abstractNumId w:val="55"/>
  </w:num>
  <w:num w:numId="74">
    <w:abstractNumId w:val="29"/>
  </w:num>
  <w:num w:numId="75">
    <w:abstractNumId w:val="19"/>
  </w:num>
  <w:num w:numId="76">
    <w:abstractNumId w:val="44"/>
  </w:num>
  <w:num w:numId="77">
    <w:abstractNumId w:val="48"/>
  </w:num>
  <w:num w:numId="78">
    <w:abstractNumId w:val="36"/>
  </w:num>
  <w:num w:numId="79">
    <w:abstractNumId w:val="40"/>
  </w:num>
  <w:num w:numId="80">
    <w:abstractNumId w:val="3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AU" w:vendorID="8" w:dllVersion="513" w:checkStyle="1"/>
  <w:activeWritingStyle w:appName="MSWord" w:lang="en-US" w:vendorID="8" w:dllVersion="513" w:checkStyle="1"/>
  <w:proofState w:spelling="clean" w:grammar="clean"/>
  <w:attachedTemplate r:id="rId1"/>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stylePaneSortMethod w:val="0000"/>
  <w:defaultTabStop w:val="902"/>
  <w:clickAndTypeStyle w:val="BodyText"/>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324DE"/>
    <w:rsid w:val="0000046D"/>
    <w:rsid w:val="00000559"/>
    <w:rsid w:val="00000948"/>
    <w:rsid w:val="0000129E"/>
    <w:rsid w:val="00001DC1"/>
    <w:rsid w:val="00002203"/>
    <w:rsid w:val="00002DA6"/>
    <w:rsid w:val="00002E51"/>
    <w:rsid w:val="0000330C"/>
    <w:rsid w:val="0000381F"/>
    <w:rsid w:val="00003D86"/>
    <w:rsid w:val="00003E03"/>
    <w:rsid w:val="00004042"/>
    <w:rsid w:val="00004F9E"/>
    <w:rsid w:val="00006363"/>
    <w:rsid w:val="00006400"/>
    <w:rsid w:val="0000663D"/>
    <w:rsid w:val="000066A7"/>
    <w:rsid w:val="00006C06"/>
    <w:rsid w:val="00006C8F"/>
    <w:rsid w:val="00007236"/>
    <w:rsid w:val="000072CB"/>
    <w:rsid w:val="0000736D"/>
    <w:rsid w:val="00010029"/>
    <w:rsid w:val="00010218"/>
    <w:rsid w:val="0001034E"/>
    <w:rsid w:val="00010465"/>
    <w:rsid w:val="000105BD"/>
    <w:rsid w:val="000106A0"/>
    <w:rsid w:val="00011609"/>
    <w:rsid w:val="00011802"/>
    <w:rsid w:val="000123D9"/>
    <w:rsid w:val="0001293E"/>
    <w:rsid w:val="00012BCD"/>
    <w:rsid w:val="0001331B"/>
    <w:rsid w:val="00013650"/>
    <w:rsid w:val="000136F0"/>
    <w:rsid w:val="00013FBB"/>
    <w:rsid w:val="00014C1C"/>
    <w:rsid w:val="00014E1C"/>
    <w:rsid w:val="00015505"/>
    <w:rsid w:val="0001564C"/>
    <w:rsid w:val="00015A92"/>
    <w:rsid w:val="00015BB6"/>
    <w:rsid w:val="00016415"/>
    <w:rsid w:val="000168C7"/>
    <w:rsid w:val="000169C9"/>
    <w:rsid w:val="000169D3"/>
    <w:rsid w:val="00016B2F"/>
    <w:rsid w:val="00017A12"/>
    <w:rsid w:val="00017F7F"/>
    <w:rsid w:val="00020428"/>
    <w:rsid w:val="00021110"/>
    <w:rsid w:val="0002132D"/>
    <w:rsid w:val="00022213"/>
    <w:rsid w:val="00022A6A"/>
    <w:rsid w:val="000236F1"/>
    <w:rsid w:val="000237AA"/>
    <w:rsid w:val="00023929"/>
    <w:rsid w:val="00023F8E"/>
    <w:rsid w:val="000247C8"/>
    <w:rsid w:val="0002531F"/>
    <w:rsid w:val="00025973"/>
    <w:rsid w:val="00025AF5"/>
    <w:rsid w:val="000264D1"/>
    <w:rsid w:val="00027353"/>
    <w:rsid w:val="00027498"/>
    <w:rsid w:val="0002788B"/>
    <w:rsid w:val="00027E91"/>
    <w:rsid w:val="00030286"/>
    <w:rsid w:val="000308F0"/>
    <w:rsid w:val="000312A2"/>
    <w:rsid w:val="0003171E"/>
    <w:rsid w:val="0003234D"/>
    <w:rsid w:val="000328EF"/>
    <w:rsid w:val="00032A3B"/>
    <w:rsid w:val="00032E53"/>
    <w:rsid w:val="000334E6"/>
    <w:rsid w:val="00033F6D"/>
    <w:rsid w:val="00034713"/>
    <w:rsid w:val="00034AA2"/>
    <w:rsid w:val="000352E1"/>
    <w:rsid w:val="00035B52"/>
    <w:rsid w:val="00035BF2"/>
    <w:rsid w:val="00036035"/>
    <w:rsid w:val="00036E22"/>
    <w:rsid w:val="00036F1B"/>
    <w:rsid w:val="000370A1"/>
    <w:rsid w:val="00037A1A"/>
    <w:rsid w:val="00037A23"/>
    <w:rsid w:val="00040520"/>
    <w:rsid w:val="00041020"/>
    <w:rsid w:val="00041A27"/>
    <w:rsid w:val="000421C6"/>
    <w:rsid w:val="0004299F"/>
    <w:rsid w:val="00043B66"/>
    <w:rsid w:val="00044119"/>
    <w:rsid w:val="0004427B"/>
    <w:rsid w:val="00044612"/>
    <w:rsid w:val="00044C26"/>
    <w:rsid w:val="00044CBA"/>
    <w:rsid w:val="00045409"/>
    <w:rsid w:val="0004549C"/>
    <w:rsid w:val="000461D2"/>
    <w:rsid w:val="00046894"/>
    <w:rsid w:val="00046DA1"/>
    <w:rsid w:val="00047287"/>
    <w:rsid w:val="00051252"/>
    <w:rsid w:val="0005156D"/>
    <w:rsid w:val="000518F6"/>
    <w:rsid w:val="0005217C"/>
    <w:rsid w:val="0005236E"/>
    <w:rsid w:val="00052939"/>
    <w:rsid w:val="00052A53"/>
    <w:rsid w:val="00052E59"/>
    <w:rsid w:val="00052EF3"/>
    <w:rsid w:val="00053348"/>
    <w:rsid w:val="000538B3"/>
    <w:rsid w:val="00053D21"/>
    <w:rsid w:val="00053D4D"/>
    <w:rsid w:val="000542F8"/>
    <w:rsid w:val="00054675"/>
    <w:rsid w:val="00055558"/>
    <w:rsid w:val="00055891"/>
    <w:rsid w:val="000566E4"/>
    <w:rsid w:val="00056996"/>
    <w:rsid w:val="00056AE7"/>
    <w:rsid w:val="00056BC6"/>
    <w:rsid w:val="00057842"/>
    <w:rsid w:val="00057888"/>
    <w:rsid w:val="00057983"/>
    <w:rsid w:val="00057C81"/>
    <w:rsid w:val="00057E45"/>
    <w:rsid w:val="000602A8"/>
    <w:rsid w:val="0006074A"/>
    <w:rsid w:val="00060C4A"/>
    <w:rsid w:val="000617C0"/>
    <w:rsid w:val="00061DDB"/>
    <w:rsid w:val="000625A6"/>
    <w:rsid w:val="00062653"/>
    <w:rsid w:val="00063381"/>
    <w:rsid w:val="00063605"/>
    <w:rsid w:val="00063FEC"/>
    <w:rsid w:val="0006461D"/>
    <w:rsid w:val="00065416"/>
    <w:rsid w:val="00065DC0"/>
    <w:rsid w:val="00066725"/>
    <w:rsid w:val="0006690D"/>
    <w:rsid w:val="00067A32"/>
    <w:rsid w:val="00070CFD"/>
    <w:rsid w:val="00071232"/>
    <w:rsid w:val="00071EFD"/>
    <w:rsid w:val="000729F9"/>
    <w:rsid w:val="00072F4B"/>
    <w:rsid w:val="00075909"/>
    <w:rsid w:val="00075CF7"/>
    <w:rsid w:val="00075DF8"/>
    <w:rsid w:val="000760EB"/>
    <w:rsid w:val="000761ED"/>
    <w:rsid w:val="000765A4"/>
    <w:rsid w:val="00077484"/>
    <w:rsid w:val="00077D13"/>
    <w:rsid w:val="00077E2B"/>
    <w:rsid w:val="00077E4F"/>
    <w:rsid w:val="00077FD4"/>
    <w:rsid w:val="00080458"/>
    <w:rsid w:val="000809A2"/>
    <w:rsid w:val="00080A48"/>
    <w:rsid w:val="000817D1"/>
    <w:rsid w:val="00081D09"/>
    <w:rsid w:val="00082611"/>
    <w:rsid w:val="00082721"/>
    <w:rsid w:val="000828C6"/>
    <w:rsid w:val="000831F5"/>
    <w:rsid w:val="00083A42"/>
    <w:rsid w:val="00083B15"/>
    <w:rsid w:val="00083E33"/>
    <w:rsid w:val="00085AE8"/>
    <w:rsid w:val="00085E9A"/>
    <w:rsid w:val="00085EC2"/>
    <w:rsid w:val="00085FC8"/>
    <w:rsid w:val="00086357"/>
    <w:rsid w:val="0008683C"/>
    <w:rsid w:val="00087070"/>
    <w:rsid w:val="000878BE"/>
    <w:rsid w:val="000878E2"/>
    <w:rsid w:val="000878E8"/>
    <w:rsid w:val="00087D43"/>
    <w:rsid w:val="00091895"/>
    <w:rsid w:val="000918B6"/>
    <w:rsid w:val="00092D2C"/>
    <w:rsid w:val="00092F7A"/>
    <w:rsid w:val="00093175"/>
    <w:rsid w:val="000931F2"/>
    <w:rsid w:val="000935B7"/>
    <w:rsid w:val="00093AA2"/>
    <w:rsid w:val="000945C0"/>
    <w:rsid w:val="000948AA"/>
    <w:rsid w:val="00094D08"/>
    <w:rsid w:val="00094D19"/>
    <w:rsid w:val="0009538D"/>
    <w:rsid w:val="00096062"/>
    <w:rsid w:val="000963AF"/>
    <w:rsid w:val="00096C45"/>
    <w:rsid w:val="000970BB"/>
    <w:rsid w:val="00097336"/>
    <w:rsid w:val="00097D69"/>
    <w:rsid w:val="00097DCF"/>
    <w:rsid w:val="000A0F4A"/>
    <w:rsid w:val="000A19DE"/>
    <w:rsid w:val="000A1ABC"/>
    <w:rsid w:val="000A1BEE"/>
    <w:rsid w:val="000A1E51"/>
    <w:rsid w:val="000A1EE9"/>
    <w:rsid w:val="000A2791"/>
    <w:rsid w:val="000A28C6"/>
    <w:rsid w:val="000A2A65"/>
    <w:rsid w:val="000A43F3"/>
    <w:rsid w:val="000A5268"/>
    <w:rsid w:val="000A5A68"/>
    <w:rsid w:val="000A5B22"/>
    <w:rsid w:val="000A60B2"/>
    <w:rsid w:val="000A68E3"/>
    <w:rsid w:val="000A6A42"/>
    <w:rsid w:val="000A6DD2"/>
    <w:rsid w:val="000A6EC1"/>
    <w:rsid w:val="000A7691"/>
    <w:rsid w:val="000B0871"/>
    <w:rsid w:val="000B0906"/>
    <w:rsid w:val="000B0D67"/>
    <w:rsid w:val="000B15EE"/>
    <w:rsid w:val="000B1AAB"/>
    <w:rsid w:val="000B1C1D"/>
    <w:rsid w:val="000B1C6E"/>
    <w:rsid w:val="000B1EB2"/>
    <w:rsid w:val="000B20BB"/>
    <w:rsid w:val="000B2F0A"/>
    <w:rsid w:val="000B313E"/>
    <w:rsid w:val="000B3612"/>
    <w:rsid w:val="000B47A8"/>
    <w:rsid w:val="000B6A9D"/>
    <w:rsid w:val="000B78AA"/>
    <w:rsid w:val="000B7DD9"/>
    <w:rsid w:val="000C0173"/>
    <w:rsid w:val="000C02D5"/>
    <w:rsid w:val="000C037F"/>
    <w:rsid w:val="000C03F2"/>
    <w:rsid w:val="000C0A7E"/>
    <w:rsid w:val="000C0F8A"/>
    <w:rsid w:val="000C13C4"/>
    <w:rsid w:val="000C1C10"/>
    <w:rsid w:val="000C1CEC"/>
    <w:rsid w:val="000C2BE2"/>
    <w:rsid w:val="000C3386"/>
    <w:rsid w:val="000C3FD1"/>
    <w:rsid w:val="000C51EF"/>
    <w:rsid w:val="000C52C3"/>
    <w:rsid w:val="000C55C6"/>
    <w:rsid w:val="000C6126"/>
    <w:rsid w:val="000C664D"/>
    <w:rsid w:val="000C6956"/>
    <w:rsid w:val="000C79BE"/>
    <w:rsid w:val="000D0132"/>
    <w:rsid w:val="000D041D"/>
    <w:rsid w:val="000D089C"/>
    <w:rsid w:val="000D0B31"/>
    <w:rsid w:val="000D0ED6"/>
    <w:rsid w:val="000D1108"/>
    <w:rsid w:val="000D12C5"/>
    <w:rsid w:val="000D1FC7"/>
    <w:rsid w:val="000D2199"/>
    <w:rsid w:val="000D232D"/>
    <w:rsid w:val="000D25EF"/>
    <w:rsid w:val="000D2DED"/>
    <w:rsid w:val="000D30EE"/>
    <w:rsid w:val="000D4961"/>
    <w:rsid w:val="000D4E9F"/>
    <w:rsid w:val="000D569D"/>
    <w:rsid w:val="000D5822"/>
    <w:rsid w:val="000D5EC6"/>
    <w:rsid w:val="000D62A4"/>
    <w:rsid w:val="000D64F2"/>
    <w:rsid w:val="000D7296"/>
    <w:rsid w:val="000D74B4"/>
    <w:rsid w:val="000D76B7"/>
    <w:rsid w:val="000D76C5"/>
    <w:rsid w:val="000E09EE"/>
    <w:rsid w:val="000E0ABB"/>
    <w:rsid w:val="000E107F"/>
    <w:rsid w:val="000E1172"/>
    <w:rsid w:val="000E18D6"/>
    <w:rsid w:val="000E1BE5"/>
    <w:rsid w:val="000E1CFC"/>
    <w:rsid w:val="000E21BF"/>
    <w:rsid w:val="000E25C9"/>
    <w:rsid w:val="000E27C2"/>
    <w:rsid w:val="000E3962"/>
    <w:rsid w:val="000E3FD5"/>
    <w:rsid w:val="000E443B"/>
    <w:rsid w:val="000E475C"/>
    <w:rsid w:val="000E4AC3"/>
    <w:rsid w:val="000E5087"/>
    <w:rsid w:val="000E5371"/>
    <w:rsid w:val="000E59C7"/>
    <w:rsid w:val="000E5F92"/>
    <w:rsid w:val="000E62CF"/>
    <w:rsid w:val="000E6C41"/>
    <w:rsid w:val="000E6D8A"/>
    <w:rsid w:val="000E73C7"/>
    <w:rsid w:val="000E7849"/>
    <w:rsid w:val="000E787E"/>
    <w:rsid w:val="000F0BEF"/>
    <w:rsid w:val="000F1FE5"/>
    <w:rsid w:val="000F2207"/>
    <w:rsid w:val="000F2C20"/>
    <w:rsid w:val="000F3384"/>
    <w:rsid w:val="000F3464"/>
    <w:rsid w:val="000F3563"/>
    <w:rsid w:val="000F3A43"/>
    <w:rsid w:val="000F416E"/>
    <w:rsid w:val="000F4170"/>
    <w:rsid w:val="000F4AFE"/>
    <w:rsid w:val="000F4C77"/>
    <w:rsid w:val="000F4F11"/>
    <w:rsid w:val="000F5130"/>
    <w:rsid w:val="000F57CF"/>
    <w:rsid w:val="000F5CB4"/>
    <w:rsid w:val="000F5FB2"/>
    <w:rsid w:val="000F612C"/>
    <w:rsid w:val="000F63DF"/>
    <w:rsid w:val="000F648A"/>
    <w:rsid w:val="000F660C"/>
    <w:rsid w:val="000F7778"/>
    <w:rsid w:val="000F787D"/>
    <w:rsid w:val="00100957"/>
    <w:rsid w:val="00101104"/>
    <w:rsid w:val="00101733"/>
    <w:rsid w:val="00101991"/>
    <w:rsid w:val="00102142"/>
    <w:rsid w:val="0010233D"/>
    <w:rsid w:val="00102595"/>
    <w:rsid w:val="001029C7"/>
    <w:rsid w:val="001032C2"/>
    <w:rsid w:val="00103E70"/>
    <w:rsid w:val="00103F3B"/>
    <w:rsid w:val="001046BC"/>
    <w:rsid w:val="00104801"/>
    <w:rsid w:val="00105339"/>
    <w:rsid w:val="00105F7E"/>
    <w:rsid w:val="001061B1"/>
    <w:rsid w:val="00107275"/>
    <w:rsid w:val="0010762C"/>
    <w:rsid w:val="00110508"/>
    <w:rsid w:val="001106E7"/>
    <w:rsid w:val="001110FC"/>
    <w:rsid w:val="00112698"/>
    <w:rsid w:val="00112820"/>
    <w:rsid w:val="00113E7C"/>
    <w:rsid w:val="00114070"/>
    <w:rsid w:val="00114513"/>
    <w:rsid w:val="00115290"/>
    <w:rsid w:val="001154B8"/>
    <w:rsid w:val="001166E7"/>
    <w:rsid w:val="00116CD1"/>
    <w:rsid w:val="001172ED"/>
    <w:rsid w:val="0011769E"/>
    <w:rsid w:val="00120EA9"/>
    <w:rsid w:val="00121093"/>
    <w:rsid w:val="001212E4"/>
    <w:rsid w:val="00121594"/>
    <w:rsid w:val="001215A0"/>
    <w:rsid w:val="00121E7F"/>
    <w:rsid w:val="0012204F"/>
    <w:rsid w:val="001222CF"/>
    <w:rsid w:val="001226DB"/>
    <w:rsid w:val="001231B5"/>
    <w:rsid w:val="00124208"/>
    <w:rsid w:val="00124245"/>
    <w:rsid w:val="001243C8"/>
    <w:rsid w:val="00124593"/>
    <w:rsid w:val="00124F1A"/>
    <w:rsid w:val="00124FCE"/>
    <w:rsid w:val="00125287"/>
    <w:rsid w:val="001259F4"/>
    <w:rsid w:val="00125B64"/>
    <w:rsid w:val="00125D81"/>
    <w:rsid w:val="00126062"/>
    <w:rsid w:val="0012693A"/>
    <w:rsid w:val="00126D2C"/>
    <w:rsid w:val="00126D3F"/>
    <w:rsid w:val="0012754C"/>
    <w:rsid w:val="001275C2"/>
    <w:rsid w:val="00127C13"/>
    <w:rsid w:val="00127F42"/>
    <w:rsid w:val="0013094A"/>
    <w:rsid w:val="00130ED9"/>
    <w:rsid w:val="001316DD"/>
    <w:rsid w:val="00131CAC"/>
    <w:rsid w:val="00132571"/>
    <w:rsid w:val="00132E84"/>
    <w:rsid w:val="0013304B"/>
    <w:rsid w:val="00133715"/>
    <w:rsid w:val="00133DC2"/>
    <w:rsid w:val="00134706"/>
    <w:rsid w:val="00134DE4"/>
    <w:rsid w:val="001352C6"/>
    <w:rsid w:val="00135631"/>
    <w:rsid w:val="001356EE"/>
    <w:rsid w:val="00136464"/>
    <w:rsid w:val="001374EB"/>
    <w:rsid w:val="0013761B"/>
    <w:rsid w:val="00137ACD"/>
    <w:rsid w:val="0014015A"/>
    <w:rsid w:val="0014028B"/>
    <w:rsid w:val="00140F6F"/>
    <w:rsid w:val="001411E3"/>
    <w:rsid w:val="001417AB"/>
    <w:rsid w:val="00142339"/>
    <w:rsid w:val="00142B98"/>
    <w:rsid w:val="00142C38"/>
    <w:rsid w:val="0014312C"/>
    <w:rsid w:val="0014361B"/>
    <w:rsid w:val="001440EB"/>
    <w:rsid w:val="001449DF"/>
    <w:rsid w:val="00145662"/>
    <w:rsid w:val="001457BD"/>
    <w:rsid w:val="00145BB3"/>
    <w:rsid w:val="0014609A"/>
    <w:rsid w:val="001463FC"/>
    <w:rsid w:val="00146A64"/>
    <w:rsid w:val="00146E90"/>
    <w:rsid w:val="00147385"/>
    <w:rsid w:val="00150756"/>
    <w:rsid w:val="00150E7D"/>
    <w:rsid w:val="00151754"/>
    <w:rsid w:val="0015220B"/>
    <w:rsid w:val="00152B00"/>
    <w:rsid w:val="00154280"/>
    <w:rsid w:val="00154834"/>
    <w:rsid w:val="00154999"/>
    <w:rsid w:val="00155217"/>
    <w:rsid w:val="00155BCE"/>
    <w:rsid w:val="00155CE4"/>
    <w:rsid w:val="001564C1"/>
    <w:rsid w:val="00156779"/>
    <w:rsid w:val="00157EF2"/>
    <w:rsid w:val="00160235"/>
    <w:rsid w:val="00160493"/>
    <w:rsid w:val="00160E03"/>
    <w:rsid w:val="00161A98"/>
    <w:rsid w:val="00161ED8"/>
    <w:rsid w:val="0016244C"/>
    <w:rsid w:val="00162F84"/>
    <w:rsid w:val="00163331"/>
    <w:rsid w:val="00163DAB"/>
    <w:rsid w:val="00163F44"/>
    <w:rsid w:val="00163FC2"/>
    <w:rsid w:val="00164D0A"/>
    <w:rsid w:val="00165020"/>
    <w:rsid w:val="00167BFA"/>
    <w:rsid w:val="00167D09"/>
    <w:rsid w:val="00167E48"/>
    <w:rsid w:val="00170270"/>
    <w:rsid w:val="001705A7"/>
    <w:rsid w:val="001705AE"/>
    <w:rsid w:val="001707C6"/>
    <w:rsid w:val="00170CA7"/>
    <w:rsid w:val="00170EA7"/>
    <w:rsid w:val="00171F1B"/>
    <w:rsid w:val="00172197"/>
    <w:rsid w:val="001723F3"/>
    <w:rsid w:val="0017329E"/>
    <w:rsid w:val="00173543"/>
    <w:rsid w:val="00173564"/>
    <w:rsid w:val="00174D39"/>
    <w:rsid w:val="00174D86"/>
    <w:rsid w:val="00174F2A"/>
    <w:rsid w:val="001751DA"/>
    <w:rsid w:val="0017586B"/>
    <w:rsid w:val="00176158"/>
    <w:rsid w:val="0017642D"/>
    <w:rsid w:val="00176FF9"/>
    <w:rsid w:val="00177E15"/>
    <w:rsid w:val="0018053A"/>
    <w:rsid w:val="00180993"/>
    <w:rsid w:val="00180AC7"/>
    <w:rsid w:val="00180FA3"/>
    <w:rsid w:val="00181AB8"/>
    <w:rsid w:val="00181D7D"/>
    <w:rsid w:val="00182500"/>
    <w:rsid w:val="00182A0A"/>
    <w:rsid w:val="00183157"/>
    <w:rsid w:val="00183AFA"/>
    <w:rsid w:val="00183EA8"/>
    <w:rsid w:val="00185142"/>
    <w:rsid w:val="0018516F"/>
    <w:rsid w:val="0018527D"/>
    <w:rsid w:val="00185A9D"/>
    <w:rsid w:val="00185B21"/>
    <w:rsid w:val="00185F69"/>
    <w:rsid w:val="001864F4"/>
    <w:rsid w:val="00186B88"/>
    <w:rsid w:val="0018702E"/>
    <w:rsid w:val="0018744E"/>
    <w:rsid w:val="00187742"/>
    <w:rsid w:val="00187857"/>
    <w:rsid w:val="0019094D"/>
    <w:rsid w:val="00190F90"/>
    <w:rsid w:val="001910E1"/>
    <w:rsid w:val="001911FB"/>
    <w:rsid w:val="00191A96"/>
    <w:rsid w:val="001928EF"/>
    <w:rsid w:val="001929AB"/>
    <w:rsid w:val="00192AF6"/>
    <w:rsid w:val="00192D0E"/>
    <w:rsid w:val="00192E84"/>
    <w:rsid w:val="00193251"/>
    <w:rsid w:val="001934E3"/>
    <w:rsid w:val="00194049"/>
    <w:rsid w:val="001940ED"/>
    <w:rsid w:val="00194DDF"/>
    <w:rsid w:val="00195065"/>
    <w:rsid w:val="0019587D"/>
    <w:rsid w:val="00196477"/>
    <w:rsid w:val="00196670"/>
    <w:rsid w:val="00196D42"/>
    <w:rsid w:val="00196DA0"/>
    <w:rsid w:val="00196E30"/>
    <w:rsid w:val="00197106"/>
    <w:rsid w:val="001972DA"/>
    <w:rsid w:val="00197590"/>
    <w:rsid w:val="0019791B"/>
    <w:rsid w:val="00197A58"/>
    <w:rsid w:val="00197C26"/>
    <w:rsid w:val="001A0196"/>
    <w:rsid w:val="001A0480"/>
    <w:rsid w:val="001A0522"/>
    <w:rsid w:val="001A0579"/>
    <w:rsid w:val="001A07AE"/>
    <w:rsid w:val="001A0833"/>
    <w:rsid w:val="001A101D"/>
    <w:rsid w:val="001A126D"/>
    <w:rsid w:val="001A1278"/>
    <w:rsid w:val="001A1B5E"/>
    <w:rsid w:val="001A1FC1"/>
    <w:rsid w:val="001A262A"/>
    <w:rsid w:val="001A327F"/>
    <w:rsid w:val="001A3A45"/>
    <w:rsid w:val="001A3B74"/>
    <w:rsid w:val="001A3BEC"/>
    <w:rsid w:val="001A4794"/>
    <w:rsid w:val="001A4845"/>
    <w:rsid w:val="001A4B03"/>
    <w:rsid w:val="001A4DD9"/>
    <w:rsid w:val="001A506C"/>
    <w:rsid w:val="001A583F"/>
    <w:rsid w:val="001A5A4B"/>
    <w:rsid w:val="001A5CCC"/>
    <w:rsid w:val="001A6262"/>
    <w:rsid w:val="001A6846"/>
    <w:rsid w:val="001A759A"/>
    <w:rsid w:val="001B0053"/>
    <w:rsid w:val="001B0542"/>
    <w:rsid w:val="001B0970"/>
    <w:rsid w:val="001B14CA"/>
    <w:rsid w:val="001B1599"/>
    <w:rsid w:val="001B1675"/>
    <w:rsid w:val="001B1C96"/>
    <w:rsid w:val="001B2157"/>
    <w:rsid w:val="001B30E6"/>
    <w:rsid w:val="001B30F2"/>
    <w:rsid w:val="001B3216"/>
    <w:rsid w:val="001B3C66"/>
    <w:rsid w:val="001B3D40"/>
    <w:rsid w:val="001B3E21"/>
    <w:rsid w:val="001B4630"/>
    <w:rsid w:val="001B5633"/>
    <w:rsid w:val="001B5716"/>
    <w:rsid w:val="001B5FB7"/>
    <w:rsid w:val="001B6655"/>
    <w:rsid w:val="001B6B68"/>
    <w:rsid w:val="001B6CEA"/>
    <w:rsid w:val="001C0337"/>
    <w:rsid w:val="001C0B4C"/>
    <w:rsid w:val="001C0D6B"/>
    <w:rsid w:val="001C15E5"/>
    <w:rsid w:val="001C1638"/>
    <w:rsid w:val="001C18B1"/>
    <w:rsid w:val="001C4048"/>
    <w:rsid w:val="001C4BBE"/>
    <w:rsid w:val="001C5572"/>
    <w:rsid w:val="001C6182"/>
    <w:rsid w:val="001C638B"/>
    <w:rsid w:val="001C6450"/>
    <w:rsid w:val="001C6B4F"/>
    <w:rsid w:val="001D03DD"/>
    <w:rsid w:val="001D0A0B"/>
    <w:rsid w:val="001D0D96"/>
    <w:rsid w:val="001D0E75"/>
    <w:rsid w:val="001D12A0"/>
    <w:rsid w:val="001D14DA"/>
    <w:rsid w:val="001D1859"/>
    <w:rsid w:val="001D1D2F"/>
    <w:rsid w:val="001D1EF8"/>
    <w:rsid w:val="001D2022"/>
    <w:rsid w:val="001D25B5"/>
    <w:rsid w:val="001D2B7C"/>
    <w:rsid w:val="001D37B9"/>
    <w:rsid w:val="001D443B"/>
    <w:rsid w:val="001D4694"/>
    <w:rsid w:val="001D497D"/>
    <w:rsid w:val="001D4BCE"/>
    <w:rsid w:val="001D5471"/>
    <w:rsid w:val="001D5C7F"/>
    <w:rsid w:val="001D643A"/>
    <w:rsid w:val="001D65AF"/>
    <w:rsid w:val="001D6983"/>
    <w:rsid w:val="001D6EAD"/>
    <w:rsid w:val="001D7253"/>
    <w:rsid w:val="001D7652"/>
    <w:rsid w:val="001D78C2"/>
    <w:rsid w:val="001D7B08"/>
    <w:rsid w:val="001D7EED"/>
    <w:rsid w:val="001D7F06"/>
    <w:rsid w:val="001E102F"/>
    <w:rsid w:val="001E1D95"/>
    <w:rsid w:val="001E1E1C"/>
    <w:rsid w:val="001E29BE"/>
    <w:rsid w:val="001E31EB"/>
    <w:rsid w:val="001E38FB"/>
    <w:rsid w:val="001E3956"/>
    <w:rsid w:val="001E4D9D"/>
    <w:rsid w:val="001E5901"/>
    <w:rsid w:val="001E5FBA"/>
    <w:rsid w:val="001E6345"/>
    <w:rsid w:val="001E73A3"/>
    <w:rsid w:val="001E7659"/>
    <w:rsid w:val="001E7A5D"/>
    <w:rsid w:val="001F0A2F"/>
    <w:rsid w:val="001F1909"/>
    <w:rsid w:val="001F1B54"/>
    <w:rsid w:val="001F244E"/>
    <w:rsid w:val="001F283A"/>
    <w:rsid w:val="001F2C7C"/>
    <w:rsid w:val="001F34E0"/>
    <w:rsid w:val="001F3A05"/>
    <w:rsid w:val="001F3CAD"/>
    <w:rsid w:val="001F3DA7"/>
    <w:rsid w:val="001F3DC3"/>
    <w:rsid w:val="001F3FF2"/>
    <w:rsid w:val="001F42DD"/>
    <w:rsid w:val="001F5054"/>
    <w:rsid w:val="001F50FF"/>
    <w:rsid w:val="001F5853"/>
    <w:rsid w:val="001F5990"/>
    <w:rsid w:val="001F5F95"/>
    <w:rsid w:val="001F6B12"/>
    <w:rsid w:val="001F6EAD"/>
    <w:rsid w:val="002007D6"/>
    <w:rsid w:val="00200BDC"/>
    <w:rsid w:val="002010CA"/>
    <w:rsid w:val="00202CB3"/>
    <w:rsid w:val="00202D37"/>
    <w:rsid w:val="00202D57"/>
    <w:rsid w:val="0020324A"/>
    <w:rsid w:val="002043CD"/>
    <w:rsid w:val="00204853"/>
    <w:rsid w:val="00204B45"/>
    <w:rsid w:val="00204EC2"/>
    <w:rsid w:val="00204EF6"/>
    <w:rsid w:val="0020525D"/>
    <w:rsid w:val="00205613"/>
    <w:rsid w:val="00206853"/>
    <w:rsid w:val="00206BB8"/>
    <w:rsid w:val="0021061E"/>
    <w:rsid w:val="002107B4"/>
    <w:rsid w:val="00210936"/>
    <w:rsid w:val="002110CE"/>
    <w:rsid w:val="00211324"/>
    <w:rsid w:val="0021158B"/>
    <w:rsid w:val="00211929"/>
    <w:rsid w:val="002123D6"/>
    <w:rsid w:val="002123F6"/>
    <w:rsid w:val="0021244F"/>
    <w:rsid w:val="00212456"/>
    <w:rsid w:val="00212830"/>
    <w:rsid w:val="00213B6F"/>
    <w:rsid w:val="00214931"/>
    <w:rsid w:val="00215872"/>
    <w:rsid w:val="002158DB"/>
    <w:rsid w:val="002159C6"/>
    <w:rsid w:val="002159D5"/>
    <w:rsid w:val="00216DDE"/>
    <w:rsid w:val="002177CA"/>
    <w:rsid w:val="002179D6"/>
    <w:rsid w:val="00217BEB"/>
    <w:rsid w:val="00217E52"/>
    <w:rsid w:val="002209DD"/>
    <w:rsid w:val="00220D6D"/>
    <w:rsid w:val="002217E2"/>
    <w:rsid w:val="00222167"/>
    <w:rsid w:val="00222383"/>
    <w:rsid w:val="00222DE1"/>
    <w:rsid w:val="00222F74"/>
    <w:rsid w:val="00223197"/>
    <w:rsid w:val="002231AC"/>
    <w:rsid w:val="00223208"/>
    <w:rsid w:val="00224005"/>
    <w:rsid w:val="0022400C"/>
    <w:rsid w:val="00224D0D"/>
    <w:rsid w:val="00224FFC"/>
    <w:rsid w:val="00224FFD"/>
    <w:rsid w:val="002253F4"/>
    <w:rsid w:val="002254BC"/>
    <w:rsid w:val="00225672"/>
    <w:rsid w:val="00225A42"/>
    <w:rsid w:val="00226419"/>
    <w:rsid w:val="00226851"/>
    <w:rsid w:val="00226D35"/>
    <w:rsid w:val="00230191"/>
    <w:rsid w:val="00230CE1"/>
    <w:rsid w:val="00231081"/>
    <w:rsid w:val="00231325"/>
    <w:rsid w:val="00231D50"/>
    <w:rsid w:val="00231F24"/>
    <w:rsid w:val="0023240F"/>
    <w:rsid w:val="0023314E"/>
    <w:rsid w:val="002331A0"/>
    <w:rsid w:val="0023392C"/>
    <w:rsid w:val="0023401F"/>
    <w:rsid w:val="002349C8"/>
    <w:rsid w:val="00235A7E"/>
    <w:rsid w:val="00235B0F"/>
    <w:rsid w:val="0023635B"/>
    <w:rsid w:val="00237AB6"/>
    <w:rsid w:val="00237FD8"/>
    <w:rsid w:val="0024019A"/>
    <w:rsid w:val="00240227"/>
    <w:rsid w:val="002413F9"/>
    <w:rsid w:val="002420FE"/>
    <w:rsid w:val="00242751"/>
    <w:rsid w:val="002434DE"/>
    <w:rsid w:val="00243B4F"/>
    <w:rsid w:val="002442A9"/>
    <w:rsid w:val="00245629"/>
    <w:rsid w:val="00245756"/>
    <w:rsid w:val="00246127"/>
    <w:rsid w:val="0024614C"/>
    <w:rsid w:val="00246717"/>
    <w:rsid w:val="00246738"/>
    <w:rsid w:val="0024683B"/>
    <w:rsid w:val="002468AF"/>
    <w:rsid w:val="00246C5B"/>
    <w:rsid w:val="00247AC8"/>
    <w:rsid w:val="00247CA8"/>
    <w:rsid w:val="00247E35"/>
    <w:rsid w:val="00250D88"/>
    <w:rsid w:val="002517FA"/>
    <w:rsid w:val="00251B69"/>
    <w:rsid w:val="00251F75"/>
    <w:rsid w:val="00252673"/>
    <w:rsid w:val="00252FBE"/>
    <w:rsid w:val="002531BC"/>
    <w:rsid w:val="002542FC"/>
    <w:rsid w:val="002544CB"/>
    <w:rsid w:val="002549C9"/>
    <w:rsid w:val="002549DB"/>
    <w:rsid w:val="00255018"/>
    <w:rsid w:val="0025509C"/>
    <w:rsid w:val="002557B6"/>
    <w:rsid w:val="002557B7"/>
    <w:rsid w:val="0025642B"/>
    <w:rsid w:val="002564E2"/>
    <w:rsid w:val="00256693"/>
    <w:rsid w:val="00257095"/>
    <w:rsid w:val="00257265"/>
    <w:rsid w:val="0025753D"/>
    <w:rsid w:val="0025774F"/>
    <w:rsid w:val="002603D6"/>
    <w:rsid w:val="00260AE9"/>
    <w:rsid w:val="002611B7"/>
    <w:rsid w:val="00261C04"/>
    <w:rsid w:val="00261E38"/>
    <w:rsid w:val="00262727"/>
    <w:rsid w:val="002627B2"/>
    <w:rsid w:val="00262C34"/>
    <w:rsid w:val="00262E61"/>
    <w:rsid w:val="00262E8E"/>
    <w:rsid w:val="00263398"/>
    <w:rsid w:val="00263662"/>
    <w:rsid w:val="00263D3E"/>
    <w:rsid w:val="002641B6"/>
    <w:rsid w:val="002642BA"/>
    <w:rsid w:val="002646EE"/>
    <w:rsid w:val="00265703"/>
    <w:rsid w:val="0026591D"/>
    <w:rsid w:val="00265F13"/>
    <w:rsid w:val="002667F6"/>
    <w:rsid w:val="00267EB3"/>
    <w:rsid w:val="002705E9"/>
    <w:rsid w:val="0027109A"/>
    <w:rsid w:val="002711C7"/>
    <w:rsid w:val="002719EC"/>
    <w:rsid w:val="002720D1"/>
    <w:rsid w:val="002727BE"/>
    <w:rsid w:val="00272B97"/>
    <w:rsid w:val="002736DC"/>
    <w:rsid w:val="00273883"/>
    <w:rsid w:val="00273A1E"/>
    <w:rsid w:val="00273B45"/>
    <w:rsid w:val="00273DB9"/>
    <w:rsid w:val="0027409A"/>
    <w:rsid w:val="002746B5"/>
    <w:rsid w:val="00274EA1"/>
    <w:rsid w:val="00276093"/>
    <w:rsid w:val="00276484"/>
    <w:rsid w:val="0027650C"/>
    <w:rsid w:val="0027660E"/>
    <w:rsid w:val="00276CA0"/>
    <w:rsid w:val="0027704A"/>
    <w:rsid w:val="0027775D"/>
    <w:rsid w:val="00277A2D"/>
    <w:rsid w:val="00280A2F"/>
    <w:rsid w:val="00281464"/>
    <w:rsid w:val="0028149A"/>
    <w:rsid w:val="00281612"/>
    <w:rsid w:val="0028198A"/>
    <w:rsid w:val="00281D95"/>
    <w:rsid w:val="00283205"/>
    <w:rsid w:val="0028356E"/>
    <w:rsid w:val="00283A26"/>
    <w:rsid w:val="00283BB3"/>
    <w:rsid w:val="002840ED"/>
    <w:rsid w:val="00284C30"/>
    <w:rsid w:val="0028568F"/>
    <w:rsid w:val="0028611D"/>
    <w:rsid w:val="0028665F"/>
    <w:rsid w:val="0028689C"/>
    <w:rsid w:val="002870D8"/>
    <w:rsid w:val="00287ECF"/>
    <w:rsid w:val="00287F9F"/>
    <w:rsid w:val="0029062A"/>
    <w:rsid w:val="00290EBE"/>
    <w:rsid w:val="002916ED"/>
    <w:rsid w:val="00291726"/>
    <w:rsid w:val="00291B6A"/>
    <w:rsid w:val="00291C45"/>
    <w:rsid w:val="002923C2"/>
    <w:rsid w:val="00293631"/>
    <w:rsid w:val="00293CA3"/>
    <w:rsid w:val="00294A97"/>
    <w:rsid w:val="0029538B"/>
    <w:rsid w:val="0029559B"/>
    <w:rsid w:val="00295BBD"/>
    <w:rsid w:val="002963A0"/>
    <w:rsid w:val="00296C77"/>
    <w:rsid w:val="00296E77"/>
    <w:rsid w:val="00297692"/>
    <w:rsid w:val="00297858"/>
    <w:rsid w:val="00297CA4"/>
    <w:rsid w:val="002A0763"/>
    <w:rsid w:val="002A12F9"/>
    <w:rsid w:val="002A1C6F"/>
    <w:rsid w:val="002A1F82"/>
    <w:rsid w:val="002A20B8"/>
    <w:rsid w:val="002A316C"/>
    <w:rsid w:val="002A4A45"/>
    <w:rsid w:val="002A52AD"/>
    <w:rsid w:val="002A60D2"/>
    <w:rsid w:val="002A7338"/>
    <w:rsid w:val="002B07D0"/>
    <w:rsid w:val="002B093B"/>
    <w:rsid w:val="002B0EF7"/>
    <w:rsid w:val="002B1283"/>
    <w:rsid w:val="002B1753"/>
    <w:rsid w:val="002B193A"/>
    <w:rsid w:val="002B1A0E"/>
    <w:rsid w:val="002B1B60"/>
    <w:rsid w:val="002B223E"/>
    <w:rsid w:val="002B2BB5"/>
    <w:rsid w:val="002B2CD8"/>
    <w:rsid w:val="002B3366"/>
    <w:rsid w:val="002B3680"/>
    <w:rsid w:val="002B451B"/>
    <w:rsid w:val="002B4799"/>
    <w:rsid w:val="002B47CD"/>
    <w:rsid w:val="002B4B9C"/>
    <w:rsid w:val="002B4BDD"/>
    <w:rsid w:val="002B52C0"/>
    <w:rsid w:val="002B574C"/>
    <w:rsid w:val="002B57A4"/>
    <w:rsid w:val="002B5F47"/>
    <w:rsid w:val="002B68A7"/>
    <w:rsid w:val="002B6DA3"/>
    <w:rsid w:val="002B6E4D"/>
    <w:rsid w:val="002B7C68"/>
    <w:rsid w:val="002C1197"/>
    <w:rsid w:val="002C13D0"/>
    <w:rsid w:val="002C17D8"/>
    <w:rsid w:val="002C1987"/>
    <w:rsid w:val="002C1BA1"/>
    <w:rsid w:val="002C1EC7"/>
    <w:rsid w:val="002C26B5"/>
    <w:rsid w:val="002C2775"/>
    <w:rsid w:val="002C27E5"/>
    <w:rsid w:val="002C2DF4"/>
    <w:rsid w:val="002C2E2A"/>
    <w:rsid w:val="002C3075"/>
    <w:rsid w:val="002C35D0"/>
    <w:rsid w:val="002C4A62"/>
    <w:rsid w:val="002C4C21"/>
    <w:rsid w:val="002D0366"/>
    <w:rsid w:val="002D0F6E"/>
    <w:rsid w:val="002D2388"/>
    <w:rsid w:val="002D2D7E"/>
    <w:rsid w:val="002D32A3"/>
    <w:rsid w:val="002D3632"/>
    <w:rsid w:val="002D3788"/>
    <w:rsid w:val="002D3BB4"/>
    <w:rsid w:val="002D430E"/>
    <w:rsid w:val="002D45B6"/>
    <w:rsid w:val="002D4FF0"/>
    <w:rsid w:val="002D54D4"/>
    <w:rsid w:val="002D6037"/>
    <w:rsid w:val="002D629D"/>
    <w:rsid w:val="002D6E43"/>
    <w:rsid w:val="002D73F3"/>
    <w:rsid w:val="002D754A"/>
    <w:rsid w:val="002E075D"/>
    <w:rsid w:val="002E149D"/>
    <w:rsid w:val="002E17B7"/>
    <w:rsid w:val="002E316B"/>
    <w:rsid w:val="002E468B"/>
    <w:rsid w:val="002E473D"/>
    <w:rsid w:val="002E4C47"/>
    <w:rsid w:val="002E52A5"/>
    <w:rsid w:val="002E532F"/>
    <w:rsid w:val="002E60A1"/>
    <w:rsid w:val="002E64E0"/>
    <w:rsid w:val="002E6661"/>
    <w:rsid w:val="002E71D7"/>
    <w:rsid w:val="002E78EC"/>
    <w:rsid w:val="002E7FD3"/>
    <w:rsid w:val="002F04FD"/>
    <w:rsid w:val="002F077A"/>
    <w:rsid w:val="002F1212"/>
    <w:rsid w:val="002F13CD"/>
    <w:rsid w:val="002F146F"/>
    <w:rsid w:val="002F1694"/>
    <w:rsid w:val="002F218C"/>
    <w:rsid w:val="002F2479"/>
    <w:rsid w:val="002F25DD"/>
    <w:rsid w:val="002F2D03"/>
    <w:rsid w:val="002F2DDA"/>
    <w:rsid w:val="002F3B76"/>
    <w:rsid w:val="002F4171"/>
    <w:rsid w:val="002F49CF"/>
    <w:rsid w:val="002F525D"/>
    <w:rsid w:val="002F5AC0"/>
    <w:rsid w:val="002F607E"/>
    <w:rsid w:val="002F6290"/>
    <w:rsid w:val="002F6592"/>
    <w:rsid w:val="002F6C4B"/>
    <w:rsid w:val="002F7279"/>
    <w:rsid w:val="002F733E"/>
    <w:rsid w:val="002F7C1E"/>
    <w:rsid w:val="002F7DB4"/>
    <w:rsid w:val="002F7E88"/>
    <w:rsid w:val="002F7F2A"/>
    <w:rsid w:val="003006AA"/>
    <w:rsid w:val="003014B0"/>
    <w:rsid w:val="00301CA5"/>
    <w:rsid w:val="0030200D"/>
    <w:rsid w:val="003033E7"/>
    <w:rsid w:val="00303B23"/>
    <w:rsid w:val="00304060"/>
    <w:rsid w:val="0030412E"/>
    <w:rsid w:val="00304BD9"/>
    <w:rsid w:val="0030598C"/>
    <w:rsid w:val="00306DFE"/>
    <w:rsid w:val="003070CA"/>
    <w:rsid w:val="00307348"/>
    <w:rsid w:val="00307BC7"/>
    <w:rsid w:val="003100D3"/>
    <w:rsid w:val="00310146"/>
    <w:rsid w:val="00311606"/>
    <w:rsid w:val="00311E4A"/>
    <w:rsid w:val="00313266"/>
    <w:rsid w:val="00313B3F"/>
    <w:rsid w:val="00314115"/>
    <w:rsid w:val="00314F13"/>
    <w:rsid w:val="00314FF8"/>
    <w:rsid w:val="00316551"/>
    <w:rsid w:val="00316552"/>
    <w:rsid w:val="00316C29"/>
    <w:rsid w:val="00316CA8"/>
    <w:rsid w:val="00316DEF"/>
    <w:rsid w:val="00317C0E"/>
    <w:rsid w:val="00320135"/>
    <w:rsid w:val="00320557"/>
    <w:rsid w:val="0032081A"/>
    <w:rsid w:val="0032089A"/>
    <w:rsid w:val="00320A8D"/>
    <w:rsid w:val="00320BB9"/>
    <w:rsid w:val="003212B3"/>
    <w:rsid w:val="00321520"/>
    <w:rsid w:val="0032218B"/>
    <w:rsid w:val="00324D7F"/>
    <w:rsid w:val="00325597"/>
    <w:rsid w:val="00325AD7"/>
    <w:rsid w:val="00325E66"/>
    <w:rsid w:val="00326443"/>
    <w:rsid w:val="00326A1E"/>
    <w:rsid w:val="003270A4"/>
    <w:rsid w:val="003270AC"/>
    <w:rsid w:val="003274FB"/>
    <w:rsid w:val="0032756C"/>
    <w:rsid w:val="00327D59"/>
    <w:rsid w:val="00327EC4"/>
    <w:rsid w:val="00330247"/>
    <w:rsid w:val="003302AA"/>
    <w:rsid w:val="00330D68"/>
    <w:rsid w:val="00331609"/>
    <w:rsid w:val="0033190B"/>
    <w:rsid w:val="003320E7"/>
    <w:rsid w:val="003323E5"/>
    <w:rsid w:val="00332CFD"/>
    <w:rsid w:val="003333F3"/>
    <w:rsid w:val="003334D0"/>
    <w:rsid w:val="0033440D"/>
    <w:rsid w:val="00334872"/>
    <w:rsid w:val="00335789"/>
    <w:rsid w:val="00336145"/>
    <w:rsid w:val="003361C2"/>
    <w:rsid w:val="00336430"/>
    <w:rsid w:val="00337486"/>
    <w:rsid w:val="00340726"/>
    <w:rsid w:val="00340995"/>
    <w:rsid w:val="0034117A"/>
    <w:rsid w:val="003414A0"/>
    <w:rsid w:val="003421D0"/>
    <w:rsid w:val="003427F4"/>
    <w:rsid w:val="00342B6D"/>
    <w:rsid w:val="00342D87"/>
    <w:rsid w:val="00343AFC"/>
    <w:rsid w:val="00344FEA"/>
    <w:rsid w:val="0034521A"/>
    <w:rsid w:val="0034605F"/>
    <w:rsid w:val="00346774"/>
    <w:rsid w:val="003467AA"/>
    <w:rsid w:val="00346B34"/>
    <w:rsid w:val="00347554"/>
    <w:rsid w:val="00350A9B"/>
    <w:rsid w:val="00351057"/>
    <w:rsid w:val="003518B1"/>
    <w:rsid w:val="00351C53"/>
    <w:rsid w:val="00351E9C"/>
    <w:rsid w:val="00351ED2"/>
    <w:rsid w:val="0035255D"/>
    <w:rsid w:val="0035282D"/>
    <w:rsid w:val="00352AE5"/>
    <w:rsid w:val="0035383F"/>
    <w:rsid w:val="00353B45"/>
    <w:rsid w:val="00353CED"/>
    <w:rsid w:val="0035408A"/>
    <w:rsid w:val="00354DEA"/>
    <w:rsid w:val="00355136"/>
    <w:rsid w:val="003567E8"/>
    <w:rsid w:val="00356847"/>
    <w:rsid w:val="003568EA"/>
    <w:rsid w:val="00356CE8"/>
    <w:rsid w:val="00356E22"/>
    <w:rsid w:val="00357A2A"/>
    <w:rsid w:val="00357E18"/>
    <w:rsid w:val="00360767"/>
    <w:rsid w:val="00361570"/>
    <w:rsid w:val="00361771"/>
    <w:rsid w:val="003629D7"/>
    <w:rsid w:val="00362F9E"/>
    <w:rsid w:val="003631B7"/>
    <w:rsid w:val="00364094"/>
    <w:rsid w:val="00364ABD"/>
    <w:rsid w:val="00365EB2"/>
    <w:rsid w:val="00366786"/>
    <w:rsid w:val="003669E6"/>
    <w:rsid w:val="003706F0"/>
    <w:rsid w:val="00370C6A"/>
    <w:rsid w:val="0037111B"/>
    <w:rsid w:val="003711D7"/>
    <w:rsid w:val="003717B4"/>
    <w:rsid w:val="003735E4"/>
    <w:rsid w:val="00373FCA"/>
    <w:rsid w:val="00374DE3"/>
    <w:rsid w:val="0037515C"/>
    <w:rsid w:val="0037517B"/>
    <w:rsid w:val="00375384"/>
    <w:rsid w:val="0037545C"/>
    <w:rsid w:val="00376472"/>
    <w:rsid w:val="00376A10"/>
    <w:rsid w:val="00377056"/>
    <w:rsid w:val="00377287"/>
    <w:rsid w:val="00377D4E"/>
    <w:rsid w:val="003800C1"/>
    <w:rsid w:val="00380A27"/>
    <w:rsid w:val="00381035"/>
    <w:rsid w:val="003811FB"/>
    <w:rsid w:val="003815B6"/>
    <w:rsid w:val="00381918"/>
    <w:rsid w:val="0038220C"/>
    <w:rsid w:val="00382EF6"/>
    <w:rsid w:val="0038322D"/>
    <w:rsid w:val="00383C05"/>
    <w:rsid w:val="00383C13"/>
    <w:rsid w:val="00384415"/>
    <w:rsid w:val="00384524"/>
    <w:rsid w:val="00384DCD"/>
    <w:rsid w:val="003866BC"/>
    <w:rsid w:val="00386F0E"/>
    <w:rsid w:val="003874EE"/>
    <w:rsid w:val="003876CA"/>
    <w:rsid w:val="00387A8E"/>
    <w:rsid w:val="00387CFC"/>
    <w:rsid w:val="00387D13"/>
    <w:rsid w:val="0039043B"/>
    <w:rsid w:val="0039117D"/>
    <w:rsid w:val="00391C1D"/>
    <w:rsid w:val="00393199"/>
    <w:rsid w:val="0039348A"/>
    <w:rsid w:val="003934C4"/>
    <w:rsid w:val="00393698"/>
    <w:rsid w:val="003947B1"/>
    <w:rsid w:val="00394B52"/>
    <w:rsid w:val="0039500B"/>
    <w:rsid w:val="00395105"/>
    <w:rsid w:val="00395520"/>
    <w:rsid w:val="00395B9D"/>
    <w:rsid w:val="003960C2"/>
    <w:rsid w:val="0039643D"/>
    <w:rsid w:val="0039656D"/>
    <w:rsid w:val="003966FC"/>
    <w:rsid w:val="0039699F"/>
    <w:rsid w:val="003974AC"/>
    <w:rsid w:val="00397E15"/>
    <w:rsid w:val="003A074E"/>
    <w:rsid w:val="003A0A41"/>
    <w:rsid w:val="003A1ABE"/>
    <w:rsid w:val="003A2716"/>
    <w:rsid w:val="003A28BB"/>
    <w:rsid w:val="003A3AC3"/>
    <w:rsid w:val="003A4176"/>
    <w:rsid w:val="003A44F8"/>
    <w:rsid w:val="003A4910"/>
    <w:rsid w:val="003A4C96"/>
    <w:rsid w:val="003A5EB2"/>
    <w:rsid w:val="003A691A"/>
    <w:rsid w:val="003A6A42"/>
    <w:rsid w:val="003A6EE6"/>
    <w:rsid w:val="003A762C"/>
    <w:rsid w:val="003B023E"/>
    <w:rsid w:val="003B0CFE"/>
    <w:rsid w:val="003B0D26"/>
    <w:rsid w:val="003B164C"/>
    <w:rsid w:val="003B16D9"/>
    <w:rsid w:val="003B1E53"/>
    <w:rsid w:val="003B2B3F"/>
    <w:rsid w:val="003B2EF4"/>
    <w:rsid w:val="003B36F9"/>
    <w:rsid w:val="003B41B0"/>
    <w:rsid w:val="003B4211"/>
    <w:rsid w:val="003B4551"/>
    <w:rsid w:val="003B4B2E"/>
    <w:rsid w:val="003B4D80"/>
    <w:rsid w:val="003B52CD"/>
    <w:rsid w:val="003B530C"/>
    <w:rsid w:val="003B5C01"/>
    <w:rsid w:val="003B5C29"/>
    <w:rsid w:val="003B5D52"/>
    <w:rsid w:val="003B69E6"/>
    <w:rsid w:val="003B6D83"/>
    <w:rsid w:val="003B6E82"/>
    <w:rsid w:val="003B7426"/>
    <w:rsid w:val="003B7E66"/>
    <w:rsid w:val="003B7EA6"/>
    <w:rsid w:val="003C0052"/>
    <w:rsid w:val="003C0AFB"/>
    <w:rsid w:val="003C153C"/>
    <w:rsid w:val="003C1572"/>
    <w:rsid w:val="003C1989"/>
    <w:rsid w:val="003C2499"/>
    <w:rsid w:val="003C332D"/>
    <w:rsid w:val="003C433A"/>
    <w:rsid w:val="003C4B08"/>
    <w:rsid w:val="003C4C89"/>
    <w:rsid w:val="003C4F45"/>
    <w:rsid w:val="003C5451"/>
    <w:rsid w:val="003C652A"/>
    <w:rsid w:val="003C68D8"/>
    <w:rsid w:val="003C6BC5"/>
    <w:rsid w:val="003C727F"/>
    <w:rsid w:val="003C7388"/>
    <w:rsid w:val="003C73A1"/>
    <w:rsid w:val="003C778B"/>
    <w:rsid w:val="003C7D8F"/>
    <w:rsid w:val="003C7F4C"/>
    <w:rsid w:val="003D0C0C"/>
    <w:rsid w:val="003D0D04"/>
    <w:rsid w:val="003D0D77"/>
    <w:rsid w:val="003D14FC"/>
    <w:rsid w:val="003D15FD"/>
    <w:rsid w:val="003D16C1"/>
    <w:rsid w:val="003D1B44"/>
    <w:rsid w:val="003D1BBA"/>
    <w:rsid w:val="003D1D7E"/>
    <w:rsid w:val="003D26CC"/>
    <w:rsid w:val="003D3157"/>
    <w:rsid w:val="003D31D9"/>
    <w:rsid w:val="003D3C68"/>
    <w:rsid w:val="003D549F"/>
    <w:rsid w:val="003D5F0C"/>
    <w:rsid w:val="003D6CE6"/>
    <w:rsid w:val="003E0005"/>
    <w:rsid w:val="003E03BD"/>
    <w:rsid w:val="003E10CC"/>
    <w:rsid w:val="003E1271"/>
    <w:rsid w:val="003E23D8"/>
    <w:rsid w:val="003E254D"/>
    <w:rsid w:val="003E2E46"/>
    <w:rsid w:val="003E2F3E"/>
    <w:rsid w:val="003E352C"/>
    <w:rsid w:val="003E40E3"/>
    <w:rsid w:val="003E41FB"/>
    <w:rsid w:val="003E5130"/>
    <w:rsid w:val="003E5B31"/>
    <w:rsid w:val="003E5F7E"/>
    <w:rsid w:val="003E605D"/>
    <w:rsid w:val="003E6446"/>
    <w:rsid w:val="003E7AF4"/>
    <w:rsid w:val="003F089D"/>
    <w:rsid w:val="003F0CCC"/>
    <w:rsid w:val="003F0EC0"/>
    <w:rsid w:val="003F12F9"/>
    <w:rsid w:val="003F15FD"/>
    <w:rsid w:val="003F16DD"/>
    <w:rsid w:val="003F19A1"/>
    <w:rsid w:val="003F1CE7"/>
    <w:rsid w:val="003F1EFD"/>
    <w:rsid w:val="003F26DC"/>
    <w:rsid w:val="003F2924"/>
    <w:rsid w:val="003F2F59"/>
    <w:rsid w:val="003F377E"/>
    <w:rsid w:val="003F3919"/>
    <w:rsid w:val="003F45E1"/>
    <w:rsid w:val="003F49F1"/>
    <w:rsid w:val="003F5618"/>
    <w:rsid w:val="003F59C5"/>
    <w:rsid w:val="003F5F40"/>
    <w:rsid w:val="003F61B0"/>
    <w:rsid w:val="003F79CE"/>
    <w:rsid w:val="00400126"/>
    <w:rsid w:val="00400371"/>
    <w:rsid w:val="00401BBF"/>
    <w:rsid w:val="00402823"/>
    <w:rsid w:val="00402B29"/>
    <w:rsid w:val="00403913"/>
    <w:rsid w:val="00403938"/>
    <w:rsid w:val="004042CA"/>
    <w:rsid w:val="004047E1"/>
    <w:rsid w:val="00405201"/>
    <w:rsid w:val="00405280"/>
    <w:rsid w:val="0040687F"/>
    <w:rsid w:val="004069F3"/>
    <w:rsid w:val="00406A6E"/>
    <w:rsid w:val="00406F0C"/>
    <w:rsid w:val="00406FA8"/>
    <w:rsid w:val="00407D57"/>
    <w:rsid w:val="00410879"/>
    <w:rsid w:val="004109DA"/>
    <w:rsid w:val="0041114B"/>
    <w:rsid w:val="00411258"/>
    <w:rsid w:val="00411348"/>
    <w:rsid w:val="00411868"/>
    <w:rsid w:val="00411D8E"/>
    <w:rsid w:val="00412768"/>
    <w:rsid w:val="00413310"/>
    <w:rsid w:val="00413FDF"/>
    <w:rsid w:val="00414A74"/>
    <w:rsid w:val="00414FFB"/>
    <w:rsid w:val="00415730"/>
    <w:rsid w:val="00415C6A"/>
    <w:rsid w:val="00415EBD"/>
    <w:rsid w:val="004169FF"/>
    <w:rsid w:val="00416E00"/>
    <w:rsid w:val="004171DE"/>
    <w:rsid w:val="00417825"/>
    <w:rsid w:val="00417C3D"/>
    <w:rsid w:val="00420121"/>
    <w:rsid w:val="00420441"/>
    <w:rsid w:val="00420FAB"/>
    <w:rsid w:val="00422316"/>
    <w:rsid w:val="00422898"/>
    <w:rsid w:val="00422948"/>
    <w:rsid w:val="0042362A"/>
    <w:rsid w:val="00424BEF"/>
    <w:rsid w:val="00424D4A"/>
    <w:rsid w:val="004267A4"/>
    <w:rsid w:val="004271F3"/>
    <w:rsid w:val="00430641"/>
    <w:rsid w:val="00430EB7"/>
    <w:rsid w:val="004313AF"/>
    <w:rsid w:val="00431405"/>
    <w:rsid w:val="00432CE6"/>
    <w:rsid w:val="00432EEA"/>
    <w:rsid w:val="004332AA"/>
    <w:rsid w:val="00433B4F"/>
    <w:rsid w:val="00433C28"/>
    <w:rsid w:val="0043476F"/>
    <w:rsid w:val="00435AF7"/>
    <w:rsid w:val="00435C08"/>
    <w:rsid w:val="0043641D"/>
    <w:rsid w:val="0043670E"/>
    <w:rsid w:val="00437079"/>
    <w:rsid w:val="00437FB2"/>
    <w:rsid w:val="0044016A"/>
    <w:rsid w:val="004401A7"/>
    <w:rsid w:val="00440268"/>
    <w:rsid w:val="0044037E"/>
    <w:rsid w:val="00440447"/>
    <w:rsid w:val="00440A6A"/>
    <w:rsid w:val="00440D67"/>
    <w:rsid w:val="004417D0"/>
    <w:rsid w:val="00441DEC"/>
    <w:rsid w:val="0044209F"/>
    <w:rsid w:val="0044262C"/>
    <w:rsid w:val="00442D81"/>
    <w:rsid w:val="00443B82"/>
    <w:rsid w:val="0044456F"/>
    <w:rsid w:val="00444615"/>
    <w:rsid w:val="00445823"/>
    <w:rsid w:val="0044600F"/>
    <w:rsid w:val="004463A4"/>
    <w:rsid w:val="00446955"/>
    <w:rsid w:val="00447BF5"/>
    <w:rsid w:val="00447F55"/>
    <w:rsid w:val="0045058C"/>
    <w:rsid w:val="00450660"/>
    <w:rsid w:val="00450E89"/>
    <w:rsid w:val="004511D3"/>
    <w:rsid w:val="004514D8"/>
    <w:rsid w:val="0045195D"/>
    <w:rsid w:val="00452AD3"/>
    <w:rsid w:val="00452CB0"/>
    <w:rsid w:val="00453F86"/>
    <w:rsid w:val="004544A2"/>
    <w:rsid w:val="00454984"/>
    <w:rsid w:val="00454D5C"/>
    <w:rsid w:val="004553FE"/>
    <w:rsid w:val="00455B8F"/>
    <w:rsid w:val="0045603B"/>
    <w:rsid w:val="004560AC"/>
    <w:rsid w:val="00457022"/>
    <w:rsid w:val="0045725C"/>
    <w:rsid w:val="00460262"/>
    <w:rsid w:val="004604D8"/>
    <w:rsid w:val="00460523"/>
    <w:rsid w:val="004606ED"/>
    <w:rsid w:val="00460C23"/>
    <w:rsid w:val="004611B3"/>
    <w:rsid w:val="0046188C"/>
    <w:rsid w:val="004639F2"/>
    <w:rsid w:val="00464016"/>
    <w:rsid w:val="004641A9"/>
    <w:rsid w:val="00464F94"/>
    <w:rsid w:val="00465017"/>
    <w:rsid w:val="004666AF"/>
    <w:rsid w:val="004667C8"/>
    <w:rsid w:val="00466AA0"/>
    <w:rsid w:val="00467813"/>
    <w:rsid w:val="004711B2"/>
    <w:rsid w:val="004717C3"/>
    <w:rsid w:val="00471CE5"/>
    <w:rsid w:val="00472D42"/>
    <w:rsid w:val="00472DB2"/>
    <w:rsid w:val="0047301F"/>
    <w:rsid w:val="004730F3"/>
    <w:rsid w:val="0047311A"/>
    <w:rsid w:val="00473536"/>
    <w:rsid w:val="00473DD7"/>
    <w:rsid w:val="00474DF3"/>
    <w:rsid w:val="004750D2"/>
    <w:rsid w:val="00475506"/>
    <w:rsid w:val="00475854"/>
    <w:rsid w:val="00476946"/>
    <w:rsid w:val="0047706B"/>
    <w:rsid w:val="0047741F"/>
    <w:rsid w:val="0047765D"/>
    <w:rsid w:val="00477989"/>
    <w:rsid w:val="00480568"/>
    <w:rsid w:val="0048195F"/>
    <w:rsid w:val="00481BB1"/>
    <w:rsid w:val="00482143"/>
    <w:rsid w:val="00482182"/>
    <w:rsid w:val="00482549"/>
    <w:rsid w:val="0048354F"/>
    <w:rsid w:val="004841E9"/>
    <w:rsid w:val="0048555D"/>
    <w:rsid w:val="00485806"/>
    <w:rsid w:val="00485D35"/>
    <w:rsid w:val="00485E4A"/>
    <w:rsid w:val="0048714F"/>
    <w:rsid w:val="0048722B"/>
    <w:rsid w:val="0048741A"/>
    <w:rsid w:val="00487513"/>
    <w:rsid w:val="00487846"/>
    <w:rsid w:val="0048793C"/>
    <w:rsid w:val="0049137F"/>
    <w:rsid w:val="004921E7"/>
    <w:rsid w:val="004924FA"/>
    <w:rsid w:val="00492C16"/>
    <w:rsid w:val="00494216"/>
    <w:rsid w:val="004944CA"/>
    <w:rsid w:val="00495041"/>
    <w:rsid w:val="0049576A"/>
    <w:rsid w:val="004976F2"/>
    <w:rsid w:val="00497B27"/>
    <w:rsid w:val="004A0120"/>
    <w:rsid w:val="004A0369"/>
    <w:rsid w:val="004A07D8"/>
    <w:rsid w:val="004A0DC8"/>
    <w:rsid w:val="004A16F7"/>
    <w:rsid w:val="004A1C94"/>
    <w:rsid w:val="004A1D02"/>
    <w:rsid w:val="004A27CD"/>
    <w:rsid w:val="004A2B99"/>
    <w:rsid w:val="004A308D"/>
    <w:rsid w:val="004A3317"/>
    <w:rsid w:val="004A3510"/>
    <w:rsid w:val="004A3BDA"/>
    <w:rsid w:val="004A41E1"/>
    <w:rsid w:val="004A48D8"/>
    <w:rsid w:val="004A4983"/>
    <w:rsid w:val="004A4C51"/>
    <w:rsid w:val="004A50AC"/>
    <w:rsid w:val="004A566C"/>
    <w:rsid w:val="004A5E4C"/>
    <w:rsid w:val="004A6403"/>
    <w:rsid w:val="004A6D12"/>
    <w:rsid w:val="004A7A19"/>
    <w:rsid w:val="004A7D69"/>
    <w:rsid w:val="004B05F4"/>
    <w:rsid w:val="004B06A9"/>
    <w:rsid w:val="004B11F4"/>
    <w:rsid w:val="004B12CC"/>
    <w:rsid w:val="004B14E3"/>
    <w:rsid w:val="004B1AD1"/>
    <w:rsid w:val="004B1CAD"/>
    <w:rsid w:val="004B21AC"/>
    <w:rsid w:val="004B24FF"/>
    <w:rsid w:val="004B2707"/>
    <w:rsid w:val="004B2D2E"/>
    <w:rsid w:val="004B30B1"/>
    <w:rsid w:val="004B4E24"/>
    <w:rsid w:val="004B4F07"/>
    <w:rsid w:val="004B50E1"/>
    <w:rsid w:val="004B5D38"/>
    <w:rsid w:val="004B5DC7"/>
    <w:rsid w:val="004B62DD"/>
    <w:rsid w:val="004B7230"/>
    <w:rsid w:val="004B7253"/>
    <w:rsid w:val="004B74B5"/>
    <w:rsid w:val="004C0028"/>
    <w:rsid w:val="004C0080"/>
    <w:rsid w:val="004C00C6"/>
    <w:rsid w:val="004C15E0"/>
    <w:rsid w:val="004C1CE4"/>
    <w:rsid w:val="004C1E45"/>
    <w:rsid w:val="004C1FB9"/>
    <w:rsid w:val="004C2328"/>
    <w:rsid w:val="004C2569"/>
    <w:rsid w:val="004C26C9"/>
    <w:rsid w:val="004C30EC"/>
    <w:rsid w:val="004C4A12"/>
    <w:rsid w:val="004C4C13"/>
    <w:rsid w:val="004C4CBD"/>
    <w:rsid w:val="004C51A9"/>
    <w:rsid w:val="004C5257"/>
    <w:rsid w:val="004C52B8"/>
    <w:rsid w:val="004C576E"/>
    <w:rsid w:val="004C6072"/>
    <w:rsid w:val="004C6CFB"/>
    <w:rsid w:val="004C73AC"/>
    <w:rsid w:val="004C7E7D"/>
    <w:rsid w:val="004D0424"/>
    <w:rsid w:val="004D0940"/>
    <w:rsid w:val="004D0F25"/>
    <w:rsid w:val="004D0FC1"/>
    <w:rsid w:val="004D1416"/>
    <w:rsid w:val="004D2A2B"/>
    <w:rsid w:val="004D3E1D"/>
    <w:rsid w:val="004D44EF"/>
    <w:rsid w:val="004D52C1"/>
    <w:rsid w:val="004D5934"/>
    <w:rsid w:val="004D5BC3"/>
    <w:rsid w:val="004D646F"/>
    <w:rsid w:val="004D6524"/>
    <w:rsid w:val="004D6671"/>
    <w:rsid w:val="004D6963"/>
    <w:rsid w:val="004D6A30"/>
    <w:rsid w:val="004E0716"/>
    <w:rsid w:val="004E0851"/>
    <w:rsid w:val="004E1032"/>
    <w:rsid w:val="004E12D9"/>
    <w:rsid w:val="004E1B8F"/>
    <w:rsid w:val="004E258E"/>
    <w:rsid w:val="004E2657"/>
    <w:rsid w:val="004E2F7B"/>
    <w:rsid w:val="004E3CBF"/>
    <w:rsid w:val="004E3ECE"/>
    <w:rsid w:val="004E4432"/>
    <w:rsid w:val="004E4965"/>
    <w:rsid w:val="004E6081"/>
    <w:rsid w:val="004E662D"/>
    <w:rsid w:val="004E7031"/>
    <w:rsid w:val="004F027E"/>
    <w:rsid w:val="004F0AF8"/>
    <w:rsid w:val="004F0C55"/>
    <w:rsid w:val="004F0D1B"/>
    <w:rsid w:val="004F1553"/>
    <w:rsid w:val="004F16E2"/>
    <w:rsid w:val="004F1E09"/>
    <w:rsid w:val="004F2BE1"/>
    <w:rsid w:val="004F2E5B"/>
    <w:rsid w:val="004F3749"/>
    <w:rsid w:val="004F3754"/>
    <w:rsid w:val="004F3991"/>
    <w:rsid w:val="004F3B04"/>
    <w:rsid w:val="004F3E75"/>
    <w:rsid w:val="004F41B6"/>
    <w:rsid w:val="004F4398"/>
    <w:rsid w:val="004F43B7"/>
    <w:rsid w:val="004F4F54"/>
    <w:rsid w:val="004F5186"/>
    <w:rsid w:val="004F51D3"/>
    <w:rsid w:val="004F522C"/>
    <w:rsid w:val="004F625F"/>
    <w:rsid w:val="004F63E7"/>
    <w:rsid w:val="004F6A8D"/>
    <w:rsid w:val="004F6ADC"/>
    <w:rsid w:val="004F6F9E"/>
    <w:rsid w:val="004F71D4"/>
    <w:rsid w:val="004F7FE8"/>
    <w:rsid w:val="00500001"/>
    <w:rsid w:val="0050049D"/>
    <w:rsid w:val="00500A07"/>
    <w:rsid w:val="00500DD7"/>
    <w:rsid w:val="00503205"/>
    <w:rsid w:val="005033B5"/>
    <w:rsid w:val="00504654"/>
    <w:rsid w:val="00504DBE"/>
    <w:rsid w:val="005050D2"/>
    <w:rsid w:val="005065A1"/>
    <w:rsid w:val="00506949"/>
    <w:rsid w:val="00507B57"/>
    <w:rsid w:val="00511CFB"/>
    <w:rsid w:val="00512159"/>
    <w:rsid w:val="0051251E"/>
    <w:rsid w:val="0051321B"/>
    <w:rsid w:val="0051468D"/>
    <w:rsid w:val="0051474B"/>
    <w:rsid w:val="00514A0A"/>
    <w:rsid w:val="00514A1E"/>
    <w:rsid w:val="005154B7"/>
    <w:rsid w:val="00516712"/>
    <w:rsid w:val="00516A62"/>
    <w:rsid w:val="00517C6F"/>
    <w:rsid w:val="00520847"/>
    <w:rsid w:val="00520D74"/>
    <w:rsid w:val="00520ED6"/>
    <w:rsid w:val="0052196E"/>
    <w:rsid w:val="00522037"/>
    <w:rsid w:val="00522140"/>
    <w:rsid w:val="00522365"/>
    <w:rsid w:val="00522F62"/>
    <w:rsid w:val="00524DD5"/>
    <w:rsid w:val="00524E39"/>
    <w:rsid w:val="005250A7"/>
    <w:rsid w:val="005250BC"/>
    <w:rsid w:val="005259BC"/>
    <w:rsid w:val="00526005"/>
    <w:rsid w:val="005261F8"/>
    <w:rsid w:val="00526521"/>
    <w:rsid w:val="00527260"/>
    <w:rsid w:val="00527D85"/>
    <w:rsid w:val="00527FE2"/>
    <w:rsid w:val="005304C3"/>
    <w:rsid w:val="005307E4"/>
    <w:rsid w:val="00531A23"/>
    <w:rsid w:val="0053204A"/>
    <w:rsid w:val="005324E2"/>
    <w:rsid w:val="00532DA7"/>
    <w:rsid w:val="00533520"/>
    <w:rsid w:val="005337B7"/>
    <w:rsid w:val="005338B8"/>
    <w:rsid w:val="005345A1"/>
    <w:rsid w:val="00534930"/>
    <w:rsid w:val="00534AA9"/>
    <w:rsid w:val="0053504B"/>
    <w:rsid w:val="00535072"/>
    <w:rsid w:val="005355FA"/>
    <w:rsid w:val="00535E13"/>
    <w:rsid w:val="00536A83"/>
    <w:rsid w:val="00536B48"/>
    <w:rsid w:val="005378B3"/>
    <w:rsid w:val="00541403"/>
    <w:rsid w:val="00541A67"/>
    <w:rsid w:val="00542C8D"/>
    <w:rsid w:val="005439BF"/>
    <w:rsid w:val="00543A23"/>
    <w:rsid w:val="00543C45"/>
    <w:rsid w:val="0054436B"/>
    <w:rsid w:val="005449DB"/>
    <w:rsid w:val="00544A01"/>
    <w:rsid w:val="00544BBB"/>
    <w:rsid w:val="00544F5F"/>
    <w:rsid w:val="00546009"/>
    <w:rsid w:val="005473F3"/>
    <w:rsid w:val="00550144"/>
    <w:rsid w:val="00550729"/>
    <w:rsid w:val="0055089D"/>
    <w:rsid w:val="00550BE1"/>
    <w:rsid w:val="00550D23"/>
    <w:rsid w:val="00550EF7"/>
    <w:rsid w:val="00551697"/>
    <w:rsid w:val="005529DF"/>
    <w:rsid w:val="00552AC8"/>
    <w:rsid w:val="00552D16"/>
    <w:rsid w:val="00552D5B"/>
    <w:rsid w:val="005532BD"/>
    <w:rsid w:val="00553520"/>
    <w:rsid w:val="005535A2"/>
    <w:rsid w:val="00553C60"/>
    <w:rsid w:val="0055401C"/>
    <w:rsid w:val="00554CD2"/>
    <w:rsid w:val="00554DDB"/>
    <w:rsid w:val="00554E5B"/>
    <w:rsid w:val="00555537"/>
    <w:rsid w:val="00555E5C"/>
    <w:rsid w:val="00556389"/>
    <w:rsid w:val="00556D7C"/>
    <w:rsid w:val="00557EC8"/>
    <w:rsid w:val="0056021E"/>
    <w:rsid w:val="0056055D"/>
    <w:rsid w:val="00560DE1"/>
    <w:rsid w:val="005614D3"/>
    <w:rsid w:val="0056187D"/>
    <w:rsid w:val="0056232D"/>
    <w:rsid w:val="005626CC"/>
    <w:rsid w:val="0056282A"/>
    <w:rsid w:val="00562A21"/>
    <w:rsid w:val="0056304B"/>
    <w:rsid w:val="00563BC9"/>
    <w:rsid w:val="005663B1"/>
    <w:rsid w:val="00567089"/>
    <w:rsid w:val="005708FD"/>
    <w:rsid w:val="00570B1D"/>
    <w:rsid w:val="00570B36"/>
    <w:rsid w:val="00570C97"/>
    <w:rsid w:val="00571AD3"/>
    <w:rsid w:val="00571D7C"/>
    <w:rsid w:val="00571DB3"/>
    <w:rsid w:val="00571E84"/>
    <w:rsid w:val="00572351"/>
    <w:rsid w:val="005723A3"/>
    <w:rsid w:val="00572C10"/>
    <w:rsid w:val="00572C28"/>
    <w:rsid w:val="00572E35"/>
    <w:rsid w:val="005735D0"/>
    <w:rsid w:val="0057364E"/>
    <w:rsid w:val="00573D70"/>
    <w:rsid w:val="00574A68"/>
    <w:rsid w:val="00575975"/>
    <w:rsid w:val="00575D02"/>
    <w:rsid w:val="005762DE"/>
    <w:rsid w:val="00576429"/>
    <w:rsid w:val="00576FCC"/>
    <w:rsid w:val="0057732B"/>
    <w:rsid w:val="005774C3"/>
    <w:rsid w:val="005774EE"/>
    <w:rsid w:val="0057766B"/>
    <w:rsid w:val="00580275"/>
    <w:rsid w:val="00580314"/>
    <w:rsid w:val="00580345"/>
    <w:rsid w:val="00580822"/>
    <w:rsid w:val="00580923"/>
    <w:rsid w:val="005823B7"/>
    <w:rsid w:val="005833EE"/>
    <w:rsid w:val="005835DA"/>
    <w:rsid w:val="00583A7B"/>
    <w:rsid w:val="00583FE0"/>
    <w:rsid w:val="0058552E"/>
    <w:rsid w:val="00585BFD"/>
    <w:rsid w:val="005872A0"/>
    <w:rsid w:val="0058762E"/>
    <w:rsid w:val="0058796C"/>
    <w:rsid w:val="00587D6D"/>
    <w:rsid w:val="00587FF0"/>
    <w:rsid w:val="0059090A"/>
    <w:rsid w:val="00590AEA"/>
    <w:rsid w:val="00590E92"/>
    <w:rsid w:val="00590EA4"/>
    <w:rsid w:val="00591A6A"/>
    <w:rsid w:val="00591B80"/>
    <w:rsid w:val="00592889"/>
    <w:rsid w:val="005936ED"/>
    <w:rsid w:val="00593B13"/>
    <w:rsid w:val="005941BF"/>
    <w:rsid w:val="0059543E"/>
    <w:rsid w:val="005956BC"/>
    <w:rsid w:val="00596E8E"/>
    <w:rsid w:val="005970DE"/>
    <w:rsid w:val="00597274"/>
    <w:rsid w:val="005973B6"/>
    <w:rsid w:val="00597E56"/>
    <w:rsid w:val="005A050D"/>
    <w:rsid w:val="005A0745"/>
    <w:rsid w:val="005A0BB8"/>
    <w:rsid w:val="005A24A9"/>
    <w:rsid w:val="005A30E2"/>
    <w:rsid w:val="005A420F"/>
    <w:rsid w:val="005A42A8"/>
    <w:rsid w:val="005A4712"/>
    <w:rsid w:val="005A4D60"/>
    <w:rsid w:val="005A51D8"/>
    <w:rsid w:val="005A5531"/>
    <w:rsid w:val="005A6A3A"/>
    <w:rsid w:val="005A6FEC"/>
    <w:rsid w:val="005A7AF8"/>
    <w:rsid w:val="005B11B5"/>
    <w:rsid w:val="005B14C2"/>
    <w:rsid w:val="005B1566"/>
    <w:rsid w:val="005B1A6E"/>
    <w:rsid w:val="005B1B7D"/>
    <w:rsid w:val="005B26C0"/>
    <w:rsid w:val="005B3842"/>
    <w:rsid w:val="005B390C"/>
    <w:rsid w:val="005B3B79"/>
    <w:rsid w:val="005B43C7"/>
    <w:rsid w:val="005B59B0"/>
    <w:rsid w:val="005B5AC0"/>
    <w:rsid w:val="005B5FFC"/>
    <w:rsid w:val="005B71C5"/>
    <w:rsid w:val="005B7200"/>
    <w:rsid w:val="005B72F2"/>
    <w:rsid w:val="005B7398"/>
    <w:rsid w:val="005B7631"/>
    <w:rsid w:val="005B7A05"/>
    <w:rsid w:val="005C019A"/>
    <w:rsid w:val="005C037C"/>
    <w:rsid w:val="005C044D"/>
    <w:rsid w:val="005C04E9"/>
    <w:rsid w:val="005C05F2"/>
    <w:rsid w:val="005C1176"/>
    <w:rsid w:val="005C15AC"/>
    <w:rsid w:val="005C1E3F"/>
    <w:rsid w:val="005C2549"/>
    <w:rsid w:val="005C3464"/>
    <w:rsid w:val="005C35F2"/>
    <w:rsid w:val="005C37E9"/>
    <w:rsid w:val="005C3AB5"/>
    <w:rsid w:val="005C3D81"/>
    <w:rsid w:val="005C3E8F"/>
    <w:rsid w:val="005C461E"/>
    <w:rsid w:val="005C46CF"/>
    <w:rsid w:val="005C4FB3"/>
    <w:rsid w:val="005C5D73"/>
    <w:rsid w:val="005C60CC"/>
    <w:rsid w:val="005C6CE9"/>
    <w:rsid w:val="005C728E"/>
    <w:rsid w:val="005C75DF"/>
    <w:rsid w:val="005D0781"/>
    <w:rsid w:val="005D0BE7"/>
    <w:rsid w:val="005D0E23"/>
    <w:rsid w:val="005D1334"/>
    <w:rsid w:val="005D13DF"/>
    <w:rsid w:val="005D25D7"/>
    <w:rsid w:val="005D2BF2"/>
    <w:rsid w:val="005D53D1"/>
    <w:rsid w:val="005D545A"/>
    <w:rsid w:val="005D57D5"/>
    <w:rsid w:val="005D5D38"/>
    <w:rsid w:val="005D621E"/>
    <w:rsid w:val="005D65A0"/>
    <w:rsid w:val="005D6848"/>
    <w:rsid w:val="005D7584"/>
    <w:rsid w:val="005D7B55"/>
    <w:rsid w:val="005E083E"/>
    <w:rsid w:val="005E0E00"/>
    <w:rsid w:val="005E1A0E"/>
    <w:rsid w:val="005E1EFD"/>
    <w:rsid w:val="005E23C1"/>
    <w:rsid w:val="005E246F"/>
    <w:rsid w:val="005E291C"/>
    <w:rsid w:val="005E2AC2"/>
    <w:rsid w:val="005E2B96"/>
    <w:rsid w:val="005E332F"/>
    <w:rsid w:val="005E34C0"/>
    <w:rsid w:val="005E3665"/>
    <w:rsid w:val="005E3A19"/>
    <w:rsid w:val="005E43E3"/>
    <w:rsid w:val="005E4E94"/>
    <w:rsid w:val="005E50F3"/>
    <w:rsid w:val="005E59D0"/>
    <w:rsid w:val="005E5BAE"/>
    <w:rsid w:val="005E5CE4"/>
    <w:rsid w:val="005E5D7E"/>
    <w:rsid w:val="005E5EEF"/>
    <w:rsid w:val="005E6393"/>
    <w:rsid w:val="005E6A8D"/>
    <w:rsid w:val="005E6DC9"/>
    <w:rsid w:val="005E7403"/>
    <w:rsid w:val="005E75D0"/>
    <w:rsid w:val="005F02C2"/>
    <w:rsid w:val="005F02ED"/>
    <w:rsid w:val="005F054F"/>
    <w:rsid w:val="005F130E"/>
    <w:rsid w:val="005F1F7F"/>
    <w:rsid w:val="005F28E5"/>
    <w:rsid w:val="005F29E6"/>
    <w:rsid w:val="005F3E74"/>
    <w:rsid w:val="005F3EBE"/>
    <w:rsid w:val="005F47EA"/>
    <w:rsid w:val="005F5206"/>
    <w:rsid w:val="005F584C"/>
    <w:rsid w:val="005F6673"/>
    <w:rsid w:val="005F6C13"/>
    <w:rsid w:val="005F712F"/>
    <w:rsid w:val="005F7222"/>
    <w:rsid w:val="005F72C2"/>
    <w:rsid w:val="005F794C"/>
    <w:rsid w:val="005F7E01"/>
    <w:rsid w:val="005F7EBE"/>
    <w:rsid w:val="006002D9"/>
    <w:rsid w:val="00600765"/>
    <w:rsid w:val="006007A2"/>
    <w:rsid w:val="006018E3"/>
    <w:rsid w:val="006025F2"/>
    <w:rsid w:val="00602F5E"/>
    <w:rsid w:val="00603371"/>
    <w:rsid w:val="0060355C"/>
    <w:rsid w:val="006040E7"/>
    <w:rsid w:val="00604A22"/>
    <w:rsid w:val="00605BAE"/>
    <w:rsid w:val="00605EC2"/>
    <w:rsid w:val="006061E6"/>
    <w:rsid w:val="0060622B"/>
    <w:rsid w:val="00606256"/>
    <w:rsid w:val="00606262"/>
    <w:rsid w:val="00606567"/>
    <w:rsid w:val="00606A82"/>
    <w:rsid w:val="00607DE2"/>
    <w:rsid w:val="00607E34"/>
    <w:rsid w:val="00610859"/>
    <w:rsid w:val="00610FBD"/>
    <w:rsid w:val="0061149E"/>
    <w:rsid w:val="006119B7"/>
    <w:rsid w:val="006129F6"/>
    <w:rsid w:val="00613472"/>
    <w:rsid w:val="0061399C"/>
    <w:rsid w:val="006139A0"/>
    <w:rsid w:val="00614033"/>
    <w:rsid w:val="00614087"/>
    <w:rsid w:val="00614175"/>
    <w:rsid w:val="006148D0"/>
    <w:rsid w:val="00614C1C"/>
    <w:rsid w:val="00616159"/>
    <w:rsid w:val="00616FCB"/>
    <w:rsid w:val="006177FD"/>
    <w:rsid w:val="00617953"/>
    <w:rsid w:val="00617CA0"/>
    <w:rsid w:val="0062095F"/>
    <w:rsid w:val="00620A3C"/>
    <w:rsid w:val="00621052"/>
    <w:rsid w:val="0062129A"/>
    <w:rsid w:val="006219A6"/>
    <w:rsid w:val="00622627"/>
    <w:rsid w:val="0062275C"/>
    <w:rsid w:val="00623308"/>
    <w:rsid w:val="00623D3B"/>
    <w:rsid w:val="00624C29"/>
    <w:rsid w:val="00624D7E"/>
    <w:rsid w:val="00624FC8"/>
    <w:rsid w:val="0062534C"/>
    <w:rsid w:val="00625769"/>
    <w:rsid w:val="00625D33"/>
    <w:rsid w:val="00626966"/>
    <w:rsid w:val="006276EC"/>
    <w:rsid w:val="00627BEB"/>
    <w:rsid w:val="00627D24"/>
    <w:rsid w:val="006306ED"/>
    <w:rsid w:val="0063240E"/>
    <w:rsid w:val="0063317F"/>
    <w:rsid w:val="006334A7"/>
    <w:rsid w:val="006334D8"/>
    <w:rsid w:val="006335E5"/>
    <w:rsid w:val="00634056"/>
    <w:rsid w:val="00635DE3"/>
    <w:rsid w:val="006363BF"/>
    <w:rsid w:val="00636556"/>
    <w:rsid w:val="00636679"/>
    <w:rsid w:val="0063688C"/>
    <w:rsid w:val="00636969"/>
    <w:rsid w:val="00636CE6"/>
    <w:rsid w:val="00637C4F"/>
    <w:rsid w:val="00640383"/>
    <w:rsid w:val="00640411"/>
    <w:rsid w:val="00640441"/>
    <w:rsid w:val="00640528"/>
    <w:rsid w:val="00640C25"/>
    <w:rsid w:val="00640E2A"/>
    <w:rsid w:val="00640F1F"/>
    <w:rsid w:val="00642393"/>
    <w:rsid w:val="0064240C"/>
    <w:rsid w:val="00642515"/>
    <w:rsid w:val="006426B1"/>
    <w:rsid w:val="00642790"/>
    <w:rsid w:val="00643005"/>
    <w:rsid w:val="00643CB2"/>
    <w:rsid w:val="00645BCF"/>
    <w:rsid w:val="00645E0D"/>
    <w:rsid w:val="0064627B"/>
    <w:rsid w:val="006470CB"/>
    <w:rsid w:val="00647135"/>
    <w:rsid w:val="0064722A"/>
    <w:rsid w:val="0064731A"/>
    <w:rsid w:val="0064734F"/>
    <w:rsid w:val="006475DF"/>
    <w:rsid w:val="006500B5"/>
    <w:rsid w:val="00650313"/>
    <w:rsid w:val="0065050E"/>
    <w:rsid w:val="00651D8F"/>
    <w:rsid w:val="00651F22"/>
    <w:rsid w:val="00652403"/>
    <w:rsid w:val="0065281C"/>
    <w:rsid w:val="00652AC3"/>
    <w:rsid w:val="00652E67"/>
    <w:rsid w:val="006532A7"/>
    <w:rsid w:val="0065408E"/>
    <w:rsid w:val="00654187"/>
    <w:rsid w:val="00654319"/>
    <w:rsid w:val="0065435F"/>
    <w:rsid w:val="00654521"/>
    <w:rsid w:val="00654C34"/>
    <w:rsid w:val="00654F04"/>
    <w:rsid w:val="0065508F"/>
    <w:rsid w:val="00655C01"/>
    <w:rsid w:val="00655EEC"/>
    <w:rsid w:val="006563ED"/>
    <w:rsid w:val="00656C76"/>
    <w:rsid w:val="00656D4F"/>
    <w:rsid w:val="00657249"/>
    <w:rsid w:val="00657F71"/>
    <w:rsid w:val="00657FCD"/>
    <w:rsid w:val="006603BF"/>
    <w:rsid w:val="006607D5"/>
    <w:rsid w:val="00660930"/>
    <w:rsid w:val="00661223"/>
    <w:rsid w:val="0066162E"/>
    <w:rsid w:val="00661FFA"/>
    <w:rsid w:val="00662278"/>
    <w:rsid w:val="0066253D"/>
    <w:rsid w:val="00662F3C"/>
    <w:rsid w:val="006633E7"/>
    <w:rsid w:val="00663B07"/>
    <w:rsid w:val="006646CA"/>
    <w:rsid w:val="00664C26"/>
    <w:rsid w:val="00664F55"/>
    <w:rsid w:val="0066540E"/>
    <w:rsid w:val="00665D1A"/>
    <w:rsid w:val="0066661A"/>
    <w:rsid w:val="00666D1C"/>
    <w:rsid w:val="00666F91"/>
    <w:rsid w:val="00666FB1"/>
    <w:rsid w:val="00667035"/>
    <w:rsid w:val="006670D3"/>
    <w:rsid w:val="00667AC7"/>
    <w:rsid w:val="00667AD2"/>
    <w:rsid w:val="00670229"/>
    <w:rsid w:val="006704E2"/>
    <w:rsid w:val="00670E87"/>
    <w:rsid w:val="00670FE5"/>
    <w:rsid w:val="00672B0C"/>
    <w:rsid w:val="00672B7B"/>
    <w:rsid w:val="006731A2"/>
    <w:rsid w:val="006731E4"/>
    <w:rsid w:val="00673536"/>
    <w:rsid w:val="00674E2D"/>
    <w:rsid w:val="00675818"/>
    <w:rsid w:val="00675F48"/>
    <w:rsid w:val="00676049"/>
    <w:rsid w:val="006763E6"/>
    <w:rsid w:val="00676C5C"/>
    <w:rsid w:val="00677549"/>
    <w:rsid w:val="00677E1F"/>
    <w:rsid w:val="00677ECB"/>
    <w:rsid w:val="00680A74"/>
    <w:rsid w:val="00680D66"/>
    <w:rsid w:val="00680E1F"/>
    <w:rsid w:val="006810C0"/>
    <w:rsid w:val="00681A01"/>
    <w:rsid w:val="00681DA4"/>
    <w:rsid w:val="00681E50"/>
    <w:rsid w:val="006828AD"/>
    <w:rsid w:val="00682B22"/>
    <w:rsid w:val="0068365F"/>
    <w:rsid w:val="00683DE8"/>
    <w:rsid w:val="00683ED4"/>
    <w:rsid w:val="00684966"/>
    <w:rsid w:val="00684C29"/>
    <w:rsid w:val="00684F1E"/>
    <w:rsid w:val="006858FD"/>
    <w:rsid w:val="0068607A"/>
    <w:rsid w:val="0068680B"/>
    <w:rsid w:val="00686DA9"/>
    <w:rsid w:val="00687BC5"/>
    <w:rsid w:val="00687C73"/>
    <w:rsid w:val="00687CCA"/>
    <w:rsid w:val="00687D66"/>
    <w:rsid w:val="00687EDC"/>
    <w:rsid w:val="006902AB"/>
    <w:rsid w:val="0069055A"/>
    <w:rsid w:val="0069081E"/>
    <w:rsid w:val="00691394"/>
    <w:rsid w:val="0069186D"/>
    <w:rsid w:val="0069281E"/>
    <w:rsid w:val="00692AE9"/>
    <w:rsid w:val="00693B7D"/>
    <w:rsid w:val="00694B1D"/>
    <w:rsid w:val="00695138"/>
    <w:rsid w:val="00695921"/>
    <w:rsid w:val="00695B3E"/>
    <w:rsid w:val="00695C3F"/>
    <w:rsid w:val="006962F8"/>
    <w:rsid w:val="006A1038"/>
    <w:rsid w:val="006A1690"/>
    <w:rsid w:val="006A1A4B"/>
    <w:rsid w:val="006A216C"/>
    <w:rsid w:val="006A2A48"/>
    <w:rsid w:val="006A2C0B"/>
    <w:rsid w:val="006A2D4B"/>
    <w:rsid w:val="006A4000"/>
    <w:rsid w:val="006A5052"/>
    <w:rsid w:val="006A52D0"/>
    <w:rsid w:val="006A5B7D"/>
    <w:rsid w:val="006A5E4D"/>
    <w:rsid w:val="006A6189"/>
    <w:rsid w:val="006A62C7"/>
    <w:rsid w:val="006A6C12"/>
    <w:rsid w:val="006B0037"/>
    <w:rsid w:val="006B06DF"/>
    <w:rsid w:val="006B410F"/>
    <w:rsid w:val="006B425F"/>
    <w:rsid w:val="006B5A87"/>
    <w:rsid w:val="006B63E3"/>
    <w:rsid w:val="006B6460"/>
    <w:rsid w:val="006B759D"/>
    <w:rsid w:val="006B775B"/>
    <w:rsid w:val="006B7D6A"/>
    <w:rsid w:val="006C020F"/>
    <w:rsid w:val="006C03CB"/>
    <w:rsid w:val="006C0D7C"/>
    <w:rsid w:val="006C0FF4"/>
    <w:rsid w:val="006C132A"/>
    <w:rsid w:val="006C1AFB"/>
    <w:rsid w:val="006C2157"/>
    <w:rsid w:val="006C21A5"/>
    <w:rsid w:val="006C2243"/>
    <w:rsid w:val="006C25E7"/>
    <w:rsid w:val="006C2E82"/>
    <w:rsid w:val="006C2FAE"/>
    <w:rsid w:val="006C38EF"/>
    <w:rsid w:val="006C49F3"/>
    <w:rsid w:val="006C4C21"/>
    <w:rsid w:val="006C5EB2"/>
    <w:rsid w:val="006C724D"/>
    <w:rsid w:val="006C767C"/>
    <w:rsid w:val="006C7D15"/>
    <w:rsid w:val="006D05AE"/>
    <w:rsid w:val="006D114A"/>
    <w:rsid w:val="006D13AE"/>
    <w:rsid w:val="006D18BF"/>
    <w:rsid w:val="006D1A9A"/>
    <w:rsid w:val="006D1EFF"/>
    <w:rsid w:val="006D2DB4"/>
    <w:rsid w:val="006D36E4"/>
    <w:rsid w:val="006D39EF"/>
    <w:rsid w:val="006D3BF2"/>
    <w:rsid w:val="006D3FE8"/>
    <w:rsid w:val="006D4280"/>
    <w:rsid w:val="006D4CEB"/>
    <w:rsid w:val="006D553F"/>
    <w:rsid w:val="006D5F40"/>
    <w:rsid w:val="006D7D68"/>
    <w:rsid w:val="006D7F05"/>
    <w:rsid w:val="006D7F9A"/>
    <w:rsid w:val="006E0FF9"/>
    <w:rsid w:val="006E180D"/>
    <w:rsid w:val="006E223A"/>
    <w:rsid w:val="006E22D1"/>
    <w:rsid w:val="006E2349"/>
    <w:rsid w:val="006E2CE7"/>
    <w:rsid w:val="006E3B7B"/>
    <w:rsid w:val="006E5275"/>
    <w:rsid w:val="006E5E89"/>
    <w:rsid w:val="006E5FDD"/>
    <w:rsid w:val="006E644B"/>
    <w:rsid w:val="006E7430"/>
    <w:rsid w:val="006E7438"/>
    <w:rsid w:val="006F0018"/>
    <w:rsid w:val="006F0D7E"/>
    <w:rsid w:val="006F12FC"/>
    <w:rsid w:val="006F1A78"/>
    <w:rsid w:val="006F1D40"/>
    <w:rsid w:val="006F2A88"/>
    <w:rsid w:val="006F325F"/>
    <w:rsid w:val="006F3337"/>
    <w:rsid w:val="006F483A"/>
    <w:rsid w:val="006F4A1F"/>
    <w:rsid w:val="006F52E1"/>
    <w:rsid w:val="006F548A"/>
    <w:rsid w:val="006F59C4"/>
    <w:rsid w:val="006F5BDE"/>
    <w:rsid w:val="006F5CB0"/>
    <w:rsid w:val="006F6816"/>
    <w:rsid w:val="006F78AB"/>
    <w:rsid w:val="007000AE"/>
    <w:rsid w:val="0070048A"/>
    <w:rsid w:val="0070066C"/>
    <w:rsid w:val="007006CE"/>
    <w:rsid w:val="00700CAC"/>
    <w:rsid w:val="00701210"/>
    <w:rsid w:val="00701491"/>
    <w:rsid w:val="00701804"/>
    <w:rsid w:val="00702865"/>
    <w:rsid w:val="00702D0E"/>
    <w:rsid w:val="00703751"/>
    <w:rsid w:val="00705250"/>
    <w:rsid w:val="00705D15"/>
    <w:rsid w:val="007063C4"/>
    <w:rsid w:val="00706575"/>
    <w:rsid w:val="0070673F"/>
    <w:rsid w:val="00706ECF"/>
    <w:rsid w:val="00707A92"/>
    <w:rsid w:val="00707CB1"/>
    <w:rsid w:val="0071026A"/>
    <w:rsid w:val="0071042D"/>
    <w:rsid w:val="007105B0"/>
    <w:rsid w:val="00710DC3"/>
    <w:rsid w:val="007117F7"/>
    <w:rsid w:val="00711FDE"/>
    <w:rsid w:val="007123E1"/>
    <w:rsid w:val="0071248D"/>
    <w:rsid w:val="00713408"/>
    <w:rsid w:val="0071352C"/>
    <w:rsid w:val="007140DF"/>
    <w:rsid w:val="00715018"/>
    <w:rsid w:val="007159FE"/>
    <w:rsid w:val="00717E02"/>
    <w:rsid w:val="00720344"/>
    <w:rsid w:val="0072045C"/>
    <w:rsid w:val="00720C1A"/>
    <w:rsid w:val="00721C15"/>
    <w:rsid w:val="00723748"/>
    <w:rsid w:val="007238F0"/>
    <w:rsid w:val="007240DE"/>
    <w:rsid w:val="00724A1B"/>
    <w:rsid w:val="00726E9E"/>
    <w:rsid w:val="0072794F"/>
    <w:rsid w:val="00727A45"/>
    <w:rsid w:val="00727E51"/>
    <w:rsid w:val="007300C7"/>
    <w:rsid w:val="007302D3"/>
    <w:rsid w:val="0073030E"/>
    <w:rsid w:val="0073143C"/>
    <w:rsid w:val="00731E4C"/>
    <w:rsid w:val="00731F06"/>
    <w:rsid w:val="00733122"/>
    <w:rsid w:val="00733631"/>
    <w:rsid w:val="00733E8D"/>
    <w:rsid w:val="00734444"/>
    <w:rsid w:val="00734534"/>
    <w:rsid w:val="00734ADE"/>
    <w:rsid w:val="00736833"/>
    <w:rsid w:val="00737191"/>
    <w:rsid w:val="007376FC"/>
    <w:rsid w:val="007377C2"/>
    <w:rsid w:val="00740793"/>
    <w:rsid w:val="00740B07"/>
    <w:rsid w:val="00740B9F"/>
    <w:rsid w:val="007412E0"/>
    <w:rsid w:val="00742DB8"/>
    <w:rsid w:val="00743654"/>
    <w:rsid w:val="007436F7"/>
    <w:rsid w:val="0074471E"/>
    <w:rsid w:val="00744777"/>
    <w:rsid w:val="00744EC0"/>
    <w:rsid w:val="007454CF"/>
    <w:rsid w:val="00747689"/>
    <w:rsid w:val="00747BE2"/>
    <w:rsid w:val="0075129D"/>
    <w:rsid w:val="007513E3"/>
    <w:rsid w:val="00751B92"/>
    <w:rsid w:val="00752501"/>
    <w:rsid w:val="00752A34"/>
    <w:rsid w:val="00752F74"/>
    <w:rsid w:val="007538B8"/>
    <w:rsid w:val="00754027"/>
    <w:rsid w:val="0075445C"/>
    <w:rsid w:val="007550B1"/>
    <w:rsid w:val="00755460"/>
    <w:rsid w:val="00756572"/>
    <w:rsid w:val="00756707"/>
    <w:rsid w:val="00756928"/>
    <w:rsid w:val="00757682"/>
    <w:rsid w:val="0075799B"/>
    <w:rsid w:val="00757DE5"/>
    <w:rsid w:val="00760EDB"/>
    <w:rsid w:val="0076110F"/>
    <w:rsid w:val="00761B50"/>
    <w:rsid w:val="00761DFE"/>
    <w:rsid w:val="0076229A"/>
    <w:rsid w:val="00762F7D"/>
    <w:rsid w:val="007635B7"/>
    <w:rsid w:val="007640DA"/>
    <w:rsid w:val="007642D2"/>
    <w:rsid w:val="00764A04"/>
    <w:rsid w:val="0076506C"/>
    <w:rsid w:val="0076577E"/>
    <w:rsid w:val="007658CC"/>
    <w:rsid w:val="00766400"/>
    <w:rsid w:val="007664A8"/>
    <w:rsid w:val="0076680C"/>
    <w:rsid w:val="00766886"/>
    <w:rsid w:val="00766C79"/>
    <w:rsid w:val="00766E25"/>
    <w:rsid w:val="0076769B"/>
    <w:rsid w:val="0076788E"/>
    <w:rsid w:val="007678D1"/>
    <w:rsid w:val="007718DA"/>
    <w:rsid w:val="00771C5D"/>
    <w:rsid w:val="00771F35"/>
    <w:rsid w:val="007722AE"/>
    <w:rsid w:val="00772965"/>
    <w:rsid w:val="00773673"/>
    <w:rsid w:val="00773EF3"/>
    <w:rsid w:val="007744C1"/>
    <w:rsid w:val="00774AA0"/>
    <w:rsid w:val="00775BD9"/>
    <w:rsid w:val="0077789F"/>
    <w:rsid w:val="00777AFA"/>
    <w:rsid w:val="0078084F"/>
    <w:rsid w:val="00780E1C"/>
    <w:rsid w:val="00780FB2"/>
    <w:rsid w:val="007811EF"/>
    <w:rsid w:val="00781479"/>
    <w:rsid w:val="0078171D"/>
    <w:rsid w:val="00781C19"/>
    <w:rsid w:val="00781F23"/>
    <w:rsid w:val="00782326"/>
    <w:rsid w:val="007823E5"/>
    <w:rsid w:val="00782626"/>
    <w:rsid w:val="007826BA"/>
    <w:rsid w:val="0078387C"/>
    <w:rsid w:val="00783EFE"/>
    <w:rsid w:val="00784AAC"/>
    <w:rsid w:val="00784BAD"/>
    <w:rsid w:val="00784DEE"/>
    <w:rsid w:val="00784F02"/>
    <w:rsid w:val="00785A7A"/>
    <w:rsid w:val="00786588"/>
    <w:rsid w:val="007865EE"/>
    <w:rsid w:val="00786EE8"/>
    <w:rsid w:val="007877AE"/>
    <w:rsid w:val="007879FA"/>
    <w:rsid w:val="00787F59"/>
    <w:rsid w:val="0079052E"/>
    <w:rsid w:val="0079066D"/>
    <w:rsid w:val="007906AA"/>
    <w:rsid w:val="00790800"/>
    <w:rsid w:val="007909FE"/>
    <w:rsid w:val="00790FE9"/>
    <w:rsid w:val="00791383"/>
    <w:rsid w:val="007918B1"/>
    <w:rsid w:val="0079193C"/>
    <w:rsid w:val="00791D23"/>
    <w:rsid w:val="00792BF4"/>
    <w:rsid w:val="007931D2"/>
    <w:rsid w:val="00793662"/>
    <w:rsid w:val="00793D0F"/>
    <w:rsid w:val="00793DD4"/>
    <w:rsid w:val="0079488D"/>
    <w:rsid w:val="0079577F"/>
    <w:rsid w:val="00795E63"/>
    <w:rsid w:val="00796E50"/>
    <w:rsid w:val="007972FA"/>
    <w:rsid w:val="007979DC"/>
    <w:rsid w:val="007A16B1"/>
    <w:rsid w:val="007A1BF1"/>
    <w:rsid w:val="007A221A"/>
    <w:rsid w:val="007A3366"/>
    <w:rsid w:val="007A3A86"/>
    <w:rsid w:val="007A412F"/>
    <w:rsid w:val="007A48C5"/>
    <w:rsid w:val="007A5A99"/>
    <w:rsid w:val="007A5ED0"/>
    <w:rsid w:val="007A700D"/>
    <w:rsid w:val="007A771C"/>
    <w:rsid w:val="007B0A76"/>
    <w:rsid w:val="007B0EFB"/>
    <w:rsid w:val="007B1F2B"/>
    <w:rsid w:val="007B2425"/>
    <w:rsid w:val="007B292F"/>
    <w:rsid w:val="007B2A24"/>
    <w:rsid w:val="007B2BCF"/>
    <w:rsid w:val="007B2F99"/>
    <w:rsid w:val="007B3211"/>
    <w:rsid w:val="007B3407"/>
    <w:rsid w:val="007B3DE4"/>
    <w:rsid w:val="007B3EDC"/>
    <w:rsid w:val="007B447B"/>
    <w:rsid w:val="007B46C0"/>
    <w:rsid w:val="007B49CB"/>
    <w:rsid w:val="007B4E35"/>
    <w:rsid w:val="007B573D"/>
    <w:rsid w:val="007B607C"/>
    <w:rsid w:val="007B622B"/>
    <w:rsid w:val="007B6BDF"/>
    <w:rsid w:val="007B6CDD"/>
    <w:rsid w:val="007B6F99"/>
    <w:rsid w:val="007C01DD"/>
    <w:rsid w:val="007C0F5C"/>
    <w:rsid w:val="007C1991"/>
    <w:rsid w:val="007C1CA0"/>
    <w:rsid w:val="007C2B48"/>
    <w:rsid w:val="007C2E51"/>
    <w:rsid w:val="007C3145"/>
    <w:rsid w:val="007C38F2"/>
    <w:rsid w:val="007C4124"/>
    <w:rsid w:val="007C5131"/>
    <w:rsid w:val="007C6BD9"/>
    <w:rsid w:val="007C6CCF"/>
    <w:rsid w:val="007C7528"/>
    <w:rsid w:val="007C7E69"/>
    <w:rsid w:val="007D0356"/>
    <w:rsid w:val="007D0DDC"/>
    <w:rsid w:val="007D0F84"/>
    <w:rsid w:val="007D12AC"/>
    <w:rsid w:val="007D1491"/>
    <w:rsid w:val="007D19D5"/>
    <w:rsid w:val="007D20FB"/>
    <w:rsid w:val="007D358B"/>
    <w:rsid w:val="007D3EB9"/>
    <w:rsid w:val="007D4A11"/>
    <w:rsid w:val="007D613F"/>
    <w:rsid w:val="007D6730"/>
    <w:rsid w:val="007D6A38"/>
    <w:rsid w:val="007D6C45"/>
    <w:rsid w:val="007E0AAE"/>
    <w:rsid w:val="007E0E46"/>
    <w:rsid w:val="007E0EB2"/>
    <w:rsid w:val="007E1499"/>
    <w:rsid w:val="007E17D2"/>
    <w:rsid w:val="007E1878"/>
    <w:rsid w:val="007E2080"/>
    <w:rsid w:val="007E2F28"/>
    <w:rsid w:val="007E332C"/>
    <w:rsid w:val="007E43D9"/>
    <w:rsid w:val="007E4FD4"/>
    <w:rsid w:val="007E571F"/>
    <w:rsid w:val="007E67A0"/>
    <w:rsid w:val="007E69BD"/>
    <w:rsid w:val="007E6DD0"/>
    <w:rsid w:val="007E735C"/>
    <w:rsid w:val="007E7378"/>
    <w:rsid w:val="007F000B"/>
    <w:rsid w:val="007F1726"/>
    <w:rsid w:val="007F1A30"/>
    <w:rsid w:val="007F1BE5"/>
    <w:rsid w:val="007F1EA4"/>
    <w:rsid w:val="007F1F1E"/>
    <w:rsid w:val="007F1F56"/>
    <w:rsid w:val="007F2614"/>
    <w:rsid w:val="007F38B2"/>
    <w:rsid w:val="007F4A22"/>
    <w:rsid w:val="007F4BAE"/>
    <w:rsid w:val="007F50C8"/>
    <w:rsid w:val="007F58FA"/>
    <w:rsid w:val="007F6A18"/>
    <w:rsid w:val="008000C6"/>
    <w:rsid w:val="00800263"/>
    <w:rsid w:val="008004F5"/>
    <w:rsid w:val="00800A93"/>
    <w:rsid w:val="008013D2"/>
    <w:rsid w:val="008014FD"/>
    <w:rsid w:val="0080163A"/>
    <w:rsid w:val="00801844"/>
    <w:rsid w:val="00801A63"/>
    <w:rsid w:val="00801BDC"/>
    <w:rsid w:val="00802A43"/>
    <w:rsid w:val="008036E1"/>
    <w:rsid w:val="00804080"/>
    <w:rsid w:val="00804535"/>
    <w:rsid w:val="00804DD5"/>
    <w:rsid w:val="0080546E"/>
    <w:rsid w:val="008055E2"/>
    <w:rsid w:val="00805637"/>
    <w:rsid w:val="00805863"/>
    <w:rsid w:val="00805D8F"/>
    <w:rsid w:val="00805E65"/>
    <w:rsid w:val="00805F00"/>
    <w:rsid w:val="00806F09"/>
    <w:rsid w:val="00807623"/>
    <w:rsid w:val="008079EE"/>
    <w:rsid w:val="00807FBB"/>
    <w:rsid w:val="008100BE"/>
    <w:rsid w:val="00810B1C"/>
    <w:rsid w:val="00810B6C"/>
    <w:rsid w:val="00810E9D"/>
    <w:rsid w:val="00811319"/>
    <w:rsid w:val="00811652"/>
    <w:rsid w:val="0081175D"/>
    <w:rsid w:val="008117B9"/>
    <w:rsid w:val="00811859"/>
    <w:rsid w:val="00812B7E"/>
    <w:rsid w:val="00812CFF"/>
    <w:rsid w:val="00813027"/>
    <w:rsid w:val="008137F5"/>
    <w:rsid w:val="00813E9C"/>
    <w:rsid w:val="008141EC"/>
    <w:rsid w:val="00815026"/>
    <w:rsid w:val="00815535"/>
    <w:rsid w:val="00815DD4"/>
    <w:rsid w:val="00815F1F"/>
    <w:rsid w:val="00816358"/>
    <w:rsid w:val="00816891"/>
    <w:rsid w:val="0082064E"/>
    <w:rsid w:val="00820BAD"/>
    <w:rsid w:val="00820EB4"/>
    <w:rsid w:val="00820FE1"/>
    <w:rsid w:val="008211C7"/>
    <w:rsid w:val="00821AC9"/>
    <w:rsid w:val="00821C94"/>
    <w:rsid w:val="008221BE"/>
    <w:rsid w:val="0082348C"/>
    <w:rsid w:val="00823DDD"/>
    <w:rsid w:val="00823FA8"/>
    <w:rsid w:val="0082472D"/>
    <w:rsid w:val="008248B4"/>
    <w:rsid w:val="00824CCA"/>
    <w:rsid w:val="0082503E"/>
    <w:rsid w:val="0082625D"/>
    <w:rsid w:val="008262A1"/>
    <w:rsid w:val="008262C4"/>
    <w:rsid w:val="00826758"/>
    <w:rsid w:val="008268EA"/>
    <w:rsid w:val="0082690F"/>
    <w:rsid w:val="00826BEB"/>
    <w:rsid w:val="008270FE"/>
    <w:rsid w:val="008276C5"/>
    <w:rsid w:val="0082770C"/>
    <w:rsid w:val="0083005A"/>
    <w:rsid w:val="008306B0"/>
    <w:rsid w:val="00830AAF"/>
    <w:rsid w:val="008312B3"/>
    <w:rsid w:val="008314CB"/>
    <w:rsid w:val="0083197F"/>
    <w:rsid w:val="00831DD8"/>
    <w:rsid w:val="00832242"/>
    <w:rsid w:val="0083224E"/>
    <w:rsid w:val="00832BB1"/>
    <w:rsid w:val="00832C3D"/>
    <w:rsid w:val="00832DF5"/>
    <w:rsid w:val="00833264"/>
    <w:rsid w:val="00833D03"/>
    <w:rsid w:val="00833F0E"/>
    <w:rsid w:val="008345CB"/>
    <w:rsid w:val="0083467C"/>
    <w:rsid w:val="00834855"/>
    <w:rsid w:val="00835076"/>
    <w:rsid w:val="008357FB"/>
    <w:rsid w:val="00835E02"/>
    <w:rsid w:val="0083602D"/>
    <w:rsid w:val="00836287"/>
    <w:rsid w:val="00836648"/>
    <w:rsid w:val="0083678B"/>
    <w:rsid w:val="00836B9A"/>
    <w:rsid w:val="00836F49"/>
    <w:rsid w:val="008378DC"/>
    <w:rsid w:val="00840171"/>
    <w:rsid w:val="008406C0"/>
    <w:rsid w:val="00840AEC"/>
    <w:rsid w:val="008412A2"/>
    <w:rsid w:val="008412F2"/>
    <w:rsid w:val="00841871"/>
    <w:rsid w:val="00841EC1"/>
    <w:rsid w:val="0084212A"/>
    <w:rsid w:val="00842A5B"/>
    <w:rsid w:val="00842B9A"/>
    <w:rsid w:val="00842D00"/>
    <w:rsid w:val="00842D55"/>
    <w:rsid w:val="00842FB6"/>
    <w:rsid w:val="00842FE2"/>
    <w:rsid w:val="008432C8"/>
    <w:rsid w:val="00843DCD"/>
    <w:rsid w:val="008442E8"/>
    <w:rsid w:val="00844B20"/>
    <w:rsid w:val="00845342"/>
    <w:rsid w:val="00845B21"/>
    <w:rsid w:val="00846444"/>
    <w:rsid w:val="0084647E"/>
    <w:rsid w:val="00846540"/>
    <w:rsid w:val="00846CFA"/>
    <w:rsid w:val="00847003"/>
    <w:rsid w:val="008472E3"/>
    <w:rsid w:val="00847352"/>
    <w:rsid w:val="00847CDC"/>
    <w:rsid w:val="0085006F"/>
    <w:rsid w:val="00850F3C"/>
    <w:rsid w:val="00850F3E"/>
    <w:rsid w:val="008511DE"/>
    <w:rsid w:val="0085195E"/>
    <w:rsid w:val="008525AF"/>
    <w:rsid w:val="008533DD"/>
    <w:rsid w:val="00853A3B"/>
    <w:rsid w:val="00853C5A"/>
    <w:rsid w:val="00853F65"/>
    <w:rsid w:val="0085525C"/>
    <w:rsid w:val="00855931"/>
    <w:rsid w:val="00855C43"/>
    <w:rsid w:val="008560A9"/>
    <w:rsid w:val="0085710D"/>
    <w:rsid w:val="00857D65"/>
    <w:rsid w:val="00857E4E"/>
    <w:rsid w:val="008603EC"/>
    <w:rsid w:val="00860458"/>
    <w:rsid w:val="008618DD"/>
    <w:rsid w:val="00861C3B"/>
    <w:rsid w:val="00861E74"/>
    <w:rsid w:val="008625A0"/>
    <w:rsid w:val="0086396E"/>
    <w:rsid w:val="008645E9"/>
    <w:rsid w:val="00864991"/>
    <w:rsid w:val="0086535C"/>
    <w:rsid w:val="00865917"/>
    <w:rsid w:val="00865F37"/>
    <w:rsid w:val="0086617B"/>
    <w:rsid w:val="008662C4"/>
    <w:rsid w:val="00866338"/>
    <w:rsid w:val="00867527"/>
    <w:rsid w:val="008676C5"/>
    <w:rsid w:val="008679A6"/>
    <w:rsid w:val="008701FE"/>
    <w:rsid w:val="00870AD3"/>
    <w:rsid w:val="008715F2"/>
    <w:rsid w:val="00871AF3"/>
    <w:rsid w:val="00872077"/>
    <w:rsid w:val="008724A0"/>
    <w:rsid w:val="0087298C"/>
    <w:rsid w:val="008738FD"/>
    <w:rsid w:val="0087464D"/>
    <w:rsid w:val="008746FD"/>
    <w:rsid w:val="00874930"/>
    <w:rsid w:val="00874B39"/>
    <w:rsid w:val="00875480"/>
    <w:rsid w:val="00875B9F"/>
    <w:rsid w:val="00875FC3"/>
    <w:rsid w:val="008762BC"/>
    <w:rsid w:val="0087652A"/>
    <w:rsid w:val="00876856"/>
    <w:rsid w:val="00876C40"/>
    <w:rsid w:val="00876FB8"/>
    <w:rsid w:val="0087704C"/>
    <w:rsid w:val="00877A45"/>
    <w:rsid w:val="00877F19"/>
    <w:rsid w:val="00880413"/>
    <w:rsid w:val="00880BD7"/>
    <w:rsid w:val="00881146"/>
    <w:rsid w:val="00881334"/>
    <w:rsid w:val="008817A2"/>
    <w:rsid w:val="008819AB"/>
    <w:rsid w:val="00881EED"/>
    <w:rsid w:val="00881F6E"/>
    <w:rsid w:val="00882CFD"/>
    <w:rsid w:val="00882FCD"/>
    <w:rsid w:val="00883683"/>
    <w:rsid w:val="008836D0"/>
    <w:rsid w:val="008836F9"/>
    <w:rsid w:val="00883B4C"/>
    <w:rsid w:val="008849BC"/>
    <w:rsid w:val="00884E8E"/>
    <w:rsid w:val="00884F91"/>
    <w:rsid w:val="00885E0E"/>
    <w:rsid w:val="00886231"/>
    <w:rsid w:val="008863DD"/>
    <w:rsid w:val="00886A01"/>
    <w:rsid w:val="00887BFE"/>
    <w:rsid w:val="0089042F"/>
    <w:rsid w:val="00890530"/>
    <w:rsid w:val="0089054C"/>
    <w:rsid w:val="00890818"/>
    <w:rsid w:val="00890C1D"/>
    <w:rsid w:val="00891150"/>
    <w:rsid w:val="00891416"/>
    <w:rsid w:val="008923C9"/>
    <w:rsid w:val="0089256B"/>
    <w:rsid w:val="008928BE"/>
    <w:rsid w:val="00892D0B"/>
    <w:rsid w:val="00892DEA"/>
    <w:rsid w:val="008939C8"/>
    <w:rsid w:val="00893E8D"/>
    <w:rsid w:val="00893FFB"/>
    <w:rsid w:val="008943B0"/>
    <w:rsid w:val="00894D08"/>
    <w:rsid w:val="00894F91"/>
    <w:rsid w:val="0089505C"/>
    <w:rsid w:val="00896E56"/>
    <w:rsid w:val="008973CD"/>
    <w:rsid w:val="00897864"/>
    <w:rsid w:val="00897883"/>
    <w:rsid w:val="00897BB6"/>
    <w:rsid w:val="00897E4D"/>
    <w:rsid w:val="008A01F7"/>
    <w:rsid w:val="008A08D1"/>
    <w:rsid w:val="008A10FF"/>
    <w:rsid w:val="008A1710"/>
    <w:rsid w:val="008A1D17"/>
    <w:rsid w:val="008A1FD8"/>
    <w:rsid w:val="008A21B4"/>
    <w:rsid w:val="008A31CC"/>
    <w:rsid w:val="008A367F"/>
    <w:rsid w:val="008A4723"/>
    <w:rsid w:val="008A50E0"/>
    <w:rsid w:val="008A53A4"/>
    <w:rsid w:val="008A55C3"/>
    <w:rsid w:val="008A62D6"/>
    <w:rsid w:val="008B0D69"/>
    <w:rsid w:val="008B1AF9"/>
    <w:rsid w:val="008B2473"/>
    <w:rsid w:val="008B26B4"/>
    <w:rsid w:val="008B390B"/>
    <w:rsid w:val="008B4319"/>
    <w:rsid w:val="008B4B6E"/>
    <w:rsid w:val="008B5257"/>
    <w:rsid w:val="008B54BE"/>
    <w:rsid w:val="008B5524"/>
    <w:rsid w:val="008B55A1"/>
    <w:rsid w:val="008B5B39"/>
    <w:rsid w:val="008B5E8C"/>
    <w:rsid w:val="008B67F7"/>
    <w:rsid w:val="008B6952"/>
    <w:rsid w:val="008B6BC7"/>
    <w:rsid w:val="008B7104"/>
    <w:rsid w:val="008C03CA"/>
    <w:rsid w:val="008C1216"/>
    <w:rsid w:val="008C12B2"/>
    <w:rsid w:val="008C18A8"/>
    <w:rsid w:val="008C1DC2"/>
    <w:rsid w:val="008C1E0C"/>
    <w:rsid w:val="008C2155"/>
    <w:rsid w:val="008C2431"/>
    <w:rsid w:val="008C351E"/>
    <w:rsid w:val="008C395F"/>
    <w:rsid w:val="008C3C38"/>
    <w:rsid w:val="008C437D"/>
    <w:rsid w:val="008C54C6"/>
    <w:rsid w:val="008C58BD"/>
    <w:rsid w:val="008C5D85"/>
    <w:rsid w:val="008C62FE"/>
    <w:rsid w:val="008C634C"/>
    <w:rsid w:val="008C6518"/>
    <w:rsid w:val="008C6D64"/>
    <w:rsid w:val="008C6E67"/>
    <w:rsid w:val="008D088B"/>
    <w:rsid w:val="008D0BAC"/>
    <w:rsid w:val="008D127B"/>
    <w:rsid w:val="008D1A52"/>
    <w:rsid w:val="008D1A72"/>
    <w:rsid w:val="008D1F50"/>
    <w:rsid w:val="008D22B3"/>
    <w:rsid w:val="008D2482"/>
    <w:rsid w:val="008D2488"/>
    <w:rsid w:val="008D2AC8"/>
    <w:rsid w:val="008D2EE8"/>
    <w:rsid w:val="008D2EF3"/>
    <w:rsid w:val="008D370D"/>
    <w:rsid w:val="008D452B"/>
    <w:rsid w:val="008D4A8D"/>
    <w:rsid w:val="008D4F10"/>
    <w:rsid w:val="008D5709"/>
    <w:rsid w:val="008D621F"/>
    <w:rsid w:val="008D67BA"/>
    <w:rsid w:val="008E0425"/>
    <w:rsid w:val="008E090B"/>
    <w:rsid w:val="008E0FC1"/>
    <w:rsid w:val="008E1071"/>
    <w:rsid w:val="008E1A8D"/>
    <w:rsid w:val="008E1A9F"/>
    <w:rsid w:val="008E1CFB"/>
    <w:rsid w:val="008E20F3"/>
    <w:rsid w:val="008E2ED7"/>
    <w:rsid w:val="008E307D"/>
    <w:rsid w:val="008E32CE"/>
    <w:rsid w:val="008E3B6F"/>
    <w:rsid w:val="008E425B"/>
    <w:rsid w:val="008E46BC"/>
    <w:rsid w:val="008E4B66"/>
    <w:rsid w:val="008E5774"/>
    <w:rsid w:val="008E6EEC"/>
    <w:rsid w:val="008E7349"/>
    <w:rsid w:val="008E7AE2"/>
    <w:rsid w:val="008E7B8D"/>
    <w:rsid w:val="008F0D94"/>
    <w:rsid w:val="008F1241"/>
    <w:rsid w:val="008F15DC"/>
    <w:rsid w:val="008F1B3A"/>
    <w:rsid w:val="008F1DAA"/>
    <w:rsid w:val="008F275D"/>
    <w:rsid w:val="008F277E"/>
    <w:rsid w:val="008F36D1"/>
    <w:rsid w:val="008F3D25"/>
    <w:rsid w:val="008F3D4C"/>
    <w:rsid w:val="008F43AA"/>
    <w:rsid w:val="008F51E6"/>
    <w:rsid w:val="008F5A90"/>
    <w:rsid w:val="008F6CF7"/>
    <w:rsid w:val="008F6CF8"/>
    <w:rsid w:val="008F784F"/>
    <w:rsid w:val="008F7944"/>
    <w:rsid w:val="008F7BC6"/>
    <w:rsid w:val="008F7DCE"/>
    <w:rsid w:val="0090040E"/>
    <w:rsid w:val="00900849"/>
    <w:rsid w:val="00900B71"/>
    <w:rsid w:val="00900D89"/>
    <w:rsid w:val="0090137C"/>
    <w:rsid w:val="00901C3B"/>
    <w:rsid w:val="00902957"/>
    <w:rsid w:val="00903646"/>
    <w:rsid w:val="0090366E"/>
    <w:rsid w:val="009036D4"/>
    <w:rsid w:val="00903D67"/>
    <w:rsid w:val="00904282"/>
    <w:rsid w:val="00904C0A"/>
    <w:rsid w:val="009052A9"/>
    <w:rsid w:val="00905488"/>
    <w:rsid w:val="00905945"/>
    <w:rsid w:val="00905F6A"/>
    <w:rsid w:val="00906288"/>
    <w:rsid w:val="009077AD"/>
    <w:rsid w:val="0090792B"/>
    <w:rsid w:val="009110DB"/>
    <w:rsid w:val="009118E8"/>
    <w:rsid w:val="00911D09"/>
    <w:rsid w:val="0091305B"/>
    <w:rsid w:val="009130F4"/>
    <w:rsid w:val="00914A95"/>
    <w:rsid w:val="00914D02"/>
    <w:rsid w:val="009150BF"/>
    <w:rsid w:val="009156C4"/>
    <w:rsid w:val="009160BC"/>
    <w:rsid w:val="009163B8"/>
    <w:rsid w:val="009167ED"/>
    <w:rsid w:val="009168A1"/>
    <w:rsid w:val="00916B74"/>
    <w:rsid w:val="009172E2"/>
    <w:rsid w:val="009178A1"/>
    <w:rsid w:val="00920DF4"/>
    <w:rsid w:val="0092136B"/>
    <w:rsid w:val="00921533"/>
    <w:rsid w:val="009217F0"/>
    <w:rsid w:val="00922A1D"/>
    <w:rsid w:val="00922CDE"/>
    <w:rsid w:val="009237EC"/>
    <w:rsid w:val="0092432C"/>
    <w:rsid w:val="00924465"/>
    <w:rsid w:val="00924E35"/>
    <w:rsid w:val="00925375"/>
    <w:rsid w:val="00925A1E"/>
    <w:rsid w:val="00925B9D"/>
    <w:rsid w:val="009264F6"/>
    <w:rsid w:val="0092674A"/>
    <w:rsid w:val="00927BFC"/>
    <w:rsid w:val="00927CC7"/>
    <w:rsid w:val="00930428"/>
    <w:rsid w:val="009305E5"/>
    <w:rsid w:val="00930AB2"/>
    <w:rsid w:val="00931790"/>
    <w:rsid w:val="009318A4"/>
    <w:rsid w:val="00931999"/>
    <w:rsid w:val="009319E0"/>
    <w:rsid w:val="00932707"/>
    <w:rsid w:val="00932A99"/>
    <w:rsid w:val="00933239"/>
    <w:rsid w:val="00933714"/>
    <w:rsid w:val="00933A89"/>
    <w:rsid w:val="00933B5D"/>
    <w:rsid w:val="00934047"/>
    <w:rsid w:val="00934637"/>
    <w:rsid w:val="00935149"/>
    <w:rsid w:val="00935BB9"/>
    <w:rsid w:val="00935F1F"/>
    <w:rsid w:val="009367FB"/>
    <w:rsid w:val="00936D0E"/>
    <w:rsid w:val="009376F9"/>
    <w:rsid w:val="00940BDA"/>
    <w:rsid w:val="00940C64"/>
    <w:rsid w:val="00940CE3"/>
    <w:rsid w:val="0094132A"/>
    <w:rsid w:val="00941C8F"/>
    <w:rsid w:val="0094219C"/>
    <w:rsid w:val="00942469"/>
    <w:rsid w:val="00942C21"/>
    <w:rsid w:val="00943059"/>
    <w:rsid w:val="00943318"/>
    <w:rsid w:val="00943A5C"/>
    <w:rsid w:val="00943F8F"/>
    <w:rsid w:val="009442CA"/>
    <w:rsid w:val="0094437D"/>
    <w:rsid w:val="009446AC"/>
    <w:rsid w:val="00944DCE"/>
    <w:rsid w:val="0094514F"/>
    <w:rsid w:val="009452FC"/>
    <w:rsid w:val="00945679"/>
    <w:rsid w:val="0094590E"/>
    <w:rsid w:val="00945C8B"/>
    <w:rsid w:val="00945E2C"/>
    <w:rsid w:val="009460C1"/>
    <w:rsid w:val="0094634A"/>
    <w:rsid w:val="0094641E"/>
    <w:rsid w:val="00946956"/>
    <w:rsid w:val="00946CBD"/>
    <w:rsid w:val="00946D23"/>
    <w:rsid w:val="00946D5E"/>
    <w:rsid w:val="00946E92"/>
    <w:rsid w:val="009473BC"/>
    <w:rsid w:val="009478AC"/>
    <w:rsid w:val="00947F86"/>
    <w:rsid w:val="009506F6"/>
    <w:rsid w:val="00950723"/>
    <w:rsid w:val="00950DB5"/>
    <w:rsid w:val="00951C8B"/>
    <w:rsid w:val="00952825"/>
    <w:rsid w:val="00952880"/>
    <w:rsid w:val="0095294C"/>
    <w:rsid w:val="009535FB"/>
    <w:rsid w:val="0095398E"/>
    <w:rsid w:val="00954A72"/>
    <w:rsid w:val="00954C3B"/>
    <w:rsid w:val="00954EED"/>
    <w:rsid w:val="00954FCC"/>
    <w:rsid w:val="00955D62"/>
    <w:rsid w:val="009560AA"/>
    <w:rsid w:val="00956C22"/>
    <w:rsid w:val="0095711C"/>
    <w:rsid w:val="0095755D"/>
    <w:rsid w:val="009577A8"/>
    <w:rsid w:val="009579B5"/>
    <w:rsid w:val="009608B4"/>
    <w:rsid w:val="00961FBA"/>
    <w:rsid w:val="0096268B"/>
    <w:rsid w:val="00962725"/>
    <w:rsid w:val="0096359F"/>
    <w:rsid w:val="00963C7C"/>
    <w:rsid w:val="009641EF"/>
    <w:rsid w:val="00964863"/>
    <w:rsid w:val="00964EF4"/>
    <w:rsid w:val="00964F26"/>
    <w:rsid w:val="00964F76"/>
    <w:rsid w:val="0096621E"/>
    <w:rsid w:val="0096632D"/>
    <w:rsid w:val="00966B40"/>
    <w:rsid w:val="00967042"/>
    <w:rsid w:val="009671EA"/>
    <w:rsid w:val="009674B6"/>
    <w:rsid w:val="0096785B"/>
    <w:rsid w:val="00970259"/>
    <w:rsid w:val="009706E3"/>
    <w:rsid w:val="00971325"/>
    <w:rsid w:val="009713BB"/>
    <w:rsid w:val="0097229D"/>
    <w:rsid w:val="00972E45"/>
    <w:rsid w:val="00972F36"/>
    <w:rsid w:val="009740EA"/>
    <w:rsid w:val="0097427F"/>
    <w:rsid w:val="00974787"/>
    <w:rsid w:val="00974DAB"/>
    <w:rsid w:val="00974F1D"/>
    <w:rsid w:val="009750F8"/>
    <w:rsid w:val="0097548E"/>
    <w:rsid w:val="00975D4F"/>
    <w:rsid w:val="00975E19"/>
    <w:rsid w:val="00976988"/>
    <w:rsid w:val="00976F81"/>
    <w:rsid w:val="00977C64"/>
    <w:rsid w:val="0098024B"/>
    <w:rsid w:val="00980F0D"/>
    <w:rsid w:val="00981512"/>
    <w:rsid w:val="009817D3"/>
    <w:rsid w:val="00981C3E"/>
    <w:rsid w:val="00982399"/>
    <w:rsid w:val="00982DCB"/>
    <w:rsid w:val="009831EC"/>
    <w:rsid w:val="009834B8"/>
    <w:rsid w:val="00983E15"/>
    <w:rsid w:val="0098518C"/>
    <w:rsid w:val="00985607"/>
    <w:rsid w:val="009860BA"/>
    <w:rsid w:val="00987776"/>
    <w:rsid w:val="009879A6"/>
    <w:rsid w:val="00990494"/>
    <w:rsid w:val="00991BA3"/>
    <w:rsid w:val="00991BF2"/>
    <w:rsid w:val="009922AD"/>
    <w:rsid w:val="00992447"/>
    <w:rsid w:val="0099268D"/>
    <w:rsid w:val="009928FB"/>
    <w:rsid w:val="00992B0F"/>
    <w:rsid w:val="00992F0B"/>
    <w:rsid w:val="009932CF"/>
    <w:rsid w:val="0099393D"/>
    <w:rsid w:val="009945E5"/>
    <w:rsid w:val="009949E9"/>
    <w:rsid w:val="00994B4B"/>
    <w:rsid w:val="00994D5A"/>
    <w:rsid w:val="009950DA"/>
    <w:rsid w:val="009960BD"/>
    <w:rsid w:val="00996477"/>
    <w:rsid w:val="00997EC1"/>
    <w:rsid w:val="009A07DC"/>
    <w:rsid w:val="009A0DC2"/>
    <w:rsid w:val="009A0E62"/>
    <w:rsid w:val="009A18B0"/>
    <w:rsid w:val="009A22B2"/>
    <w:rsid w:val="009A268E"/>
    <w:rsid w:val="009A2D53"/>
    <w:rsid w:val="009A3314"/>
    <w:rsid w:val="009A381F"/>
    <w:rsid w:val="009A3CC5"/>
    <w:rsid w:val="009A4231"/>
    <w:rsid w:val="009A429F"/>
    <w:rsid w:val="009A4400"/>
    <w:rsid w:val="009A4B03"/>
    <w:rsid w:val="009A5149"/>
    <w:rsid w:val="009A5A50"/>
    <w:rsid w:val="009A60B9"/>
    <w:rsid w:val="009A676D"/>
    <w:rsid w:val="009A67B0"/>
    <w:rsid w:val="009A67F1"/>
    <w:rsid w:val="009A69A2"/>
    <w:rsid w:val="009A6A03"/>
    <w:rsid w:val="009A6D8D"/>
    <w:rsid w:val="009A72BC"/>
    <w:rsid w:val="009B08E7"/>
    <w:rsid w:val="009B0C87"/>
    <w:rsid w:val="009B132F"/>
    <w:rsid w:val="009B189C"/>
    <w:rsid w:val="009B197B"/>
    <w:rsid w:val="009B19B9"/>
    <w:rsid w:val="009B1D59"/>
    <w:rsid w:val="009B20C8"/>
    <w:rsid w:val="009B24A1"/>
    <w:rsid w:val="009B2820"/>
    <w:rsid w:val="009B28B6"/>
    <w:rsid w:val="009B2D87"/>
    <w:rsid w:val="009B4590"/>
    <w:rsid w:val="009B4AF9"/>
    <w:rsid w:val="009B4C0B"/>
    <w:rsid w:val="009B5970"/>
    <w:rsid w:val="009B5BDC"/>
    <w:rsid w:val="009B64AC"/>
    <w:rsid w:val="009B7737"/>
    <w:rsid w:val="009B7D90"/>
    <w:rsid w:val="009C051D"/>
    <w:rsid w:val="009C0A18"/>
    <w:rsid w:val="009C145B"/>
    <w:rsid w:val="009C147D"/>
    <w:rsid w:val="009C179C"/>
    <w:rsid w:val="009C1B43"/>
    <w:rsid w:val="009C1BFA"/>
    <w:rsid w:val="009C1F57"/>
    <w:rsid w:val="009C21D6"/>
    <w:rsid w:val="009C24BE"/>
    <w:rsid w:val="009C268E"/>
    <w:rsid w:val="009C29C4"/>
    <w:rsid w:val="009C2DB8"/>
    <w:rsid w:val="009C317C"/>
    <w:rsid w:val="009C32D0"/>
    <w:rsid w:val="009C3969"/>
    <w:rsid w:val="009C3CF9"/>
    <w:rsid w:val="009C44A9"/>
    <w:rsid w:val="009C4B7F"/>
    <w:rsid w:val="009C4EC2"/>
    <w:rsid w:val="009C542E"/>
    <w:rsid w:val="009C5780"/>
    <w:rsid w:val="009C679D"/>
    <w:rsid w:val="009C7303"/>
    <w:rsid w:val="009C7313"/>
    <w:rsid w:val="009C75A1"/>
    <w:rsid w:val="009D06B7"/>
    <w:rsid w:val="009D06DB"/>
    <w:rsid w:val="009D09AB"/>
    <w:rsid w:val="009D0ACD"/>
    <w:rsid w:val="009D0D17"/>
    <w:rsid w:val="009D1A3A"/>
    <w:rsid w:val="009D1C8E"/>
    <w:rsid w:val="009D2760"/>
    <w:rsid w:val="009D2CCE"/>
    <w:rsid w:val="009D2F83"/>
    <w:rsid w:val="009D319F"/>
    <w:rsid w:val="009D33BC"/>
    <w:rsid w:val="009D35BC"/>
    <w:rsid w:val="009D3E41"/>
    <w:rsid w:val="009D4601"/>
    <w:rsid w:val="009D4DC1"/>
    <w:rsid w:val="009D5245"/>
    <w:rsid w:val="009D6491"/>
    <w:rsid w:val="009D64A2"/>
    <w:rsid w:val="009D69CD"/>
    <w:rsid w:val="009D69F2"/>
    <w:rsid w:val="009D7EAF"/>
    <w:rsid w:val="009E0028"/>
    <w:rsid w:val="009E02B7"/>
    <w:rsid w:val="009E0E36"/>
    <w:rsid w:val="009E0F48"/>
    <w:rsid w:val="009E113A"/>
    <w:rsid w:val="009E1F0D"/>
    <w:rsid w:val="009E2DCC"/>
    <w:rsid w:val="009E38C2"/>
    <w:rsid w:val="009E44CF"/>
    <w:rsid w:val="009E4553"/>
    <w:rsid w:val="009E4E7F"/>
    <w:rsid w:val="009E5100"/>
    <w:rsid w:val="009E5CAE"/>
    <w:rsid w:val="009E6369"/>
    <w:rsid w:val="009E648B"/>
    <w:rsid w:val="009E655C"/>
    <w:rsid w:val="009E6E82"/>
    <w:rsid w:val="009E74F5"/>
    <w:rsid w:val="009E7888"/>
    <w:rsid w:val="009F009D"/>
    <w:rsid w:val="009F0637"/>
    <w:rsid w:val="009F11A5"/>
    <w:rsid w:val="009F2173"/>
    <w:rsid w:val="009F2D23"/>
    <w:rsid w:val="009F3864"/>
    <w:rsid w:val="009F3C8A"/>
    <w:rsid w:val="009F43BF"/>
    <w:rsid w:val="009F4690"/>
    <w:rsid w:val="009F4CD6"/>
    <w:rsid w:val="009F4CF2"/>
    <w:rsid w:val="009F59CE"/>
    <w:rsid w:val="009F5B13"/>
    <w:rsid w:val="009F612A"/>
    <w:rsid w:val="009F65E5"/>
    <w:rsid w:val="009F66DE"/>
    <w:rsid w:val="009F6800"/>
    <w:rsid w:val="009F6D42"/>
    <w:rsid w:val="009F7464"/>
    <w:rsid w:val="00A009C2"/>
    <w:rsid w:val="00A00EB5"/>
    <w:rsid w:val="00A01585"/>
    <w:rsid w:val="00A01912"/>
    <w:rsid w:val="00A019CF"/>
    <w:rsid w:val="00A01AD4"/>
    <w:rsid w:val="00A0209B"/>
    <w:rsid w:val="00A02731"/>
    <w:rsid w:val="00A02A27"/>
    <w:rsid w:val="00A030CF"/>
    <w:rsid w:val="00A03652"/>
    <w:rsid w:val="00A04290"/>
    <w:rsid w:val="00A045D5"/>
    <w:rsid w:val="00A051B9"/>
    <w:rsid w:val="00A051E2"/>
    <w:rsid w:val="00A05525"/>
    <w:rsid w:val="00A05605"/>
    <w:rsid w:val="00A05B63"/>
    <w:rsid w:val="00A05B88"/>
    <w:rsid w:val="00A0614D"/>
    <w:rsid w:val="00A06E29"/>
    <w:rsid w:val="00A07993"/>
    <w:rsid w:val="00A101CC"/>
    <w:rsid w:val="00A10560"/>
    <w:rsid w:val="00A110CD"/>
    <w:rsid w:val="00A117A8"/>
    <w:rsid w:val="00A11AFC"/>
    <w:rsid w:val="00A12C86"/>
    <w:rsid w:val="00A134AF"/>
    <w:rsid w:val="00A1390E"/>
    <w:rsid w:val="00A145CA"/>
    <w:rsid w:val="00A14C3B"/>
    <w:rsid w:val="00A154ED"/>
    <w:rsid w:val="00A15E0D"/>
    <w:rsid w:val="00A15F01"/>
    <w:rsid w:val="00A16118"/>
    <w:rsid w:val="00A16842"/>
    <w:rsid w:val="00A16FD1"/>
    <w:rsid w:val="00A17190"/>
    <w:rsid w:val="00A1743C"/>
    <w:rsid w:val="00A17719"/>
    <w:rsid w:val="00A17D1D"/>
    <w:rsid w:val="00A2018F"/>
    <w:rsid w:val="00A20F6A"/>
    <w:rsid w:val="00A213AE"/>
    <w:rsid w:val="00A2153E"/>
    <w:rsid w:val="00A22110"/>
    <w:rsid w:val="00A2230A"/>
    <w:rsid w:val="00A22390"/>
    <w:rsid w:val="00A230D1"/>
    <w:rsid w:val="00A231E3"/>
    <w:rsid w:val="00A2325F"/>
    <w:rsid w:val="00A2343A"/>
    <w:rsid w:val="00A2366D"/>
    <w:rsid w:val="00A23F07"/>
    <w:rsid w:val="00A24E27"/>
    <w:rsid w:val="00A25063"/>
    <w:rsid w:val="00A251D6"/>
    <w:rsid w:val="00A256CA"/>
    <w:rsid w:val="00A25CF9"/>
    <w:rsid w:val="00A26DBA"/>
    <w:rsid w:val="00A2763B"/>
    <w:rsid w:val="00A27AE7"/>
    <w:rsid w:val="00A301AA"/>
    <w:rsid w:val="00A305BC"/>
    <w:rsid w:val="00A3114C"/>
    <w:rsid w:val="00A311B9"/>
    <w:rsid w:val="00A31950"/>
    <w:rsid w:val="00A31A2D"/>
    <w:rsid w:val="00A31DE9"/>
    <w:rsid w:val="00A32AC5"/>
    <w:rsid w:val="00A32D4A"/>
    <w:rsid w:val="00A33616"/>
    <w:rsid w:val="00A3486D"/>
    <w:rsid w:val="00A353F0"/>
    <w:rsid w:val="00A3593F"/>
    <w:rsid w:val="00A35C92"/>
    <w:rsid w:val="00A36686"/>
    <w:rsid w:val="00A367D0"/>
    <w:rsid w:val="00A37364"/>
    <w:rsid w:val="00A37611"/>
    <w:rsid w:val="00A4033B"/>
    <w:rsid w:val="00A40980"/>
    <w:rsid w:val="00A415E1"/>
    <w:rsid w:val="00A41783"/>
    <w:rsid w:val="00A41C62"/>
    <w:rsid w:val="00A41DD4"/>
    <w:rsid w:val="00A41ED7"/>
    <w:rsid w:val="00A41EE9"/>
    <w:rsid w:val="00A41F2B"/>
    <w:rsid w:val="00A41FF1"/>
    <w:rsid w:val="00A43084"/>
    <w:rsid w:val="00A430A1"/>
    <w:rsid w:val="00A43822"/>
    <w:rsid w:val="00A43EB7"/>
    <w:rsid w:val="00A446A4"/>
    <w:rsid w:val="00A44A52"/>
    <w:rsid w:val="00A4513B"/>
    <w:rsid w:val="00A45F75"/>
    <w:rsid w:val="00A46450"/>
    <w:rsid w:val="00A468E8"/>
    <w:rsid w:val="00A46CFD"/>
    <w:rsid w:val="00A46E94"/>
    <w:rsid w:val="00A47C23"/>
    <w:rsid w:val="00A47C73"/>
    <w:rsid w:val="00A47CAB"/>
    <w:rsid w:val="00A501C6"/>
    <w:rsid w:val="00A503FE"/>
    <w:rsid w:val="00A51AEF"/>
    <w:rsid w:val="00A51E0B"/>
    <w:rsid w:val="00A530B6"/>
    <w:rsid w:val="00A53287"/>
    <w:rsid w:val="00A53BBB"/>
    <w:rsid w:val="00A53DE5"/>
    <w:rsid w:val="00A53DE6"/>
    <w:rsid w:val="00A53F20"/>
    <w:rsid w:val="00A54641"/>
    <w:rsid w:val="00A5480D"/>
    <w:rsid w:val="00A54921"/>
    <w:rsid w:val="00A54C22"/>
    <w:rsid w:val="00A551BF"/>
    <w:rsid w:val="00A55AA6"/>
    <w:rsid w:val="00A55AA9"/>
    <w:rsid w:val="00A56029"/>
    <w:rsid w:val="00A560C7"/>
    <w:rsid w:val="00A564E4"/>
    <w:rsid w:val="00A568CA"/>
    <w:rsid w:val="00A56E18"/>
    <w:rsid w:val="00A5703B"/>
    <w:rsid w:val="00A600B6"/>
    <w:rsid w:val="00A60BE9"/>
    <w:rsid w:val="00A617FD"/>
    <w:rsid w:val="00A6228C"/>
    <w:rsid w:val="00A62441"/>
    <w:rsid w:val="00A62765"/>
    <w:rsid w:val="00A627AB"/>
    <w:rsid w:val="00A62D71"/>
    <w:rsid w:val="00A6368C"/>
    <w:rsid w:val="00A63846"/>
    <w:rsid w:val="00A63B4C"/>
    <w:rsid w:val="00A64B37"/>
    <w:rsid w:val="00A65877"/>
    <w:rsid w:val="00A66CDA"/>
    <w:rsid w:val="00A70471"/>
    <w:rsid w:val="00A705E8"/>
    <w:rsid w:val="00A71290"/>
    <w:rsid w:val="00A71830"/>
    <w:rsid w:val="00A71997"/>
    <w:rsid w:val="00A71B2C"/>
    <w:rsid w:val="00A72A01"/>
    <w:rsid w:val="00A72C02"/>
    <w:rsid w:val="00A72C32"/>
    <w:rsid w:val="00A73114"/>
    <w:rsid w:val="00A732AC"/>
    <w:rsid w:val="00A73779"/>
    <w:rsid w:val="00A73939"/>
    <w:rsid w:val="00A745C6"/>
    <w:rsid w:val="00A75029"/>
    <w:rsid w:val="00A758EB"/>
    <w:rsid w:val="00A7689D"/>
    <w:rsid w:val="00A7772B"/>
    <w:rsid w:val="00A800B4"/>
    <w:rsid w:val="00A80EF9"/>
    <w:rsid w:val="00A81612"/>
    <w:rsid w:val="00A817C2"/>
    <w:rsid w:val="00A81FF3"/>
    <w:rsid w:val="00A8313F"/>
    <w:rsid w:val="00A84D93"/>
    <w:rsid w:val="00A8553F"/>
    <w:rsid w:val="00A85C08"/>
    <w:rsid w:val="00A8669E"/>
    <w:rsid w:val="00A86880"/>
    <w:rsid w:val="00A87544"/>
    <w:rsid w:val="00A8769E"/>
    <w:rsid w:val="00A9016C"/>
    <w:rsid w:val="00A904FA"/>
    <w:rsid w:val="00A908F7"/>
    <w:rsid w:val="00A90A7F"/>
    <w:rsid w:val="00A92119"/>
    <w:rsid w:val="00A92D91"/>
    <w:rsid w:val="00A93540"/>
    <w:rsid w:val="00A93637"/>
    <w:rsid w:val="00A94345"/>
    <w:rsid w:val="00A94750"/>
    <w:rsid w:val="00A94A30"/>
    <w:rsid w:val="00A95045"/>
    <w:rsid w:val="00A9515B"/>
    <w:rsid w:val="00A9537F"/>
    <w:rsid w:val="00A95C56"/>
    <w:rsid w:val="00A95DF9"/>
    <w:rsid w:val="00A96A06"/>
    <w:rsid w:val="00A96ED9"/>
    <w:rsid w:val="00A97BE5"/>
    <w:rsid w:val="00A97D53"/>
    <w:rsid w:val="00AA0374"/>
    <w:rsid w:val="00AA0882"/>
    <w:rsid w:val="00AA0D00"/>
    <w:rsid w:val="00AA0E41"/>
    <w:rsid w:val="00AA1585"/>
    <w:rsid w:val="00AA17E4"/>
    <w:rsid w:val="00AA18DD"/>
    <w:rsid w:val="00AA2B09"/>
    <w:rsid w:val="00AA2CEA"/>
    <w:rsid w:val="00AA2D6E"/>
    <w:rsid w:val="00AA426A"/>
    <w:rsid w:val="00AA45BE"/>
    <w:rsid w:val="00AA4653"/>
    <w:rsid w:val="00AA53B5"/>
    <w:rsid w:val="00AA5F0D"/>
    <w:rsid w:val="00AA6706"/>
    <w:rsid w:val="00AA6FA0"/>
    <w:rsid w:val="00AA73E4"/>
    <w:rsid w:val="00AA7481"/>
    <w:rsid w:val="00AA7728"/>
    <w:rsid w:val="00AA7AF2"/>
    <w:rsid w:val="00AB0186"/>
    <w:rsid w:val="00AB0232"/>
    <w:rsid w:val="00AB02EB"/>
    <w:rsid w:val="00AB231F"/>
    <w:rsid w:val="00AB2EB7"/>
    <w:rsid w:val="00AB30F6"/>
    <w:rsid w:val="00AB3211"/>
    <w:rsid w:val="00AB3C36"/>
    <w:rsid w:val="00AB3DE3"/>
    <w:rsid w:val="00AB46E4"/>
    <w:rsid w:val="00AB48BA"/>
    <w:rsid w:val="00AB4D95"/>
    <w:rsid w:val="00AB4DB6"/>
    <w:rsid w:val="00AB577B"/>
    <w:rsid w:val="00AB57EB"/>
    <w:rsid w:val="00AB5DAB"/>
    <w:rsid w:val="00AB651B"/>
    <w:rsid w:val="00AB653F"/>
    <w:rsid w:val="00AB67E2"/>
    <w:rsid w:val="00AB684F"/>
    <w:rsid w:val="00AB72C1"/>
    <w:rsid w:val="00AB7EC8"/>
    <w:rsid w:val="00AC09AA"/>
    <w:rsid w:val="00AC2ABB"/>
    <w:rsid w:val="00AC35AA"/>
    <w:rsid w:val="00AC42CC"/>
    <w:rsid w:val="00AC44C8"/>
    <w:rsid w:val="00AC4542"/>
    <w:rsid w:val="00AC4576"/>
    <w:rsid w:val="00AC4670"/>
    <w:rsid w:val="00AC4693"/>
    <w:rsid w:val="00AC57AB"/>
    <w:rsid w:val="00AC5AD0"/>
    <w:rsid w:val="00AC5E31"/>
    <w:rsid w:val="00AC5FCC"/>
    <w:rsid w:val="00AC7A39"/>
    <w:rsid w:val="00AD000A"/>
    <w:rsid w:val="00AD0444"/>
    <w:rsid w:val="00AD07EB"/>
    <w:rsid w:val="00AD13CB"/>
    <w:rsid w:val="00AD1851"/>
    <w:rsid w:val="00AD18D2"/>
    <w:rsid w:val="00AD1C3A"/>
    <w:rsid w:val="00AD1D70"/>
    <w:rsid w:val="00AD2231"/>
    <w:rsid w:val="00AD24E7"/>
    <w:rsid w:val="00AD2AB6"/>
    <w:rsid w:val="00AD2CD8"/>
    <w:rsid w:val="00AD2F66"/>
    <w:rsid w:val="00AD3667"/>
    <w:rsid w:val="00AD4464"/>
    <w:rsid w:val="00AD4C5F"/>
    <w:rsid w:val="00AD4DCE"/>
    <w:rsid w:val="00AD4E39"/>
    <w:rsid w:val="00AD4EDE"/>
    <w:rsid w:val="00AD68FA"/>
    <w:rsid w:val="00AD6922"/>
    <w:rsid w:val="00AD6CF8"/>
    <w:rsid w:val="00AD6D9D"/>
    <w:rsid w:val="00AD72AC"/>
    <w:rsid w:val="00AD764A"/>
    <w:rsid w:val="00AD76D7"/>
    <w:rsid w:val="00AD7C27"/>
    <w:rsid w:val="00AE0264"/>
    <w:rsid w:val="00AE02C0"/>
    <w:rsid w:val="00AE0B27"/>
    <w:rsid w:val="00AE18FB"/>
    <w:rsid w:val="00AE233A"/>
    <w:rsid w:val="00AE26B2"/>
    <w:rsid w:val="00AE2864"/>
    <w:rsid w:val="00AE2EB9"/>
    <w:rsid w:val="00AE40DE"/>
    <w:rsid w:val="00AE4595"/>
    <w:rsid w:val="00AE475D"/>
    <w:rsid w:val="00AE5690"/>
    <w:rsid w:val="00AE5A4C"/>
    <w:rsid w:val="00AE5F8D"/>
    <w:rsid w:val="00AE62FC"/>
    <w:rsid w:val="00AE66AA"/>
    <w:rsid w:val="00AE7035"/>
    <w:rsid w:val="00AE7943"/>
    <w:rsid w:val="00AF03C7"/>
    <w:rsid w:val="00AF0519"/>
    <w:rsid w:val="00AF136C"/>
    <w:rsid w:val="00AF1D51"/>
    <w:rsid w:val="00AF1E48"/>
    <w:rsid w:val="00AF2580"/>
    <w:rsid w:val="00AF27DE"/>
    <w:rsid w:val="00AF307C"/>
    <w:rsid w:val="00AF3A4C"/>
    <w:rsid w:val="00AF41CD"/>
    <w:rsid w:val="00AF5074"/>
    <w:rsid w:val="00AF5532"/>
    <w:rsid w:val="00AF573B"/>
    <w:rsid w:val="00AF5CDD"/>
    <w:rsid w:val="00AF641B"/>
    <w:rsid w:val="00AF65A3"/>
    <w:rsid w:val="00AF71D2"/>
    <w:rsid w:val="00AF729B"/>
    <w:rsid w:val="00B0012E"/>
    <w:rsid w:val="00B0135B"/>
    <w:rsid w:val="00B016F7"/>
    <w:rsid w:val="00B017F1"/>
    <w:rsid w:val="00B02079"/>
    <w:rsid w:val="00B02C7F"/>
    <w:rsid w:val="00B02EE2"/>
    <w:rsid w:val="00B034A9"/>
    <w:rsid w:val="00B03C30"/>
    <w:rsid w:val="00B03E44"/>
    <w:rsid w:val="00B046FD"/>
    <w:rsid w:val="00B04787"/>
    <w:rsid w:val="00B04AD7"/>
    <w:rsid w:val="00B04B12"/>
    <w:rsid w:val="00B05674"/>
    <w:rsid w:val="00B061A7"/>
    <w:rsid w:val="00B06D5D"/>
    <w:rsid w:val="00B07328"/>
    <w:rsid w:val="00B07503"/>
    <w:rsid w:val="00B0771B"/>
    <w:rsid w:val="00B077A4"/>
    <w:rsid w:val="00B07965"/>
    <w:rsid w:val="00B079BF"/>
    <w:rsid w:val="00B07AE6"/>
    <w:rsid w:val="00B10804"/>
    <w:rsid w:val="00B10D7F"/>
    <w:rsid w:val="00B10EF7"/>
    <w:rsid w:val="00B112E7"/>
    <w:rsid w:val="00B12C17"/>
    <w:rsid w:val="00B12CA0"/>
    <w:rsid w:val="00B132AB"/>
    <w:rsid w:val="00B13785"/>
    <w:rsid w:val="00B13BBB"/>
    <w:rsid w:val="00B15669"/>
    <w:rsid w:val="00B15B3B"/>
    <w:rsid w:val="00B15B6D"/>
    <w:rsid w:val="00B17E32"/>
    <w:rsid w:val="00B208A8"/>
    <w:rsid w:val="00B20E89"/>
    <w:rsid w:val="00B20EF5"/>
    <w:rsid w:val="00B21094"/>
    <w:rsid w:val="00B2134D"/>
    <w:rsid w:val="00B21D65"/>
    <w:rsid w:val="00B222CC"/>
    <w:rsid w:val="00B2233D"/>
    <w:rsid w:val="00B22689"/>
    <w:rsid w:val="00B22BC4"/>
    <w:rsid w:val="00B22EB7"/>
    <w:rsid w:val="00B235BC"/>
    <w:rsid w:val="00B236E9"/>
    <w:rsid w:val="00B23B5F"/>
    <w:rsid w:val="00B242C7"/>
    <w:rsid w:val="00B24DB9"/>
    <w:rsid w:val="00B254E1"/>
    <w:rsid w:val="00B25C3C"/>
    <w:rsid w:val="00B25EEC"/>
    <w:rsid w:val="00B266E3"/>
    <w:rsid w:val="00B269C0"/>
    <w:rsid w:val="00B27288"/>
    <w:rsid w:val="00B27E2A"/>
    <w:rsid w:val="00B30A26"/>
    <w:rsid w:val="00B31814"/>
    <w:rsid w:val="00B31952"/>
    <w:rsid w:val="00B3298C"/>
    <w:rsid w:val="00B32E4B"/>
    <w:rsid w:val="00B33525"/>
    <w:rsid w:val="00B34613"/>
    <w:rsid w:val="00B35ACD"/>
    <w:rsid w:val="00B35DD3"/>
    <w:rsid w:val="00B365C9"/>
    <w:rsid w:val="00B366B5"/>
    <w:rsid w:val="00B36FB2"/>
    <w:rsid w:val="00B36FBE"/>
    <w:rsid w:val="00B36FDE"/>
    <w:rsid w:val="00B370AD"/>
    <w:rsid w:val="00B371D2"/>
    <w:rsid w:val="00B378FE"/>
    <w:rsid w:val="00B379A5"/>
    <w:rsid w:val="00B379F4"/>
    <w:rsid w:val="00B37E67"/>
    <w:rsid w:val="00B412B0"/>
    <w:rsid w:val="00B414A5"/>
    <w:rsid w:val="00B41A46"/>
    <w:rsid w:val="00B429C5"/>
    <w:rsid w:val="00B42BF1"/>
    <w:rsid w:val="00B42C62"/>
    <w:rsid w:val="00B43266"/>
    <w:rsid w:val="00B44078"/>
    <w:rsid w:val="00B4485B"/>
    <w:rsid w:val="00B44E4F"/>
    <w:rsid w:val="00B4504C"/>
    <w:rsid w:val="00B45A09"/>
    <w:rsid w:val="00B4627C"/>
    <w:rsid w:val="00B465F7"/>
    <w:rsid w:val="00B4685C"/>
    <w:rsid w:val="00B46AAB"/>
    <w:rsid w:val="00B46BC7"/>
    <w:rsid w:val="00B47762"/>
    <w:rsid w:val="00B47A44"/>
    <w:rsid w:val="00B5019F"/>
    <w:rsid w:val="00B50A1B"/>
    <w:rsid w:val="00B50C62"/>
    <w:rsid w:val="00B51B8F"/>
    <w:rsid w:val="00B52270"/>
    <w:rsid w:val="00B5329B"/>
    <w:rsid w:val="00B533B6"/>
    <w:rsid w:val="00B53577"/>
    <w:rsid w:val="00B53A40"/>
    <w:rsid w:val="00B53B54"/>
    <w:rsid w:val="00B53DF3"/>
    <w:rsid w:val="00B542ED"/>
    <w:rsid w:val="00B54889"/>
    <w:rsid w:val="00B54EBC"/>
    <w:rsid w:val="00B5657A"/>
    <w:rsid w:val="00B56925"/>
    <w:rsid w:val="00B56B6C"/>
    <w:rsid w:val="00B574D9"/>
    <w:rsid w:val="00B57B6A"/>
    <w:rsid w:val="00B60172"/>
    <w:rsid w:val="00B60336"/>
    <w:rsid w:val="00B60D55"/>
    <w:rsid w:val="00B60D5A"/>
    <w:rsid w:val="00B612F9"/>
    <w:rsid w:val="00B61DF9"/>
    <w:rsid w:val="00B622A8"/>
    <w:rsid w:val="00B623D8"/>
    <w:rsid w:val="00B62A27"/>
    <w:rsid w:val="00B6344C"/>
    <w:rsid w:val="00B63C18"/>
    <w:rsid w:val="00B648A5"/>
    <w:rsid w:val="00B64DEC"/>
    <w:rsid w:val="00B652DF"/>
    <w:rsid w:val="00B6558A"/>
    <w:rsid w:val="00B6574C"/>
    <w:rsid w:val="00B65EFB"/>
    <w:rsid w:val="00B660E3"/>
    <w:rsid w:val="00B66180"/>
    <w:rsid w:val="00B661E5"/>
    <w:rsid w:val="00B6654F"/>
    <w:rsid w:val="00B669AA"/>
    <w:rsid w:val="00B66D72"/>
    <w:rsid w:val="00B67035"/>
    <w:rsid w:val="00B67653"/>
    <w:rsid w:val="00B70BDE"/>
    <w:rsid w:val="00B71257"/>
    <w:rsid w:val="00B718AF"/>
    <w:rsid w:val="00B7192B"/>
    <w:rsid w:val="00B71A6E"/>
    <w:rsid w:val="00B720EC"/>
    <w:rsid w:val="00B72A3C"/>
    <w:rsid w:val="00B72C10"/>
    <w:rsid w:val="00B72CEE"/>
    <w:rsid w:val="00B738AF"/>
    <w:rsid w:val="00B73EB2"/>
    <w:rsid w:val="00B74268"/>
    <w:rsid w:val="00B75D3B"/>
    <w:rsid w:val="00B75F42"/>
    <w:rsid w:val="00B76415"/>
    <w:rsid w:val="00B76C9C"/>
    <w:rsid w:val="00B76DA1"/>
    <w:rsid w:val="00B77631"/>
    <w:rsid w:val="00B80068"/>
    <w:rsid w:val="00B809AF"/>
    <w:rsid w:val="00B80B11"/>
    <w:rsid w:val="00B8126A"/>
    <w:rsid w:val="00B81AFF"/>
    <w:rsid w:val="00B81C0C"/>
    <w:rsid w:val="00B82467"/>
    <w:rsid w:val="00B82689"/>
    <w:rsid w:val="00B82EF4"/>
    <w:rsid w:val="00B8321C"/>
    <w:rsid w:val="00B83CE8"/>
    <w:rsid w:val="00B83E27"/>
    <w:rsid w:val="00B8445E"/>
    <w:rsid w:val="00B84A2B"/>
    <w:rsid w:val="00B84D8D"/>
    <w:rsid w:val="00B84E07"/>
    <w:rsid w:val="00B85477"/>
    <w:rsid w:val="00B85590"/>
    <w:rsid w:val="00B855A0"/>
    <w:rsid w:val="00B85E8D"/>
    <w:rsid w:val="00B86372"/>
    <w:rsid w:val="00B8671B"/>
    <w:rsid w:val="00B87344"/>
    <w:rsid w:val="00B8781B"/>
    <w:rsid w:val="00B87834"/>
    <w:rsid w:val="00B87E16"/>
    <w:rsid w:val="00B90F81"/>
    <w:rsid w:val="00B91103"/>
    <w:rsid w:val="00B911BE"/>
    <w:rsid w:val="00B91686"/>
    <w:rsid w:val="00B91B20"/>
    <w:rsid w:val="00B91E3E"/>
    <w:rsid w:val="00B92200"/>
    <w:rsid w:val="00B92AE9"/>
    <w:rsid w:val="00B92D57"/>
    <w:rsid w:val="00B9318B"/>
    <w:rsid w:val="00B9353D"/>
    <w:rsid w:val="00B93612"/>
    <w:rsid w:val="00B93EA5"/>
    <w:rsid w:val="00B93F24"/>
    <w:rsid w:val="00B94E92"/>
    <w:rsid w:val="00B95003"/>
    <w:rsid w:val="00B9519B"/>
    <w:rsid w:val="00B955B1"/>
    <w:rsid w:val="00B95BD0"/>
    <w:rsid w:val="00B9606D"/>
    <w:rsid w:val="00B9747F"/>
    <w:rsid w:val="00B976AB"/>
    <w:rsid w:val="00B97991"/>
    <w:rsid w:val="00BA0360"/>
    <w:rsid w:val="00BA0DE5"/>
    <w:rsid w:val="00BA189D"/>
    <w:rsid w:val="00BA22CA"/>
    <w:rsid w:val="00BA2B87"/>
    <w:rsid w:val="00BA351B"/>
    <w:rsid w:val="00BA361F"/>
    <w:rsid w:val="00BA4F97"/>
    <w:rsid w:val="00BA5812"/>
    <w:rsid w:val="00BA58AC"/>
    <w:rsid w:val="00BA6EFC"/>
    <w:rsid w:val="00BA7004"/>
    <w:rsid w:val="00BA7144"/>
    <w:rsid w:val="00BA7317"/>
    <w:rsid w:val="00BB0A40"/>
    <w:rsid w:val="00BB1316"/>
    <w:rsid w:val="00BB1639"/>
    <w:rsid w:val="00BB18F0"/>
    <w:rsid w:val="00BB1C13"/>
    <w:rsid w:val="00BB1EF1"/>
    <w:rsid w:val="00BB2E2C"/>
    <w:rsid w:val="00BB2FDC"/>
    <w:rsid w:val="00BB3067"/>
    <w:rsid w:val="00BB366B"/>
    <w:rsid w:val="00BB3A0F"/>
    <w:rsid w:val="00BB3ADA"/>
    <w:rsid w:val="00BB4017"/>
    <w:rsid w:val="00BB4143"/>
    <w:rsid w:val="00BB5269"/>
    <w:rsid w:val="00BB5307"/>
    <w:rsid w:val="00BB54B3"/>
    <w:rsid w:val="00BB5C04"/>
    <w:rsid w:val="00BB5CA7"/>
    <w:rsid w:val="00BB665B"/>
    <w:rsid w:val="00BB68A7"/>
    <w:rsid w:val="00BB742D"/>
    <w:rsid w:val="00BB7636"/>
    <w:rsid w:val="00BB7DE6"/>
    <w:rsid w:val="00BC1BAF"/>
    <w:rsid w:val="00BC1F37"/>
    <w:rsid w:val="00BC1F5E"/>
    <w:rsid w:val="00BC2BE8"/>
    <w:rsid w:val="00BC2CEE"/>
    <w:rsid w:val="00BC37CF"/>
    <w:rsid w:val="00BC3FB9"/>
    <w:rsid w:val="00BC41F9"/>
    <w:rsid w:val="00BC4363"/>
    <w:rsid w:val="00BC4465"/>
    <w:rsid w:val="00BC59B5"/>
    <w:rsid w:val="00BC59F3"/>
    <w:rsid w:val="00BC5DB8"/>
    <w:rsid w:val="00BC5E87"/>
    <w:rsid w:val="00BC5EA2"/>
    <w:rsid w:val="00BC6025"/>
    <w:rsid w:val="00BC641B"/>
    <w:rsid w:val="00BC670F"/>
    <w:rsid w:val="00BC782E"/>
    <w:rsid w:val="00BC7BE7"/>
    <w:rsid w:val="00BC7F14"/>
    <w:rsid w:val="00BD0035"/>
    <w:rsid w:val="00BD014E"/>
    <w:rsid w:val="00BD1932"/>
    <w:rsid w:val="00BD1D11"/>
    <w:rsid w:val="00BD3283"/>
    <w:rsid w:val="00BD3E6F"/>
    <w:rsid w:val="00BD462B"/>
    <w:rsid w:val="00BD48E0"/>
    <w:rsid w:val="00BD5040"/>
    <w:rsid w:val="00BD5BD6"/>
    <w:rsid w:val="00BD5FCB"/>
    <w:rsid w:val="00BD65D3"/>
    <w:rsid w:val="00BD67F4"/>
    <w:rsid w:val="00BD6F89"/>
    <w:rsid w:val="00BD732C"/>
    <w:rsid w:val="00BD7D6F"/>
    <w:rsid w:val="00BE04D3"/>
    <w:rsid w:val="00BE090A"/>
    <w:rsid w:val="00BE0D3E"/>
    <w:rsid w:val="00BE0E6F"/>
    <w:rsid w:val="00BE1066"/>
    <w:rsid w:val="00BE15C2"/>
    <w:rsid w:val="00BE17C2"/>
    <w:rsid w:val="00BE22A7"/>
    <w:rsid w:val="00BE22C6"/>
    <w:rsid w:val="00BE2624"/>
    <w:rsid w:val="00BE2A52"/>
    <w:rsid w:val="00BE310E"/>
    <w:rsid w:val="00BE381C"/>
    <w:rsid w:val="00BE3E2C"/>
    <w:rsid w:val="00BE3E37"/>
    <w:rsid w:val="00BE4575"/>
    <w:rsid w:val="00BE4BB8"/>
    <w:rsid w:val="00BE4C4C"/>
    <w:rsid w:val="00BE55B0"/>
    <w:rsid w:val="00BE590D"/>
    <w:rsid w:val="00BE5A17"/>
    <w:rsid w:val="00BE682A"/>
    <w:rsid w:val="00BE6E5C"/>
    <w:rsid w:val="00BE7181"/>
    <w:rsid w:val="00BE75D3"/>
    <w:rsid w:val="00BF003B"/>
    <w:rsid w:val="00BF0D49"/>
    <w:rsid w:val="00BF0F41"/>
    <w:rsid w:val="00BF1161"/>
    <w:rsid w:val="00BF1502"/>
    <w:rsid w:val="00BF1555"/>
    <w:rsid w:val="00BF2031"/>
    <w:rsid w:val="00BF23A8"/>
    <w:rsid w:val="00BF2498"/>
    <w:rsid w:val="00BF37A7"/>
    <w:rsid w:val="00BF3D9E"/>
    <w:rsid w:val="00BF3F4F"/>
    <w:rsid w:val="00BF4731"/>
    <w:rsid w:val="00BF57B9"/>
    <w:rsid w:val="00BF587C"/>
    <w:rsid w:val="00BF5D8D"/>
    <w:rsid w:val="00BF6952"/>
    <w:rsid w:val="00BF6ED3"/>
    <w:rsid w:val="00BF6F57"/>
    <w:rsid w:val="00BF6FBB"/>
    <w:rsid w:val="00BF78A6"/>
    <w:rsid w:val="00BF7BDF"/>
    <w:rsid w:val="00C00458"/>
    <w:rsid w:val="00C00640"/>
    <w:rsid w:val="00C00661"/>
    <w:rsid w:val="00C0068D"/>
    <w:rsid w:val="00C00D45"/>
    <w:rsid w:val="00C015D0"/>
    <w:rsid w:val="00C0188B"/>
    <w:rsid w:val="00C01D85"/>
    <w:rsid w:val="00C02933"/>
    <w:rsid w:val="00C02D66"/>
    <w:rsid w:val="00C0462C"/>
    <w:rsid w:val="00C04B91"/>
    <w:rsid w:val="00C04D71"/>
    <w:rsid w:val="00C05121"/>
    <w:rsid w:val="00C051BE"/>
    <w:rsid w:val="00C05639"/>
    <w:rsid w:val="00C060C9"/>
    <w:rsid w:val="00C060EB"/>
    <w:rsid w:val="00C062D6"/>
    <w:rsid w:val="00C06C03"/>
    <w:rsid w:val="00C06C07"/>
    <w:rsid w:val="00C06D28"/>
    <w:rsid w:val="00C06E2C"/>
    <w:rsid w:val="00C0766B"/>
    <w:rsid w:val="00C078FF"/>
    <w:rsid w:val="00C1017F"/>
    <w:rsid w:val="00C1035A"/>
    <w:rsid w:val="00C10C73"/>
    <w:rsid w:val="00C11495"/>
    <w:rsid w:val="00C1187F"/>
    <w:rsid w:val="00C1195A"/>
    <w:rsid w:val="00C11A8E"/>
    <w:rsid w:val="00C12D9F"/>
    <w:rsid w:val="00C13114"/>
    <w:rsid w:val="00C13C11"/>
    <w:rsid w:val="00C14278"/>
    <w:rsid w:val="00C151CD"/>
    <w:rsid w:val="00C15228"/>
    <w:rsid w:val="00C1535E"/>
    <w:rsid w:val="00C156E5"/>
    <w:rsid w:val="00C15B1D"/>
    <w:rsid w:val="00C161EE"/>
    <w:rsid w:val="00C165B4"/>
    <w:rsid w:val="00C1683A"/>
    <w:rsid w:val="00C16C7F"/>
    <w:rsid w:val="00C1704B"/>
    <w:rsid w:val="00C17699"/>
    <w:rsid w:val="00C17741"/>
    <w:rsid w:val="00C17859"/>
    <w:rsid w:val="00C17EA1"/>
    <w:rsid w:val="00C2088E"/>
    <w:rsid w:val="00C21615"/>
    <w:rsid w:val="00C2178E"/>
    <w:rsid w:val="00C219C0"/>
    <w:rsid w:val="00C21BBC"/>
    <w:rsid w:val="00C21FFC"/>
    <w:rsid w:val="00C22A18"/>
    <w:rsid w:val="00C22B51"/>
    <w:rsid w:val="00C2325F"/>
    <w:rsid w:val="00C23874"/>
    <w:rsid w:val="00C245CB"/>
    <w:rsid w:val="00C24793"/>
    <w:rsid w:val="00C249C7"/>
    <w:rsid w:val="00C24C5D"/>
    <w:rsid w:val="00C251FC"/>
    <w:rsid w:val="00C27721"/>
    <w:rsid w:val="00C27864"/>
    <w:rsid w:val="00C279B0"/>
    <w:rsid w:val="00C27D7D"/>
    <w:rsid w:val="00C3058A"/>
    <w:rsid w:val="00C30AE1"/>
    <w:rsid w:val="00C3118B"/>
    <w:rsid w:val="00C3166B"/>
    <w:rsid w:val="00C318BE"/>
    <w:rsid w:val="00C326F7"/>
    <w:rsid w:val="00C32831"/>
    <w:rsid w:val="00C32879"/>
    <w:rsid w:val="00C32DA7"/>
    <w:rsid w:val="00C338AB"/>
    <w:rsid w:val="00C33F5F"/>
    <w:rsid w:val="00C34179"/>
    <w:rsid w:val="00C34916"/>
    <w:rsid w:val="00C351B1"/>
    <w:rsid w:val="00C3533B"/>
    <w:rsid w:val="00C36377"/>
    <w:rsid w:val="00C36B0C"/>
    <w:rsid w:val="00C37F42"/>
    <w:rsid w:val="00C37F47"/>
    <w:rsid w:val="00C41E63"/>
    <w:rsid w:val="00C4275E"/>
    <w:rsid w:val="00C42C52"/>
    <w:rsid w:val="00C42E0B"/>
    <w:rsid w:val="00C433F7"/>
    <w:rsid w:val="00C43FFD"/>
    <w:rsid w:val="00C44292"/>
    <w:rsid w:val="00C44381"/>
    <w:rsid w:val="00C44B8D"/>
    <w:rsid w:val="00C44DF9"/>
    <w:rsid w:val="00C451E8"/>
    <w:rsid w:val="00C45528"/>
    <w:rsid w:val="00C45DCD"/>
    <w:rsid w:val="00C46472"/>
    <w:rsid w:val="00C47613"/>
    <w:rsid w:val="00C50808"/>
    <w:rsid w:val="00C510CB"/>
    <w:rsid w:val="00C51838"/>
    <w:rsid w:val="00C5272A"/>
    <w:rsid w:val="00C53B47"/>
    <w:rsid w:val="00C543E0"/>
    <w:rsid w:val="00C545A2"/>
    <w:rsid w:val="00C54D64"/>
    <w:rsid w:val="00C552DB"/>
    <w:rsid w:val="00C5595A"/>
    <w:rsid w:val="00C55CB8"/>
    <w:rsid w:val="00C5625F"/>
    <w:rsid w:val="00C57B63"/>
    <w:rsid w:val="00C57C30"/>
    <w:rsid w:val="00C60306"/>
    <w:rsid w:val="00C607D2"/>
    <w:rsid w:val="00C60D85"/>
    <w:rsid w:val="00C61901"/>
    <w:rsid w:val="00C61911"/>
    <w:rsid w:val="00C61944"/>
    <w:rsid w:val="00C62D0A"/>
    <w:rsid w:val="00C633E5"/>
    <w:rsid w:val="00C6559F"/>
    <w:rsid w:val="00C65602"/>
    <w:rsid w:val="00C667DE"/>
    <w:rsid w:val="00C679E4"/>
    <w:rsid w:val="00C702B9"/>
    <w:rsid w:val="00C711FB"/>
    <w:rsid w:val="00C720C6"/>
    <w:rsid w:val="00C7224D"/>
    <w:rsid w:val="00C72733"/>
    <w:rsid w:val="00C727CC"/>
    <w:rsid w:val="00C72D31"/>
    <w:rsid w:val="00C72E59"/>
    <w:rsid w:val="00C7337F"/>
    <w:rsid w:val="00C736BA"/>
    <w:rsid w:val="00C73867"/>
    <w:rsid w:val="00C74176"/>
    <w:rsid w:val="00C74B04"/>
    <w:rsid w:val="00C76062"/>
    <w:rsid w:val="00C76964"/>
    <w:rsid w:val="00C769D6"/>
    <w:rsid w:val="00C76D93"/>
    <w:rsid w:val="00C76FF1"/>
    <w:rsid w:val="00C805FA"/>
    <w:rsid w:val="00C8067F"/>
    <w:rsid w:val="00C80A44"/>
    <w:rsid w:val="00C81864"/>
    <w:rsid w:val="00C821FB"/>
    <w:rsid w:val="00C823CA"/>
    <w:rsid w:val="00C82CC4"/>
    <w:rsid w:val="00C83BB5"/>
    <w:rsid w:val="00C83E95"/>
    <w:rsid w:val="00C8436F"/>
    <w:rsid w:val="00C84458"/>
    <w:rsid w:val="00C85442"/>
    <w:rsid w:val="00C860F7"/>
    <w:rsid w:val="00C863AD"/>
    <w:rsid w:val="00C86DC3"/>
    <w:rsid w:val="00C879D3"/>
    <w:rsid w:val="00C879EE"/>
    <w:rsid w:val="00C912E4"/>
    <w:rsid w:val="00C920A1"/>
    <w:rsid w:val="00C9230D"/>
    <w:rsid w:val="00C9238C"/>
    <w:rsid w:val="00C92A69"/>
    <w:rsid w:val="00C938C6"/>
    <w:rsid w:val="00C9406B"/>
    <w:rsid w:val="00C951C8"/>
    <w:rsid w:val="00C95620"/>
    <w:rsid w:val="00C95780"/>
    <w:rsid w:val="00C9585B"/>
    <w:rsid w:val="00C9699F"/>
    <w:rsid w:val="00C96A87"/>
    <w:rsid w:val="00C96E5F"/>
    <w:rsid w:val="00C96FCB"/>
    <w:rsid w:val="00C97D61"/>
    <w:rsid w:val="00CA0619"/>
    <w:rsid w:val="00CA0AA8"/>
    <w:rsid w:val="00CA103D"/>
    <w:rsid w:val="00CA112B"/>
    <w:rsid w:val="00CA1838"/>
    <w:rsid w:val="00CA2194"/>
    <w:rsid w:val="00CA24A5"/>
    <w:rsid w:val="00CA2F99"/>
    <w:rsid w:val="00CA3715"/>
    <w:rsid w:val="00CA3ADF"/>
    <w:rsid w:val="00CA41E0"/>
    <w:rsid w:val="00CA445A"/>
    <w:rsid w:val="00CA45ED"/>
    <w:rsid w:val="00CA4A91"/>
    <w:rsid w:val="00CA544C"/>
    <w:rsid w:val="00CA607F"/>
    <w:rsid w:val="00CA609F"/>
    <w:rsid w:val="00CA6343"/>
    <w:rsid w:val="00CA7277"/>
    <w:rsid w:val="00CA73BF"/>
    <w:rsid w:val="00CA7F23"/>
    <w:rsid w:val="00CB02F0"/>
    <w:rsid w:val="00CB0B5B"/>
    <w:rsid w:val="00CB1053"/>
    <w:rsid w:val="00CB1485"/>
    <w:rsid w:val="00CB2D94"/>
    <w:rsid w:val="00CB2F0B"/>
    <w:rsid w:val="00CB33EC"/>
    <w:rsid w:val="00CB3A7C"/>
    <w:rsid w:val="00CB4064"/>
    <w:rsid w:val="00CB43DC"/>
    <w:rsid w:val="00CB4E4E"/>
    <w:rsid w:val="00CB5238"/>
    <w:rsid w:val="00CB58E2"/>
    <w:rsid w:val="00CB62DF"/>
    <w:rsid w:val="00CB649B"/>
    <w:rsid w:val="00CB68BD"/>
    <w:rsid w:val="00CB6A9F"/>
    <w:rsid w:val="00CB6E3D"/>
    <w:rsid w:val="00CB75CF"/>
    <w:rsid w:val="00CB7CB5"/>
    <w:rsid w:val="00CB7EF9"/>
    <w:rsid w:val="00CC0383"/>
    <w:rsid w:val="00CC068E"/>
    <w:rsid w:val="00CC11C0"/>
    <w:rsid w:val="00CC218E"/>
    <w:rsid w:val="00CC2796"/>
    <w:rsid w:val="00CC3308"/>
    <w:rsid w:val="00CC4960"/>
    <w:rsid w:val="00CC4AFB"/>
    <w:rsid w:val="00CC57B1"/>
    <w:rsid w:val="00CC6233"/>
    <w:rsid w:val="00CC67EB"/>
    <w:rsid w:val="00CC6C10"/>
    <w:rsid w:val="00CC6CCC"/>
    <w:rsid w:val="00CC732F"/>
    <w:rsid w:val="00CC757B"/>
    <w:rsid w:val="00CC7FCC"/>
    <w:rsid w:val="00CD0827"/>
    <w:rsid w:val="00CD0F18"/>
    <w:rsid w:val="00CD0FD2"/>
    <w:rsid w:val="00CD11F1"/>
    <w:rsid w:val="00CD19CF"/>
    <w:rsid w:val="00CD1A11"/>
    <w:rsid w:val="00CD1DA1"/>
    <w:rsid w:val="00CD2972"/>
    <w:rsid w:val="00CD336A"/>
    <w:rsid w:val="00CD39D0"/>
    <w:rsid w:val="00CD3ACD"/>
    <w:rsid w:val="00CD3C80"/>
    <w:rsid w:val="00CD3D9D"/>
    <w:rsid w:val="00CD41D4"/>
    <w:rsid w:val="00CD5F54"/>
    <w:rsid w:val="00CD6616"/>
    <w:rsid w:val="00CD68AC"/>
    <w:rsid w:val="00CD6FF9"/>
    <w:rsid w:val="00CD752F"/>
    <w:rsid w:val="00CD7664"/>
    <w:rsid w:val="00CD78EA"/>
    <w:rsid w:val="00CD7945"/>
    <w:rsid w:val="00CD7CF2"/>
    <w:rsid w:val="00CE085F"/>
    <w:rsid w:val="00CE0EEC"/>
    <w:rsid w:val="00CE12FA"/>
    <w:rsid w:val="00CE1503"/>
    <w:rsid w:val="00CE1900"/>
    <w:rsid w:val="00CE19E7"/>
    <w:rsid w:val="00CE1A5A"/>
    <w:rsid w:val="00CE2B4B"/>
    <w:rsid w:val="00CE3D6A"/>
    <w:rsid w:val="00CE3E42"/>
    <w:rsid w:val="00CE3F7C"/>
    <w:rsid w:val="00CE4121"/>
    <w:rsid w:val="00CE4EE9"/>
    <w:rsid w:val="00CE5046"/>
    <w:rsid w:val="00CE5CB3"/>
    <w:rsid w:val="00CE5E8B"/>
    <w:rsid w:val="00CE60AF"/>
    <w:rsid w:val="00CE61C3"/>
    <w:rsid w:val="00CE658F"/>
    <w:rsid w:val="00CE6DDC"/>
    <w:rsid w:val="00CE7782"/>
    <w:rsid w:val="00CE77FE"/>
    <w:rsid w:val="00CE7CBF"/>
    <w:rsid w:val="00CE7DB1"/>
    <w:rsid w:val="00CF00D7"/>
    <w:rsid w:val="00CF0D5E"/>
    <w:rsid w:val="00CF117D"/>
    <w:rsid w:val="00CF1876"/>
    <w:rsid w:val="00CF18C9"/>
    <w:rsid w:val="00CF1B29"/>
    <w:rsid w:val="00CF1CF8"/>
    <w:rsid w:val="00CF1D69"/>
    <w:rsid w:val="00CF2DA9"/>
    <w:rsid w:val="00CF2E33"/>
    <w:rsid w:val="00CF3007"/>
    <w:rsid w:val="00CF32E7"/>
    <w:rsid w:val="00CF333D"/>
    <w:rsid w:val="00CF3962"/>
    <w:rsid w:val="00CF4690"/>
    <w:rsid w:val="00CF555B"/>
    <w:rsid w:val="00CF65AD"/>
    <w:rsid w:val="00CF6D90"/>
    <w:rsid w:val="00CF74D6"/>
    <w:rsid w:val="00CF7515"/>
    <w:rsid w:val="00D0122A"/>
    <w:rsid w:val="00D01A26"/>
    <w:rsid w:val="00D01D8C"/>
    <w:rsid w:val="00D02202"/>
    <w:rsid w:val="00D0265B"/>
    <w:rsid w:val="00D030A3"/>
    <w:rsid w:val="00D03819"/>
    <w:rsid w:val="00D03BA7"/>
    <w:rsid w:val="00D03C32"/>
    <w:rsid w:val="00D05534"/>
    <w:rsid w:val="00D05595"/>
    <w:rsid w:val="00D059D6"/>
    <w:rsid w:val="00D05A87"/>
    <w:rsid w:val="00D06028"/>
    <w:rsid w:val="00D0667A"/>
    <w:rsid w:val="00D06AB7"/>
    <w:rsid w:val="00D06C1D"/>
    <w:rsid w:val="00D06F84"/>
    <w:rsid w:val="00D07791"/>
    <w:rsid w:val="00D07ADB"/>
    <w:rsid w:val="00D10378"/>
    <w:rsid w:val="00D108D8"/>
    <w:rsid w:val="00D10C50"/>
    <w:rsid w:val="00D10D7A"/>
    <w:rsid w:val="00D12219"/>
    <w:rsid w:val="00D123C1"/>
    <w:rsid w:val="00D1244F"/>
    <w:rsid w:val="00D12488"/>
    <w:rsid w:val="00D13543"/>
    <w:rsid w:val="00D14796"/>
    <w:rsid w:val="00D14EE8"/>
    <w:rsid w:val="00D1505E"/>
    <w:rsid w:val="00D150EF"/>
    <w:rsid w:val="00D15971"/>
    <w:rsid w:val="00D16053"/>
    <w:rsid w:val="00D16089"/>
    <w:rsid w:val="00D16518"/>
    <w:rsid w:val="00D174DA"/>
    <w:rsid w:val="00D176BE"/>
    <w:rsid w:val="00D2184D"/>
    <w:rsid w:val="00D22EE6"/>
    <w:rsid w:val="00D22F8C"/>
    <w:rsid w:val="00D23019"/>
    <w:rsid w:val="00D2378A"/>
    <w:rsid w:val="00D23BA9"/>
    <w:rsid w:val="00D25304"/>
    <w:rsid w:val="00D259A6"/>
    <w:rsid w:val="00D25C0A"/>
    <w:rsid w:val="00D26202"/>
    <w:rsid w:val="00D263D8"/>
    <w:rsid w:val="00D27238"/>
    <w:rsid w:val="00D27AE2"/>
    <w:rsid w:val="00D30546"/>
    <w:rsid w:val="00D30880"/>
    <w:rsid w:val="00D30FD3"/>
    <w:rsid w:val="00D31FF7"/>
    <w:rsid w:val="00D324FD"/>
    <w:rsid w:val="00D33046"/>
    <w:rsid w:val="00D34765"/>
    <w:rsid w:val="00D34A4A"/>
    <w:rsid w:val="00D34D2A"/>
    <w:rsid w:val="00D34FF9"/>
    <w:rsid w:val="00D35A86"/>
    <w:rsid w:val="00D369CF"/>
    <w:rsid w:val="00D36F01"/>
    <w:rsid w:val="00D3718D"/>
    <w:rsid w:val="00D379A1"/>
    <w:rsid w:val="00D37A57"/>
    <w:rsid w:val="00D37CF3"/>
    <w:rsid w:val="00D40762"/>
    <w:rsid w:val="00D41297"/>
    <w:rsid w:val="00D4168D"/>
    <w:rsid w:val="00D4181E"/>
    <w:rsid w:val="00D41DD0"/>
    <w:rsid w:val="00D424A2"/>
    <w:rsid w:val="00D42F23"/>
    <w:rsid w:val="00D42F5F"/>
    <w:rsid w:val="00D42F8D"/>
    <w:rsid w:val="00D43901"/>
    <w:rsid w:val="00D43AE1"/>
    <w:rsid w:val="00D43F93"/>
    <w:rsid w:val="00D442BB"/>
    <w:rsid w:val="00D4480F"/>
    <w:rsid w:val="00D44EC9"/>
    <w:rsid w:val="00D4615E"/>
    <w:rsid w:val="00D472E3"/>
    <w:rsid w:val="00D47333"/>
    <w:rsid w:val="00D47D24"/>
    <w:rsid w:val="00D50734"/>
    <w:rsid w:val="00D50A5A"/>
    <w:rsid w:val="00D51614"/>
    <w:rsid w:val="00D51B99"/>
    <w:rsid w:val="00D51CEE"/>
    <w:rsid w:val="00D51D14"/>
    <w:rsid w:val="00D51D3B"/>
    <w:rsid w:val="00D52926"/>
    <w:rsid w:val="00D5297E"/>
    <w:rsid w:val="00D52D40"/>
    <w:rsid w:val="00D532C0"/>
    <w:rsid w:val="00D532D3"/>
    <w:rsid w:val="00D53F03"/>
    <w:rsid w:val="00D5413D"/>
    <w:rsid w:val="00D54ADC"/>
    <w:rsid w:val="00D54C66"/>
    <w:rsid w:val="00D54CB9"/>
    <w:rsid w:val="00D55568"/>
    <w:rsid w:val="00D56BA7"/>
    <w:rsid w:val="00D56E4D"/>
    <w:rsid w:val="00D5730E"/>
    <w:rsid w:val="00D603DB"/>
    <w:rsid w:val="00D607B4"/>
    <w:rsid w:val="00D60D7C"/>
    <w:rsid w:val="00D615B0"/>
    <w:rsid w:val="00D61B81"/>
    <w:rsid w:val="00D62A43"/>
    <w:rsid w:val="00D62DCF"/>
    <w:rsid w:val="00D62FDC"/>
    <w:rsid w:val="00D63067"/>
    <w:rsid w:val="00D631AA"/>
    <w:rsid w:val="00D639EC"/>
    <w:rsid w:val="00D63F41"/>
    <w:rsid w:val="00D642A6"/>
    <w:rsid w:val="00D6484E"/>
    <w:rsid w:val="00D66043"/>
    <w:rsid w:val="00D660FB"/>
    <w:rsid w:val="00D67025"/>
    <w:rsid w:val="00D6716D"/>
    <w:rsid w:val="00D6757C"/>
    <w:rsid w:val="00D675C7"/>
    <w:rsid w:val="00D67859"/>
    <w:rsid w:val="00D67994"/>
    <w:rsid w:val="00D70096"/>
    <w:rsid w:val="00D700B9"/>
    <w:rsid w:val="00D702D7"/>
    <w:rsid w:val="00D707A7"/>
    <w:rsid w:val="00D70CD6"/>
    <w:rsid w:val="00D71AA2"/>
    <w:rsid w:val="00D72168"/>
    <w:rsid w:val="00D721A0"/>
    <w:rsid w:val="00D72705"/>
    <w:rsid w:val="00D72856"/>
    <w:rsid w:val="00D72A7A"/>
    <w:rsid w:val="00D72DE1"/>
    <w:rsid w:val="00D73464"/>
    <w:rsid w:val="00D7356F"/>
    <w:rsid w:val="00D73D48"/>
    <w:rsid w:val="00D73FD7"/>
    <w:rsid w:val="00D7640F"/>
    <w:rsid w:val="00D77AF2"/>
    <w:rsid w:val="00D806F8"/>
    <w:rsid w:val="00D8079E"/>
    <w:rsid w:val="00D808B4"/>
    <w:rsid w:val="00D810FE"/>
    <w:rsid w:val="00D8147A"/>
    <w:rsid w:val="00D82863"/>
    <w:rsid w:val="00D82B29"/>
    <w:rsid w:val="00D82D60"/>
    <w:rsid w:val="00D82F57"/>
    <w:rsid w:val="00D83353"/>
    <w:rsid w:val="00D83A52"/>
    <w:rsid w:val="00D84BF8"/>
    <w:rsid w:val="00D84EB7"/>
    <w:rsid w:val="00D8589F"/>
    <w:rsid w:val="00D85A40"/>
    <w:rsid w:val="00D85BC2"/>
    <w:rsid w:val="00D865A0"/>
    <w:rsid w:val="00D86673"/>
    <w:rsid w:val="00D86867"/>
    <w:rsid w:val="00D86FE6"/>
    <w:rsid w:val="00D87257"/>
    <w:rsid w:val="00D87B17"/>
    <w:rsid w:val="00D907CF"/>
    <w:rsid w:val="00D91785"/>
    <w:rsid w:val="00D91D91"/>
    <w:rsid w:val="00D925D4"/>
    <w:rsid w:val="00D93000"/>
    <w:rsid w:val="00D9323D"/>
    <w:rsid w:val="00D938E3"/>
    <w:rsid w:val="00D93FFA"/>
    <w:rsid w:val="00D94526"/>
    <w:rsid w:val="00D9480B"/>
    <w:rsid w:val="00D94BDA"/>
    <w:rsid w:val="00D9505A"/>
    <w:rsid w:val="00D96014"/>
    <w:rsid w:val="00D96848"/>
    <w:rsid w:val="00D97821"/>
    <w:rsid w:val="00D97CFE"/>
    <w:rsid w:val="00DA0DE1"/>
    <w:rsid w:val="00DA1610"/>
    <w:rsid w:val="00DA169B"/>
    <w:rsid w:val="00DA19FF"/>
    <w:rsid w:val="00DA259E"/>
    <w:rsid w:val="00DA271F"/>
    <w:rsid w:val="00DA3217"/>
    <w:rsid w:val="00DA3E07"/>
    <w:rsid w:val="00DA405E"/>
    <w:rsid w:val="00DA4991"/>
    <w:rsid w:val="00DA4C62"/>
    <w:rsid w:val="00DA4D57"/>
    <w:rsid w:val="00DA5330"/>
    <w:rsid w:val="00DA53C2"/>
    <w:rsid w:val="00DA602A"/>
    <w:rsid w:val="00DA697A"/>
    <w:rsid w:val="00DA6A43"/>
    <w:rsid w:val="00DA6CFD"/>
    <w:rsid w:val="00DA6DD7"/>
    <w:rsid w:val="00DA7986"/>
    <w:rsid w:val="00DA7ACD"/>
    <w:rsid w:val="00DA7CA4"/>
    <w:rsid w:val="00DA7D4F"/>
    <w:rsid w:val="00DA7EF9"/>
    <w:rsid w:val="00DB072B"/>
    <w:rsid w:val="00DB0980"/>
    <w:rsid w:val="00DB0F39"/>
    <w:rsid w:val="00DB16C3"/>
    <w:rsid w:val="00DB1871"/>
    <w:rsid w:val="00DB2698"/>
    <w:rsid w:val="00DB2B91"/>
    <w:rsid w:val="00DB375B"/>
    <w:rsid w:val="00DB428D"/>
    <w:rsid w:val="00DB43AE"/>
    <w:rsid w:val="00DB51CF"/>
    <w:rsid w:val="00DB621B"/>
    <w:rsid w:val="00DB63F8"/>
    <w:rsid w:val="00DB6736"/>
    <w:rsid w:val="00DB7DFC"/>
    <w:rsid w:val="00DB7F4E"/>
    <w:rsid w:val="00DC0A3B"/>
    <w:rsid w:val="00DC0B1E"/>
    <w:rsid w:val="00DC0DFA"/>
    <w:rsid w:val="00DC1028"/>
    <w:rsid w:val="00DC13D7"/>
    <w:rsid w:val="00DC14D6"/>
    <w:rsid w:val="00DC15B8"/>
    <w:rsid w:val="00DC1CF3"/>
    <w:rsid w:val="00DC1D0D"/>
    <w:rsid w:val="00DC1E3C"/>
    <w:rsid w:val="00DC3404"/>
    <w:rsid w:val="00DC3BEE"/>
    <w:rsid w:val="00DC3FB0"/>
    <w:rsid w:val="00DC405B"/>
    <w:rsid w:val="00DC552C"/>
    <w:rsid w:val="00DC5B80"/>
    <w:rsid w:val="00DC7679"/>
    <w:rsid w:val="00DC76F5"/>
    <w:rsid w:val="00DC78AA"/>
    <w:rsid w:val="00DD00A2"/>
    <w:rsid w:val="00DD0220"/>
    <w:rsid w:val="00DD0605"/>
    <w:rsid w:val="00DD06B8"/>
    <w:rsid w:val="00DD1613"/>
    <w:rsid w:val="00DD1B43"/>
    <w:rsid w:val="00DD1CB2"/>
    <w:rsid w:val="00DD1D6A"/>
    <w:rsid w:val="00DD1EAC"/>
    <w:rsid w:val="00DD1FDB"/>
    <w:rsid w:val="00DD242F"/>
    <w:rsid w:val="00DD272E"/>
    <w:rsid w:val="00DD338F"/>
    <w:rsid w:val="00DD3AF3"/>
    <w:rsid w:val="00DD4F46"/>
    <w:rsid w:val="00DD5109"/>
    <w:rsid w:val="00DD51D2"/>
    <w:rsid w:val="00DD5986"/>
    <w:rsid w:val="00DD5CAA"/>
    <w:rsid w:val="00DD6F9F"/>
    <w:rsid w:val="00DD7464"/>
    <w:rsid w:val="00DD7504"/>
    <w:rsid w:val="00DD77D5"/>
    <w:rsid w:val="00DD7FCC"/>
    <w:rsid w:val="00DE0337"/>
    <w:rsid w:val="00DE27CB"/>
    <w:rsid w:val="00DE5ACA"/>
    <w:rsid w:val="00DE65F2"/>
    <w:rsid w:val="00DE66EE"/>
    <w:rsid w:val="00DE71B3"/>
    <w:rsid w:val="00DE79A9"/>
    <w:rsid w:val="00DE7E5C"/>
    <w:rsid w:val="00DF0272"/>
    <w:rsid w:val="00DF178A"/>
    <w:rsid w:val="00DF184C"/>
    <w:rsid w:val="00DF185C"/>
    <w:rsid w:val="00DF1C74"/>
    <w:rsid w:val="00DF1D8B"/>
    <w:rsid w:val="00DF21ED"/>
    <w:rsid w:val="00DF2488"/>
    <w:rsid w:val="00DF2495"/>
    <w:rsid w:val="00DF2A81"/>
    <w:rsid w:val="00DF2CFE"/>
    <w:rsid w:val="00DF2DA9"/>
    <w:rsid w:val="00DF3148"/>
    <w:rsid w:val="00DF3206"/>
    <w:rsid w:val="00DF4B96"/>
    <w:rsid w:val="00DF4D2C"/>
    <w:rsid w:val="00DF5DD4"/>
    <w:rsid w:val="00DF5EF2"/>
    <w:rsid w:val="00DF5FC4"/>
    <w:rsid w:val="00DF615A"/>
    <w:rsid w:val="00DF699E"/>
    <w:rsid w:val="00DF6FEC"/>
    <w:rsid w:val="00DF7269"/>
    <w:rsid w:val="00DF7755"/>
    <w:rsid w:val="00E0025E"/>
    <w:rsid w:val="00E01280"/>
    <w:rsid w:val="00E0202E"/>
    <w:rsid w:val="00E025F6"/>
    <w:rsid w:val="00E02AA1"/>
    <w:rsid w:val="00E04182"/>
    <w:rsid w:val="00E04DD0"/>
    <w:rsid w:val="00E0588A"/>
    <w:rsid w:val="00E05946"/>
    <w:rsid w:val="00E068F2"/>
    <w:rsid w:val="00E06C61"/>
    <w:rsid w:val="00E06CC3"/>
    <w:rsid w:val="00E06FBD"/>
    <w:rsid w:val="00E0791A"/>
    <w:rsid w:val="00E10174"/>
    <w:rsid w:val="00E10618"/>
    <w:rsid w:val="00E106DD"/>
    <w:rsid w:val="00E10C5B"/>
    <w:rsid w:val="00E116E1"/>
    <w:rsid w:val="00E128F2"/>
    <w:rsid w:val="00E12E6E"/>
    <w:rsid w:val="00E13CE5"/>
    <w:rsid w:val="00E14BA0"/>
    <w:rsid w:val="00E15CB2"/>
    <w:rsid w:val="00E170ED"/>
    <w:rsid w:val="00E1782E"/>
    <w:rsid w:val="00E17BDB"/>
    <w:rsid w:val="00E20769"/>
    <w:rsid w:val="00E20902"/>
    <w:rsid w:val="00E221EE"/>
    <w:rsid w:val="00E22BA1"/>
    <w:rsid w:val="00E22BA2"/>
    <w:rsid w:val="00E22EE1"/>
    <w:rsid w:val="00E22FCF"/>
    <w:rsid w:val="00E23029"/>
    <w:rsid w:val="00E232BC"/>
    <w:rsid w:val="00E236A9"/>
    <w:rsid w:val="00E2377C"/>
    <w:rsid w:val="00E242DD"/>
    <w:rsid w:val="00E243F9"/>
    <w:rsid w:val="00E24DF3"/>
    <w:rsid w:val="00E25051"/>
    <w:rsid w:val="00E25FDE"/>
    <w:rsid w:val="00E26507"/>
    <w:rsid w:val="00E26522"/>
    <w:rsid w:val="00E26598"/>
    <w:rsid w:val="00E26967"/>
    <w:rsid w:val="00E273B9"/>
    <w:rsid w:val="00E27966"/>
    <w:rsid w:val="00E27CC1"/>
    <w:rsid w:val="00E27D94"/>
    <w:rsid w:val="00E27E98"/>
    <w:rsid w:val="00E30609"/>
    <w:rsid w:val="00E30DF4"/>
    <w:rsid w:val="00E3125C"/>
    <w:rsid w:val="00E319CD"/>
    <w:rsid w:val="00E31E28"/>
    <w:rsid w:val="00E31EA1"/>
    <w:rsid w:val="00E324DE"/>
    <w:rsid w:val="00E33281"/>
    <w:rsid w:val="00E333A0"/>
    <w:rsid w:val="00E338FC"/>
    <w:rsid w:val="00E33F29"/>
    <w:rsid w:val="00E3441A"/>
    <w:rsid w:val="00E3505F"/>
    <w:rsid w:val="00E35B24"/>
    <w:rsid w:val="00E36E6C"/>
    <w:rsid w:val="00E373E9"/>
    <w:rsid w:val="00E37784"/>
    <w:rsid w:val="00E377B9"/>
    <w:rsid w:val="00E379D3"/>
    <w:rsid w:val="00E37A21"/>
    <w:rsid w:val="00E37A3B"/>
    <w:rsid w:val="00E40332"/>
    <w:rsid w:val="00E40CD5"/>
    <w:rsid w:val="00E41AE2"/>
    <w:rsid w:val="00E41DD3"/>
    <w:rsid w:val="00E41E73"/>
    <w:rsid w:val="00E4284D"/>
    <w:rsid w:val="00E42C26"/>
    <w:rsid w:val="00E42D51"/>
    <w:rsid w:val="00E43075"/>
    <w:rsid w:val="00E4387D"/>
    <w:rsid w:val="00E43C11"/>
    <w:rsid w:val="00E44162"/>
    <w:rsid w:val="00E44365"/>
    <w:rsid w:val="00E44AA0"/>
    <w:rsid w:val="00E44AE9"/>
    <w:rsid w:val="00E44CC8"/>
    <w:rsid w:val="00E45A5C"/>
    <w:rsid w:val="00E45F1C"/>
    <w:rsid w:val="00E460D1"/>
    <w:rsid w:val="00E467BB"/>
    <w:rsid w:val="00E477B1"/>
    <w:rsid w:val="00E47A79"/>
    <w:rsid w:val="00E47DAB"/>
    <w:rsid w:val="00E5019D"/>
    <w:rsid w:val="00E505CD"/>
    <w:rsid w:val="00E50614"/>
    <w:rsid w:val="00E508DF"/>
    <w:rsid w:val="00E50A07"/>
    <w:rsid w:val="00E50B42"/>
    <w:rsid w:val="00E51286"/>
    <w:rsid w:val="00E51DD9"/>
    <w:rsid w:val="00E52B3C"/>
    <w:rsid w:val="00E53CD1"/>
    <w:rsid w:val="00E543A8"/>
    <w:rsid w:val="00E547EB"/>
    <w:rsid w:val="00E54997"/>
    <w:rsid w:val="00E54C9F"/>
    <w:rsid w:val="00E55C77"/>
    <w:rsid w:val="00E56ECA"/>
    <w:rsid w:val="00E57AAC"/>
    <w:rsid w:val="00E604FB"/>
    <w:rsid w:val="00E6101E"/>
    <w:rsid w:val="00E61F0F"/>
    <w:rsid w:val="00E61F9B"/>
    <w:rsid w:val="00E6262D"/>
    <w:rsid w:val="00E6402A"/>
    <w:rsid w:val="00E643B4"/>
    <w:rsid w:val="00E6506C"/>
    <w:rsid w:val="00E6534B"/>
    <w:rsid w:val="00E6570C"/>
    <w:rsid w:val="00E66105"/>
    <w:rsid w:val="00E661B8"/>
    <w:rsid w:val="00E66606"/>
    <w:rsid w:val="00E66C8C"/>
    <w:rsid w:val="00E66E6D"/>
    <w:rsid w:val="00E6708B"/>
    <w:rsid w:val="00E6726A"/>
    <w:rsid w:val="00E70879"/>
    <w:rsid w:val="00E70B9B"/>
    <w:rsid w:val="00E7129B"/>
    <w:rsid w:val="00E717A4"/>
    <w:rsid w:val="00E72283"/>
    <w:rsid w:val="00E72FD2"/>
    <w:rsid w:val="00E734BA"/>
    <w:rsid w:val="00E735A7"/>
    <w:rsid w:val="00E74530"/>
    <w:rsid w:val="00E75C9A"/>
    <w:rsid w:val="00E75EBD"/>
    <w:rsid w:val="00E77D86"/>
    <w:rsid w:val="00E77FEE"/>
    <w:rsid w:val="00E8406D"/>
    <w:rsid w:val="00E844AD"/>
    <w:rsid w:val="00E8466E"/>
    <w:rsid w:val="00E849E4"/>
    <w:rsid w:val="00E84C9B"/>
    <w:rsid w:val="00E86050"/>
    <w:rsid w:val="00E86F34"/>
    <w:rsid w:val="00E86F73"/>
    <w:rsid w:val="00E87C30"/>
    <w:rsid w:val="00E90AD6"/>
    <w:rsid w:val="00E914AD"/>
    <w:rsid w:val="00E91812"/>
    <w:rsid w:val="00E91832"/>
    <w:rsid w:val="00E91CE8"/>
    <w:rsid w:val="00E93209"/>
    <w:rsid w:val="00E95658"/>
    <w:rsid w:val="00EA0948"/>
    <w:rsid w:val="00EA0BD6"/>
    <w:rsid w:val="00EA1F2E"/>
    <w:rsid w:val="00EA22B8"/>
    <w:rsid w:val="00EA3316"/>
    <w:rsid w:val="00EA3775"/>
    <w:rsid w:val="00EA37FF"/>
    <w:rsid w:val="00EA4292"/>
    <w:rsid w:val="00EA4469"/>
    <w:rsid w:val="00EA4C88"/>
    <w:rsid w:val="00EA4F35"/>
    <w:rsid w:val="00EA5006"/>
    <w:rsid w:val="00EA5CB2"/>
    <w:rsid w:val="00EA6BEB"/>
    <w:rsid w:val="00EA75FB"/>
    <w:rsid w:val="00EA769D"/>
    <w:rsid w:val="00EB1461"/>
    <w:rsid w:val="00EB22F6"/>
    <w:rsid w:val="00EB29C8"/>
    <w:rsid w:val="00EB2B75"/>
    <w:rsid w:val="00EB3240"/>
    <w:rsid w:val="00EB382F"/>
    <w:rsid w:val="00EB418B"/>
    <w:rsid w:val="00EB491C"/>
    <w:rsid w:val="00EB4D78"/>
    <w:rsid w:val="00EB4E55"/>
    <w:rsid w:val="00EB5872"/>
    <w:rsid w:val="00EB5CE8"/>
    <w:rsid w:val="00EB63CF"/>
    <w:rsid w:val="00EB6404"/>
    <w:rsid w:val="00EB7945"/>
    <w:rsid w:val="00EC01EC"/>
    <w:rsid w:val="00EC02DC"/>
    <w:rsid w:val="00EC17A4"/>
    <w:rsid w:val="00EC1B08"/>
    <w:rsid w:val="00EC25D0"/>
    <w:rsid w:val="00EC2637"/>
    <w:rsid w:val="00EC286F"/>
    <w:rsid w:val="00EC2ECA"/>
    <w:rsid w:val="00EC2FAD"/>
    <w:rsid w:val="00EC38F7"/>
    <w:rsid w:val="00EC4030"/>
    <w:rsid w:val="00EC4757"/>
    <w:rsid w:val="00EC7366"/>
    <w:rsid w:val="00EC7550"/>
    <w:rsid w:val="00EC759E"/>
    <w:rsid w:val="00EC7800"/>
    <w:rsid w:val="00EC7CD9"/>
    <w:rsid w:val="00ED067F"/>
    <w:rsid w:val="00ED129A"/>
    <w:rsid w:val="00ED1836"/>
    <w:rsid w:val="00ED1ADA"/>
    <w:rsid w:val="00ED1E82"/>
    <w:rsid w:val="00ED1FB9"/>
    <w:rsid w:val="00ED25A2"/>
    <w:rsid w:val="00ED29E8"/>
    <w:rsid w:val="00ED3526"/>
    <w:rsid w:val="00ED38CB"/>
    <w:rsid w:val="00ED3E66"/>
    <w:rsid w:val="00ED49DC"/>
    <w:rsid w:val="00ED5334"/>
    <w:rsid w:val="00ED5690"/>
    <w:rsid w:val="00ED5A34"/>
    <w:rsid w:val="00ED6484"/>
    <w:rsid w:val="00ED6B35"/>
    <w:rsid w:val="00ED7965"/>
    <w:rsid w:val="00ED7BE5"/>
    <w:rsid w:val="00EE0643"/>
    <w:rsid w:val="00EE085C"/>
    <w:rsid w:val="00EE1879"/>
    <w:rsid w:val="00EE1A65"/>
    <w:rsid w:val="00EE1AA9"/>
    <w:rsid w:val="00EE1D8C"/>
    <w:rsid w:val="00EE23EE"/>
    <w:rsid w:val="00EE2AB5"/>
    <w:rsid w:val="00EE3215"/>
    <w:rsid w:val="00EE4397"/>
    <w:rsid w:val="00EE46C0"/>
    <w:rsid w:val="00EE4B69"/>
    <w:rsid w:val="00EE4C50"/>
    <w:rsid w:val="00EE4DEA"/>
    <w:rsid w:val="00EE62FC"/>
    <w:rsid w:val="00EE6B3D"/>
    <w:rsid w:val="00EE6E99"/>
    <w:rsid w:val="00EE734B"/>
    <w:rsid w:val="00EE7BD5"/>
    <w:rsid w:val="00EE7DD2"/>
    <w:rsid w:val="00EF0774"/>
    <w:rsid w:val="00EF0C50"/>
    <w:rsid w:val="00EF165F"/>
    <w:rsid w:val="00EF1B5E"/>
    <w:rsid w:val="00EF3144"/>
    <w:rsid w:val="00EF335E"/>
    <w:rsid w:val="00EF3B6A"/>
    <w:rsid w:val="00EF3E33"/>
    <w:rsid w:val="00EF4B54"/>
    <w:rsid w:val="00EF4C9E"/>
    <w:rsid w:val="00EF4EB5"/>
    <w:rsid w:val="00EF5F7A"/>
    <w:rsid w:val="00EF6248"/>
    <w:rsid w:val="00EF6564"/>
    <w:rsid w:val="00F0063D"/>
    <w:rsid w:val="00F00DC5"/>
    <w:rsid w:val="00F0149B"/>
    <w:rsid w:val="00F0180B"/>
    <w:rsid w:val="00F01996"/>
    <w:rsid w:val="00F01CF2"/>
    <w:rsid w:val="00F0228C"/>
    <w:rsid w:val="00F02292"/>
    <w:rsid w:val="00F02D7B"/>
    <w:rsid w:val="00F0345E"/>
    <w:rsid w:val="00F04163"/>
    <w:rsid w:val="00F0534C"/>
    <w:rsid w:val="00F05D9E"/>
    <w:rsid w:val="00F06346"/>
    <w:rsid w:val="00F0639D"/>
    <w:rsid w:val="00F065A6"/>
    <w:rsid w:val="00F06D3F"/>
    <w:rsid w:val="00F07537"/>
    <w:rsid w:val="00F07C23"/>
    <w:rsid w:val="00F07C3E"/>
    <w:rsid w:val="00F10A22"/>
    <w:rsid w:val="00F1117C"/>
    <w:rsid w:val="00F1174C"/>
    <w:rsid w:val="00F11AF1"/>
    <w:rsid w:val="00F11B8F"/>
    <w:rsid w:val="00F1204F"/>
    <w:rsid w:val="00F127BB"/>
    <w:rsid w:val="00F12B00"/>
    <w:rsid w:val="00F12D6A"/>
    <w:rsid w:val="00F12E5C"/>
    <w:rsid w:val="00F133E4"/>
    <w:rsid w:val="00F13D4A"/>
    <w:rsid w:val="00F13D65"/>
    <w:rsid w:val="00F13E2B"/>
    <w:rsid w:val="00F1454D"/>
    <w:rsid w:val="00F15164"/>
    <w:rsid w:val="00F15266"/>
    <w:rsid w:val="00F15339"/>
    <w:rsid w:val="00F1534B"/>
    <w:rsid w:val="00F159EE"/>
    <w:rsid w:val="00F15AB8"/>
    <w:rsid w:val="00F15FBD"/>
    <w:rsid w:val="00F166F1"/>
    <w:rsid w:val="00F16B51"/>
    <w:rsid w:val="00F16CB1"/>
    <w:rsid w:val="00F16F5B"/>
    <w:rsid w:val="00F176C6"/>
    <w:rsid w:val="00F17916"/>
    <w:rsid w:val="00F179F3"/>
    <w:rsid w:val="00F17A60"/>
    <w:rsid w:val="00F20177"/>
    <w:rsid w:val="00F20F74"/>
    <w:rsid w:val="00F21318"/>
    <w:rsid w:val="00F2211B"/>
    <w:rsid w:val="00F22933"/>
    <w:rsid w:val="00F22E64"/>
    <w:rsid w:val="00F23111"/>
    <w:rsid w:val="00F233BB"/>
    <w:rsid w:val="00F243B8"/>
    <w:rsid w:val="00F24652"/>
    <w:rsid w:val="00F2508B"/>
    <w:rsid w:val="00F25432"/>
    <w:rsid w:val="00F2576D"/>
    <w:rsid w:val="00F25AAA"/>
    <w:rsid w:val="00F26234"/>
    <w:rsid w:val="00F262C0"/>
    <w:rsid w:val="00F271F4"/>
    <w:rsid w:val="00F276BC"/>
    <w:rsid w:val="00F27CC6"/>
    <w:rsid w:val="00F304D7"/>
    <w:rsid w:val="00F31817"/>
    <w:rsid w:val="00F3215B"/>
    <w:rsid w:val="00F322FD"/>
    <w:rsid w:val="00F324DE"/>
    <w:rsid w:val="00F33385"/>
    <w:rsid w:val="00F34912"/>
    <w:rsid w:val="00F3492A"/>
    <w:rsid w:val="00F350C0"/>
    <w:rsid w:val="00F35F6B"/>
    <w:rsid w:val="00F36917"/>
    <w:rsid w:val="00F36F96"/>
    <w:rsid w:val="00F3736F"/>
    <w:rsid w:val="00F37D8F"/>
    <w:rsid w:val="00F401F5"/>
    <w:rsid w:val="00F4029B"/>
    <w:rsid w:val="00F405DE"/>
    <w:rsid w:val="00F40C48"/>
    <w:rsid w:val="00F40CC3"/>
    <w:rsid w:val="00F414BF"/>
    <w:rsid w:val="00F41614"/>
    <w:rsid w:val="00F4162B"/>
    <w:rsid w:val="00F416BA"/>
    <w:rsid w:val="00F426EB"/>
    <w:rsid w:val="00F42A9F"/>
    <w:rsid w:val="00F43A45"/>
    <w:rsid w:val="00F43AD3"/>
    <w:rsid w:val="00F43B90"/>
    <w:rsid w:val="00F44382"/>
    <w:rsid w:val="00F4477C"/>
    <w:rsid w:val="00F44AC8"/>
    <w:rsid w:val="00F44CCA"/>
    <w:rsid w:val="00F45371"/>
    <w:rsid w:val="00F453BB"/>
    <w:rsid w:val="00F45E15"/>
    <w:rsid w:val="00F46CE2"/>
    <w:rsid w:val="00F4722D"/>
    <w:rsid w:val="00F47856"/>
    <w:rsid w:val="00F47967"/>
    <w:rsid w:val="00F47D67"/>
    <w:rsid w:val="00F47D97"/>
    <w:rsid w:val="00F5019C"/>
    <w:rsid w:val="00F50FDE"/>
    <w:rsid w:val="00F51129"/>
    <w:rsid w:val="00F5205D"/>
    <w:rsid w:val="00F520E1"/>
    <w:rsid w:val="00F521C0"/>
    <w:rsid w:val="00F52747"/>
    <w:rsid w:val="00F52EAC"/>
    <w:rsid w:val="00F53189"/>
    <w:rsid w:val="00F53F8A"/>
    <w:rsid w:val="00F53FEB"/>
    <w:rsid w:val="00F54D1E"/>
    <w:rsid w:val="00F55052"/>
    <w:rsid w:val="00F5662A"/>
    <w:rsid w:val="00F56D1B"/>
    <w:rsid w:val="00F5736B"/>
    <w:rsid w:val="00F573AB"/>
    <w:rsid w:val="00F5748C"/>
    <w:rsid w:val="00F57743"/>
    <w:rsid w:val="00F579C9"/>
    <w:rsid w:val="00F57EDD"/>
    <w:rsid w:val="00F609C5"/>
    <w:rsid w:val="00F6188A"/>
    <w:rsid w:val="00F61E91"/>
    <w:rsid w:val="00F62840"/>
    <w:rsid w:val="00F6348D"/>
    <w:rsid w:val="00F637E4"/>
    <w:rsid w:val="00F63DF4"/>
    <w:rsid w:val="00F64D2B"/>
    <w:rsid w:val="00F65733"/>
    <w:rsid w:val="00F65BE1"/>
    <w:rsid w:val="00F66685"/>
    <w:rsid w:val="00F66C83"/>
    <w:rsid w:val="00F677BD"/>
    <w:rsid w:val="00F67D47"/>
    <w:rsid w:val="00F7019A"/>
    <w:rsid w:val="00F701B5"/>
    <w:rsid w:val="00F702E4"/>
    <w:rsid w:val="00F70328"/>
    <w:rsid w:val="00F70BC5"/>
    <w:rsid w:val="00F716D7"/>
    <w:rsid w:val="00F72D77"/>
    <w:rsid w:val="00F735ED"/>
    <w:rsid w:val="00F735F9"/>
    <w:rsid w:val="00F73C5E"/>
    <w:rsid w:val="00F73D00"/>
    <w:rsid w:val="00F7481F"/>
    <w:rsid w:val="00F748CA"/>
    <w:rsid w:val="00F7539A"/>
    <w:rsid w:val="00F758E9"/>
    <w:rsid w:val="00F75DEA"/>
    <w:rsid w:val="00F77479"/>
    <w:rsid w:val="00F7751B"/>
    <w:rsid w:val="00F77AB7"/>
    <w:rsid w:val="00F77E7F"/>
    <w:rsid w:val="00F8083B"/>
    <w:rsid w:val="00F8095C"/>
    <w:rsid w:val="00F80B81"/>
    <w:rsid w:val="00F810F3"/>
    <w:rsid w:val="00F81183"/>
    <w:rsid w:val="00F819AB"/>
    <w:rsid w:val="00F81B0B"/>
    <w:rsid w:val="00F81E20"/>
    <w:rsid w:val="00F82288"/>
    <w:rsid w:val="00F82A66"/>
    <w:rsid w:val="00F831AE"/>
    <w:rsid w:val="00F83797"/>
    <w:rsid w:val="00F8383F"/>
    <w:rsid w:val="00F83CDC"/>
    <w:rsid w:val="00F8451B"/>
    <w:rsid w:val="00F84524"/>
    <w:rsid w:val="00F84F20"/>
    <w:rsid w:val="00F84FB7"/>
    <w:rsid w:val="00F85B43"/>
    <w:rsid w:val="00F8664E"/>
    <w:rsid w:val="00F87440"/>
    <w:rsid w:val="00F87934"/>
    <w:rsid w:val="00F87C1B"/>
    <w:rsid w:val="00F87F53"/>
    <w:rsid w:val="00F92B47"/>
    <w:rsid w:val="00F92CE2"/>
    <w:rsid w:val="00F930B3"/>
    <w:rsid w:val="00F94C80"/>
    <w:rsid w:val="00F95067"/>
    <w:rsid w:val="00F950F8"/>
    <w:rsid w:val="00F952BF"/>
    <w:rsid w:val="00F96178"/>
    <w:rsid w:val="00F96A03"/>
    <w:rsid w:val="00FA0125"/>
    <w:rsid w:val="00FA1E32"/>
    <w:rsid w:val="00FA209E"/>
    <w:rsid w:val="00FA27DB"/>
    <w:rsid w:val="00FA336D"/>
    <w:rsid w:val="00FA3EB6"/>
    <w:rsid w:val="00FA4F94"/>
    <w:rsid w:val="00FA5201"/>
    <w:rsid w:val="00FA5601"/>
    <w:rsid w:val="00FA567E"/>
    <w:rsid w:val="00FA5903"/>
    <w:rsid w:val="00FA5A9E"/>
    <w:rsid w:val="00FA5F33"/>
    <w:rsid w:val="00FA60A4"/>
    <w:rsid w:val="00FA69F4"/>
    <w:rsid w:val="00FA74A4"/>
    <w:rsid w:val="00FA7A81"/>
    <w:rsid w:val="00FB042E"/>
    <w:rsid w:val="00FB0454"/>
    <w:rsid w:val="00FB2367"/>
    <w:rsid w:val="00FB2565"/>
    <w:rsid w:val="00FB2DA4"/>
    <w:rsid w:val="00FB34CD"/>
    <w:rsid w:val="00FB3664"/>
    <w:rsid w:val="00FB3729"/>
    <w:rsid w:val="00FB39D4"/>
    <w:rsid w:val="00FB3D62"/>
    <w:rsid w:val="00FB4177"/>
    <w:rsid w:val="00FB46D9"/>
    <w:rsid w:val="00FB4A1F"/>
    <w:rsid w:val="00FB4D5C"/>
    <w:rsid w:val="00FB59F1"/>
    <w:rsid w:val="00FB6845"/>
    <w:rsid w:val="00FB6943"/>
    <w:rsid w:val="00FB7EAA"/>
    <w:rsid w:val="00FC0122"/>
    <w:rsid w:val="00FC0317"/>
    <w:rsid w:val="00FC0AD9"/>
    <w:rsid w:val="00FC0E5B"/>
    <w:rsid w:val="00FC1CA4"/>
    <w:rsid w:val="00FC2DF7"/>
    <w:rsid w:val="00FC2F50"/>
    <w:rsid w:val="00FC3A85"/>
    <w:rsid w:val="00FC3BA2"/>
    <w:rsid w:val="00FC3CB9"/>
    <w:rsid w:val="00FC3DDD"/>
    <w:rsid w:val="00FC4166"/>
    <w:rsid w:val="00FC58D6"/>
    <w:rsid w:val="00FC5B8F"/>
    <w:rsid w:val="00FC5D72"/>
    <w:rsid w:val="00FC65B7"/>
    <w:rsid w:val="00FC698B"/>
    <w:rsid w:val="00FC6C53"/>
    <w:rsid w:val="00FC71B1"/>
    <w:rsid w:val="00FC7C33"/>
    <w:rsid w:val="00FD0726"/>
    <w:rsid w:val="00FD07C8"/>
    <w:rsid w:val="00FD09DB"/>
    <w:rsid w:val="00FD118B"/>
    <w:rsid w:val="00FD14ED"/>
    <w:rsid w:val="00FD25DB"/>
    <w:rsid w:val="00FD2876"/>
    <w:rsid w:val="00FD2C3A"/>
    <w:rsid w:val="00FD4930"/>
    <w:rsid w:val="00FD49D8"/>
    <w:rsid w:val="00FD5A0A"/>
    <w:rsid w:val="00FD6110"/>
    <w:rsid w:val="00FD639C"/>
    <w:rsid w:val="00FD6890"/>
    <w:rsid w:val="00FD769C"/>
    <w:rsid w:val="00FD7996"/>
    <w:rsid w:val="00FD79AE"/>
    <w:rsid w:val="00FD7A27"/>
    <w:rsid w:val="00FE0D14"/>
    <w:rsid w:val="00FE10FD"/>
    <w:rsid w:val="00FE1A7E"/>
    <w:rsid w:val="00FE2052"/>
    <w:rsid w:val="00FE26C3"/>
    <w:rsid w:val="00FE2759"/>
    <w:rsid w:val="00FE35A8"/>
    <w:rsid w:val="00FE419C"/>
    <w:rsid w:val="00FE56FA"/>
    <w:rsid w:val="00FE6920"/>
    <w:rsid w:val="00FE75F1"/>
    <w:rsid w:val="00FE768D"/>
    <w:rsid w:val="00FE76E6"/>
    <w:rsid w:val="00FE7C57"/>
    <w:rsid w:val="00FE7DD7"/>
    <w:rsid w:val="00FF0003"/>
    <w:rsid w:val="00FF0377"/>
    <w:rsid w:val="00FF047A"/>
    <w:rsid w:val="00FF13CB"/>
    <w:rsid w:val="00FF1D11"/>
    <w:rsid w:val="00FF27FD"/>
    <w:rsid w:val="00FF347B"/>
    <w:rsid w:val="00FF39EC"/>
    <w:rsid w:val="00FF4528"/>
    <w:rsid w:val="00FF5259"/>
    <w:rsid w:val="00FF55D0"/>
    <w:rsid w:val="00FF5C62"/>
    <w:rsid w:val="00FF5F3C"/>
    <w:rsid w:val="00FF649D"/>
    <w:rsid w:val="00FF6F55"/>
    <w:rsid w:val="00FF7681"/>
    <w:rsid w:val="00FF7782"/>
  </w:rsids>
  <m:mathPr>
    <m:mathFont m:val="Cambria Math"/>
    <m:brkBin m:val="before"/>
    <m:brkBinSub m:val="--"/>
    <m:smallFrac m:val="0"/>
    <m:dispDef/>
    <m:lMargin m:val="72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9025888-E000-4BE2-A25B-DD851C167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aramond" w:eastAsia="Times New Roman" w:hAnsi="Garamond" w:cs="Times New Roman"/>
        <w:sz w:val="24"/>
        <w:szCs w:val="24"/>
        <w:lang w:val="en-AU" w:eastAsia="zh-CN" w:bidi="ar-SA"/>
      </w:rPr>
    </w:rPrDefault>
    <w:pPrDefault>
      <w:pPr>
        <w:spacing w:before="180" w:line="300" w:lineRule="exac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11" w:unhideWhenUsed="1"/>
    <w:lsdException w:name="toc 5" w:semiHidden="1" w:uiPriority="39" w:unhideWhenUsed="1"/>
    <w:lsdException w:name="toc 6" w:semiHidden="1" w:uiPriority="39" w:unhideWhenUsed="1"/>
    <w:lsdException w:name="toc 7" w:semiHidden="1" w:uiPriority="39" w:unhideWhenUsed="1"/>
    <w:lsdException w:name="toc 8" w:semiHidden="1" w:uiPriority="11" w:unhideWhenUsed="1"/>
    <w:lsdException w:name="toc 9" w:semiHidden="1" w:uiPriority="39" w:unhideWhenUsed="1"/>
    <w:lsdException w:name="Normal Indent" w:semiHidden="1" w:unhideWhenUsed="1"/>
    <w:lsdException w:name="footnote text" w:semiHidden="1" w:uiPriority="8" w:unhideWhenUsed="1"/>
    <w:lsdException w:name="annotation text" w:semiHidden="1" w:uiPriority="99" w:unhideWhenUsed="1"/>
    <w:lsdException w:name="header" w:semiHidden="1" w:unhideWhenUsed="1"/>
    <w:lsdException w:name="footer" w:semiHidden="1" w:uiPriority="99" w:unhideWhenUsed="1"/>
    <w:lsdException w:name="index heading" w:semiHidden="1" w:uiPriority="99" w:unhideWhenUsed="1"/>
    <w:lsdException w:name="caption"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qFormat="1"/>
    <w:lsdException w:name="List Bullet 4" w:semiHidden="1" w:unhideWhenUsed="1"/>
    <w:lsdException w:name="List Bullet 5" w:semiHidden="1" w:unhideWhenUsed="1"/>
    <w:lsdException w:name="List Number 2" w:semiHidden="1" w:uiPriority="2" w:unhideWhenUsed="1"/>
    <w:lsdException w:name="List Number 3" w:semiHidden="1" w:uiPriority="2"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99"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4" w:qFormat="1"/>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99"/>
    <w:lsdException w:name="Subtle Reference" w:uiPriority="31"/>
    <w:lsdException w:name="Intense Reference" w:uiPriority="99"/>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E15"/>
    <w:pPr>
      <w:spacing w:before="0" w:after="160" w:line="259" w:lineRule="auto"/>
    </w:pPr>
    <w:rPr>
      <w:rFonts w:asciiTheme="minorHAnsi" w:eastAsiaTheme="minorHAnsi" w:hAnsiTheme="minorHAnsi" w:cstheme="minorBidi"/>
      <w:sz w:val="22"/>
      <w:szCs w:val="22"/>
      <w:lang w:eastAsia="en-US"/>
    </w:rPr>
  </w:style>
  <w:style w:type="paragraph" w:styleId="Heading1">
    <w:name w:val="heading 1"/>
    <w:next w:val="BodyText"/>
    <w:link w:val="Heading1Char"/>
    <w:qFormat/>
    <w:rsid w:val="0071248D"/>
    <w:pPr>
      <w:keepNext/>
      <w:pageBreakBefore/>
      <w:numPr>
        <w:numId w:val="29"/>
      </w:numPr>
      <w:pBdr>
        <w:top w:val="single" w:sz="48" w:space="30" w:color="9757A6"/>
        <w:left w:val="single" w:sz="48" w:space="4" w:color="9757A6"/>
        <w:bottom w:val="single" w:sz="48" w:space="5" w:color="9757A6"/>
        <w:right w:val="single" w:sz="48" w:space="4" w:color="9757A6"/>
      </w:pBdr>
      <w:shd w:val="clear" w:color="auto" w:fill="9757A6"/>
      <w:spacing w:before="300" w:after="60" w:line="420" w:lineRule="exact"/>
      <w:outlineLvl w:val="0"/>
    </w:pPr>
    <w:rPr>
      <w:rFonts w:asciiTheme="majorHAnsi" w:hAnsiTheme="majorHAnsi"/>
      <w:b/>
      <w:color w:val="FFFFFF" w:themeColor="background1"/>
      <w:kern w:val="28"/>
      <w:sz w:val="38"/>
      <w:szCs w:val="38"/>
      <w:lang w:eastAsia="en-AU"/>
    </w:rPr>
  </w:style>
  <w:style w:type="paragraph" w:styleId="Heading2">
    <w:name w:val="heading 2"/>
    <w:next w:val="BodyText"/>
    <w:link w:val="Heading2Char"/>
    <w:qFormat/>
    <w:rsid w:val="0071248D"/>
    <w:pPr>
      <w:keepNext/>
      <w:numPr>
        <w:ilvl w:val="1"/>
        <w:numId w:val="29"/>
      </w:numPr>
      <w:pBdr>
        <w:bottom w:val="single" w:sz="8" w:space="1" w:color="BFBFBF" w:themeColor="background1" w:themeShade="BF"/>
      </w:pBdr>
      <w:spacing w:before="300" w:after="60" w:line="340" w:lineRule="exact"/>
      <w:outlineLvl w:val="1"/>
    </w:pPr>
    <w:rPr>
      <w:rFonts w:asciiTheme="majorHAnsi" w:hAnsiTheme="majorHAnsi"/>
      <w:b/>
      <w:color w:val="9757A6" w:themeColor="text2"/>
      <w:kern w:val="36"/>
      <w:sz w:val="28"/>
      <w:lang w:eastAsia="en-AU"/>
    </w:rPr>
  </w:style>
  <w:style w:type="paragraph" w:styleId="Heading3">
    <w:name w:val="heading 3"/>
    <w:next w:val="BodyText"/>
    <w:qFormat/>
    <w:rsid w:val="0071248D"/>
    <w:pPr>
      <w:keepNext/>
      <w:numPr>
        <w:ilvl w:val="2"/>
        <w:numId w:val="29"/>
      </w:numPr>
      <w:spacing w:before="300" w:line="270" w:lineRule="exact"/>
      <w:outlineLvl w:val="2"/>
    </w:pPr>
    <w:rPr>
      <w:rFonts w:asciiTheme="majorHAnsi" w:hAnsiTheme="majorHAnsi"/>
      <w:b/>
      <w:color w:val="9757A6" w:themeColor="text2"/>
      <w:sz w:val="22"/>
      <w:lang w:eastAsia="en-AU"/>
    </w:rPr>
  </w:style>
  <w:style w:type="paragraph" w:styleId="Heading4">
    <w:name w:val="heading 4"/>
    <w:next w:val="BodyText"/>
    <w:qFormat/>
    <w:rsid w:val="0071248D"/>
    <w:pPr>
      <w:keepNext/>
      <w:numPr>
        <w:ilvl w:val="3"/>
        <w:numId w:val="29"/>
      </w:numPr>
      <w:spacing w:before="300" w:after="20" w:line="280" w:lineRule="exact"/>
      <w:outlineLvl w:val="3"/>
    </w:pPr>
    <w:rPr>
      <w:rFonts w:asciiTheme="majorHAnsi" w:hAnsiTheme="majorHAnsi"/>
      <w:b/>
      <w:color w:val="9757A6"/>
      <w:sz w:val="20"/>
      <w:lang w:eastAsia="en-AU"/>
    </w:rPr>
  </w:style>
  <w:style w:type="paragraph" w:styleId="Heading5">
    <w:name w:val="heading 5"/>
    <w:basedOn w:val="Heading4"/>
    <w:next w:val="BodyText"/>
    <w:qFormat/>
    <w:rsid w:val="00B4627C"/>
    <w:pPr>
      <w:numPr>
        <w:ilvl w:val="4"/>
      </w:numPr>
      <w:outlineLvl w:val="4"/>
    </w:pPr>
    <w:rPr>
      <w:i/>
      <w:szCs w:val="22"/>
    </w:rPr>
  </w:style>
  <w:style w:type="paragraph" w:styleId="Heading6">
    <w:name w:val="heading 6"/>
    <w:basedOn w:val="Normal"/>
    <w:next w:val="Normal"/>
    <w:semiHidden/>
    <w:rsid w:val="00C249C7"/>
    <w:pPr>
      <w:keepNext/>
      <w:spacing w:before="240" w:after="60"/>
      <w:outlineLvl w:val="5"/>
    </w:pPr>
    <w:rPr>
      <w:i/>
    </w:rPr>
  </w:style>
  <w:style w:type="paragraph" w:styleId="Heading7">
    <w:name w:val="heading 7"/>
    <w:next w:val="BodyText"/>
    <w:link w:val="Heading7Char"/>
    <w:qFormat/>
    <w:rsid w:val="0071248D"/>
    <w:pPr>
      <w:keepNext/>
      <w:numPr>
        <w:ilvl w:val="6"/>
        <w:numId w:val="29"/>
      </w:numPr>
      <w:spacing w:before="300" w:after="60" w:line="420" w:lineRule="exact"/>
      <w:outlineLvl w:val="6"/>
    </w:pPr>
    <w:rPr>
      <w:rFonts w:asciiTheme="majorHAnsi" w:hAnsiTheme="majorHAnsi"/>
      <w:b/>
      <w:color w:val="9757A6"/>
      <w:sz w:val="36"/>
      <w:szCs w:val="36"/>
      <w:lang w:eastAsia="en-AU"/>
    </w:rPr>
  </w:style>
  <w:style w:type="paragraph" w:styleId="Heading8">
    <w:name w:val="heading 8"/>
    <w:next w:val="BodyText"/>
    <w:qFormat/>
    <w:rsid w:val="0071248D"/>
    <w:pPr>
      <w:keepNext/>
      <w:numPr>
        <w:ilvl w:val="7"/>
        <w:numId w:val="29"/>
      </w:numPr>
      <w:pBdr>
        <w:bottom w:val="single" w:sz="8" w:space="1" w:color="BFBFBF" w:themeColor="background1" w:themeShade="BF"/>
      </w:pBdr>
      <w:spacing w:before="300" w:after="60" w:line="340" w:lineRule="exact"/>
      <w:outlineLvl w:val="7"/>
    </w:pPr>
    <w:rPr>
      <w:rFonts w:asciiTheme="majorHAnsi" w:hAnsiTheme="majorHAnsi"/>
      <w:b/>
      <w:color w:val="9757A6" w:themeColor="text2"/>
      <w:sz w:val="28"/>
      <w:szCs w:val="28"/>
      <w:lang w:eastAsia="en-AU"/>
    </w:rPr>
  </w:style>
  <w:style w:type="paragraph" w:styleId="Heading9">
    <w:name w:val="heading 9"/>
    <w:basedOn w:val="BodyText"/>
    <w:next w:val="BodyText"/>
    <w:qFormat/>
    <w:rsid w:val="0071248D"/>
    <w:pPr>
      <w:keepNext/>
      <w:numPr>
        <w:ilvl w:val="8"/>
        <w:numId w:val="29"/>
      </w:numPr>
      <w:spacing w:before="300" w:line="270" w:lineRule="exact"/>
      <w:outlineLvl w:val="8"/>
    </w:pPr>
    <w:rPr>
      <w:rFonts w:asciiTheme="majorHAnsi" w:hAnsiTheme="majorHAnsi"/>
      <w:b/>
      <w:color w:val="9757A6"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1,Body Text Char Char,Body Text Char2,Body Text Char2 Char Char1 Char,Body Text Char1 Char Char Char Char,Body Text Char2 Char Char1 Char Char Char Char Char,Body Text Char11 Char,Body Text Char Char1 Char"/>
    <w:link w:val="BodyTextChar"/>
    <w:qFormat/>
    <w:rsid w:val="00AD68FA"/>
    <w:pPr>
      <w:spacing w:before="120" w:after="120" w:line="280" w:lineRule="exact"/>
    </w:pPr>
    <w:rPr>
      <w:rFonts w:ascii="Times New Roman" w:hAnsi="Times New Roman"/>
      <w:sz w:val="22"/>
      <w:szCs w:val="22"/>
      <w:lang w:eastAsia="en-AU"/>
    </w:rPr>
  </w:style>
  <w:style w:type="paragraph" w:styleId="Header">
    <w:name w:val="header"/>
    <w:link w:val="HeaderChar"/>
    <w:rsid w:val="00C249C7"/>
    <w:pPr>
      <w:spacing w:before="0" w:line="240" w:lineRule="auto"/>
    </w:pPr>
    <w:rPr>
      <w:rFonts w:asciiTheme="minorHAnsi" w:hAnsiTheme="minorHAnsi"/>
      <w:noProof/>
      <w:sz w:val="16"/>
      <w:lang w:eastAsia="en-AU"/>
    </w:rPr>
  </w:style>
  <w:style w:type="paragraph" w:styleId="Footer">
    <w:name w:val="footer"/>
    <w:link w:val="FooterChar"/>
    <w:uiPriority w:val="99"/>
    <w:rsid w:val="00C249C7"/>
    <w:pPr>
      <w:spacing w:before="0" w:line="240" w:lineRule="auto"/>
      <w:ind w:right="851"/>
    </w:pPr>
    <w:rPr>
      <w:rFonts w:asciiTheme="minorHAnsi" w:hAnsiTheme="minorHAnsi"/>
      <w:sz w:val="14"/>
      <w:lang w:eastAsia="en-US"/>
    </w:rPr>
  </w:style>
  <w:style w:type="paragraph" w:styleId="Title">
    <w:name w:val="Title"/>
    <w:link w:val="TitleChar"/>
    <w:rsid w:val="00180AC7"/>
    <w:pPr>
      <w:spacing w:before="0" w:after="300" w:line="380" w:lineRule="exact"/>
    </w:pPr>
    <w:rPr>
      <w:rFonts w:asciiTheme="majorHAnsi" w:eastAsiaTheme="majorEastAsia" w:hAnsiTheme="majorHAnsi" w:cstheme="majorBidi"/>
      <w:caps/>
      <w:spacing w:val="5"/>
      <w:kern w:val="28"/>
      <w:sz w:val="41"/>
      <w:szCs w:val="52"/>
      <w:lang w:eastAsia="en-US"/>
    </w:rPr>
  </w:style>
  <w:style w:type="paragraph" w:customStyle="1" w:styleId="Preparedfor">
    <w:name w:val="Prepared for"/>
    <w:semiHidden/>
    <w:rsid w:val="00C249C7"/>
    <w:pPr>
      <w:ind w:left="1674"/>
      <w:jc w:val="right"/>
    </w:pPr>
    <w:rPr>
      <w:rFonts w:ascii="Century Gothic" w:hAnsi="Century Gothic"/>
      <w:sz w:val="18"/>
      <w:szCs w:val="20"/>
      <w:lang w:eastAsia="en-AU"/>
    </w:rPr>
  </w:style>
  <w:style w:type="paragraph" w:customStyle="1" w:styleId="CoverLogos">
    <w:name w:val="Cover Logos"/>
    <w:uiPriority w:val="99"/>
    <w:semiHidden/>
    <w:rsid w:val="00C249C7"/>
    <w:pPr>
      <w:framePr w:wrap="notBeside" w:vAnchor="text" w:hAnchor="text" w:y="1"/>
      <w:spacing w:before="60" w:line="240" w:lineRule="auto"/>
      <w:jc w:val="right"/>
    </w:pPr>
    <w:rPr>
      <w:noProof/>
      <w:szCs w:val="20"/>
      <w:lang w:eastAsia="en-AU"/>
    </w:rPr>
  </w:style>
  <w:style w:type="paragraph" w:customStyle="1" w:styleId="SaveDate">
    <w:name w:val="Save Date"/>
    <w:semiHidden/>
    <w:rsid w:val="00C249C7"/>
    <w:pPr>
      <w:ind w:left="2716"/>
      <w:jc w:val="right"/>
    </w:pPr>
    <w:rPr>
      <w:rFonts w:ascii="Century Gothic" w:hAnsi="Century Gothic"/>
      <w:b/>
      <w:lang w:eastAsia="en-US"/>
    </w:rPr>
  </w:style>
  <w:style w:type="paragraph" w:customStyle="1" w:styleId="CoverInfo">
    <w:name w:val="Cover Info"/>
    <w:uiPriority w:val="99"/>
    <w:rsid w:val="00C249C7"/>
    <w:pPr>
      <w:spacing w:before="20" w:after="20" w:line="240" w:lineRule="auto"/>
    </w:pPr>
    <w:rPr>
      <w:rFonts w:asciiTheme="minorHAnsi" w:hAnsiTheme="minorHAnsi"/>
      <w:color w:val="5F5F5F"/>
      <w:sz w:val="18"/>
      <w:szCs w:val="20"/>
      <w:lang w:val="fr-FR" w:eastAsia="en-AU"/>
    </w:rPr>
  </w:style>
  <w:style w:type="paragraph" w:customStyle="1" w:styleId="CoverLogo">
    <w:name w:val="CoverLogo"/>
    <w:uiPriority w:val="99"/>
    <w:semiHidden/>
    <w:rsid w:val="00C249C7"/>
    <w:pPr>
      <w:spacing w:before="120" w:line="240" w:lineRule="auto"/>
    </w:pPr>
    <w:rPr>
      <w:szCs w:val="20"/>
      <w:lang w:eastAsia="en-AU"/>
    </w:rPr>
  </w:style>
  <w:style w:type="paragraph" w:customStyle="1" w:styleId="SubTitle">
    <w:name w:val="Sub Title"/>
    <w:uiPriority w:val="99"/>
    <w:semiHidden/>
    <w:rsid w:val="00C249C7"/>
    <w:pPr>
      <w:spacing w:before="40" w:line="360" w:lineRule="exact"/>
      <w:ind w:left="2778"/>
      <w:jc w:val="right"/>
    </w:pPr>
    <w:rPr>
      <w:rFonts w:ascii="Century Gothic" w:hAnsi="Century Gothic"/>
      <w:szCs w:val="20"/>
      <w:lang w:eastAsia="en-AU"/>
    </w:rPr>
  </w:style>
  <w:style w:type="paragraph" w:customStyle="1" w:styleId="Copyright">
    <w:name w:val="Copyright"/>
    <w:uiPriority w:val="99"/>
    <w:semiHidden/>
    <w:rsid w:val="00C249C7"/>
    <w:pPr>
      <w:spacing w:before="80" w:line="250" w:lineRule="exact"/>
    </w:pPr>
    <w:rPr>
      <w:color w:val="000000"/>
      <w:sz w:val="20"/>
      <w:szCs w:val="20"/>
      <w:lang w:eastAsia="en-AU"/>
    </w:rPr>
  </w:style>
  <w:style w:type="paragraph" w:styleId="BodyText2">
    <w:name w:val="Body Text 2"/>
    <w:basedOn w:val="Normal"/>
    <w:semiHidden/>
    <w:rsid w:val="00C249C7"/>
    <w:rPr>
      <w:color w:val="FF0000"/>
    </w:rPr>
  </w:style>
  <w:style w:type="paragraph" w:customStyle="1" w:styleId="CoverHeadings">
    <w:name w:val="Cover Headings"/>
    <w:uiPriority w:val="99"/>
    <w:semiHidden/>
    <w:rsid w:val="00C249C7"/>
    <w:pPr>
      <w:spacing w:before="240" w:line="270" w:lineRule="exact"/>
    </w:pPr>
    <w:rPr>
      <w:rFonts w:ascii="Century Gothic" w:hAnsi="Century Gothic"/>
      <w:b/>
      <w:color w:val="000080"/>
      <w:sz w:val="22"/>
      <w:lang w:eastAsia="en-US"/>
    </w:rPr>
  </w:style>
  <w:style w:type="paragraph" w:customStyle="1" w:styleId="Office">
    <w:name w:val="Office"/>
    <w:semiHidden/>
    <w:rsid w:val="00C249C7"/>
    <w:pPr>
      <w:spacing w:before="300" w:line="240" w:lineRule="auto"/>
      <w:ind w:right="-291"/>
    </w:pPr>
    <w:rPr>
      <w:rFonts w:ascii="Century Gothic" w:hAnsi="Century Gothic"/>
      <w:b/>
      <w:color w:val="808080"/>
      <w:sz w:val="20"/>
      <w:szCs w:val="20"/>
      <w:lang w:eastAsia="en-AU"/>
    </w:rPr>
  </w:style>
  <w:style w:type="character" w:styleId="Hyperlink">
    <w:name w:val="Hyperlink"/>
    <w:basedOn w:val="DefaultParagraphFont"/>
    <w:uiPriority w:val="99"/>
    <w:rsid w:val="00C249C7"/>
    <w:rPr>
      <w:color w:val="0000FF"/>
      <w:u w:val="single"/>
    </w:rPr>
  </w:style>
  <w:style w:type="character" w:customStyle="1" w:styleId="TitleChar">
    <w:name w:val="Title Char"/>
    <w:basedOn w:val="DefaultParagraphFont"/>
    <w:link w:val="Title"/>
    <w:rsid w:val="00180AC7"/>
    <w:rPr>
      <w:rFonts w:asciiTheme="majorHAnsi" w:eastAsiaTheme="majorEastAsia" w:hAnsiTheme="majorHAnsi" w:cstheme="majorBidi"/>
      <w:caps/>
      <w:spacing w:val="5"/>
      <w:kern w:val="28"/>
      <w:sz w:val="41"/>
      <w:szCs w:val="52"/>
      <w:lang w:eastAsia="en-US"/>
    </w:rPr>
  </w:style>
  <w:style w:type="paragraph" w:customStyle="1" w:styleId="Heading10">
    <w:name w:val="Heading 10"/>
    <w:basedOn w:val="Heading4"/>
    <w:next w:val="BodyText"/>
    <w:qFormat/>
    <w:rsid w:val="00C249C7"/>
    <w:pPr>
      <w:numPr>
        <w:ilvl w:val="0"/>
        <w:numId w:val="0"/>
      </w:numPr>
    </w:pPr>
    <w:rPr>
      <w:szCs w:val="22"/>
    </w:rPr>
  </w:style>
  <w:style w:type="paragraph" w:customStyle="1" w:styleId="Heading11">
    <w:name w:val="Heading 11"/>
    <w:basedOn w:val="Heading5"/>
    <w:next w:val="BodyText"/>
    <w:qFormat/>
    <w:rsid w:val="00C249C7"/>
    <w:pPr>
      <w:numPr>
        <w:ilvl w:val="0"/>
        <w:numId w:val="0"/>
      </w:numPr>
    </w:pPr>
  </w:style>
  <w:style w:type="paragraph" w:customStyle="1" w:styleId="BoxText">
    <w:name w:val="Box Text"/>
    <w:basedOn w:val="BodyText"/>
    <w:qFormat/>
    <w:rsid w:val="00556389"/>
    <w:pPr>
      <w:keepNext/>
      <w:keepLines/>
      <w:spacing w:before="80" w:after="40" w:line="220" w:lineRule="exact"/>
    </w:pPr>
    <w:rPr>
      <w:sz w:val="20"/>
    </w:rPr>
  </w:style>
  <w:style w:type="paragraph" w:customStyle="1" w:styleId="BoxContinued">
    <w:name w:val="Box Continued"/>
    <w:basedOn w:val="Normal"/>
    <w:next w:val="BodyText"/>
    <w:uiPriority w:val="99"/>
    <w:semiHidden/>
    <w:rsid w:val="00C249C7"/>
    <w:pPr>
      <w:spacing w:after="40" w:line="240" w:lineRule="auto"/>
      <w:jc w:val="right"/>
    </w:pPr>
    <w:rPr>
      <w:sz w:val="14"/>
      <w:lang w:eastAsia="en-AU"/>
    </w:rPr>
  </w:style>
  <w:style w:type="paragraph" w:customStyle="1" w:styleId="BoxSideHeading1">
    <w:name w:val="Box Side Heading 1"/>
    <w:basedOn w:val="BoxText"/>
    <w:next w:val="BoxText"/>
    <w:uiPriority w:val="4"/>
    <w:rsid w:val="00C249C7"/>
    <w:pPr>
      <w:spacing w:before="240"/>
    </w:pPr>
    <w:rPr>
      <w:b/>
    </w:rPr>
  </w:style>
  <w:style w:type="paragraph" w:customStyle="1" w:styleId="BoxSideHeading2">
    <w:name w:val="Box Side Heading 2"/>
    <w:basedOn w:val="BoxText"/>
    <w:next w:val="BoxText"/>
    <w:uiPriority w:val="4"/>
    <w:rsid w:val="00C249C7"/>
    <w:pPr>
      <w:spacing w:before="200"/>
    </w:pPr>
    <w:rPr>
      <w:i/>
    </w:rPr>
  </w:style>
  <w:style w:type="paragraph" w:customStyle="1" w:styleId="BoxListBullet">
    <w:name w:val="Box List Bullet"/>
    <w:uiPriority w:val="4"/>
    <w:rsid w:val="009A67B0"/>
    <w:pPr>
      <w:numPr>
        <w:numId w:val="27"/>
      </w:numPr>
      <w:spacing w:before="40" w:after="40" w:line="220" w:lineRule="exact"/>
    </w:pPr>
    <w:rPr>
      <w:rFonts w:asciiTheme="minorHAnsi" w:hAnsiTheme="minorHAnsi"/>
      <w:sz w:val="20"/>
      <w:lang w:eastAsia="en-AU"/>
    </w:rPr>
  </w:style>
  <w:style w:type="paragraph" w:customStyle="1" w:styleId="BoxListBullet2">
    <w:name w:val="Box List Bullet 2"/>
    <w:basedOn w:val="BoxListBullet"/>
    <w:rsid w:val="00C249C7"/>
    <w:pPr>
      <w:numPr>
        <w:ilvl w:val="1"/>
      </w:numPr>
    </w:pPr>
  </w:style>
  <w:style w:type="paragraph" w:customStyle="1" w:styleId="BoxListNumber">
    <w:name w:val="Box List Number"/>
    <w:uiPriority w:val="4"/>
    <w:rsid w:val="00826BEB"/>
    <w:pPr>
      <w:spacing w:before="40" w:after="40" w:line="220" w:lineRule="exact"/>
    </w:pPr>
    <w:rPr>
      <w:rFonts w:asciiTheme="minorHAnsi" w:hAnsiTheme="minorHAnsi"/>
      <w:color w:val="000000"/>
      <w:sz w:val="20"/>
      <w:lang w:eastAsia="en-US"/>
    </w:rPr>
  </w:style>
  <w:style w:type="paragraph" w:customStyle="1" w:styleId="BoxQuote">
    <w:name w:val="Box Quote"/>
    <w:basedOn w:val="BoxText"/>
    <w:next w:val="BoxText"/>
    <w:uiPriority w:val="4"/>
    <w:rsid w:val="00826BEB"/>
    <w:pPr>
      <w:spacing w:line="240" w:lineRule="auto"/>
      <w:ind w:left="227"/>
    </w:pPr>
    <w:rPr>
      <w:sz w:val="18"/>
      <w:szCs w:val="14"/>
    </w:rPr>
  </w:style>
  <w:style w:type="paragraph" w:styleId="Caption">
    <w:name w:val="caption"/>
    <w:next w:val="BodyText"/>
    <w:qFormat/>
    <w:rsid w:val="009949E9"/>
    <w:pPr>
      <w:keepNext/>
      <w:spacing w:before="360" w:after="40" w:line="240" w:lineRule="exact"/>
      <w:ind w:left="993" w:hanging="993"/>
      <w:outlineLvl w:val="8"/>
    </w:pPr>
    <w:rPr>
      <w:rFonts w:asciiTheme="majorHAnsi" w:hAnsiTheme="majorHAnsi" w:cs="Arial"/>
      <w:sz w:val="20"/>
      <w:lang w:eastAsia="en-US"/>
    </w:rPr>
  </w:style>
  <w:style w:type="paragraph" w:customStyle="1" w:styleId="ChapterSummary">
    <w:name w:val="Chapter Summary"/>
    <w:basedOn w:val="BodyText"/>
    <w:next w:val="BodyText"/>
    <w:rsid w:val="00C249C7"/>
    <w:pPr>
      <w:spacing w:before="200" w:after="60" w:line="300" w:lineRule="exact"/>
      <w:ind w:left="-2552"/>
    </w:pPr>
    <w:rPr>
      <w:b/>
      <w:i/>
      <w:color w:val="808080" w:themeColor="background1" w:themeShade="80"/>
    </w:rPr>
  </w:style>
  <w:style w:type="paragraph" w:styleId="ListBullet">
    <w:name w:val="List Bullet"/>
    <w:basedOn w:val="BodyText"/>
    <w:uiPriority w:val="99"/>
    <w:qFormat/>
    <w:rsid w:val="00CE3F7C"/>
    <w:pPr>
      <w:numPr>
        <w:numId w:val="26"/>
      </w:numPr>
      <w:spacing w:before="60" w:after="60"/>
    </w:pPr>
  </w:style>
  <w:style w:type="paragraph" w:styleId="ListBullet2">
    <w:name w:val="List Bullet 2"/>
    <w:basedOn w:val="ListBullet"/>
    <w:uiPriority w:val="2"/>
    <w:qFormat/>
    <w:rsid w:val="00C249C7"/>
    <w:pPr>
      <w:numPr>
        <w:ilvl w:val="1"/>
      </w:numPr>
    </w:pPr>
  </w:style>
  <w:style w:type="character" w:styleId="CommentReference">
    <w:name w:val="annotation reference"/>
    <w:basedOn w:val="DefaultParagraphFont"/>
    <w:semiHidden/>
    <w:rsid w:val="00C249C7"/>
    <w:rPr>
      <w:rFonts w:ascii="Garamond" w:hAnsi="Garamond"/>
      <w:b/>
      <w:vanish/>
      <w:color w:val="FF00FF"/>
      <w:sz w:val="20"/>
    </w:rPr>
  </w:style>
  <w:style w:type="paragraph" w:styleId="CommentText">
    <w:name w:val="annotation text"/>
    <w:basedOn w:val="BodyText"/>
    <w:link w:val="CommentTextChar"/>
    <w:uiPriority w:val="99"/>
    <w:semiHidden/>
    <w:rsid w:val="00C249C7"/>
    <w:pPr>
      <w:ind w:left="567" w:hanging="567"/>
    </w:pPr>
    <w:rPr>
      <w:rFonts w:ascii="Century Gothic" w:hAnsi="Century Gothic"/>
      <w:sz w:val="21"/>
    </w:rPr>
  </w:style>
  <w:style w:type="paragraph" w:customStyle="1" w:styleId="Confidential">
    <w:name w:val="Confidential"/>
    <w:next w:val="BodyText"/>
    <w:uiPriority w:val="99"/>
    <w:semiHidden/>
    <w:rsid w:val="00C249C7"/>
    <w:pPr>
      <w:spacing w:before="120" w:line="520" w:lineRule="exact"/>
      <w:ind w:left="2268"/>
      <w:jc w:val="right"/>
    </w:pPr>
    <w:rPr>
      <w:rFonts w:ascii="Century Gothic" w:hAnsi="Century Gothic"/>
      <w:b/>
      <w:color w:val="808080" w:themeColor="background1" w:themeShade="80"/>
      <w:sz w:val="52"/>
      <w:lang w:eastAsia="en-US"/>
    </w:rPr>
  </w:style>
  <w:style w:type="paragraph" w:customStyle="1" w:styleId="Contents">
    <w:name w:val="Contents"/>
    <w:basedOn w:val="BodyText"/>
    <w:next w:val="BodyText"/>
    <w:rsid w:val="00C249C7"/>
    <w:pPr>
      <w:pBdr>
        <w:bottom w:val="single" w:sz="4" w:space="1" w:color="A6A6A6" w:themeColor="background1" w:themeShade="A6"/>
      </w:pBdr>
      <w:tabs>
        <w:tab w:val="left" w:pos="0"/>
      </w:tabs>
      <w:spacing w:before="200" w:after="200" w:line="240" w:lineRule="auto"/>
      <w:jc w:val="center"/>
      <w:outlineLvl w:val="3"/>
    </w:pPr>
    <w:rPr>
      <w:rFonts w:ascii="Novecento UltraLight" w:hAnsi="Novecento UltraLight"/>
      <w:spacing w:val="460"/>
      <w:sz w:val="66"/>
      <w:szCs w:val="52"/>
    </w:rPr>
  </w:style>
  <w:style w:type="paragraph" w:styleId="TOC1">
    <w:name w:val="toc 1"/>
    <w:basedOn w:val="BodyText"/>
    <w:next w:val="TOC2"/>
    <w:autoRedefine/>
    <w:uiPriority w:val="39"/>
    <w:rsid w:val="009949E9"/>
    <w:pPr>
      <w:pBdr>
        <w:top w:val="single" w:sz="6" w:space="1" w:color="BFBFBF" w:themeColor="background1" w:themeShade="BF"/>
      </w:pBdr>
      <w:tabs>
        <w:tab w:val="left" w:pos="340"/>
        <w:tab w:val="right" w:pos="7371"/>
      </w:tabs>
      <w:spacing w:before="300"/>
      <w:ind w:left="340" w:right="568" w:hanging="340"/>
    </w:pPr>
    <w:rPr>
      <w:rFonts w:asciiTheme="majorHAnsi" w:hAnsiTheme="majorHAnsi"/>
      <w:b/>
      <w:noProof/>
      <w:color w:val="9757A6"/>
    </w:rPr>
  </w:style>
  <w:style w:type="paragraph" w:styleId="TOC2">
    <w:name w:val="toc 2"/>
    <w:autoRedefine/>
    <w:uiPriority w:val="39"/>
    <w:rsid w:val="009949E9"/>
    <w:pPr>
      <w:tabs>
        <w:tab w:val="left" w:pos="794"/>
        <w:tab w:val="right" w:pos="7371"/>
      </w:tabs>
      <w:spacing w:before="60"/>
      <w:ind w:left="794" w:right="568" w:hanging="454"/>
    </w:pPr>
    <w:rPr>
      <w:rFonts w:asciiTheme="majorHAnsi" w:hAnsiTheme="majorHAnsi"/>
      <w:noProof/>
      <w:sz w:val="22"/>
      <w:lang w:eastAsia="en-AU"/>
    </w:rPr>
  </w:style>
  <w:style w:type="paragraph" w:customStyle="1" w:styleId="Continued">
    <w:name w:val="Continued"/>
    <w:basedOn w:val="BoxContinued"/>
    <w:next w:val="BodyText"/>
    <w:uiPriority w:val="5"/>
    <w:semiHidden/>
    <w:rsid w:val="00C249C7"/>
    <w:pPr>
      <w:spacing w:before="40"/>
      <w:jc w:val="left"/>
    </w:pPr>
    <w:rPr>
      <w:color w:val="000080"/>
      <w:sz w:val="18"/>
    </w:rPr>
  </w:style>
  <w:style w:type="character" w:customStyle="1" w:styleId="DraftingNote">
    <w:name w:val="Drafting Note"/>
    <w:basedOn w:val="DefaultParagraphFont"/>
    <w:uiPriority w:val="5"/>
    <w:rsid w:val="00C249C7"/>
    <w:rPr>
      <w:rFonts w:asciiTheme="minorHAnsi" w:hAnsiTheme="minorHAnsi"/>
      <w:b/>
      <w:color w:val="FF0000"/>
      <w:szCs w:val="20"/>
      <w:u w:val="dotted"/>
    </w:rPr>
  </w:style>
  <w:style w:type="paragraph" w:customStyle="1" w:styleId="Figure">
    <w:name w:val="Figure"/>
    <w:basedOn w:val="BodyText"/>
    <w:rsid w:val="00C249C7"/>
    <w:pPr>
      <w:keepNext/>
      <w:spacing w:before="60" w:line="240" w:lineRule="auto"/>
      <w:jc w:val="center"/>
    </w:pPr>
    <w:rPr>
      <w:sz w:val="18"/>
      <w:szCs w:val="20"/>
      <w:lang w:eastAsia="en-US"/>
    </w:rPr>
  </w:style>
  <w:style w:type="character" w:styleId="FootnoteReference">
    <w:name w:val="footnote reference"/>
    <w:basedOn w:val="DefaultParagraphFont"/>
    <w:uiPriority w:val="8"/>
    <w:rsid w:val="00C249C7"/>
    <w:rPr>
      <w:rFonts w:asciiTheme="minorHAnsi" w:hAnsiTheme="minorHAnsi"/>
      <w:position w:val="0"/>
      <w:vertAlign w:val="superscript"/>
    </w:rPr>
  </w:style>
  <w:style w:type="paragraph" w:styleId="FootnoteText">
    <w:name w:val="footnote text"/>
    <w:basedOn w:val="BodyText"/>
    <w:link w:val="FootnoteTextChar"/>
    <w:uiPriority w:val="8"/>
    <w:rsid w:val="00C249C7"/>
    <w:pPr>
      <w:spacing w:before="80" w:line="240" w:lineRule="auto"/>
      <w:ind w:left="227" w:hanging="227"/>
    </w:pPr>
    <w:rPr>
      <w:sz w:val="16"/>
    </w:rPr>
  </w:style>
  <w:style w:type="paragraph" w:customStyle="1" w:styleId="Heading1nonumber">
    <w:name w:val="Heading 1 (no number)"/>
    <w:basedOn w:val="BodyText"/>
    <w:next w:val="BodyText"/>
    <w:qFormat/>
    <w:rsid w:val="00A0209B"/>
    <w:pPr>
      <w:keepNext/>
      <w:spacing w:before="200" w:after="60" w:line="420" w:lineRule="exact"/>
      <w:outlineLvl w:val="0"/>
    </w:pPr>
    <w:rPr>
      <w:rFonts w:asciiTheme="majorHAnsi" w:hAnsiTheme="majorHAnsi"/>
      <w:b/>
      <w:color w:val="9757A6" w:themeColor="text2"/>
      <w:kern w:val="28"/>
      <w:sz w:val="36"/>
    </w:rPr>
  </w:style>
  <w:style w:type="paragraph" w:customStyle="1" w:styleId="Heading2nonumber">
    <w:name w:val="Heading 2 (no number)"/>
    <w:basedOn w:val="Heading2"/>
    <w:next w:val="BodyText"/>
    <w:qFormat/>
    <w:rsid w:val="00C249C7"/>
    <w:pPr>
      <w:numPr>
        <w:ilvl w:val="0"/>
        <w:numId w:val="0"/>
      </w:numPr>
    </w:pPr>
  </w:style>
  <w:style w:type="paragraph" w:customStyle="1" w:styleId="Heading3nonumber">
    <w:name w:val="Heading 3 (no number)"/>
    <w:basedOn w:val="Heading3"/>
    <w:next w:val="BodyText"/>
    <w:qFormat/>
    <w:rsid w:val="00C249C7"/>
    <w:pPr>
      <w:numPr>
        <w:ilvl w:val="0"/>
        <w:numId w:val="0"/>
      </w:numPr>
    </w:pPr>
  </w:style>
  <w:style w:type="paragraph" w:customStyle="1" w:styleId="Heading8nonumber">
    <w:name w:val="Heading 8 (no number)"/>
    <w:basedOn w:val="Heading8"/>
    <w:next w:val="BodyText"/>
    <w:qFormat/>
    <w:rsid w:val="00C249C7"/>
    <w:pPr>
      <w:numPr>
        <w:ilvl w:val="0"/>
        <w:numId w:val="0"/>
      </w:numPr>
      <w:outlineLvl w:val="1"/>
    </w:pPr>
  </w:style>
  <w:style w:type="paragraph" w:customStyle="1" w:styleId="Heading9nonumber">
    <w:name w:val="Heading 9 (no number)"/>
    <w:basedOn w:val="Heading9"/>
    <w:next w:val="BodyText"/>
    <w:qFormat/>
    <w:rsid w:val="00C249C7"/>
    <w:pPr>
      <w:numPr>
        <w:ilvl w:val="0"/>
        <w:numId w:val="0"/>
      </w:numPr>
      <w:outlineLvl w:val="2"/>
    </w:pPr>
  </w:style>
  <w:style w:type="paragraph" w:customStyle="1" w:styleId="Invisiblepara">
    <w:name w:val="Invisible para"/>
    <w:basedOn w:val="Normal"/>
    <w:semiHidden/>
    <w:rsid w:val="00C249C7"/>
    <w:pPr>
      <w:keepNext/>
      <w:spacing w:line="240" w:lineRule="auto"/>
    </w:pPr>
    <w:rPr>
      <w:sz w:val="16"/>
    </w:rPr>
  </w:style>
  <w:style w:type="paragraph" w:styleId="ListBullet3">
    <w:name w:val="List Bullet 3"/>
    <w:basedOn w:val="ListBullet2"/>
    <w:uiPriority w:val="2"/>
    <w:qFormat/>
    <w:rsid w:val="00C249C7"/>
    <w:pPr>
      <w:numPr>
        <w:ilvl w:val="2"/>
      </w:numPr>
    </w:pPr>
  </w:style>
  <w:style w:type="paragraph" w:styleId="ListNumber">
    <w:name w:val="List Number"/>
    <w:basedOn w:val="ListBullet"/>
    <w:uiPriority w:val="2"/>
    <w:qFormat/>
    <w:rsid w:val="00013650"/>
    <w:pPr>
      <w:numPr>
        <w:numId w:val="25"/>
      </w:numPr>
    </w:pPr>
  </w:style>
  <w:style w:type="paragraph" w:customStyle="1" w:styleId="Note">
    <w:name w:val="Note"/>
    <w:next w:val="BodyText"/>
    <w:rsid w:val="009949E9"/>
    <w:pPr>
      <w:keepNext/>
      <w:keepLines/>
      <w:spacing w:before="40" w:line="180" w:lineRule="exact"/>
    </w:pPr>
    <w:rPr>
      <w:rFonts w:ascii="Arial" w:hAnsi="Arial"/>
      <w:sz w:val="16"/>
      <w:lang w:eastAsia="en-US"/>
    </w:rPr>
  </w:style>
  <w:style w:type="character" w:customStyle="1" w:styleId="Notelabel">
    <w:name w:val="Note label"/>
    <w:basedOn w:val="DefaultParagraphFont"/>
    <w:rsid w:val="009949E9"/>
    <w:rPr>
      <w:rFonts w:ascii="Arial" w:hAnsi="Arial"/>
      <w:b/>
      <w:color w:val="auto"/>
      <w:vertAlign w:val="superscript"/>
    </w:rPr>
  </w:style>
  <w:style w:type="character" w:customStyle="1" w:styleId="NoteLabelTable">
    <w:name w:val="Note Label Table"/>
    <w:basedOn w:val="DefaultParagraphFont"/>
    <w:uiPriority w:val="5"/>
    <w:rsid w:val="00C249C7"/>
    <w:rPr>
      <w:rFonts w:asciiTheme="minorHAnsi" w:hAnsiTheme="minorHAnsi"/>
      <w:b/>
      <w:color w:val="auto"/>
      <w:position w:val="6"/>
      <w:sz w:val="14"/>
    </w:rPr>
  </w:style>
  <w:style w:type="character" w:styleId="PageNumber">
    <w:name w:val="page number"/>
    <w:rsid w:val="00C249C7"/>
    <w:rPr>
      <w:rFonts w:ascii="Arial Narrow" w:eastAsia="Calibri" w:hAnsi="Arial Narrow"/>
      <w:sz w:val="24"/>
      <w:szCs w:val="28"/>
    </w:rPr>
  </w:style>
  <w:style w:type="paragraph" w:styleId="Quote">
    <w:name w:val="Quote"/>
    <w:basedOn w:val="BodyText"/>
    <w:next w:val="QuoteSource"/>
    <w:link w:val="QuoteChar"/>
    <w:uiPriority w:val="4"/>
    <w:qFormat/>
    <w:rsid w:val="003F49F1"/>
    <w:pPr>
      <w:spacing w:before="60" w:after="60" w:line="220" w:lineRule="exact"/>
      <w:ind w:left="567" w:right="567"/>
    </w:pPr>
    <w:rPr>
      <w:sz w:val="18"/>
    </w:rPr>
  </w:style>
  <w:style w:type="paragraph" w:customStyle="1" w:styleId="SideNote">
    <w:name w:val="Side Note"/>
    <w:basedOn w:val="BodyText"/>
    <w:next w:val="BodyText"/>
    <w:uiPriority w:val="2"/>
    <w:rsid w:val="009949E9"/>
    <w:pPr>
      <w:keepNext/>
      <w:framePr w:w="2268" w:hSpace="284" w:vSpace="181" w:wrap="around" w:vAnchor="text" w:hAnchor="margin" w:x="-2551" w:y="1"/>
      <w:spacing w:before="60" w:after="40" w:line="220" w:lineRule="exact"/>
    </w:pPr>
    <w:rPr>
      <w:rFonts w:asciiTheme="majorHAnsi" w:hAnsiTheme="majorHAnsi"/>
      <w:b/>
      <w:color w:val="9757A6"/>
      <w:sz w:val="16"/>
    </w:rPr>
  </w:style>
  <w:style w:type="paragraph" w:customStyle="1" w:styleId="SideDash">
    <w:name w:val="Side Dash"/>
    <w:basedOn w:val="SideNote"/>
    <w:next w:val="BodyText"/>
    <w:uiPriority w:val="2"/>
    <w:qFormat/>
    <w:rsid w:val="00C249C7"/>
    <w:pPr>
      <w:framePr w:wrap="around"/>
      <w:numPr>
        <w:numId w:val="8"/>
      </w:numPr>
    </w:pPr>
  </w:style>
  <w:style w:type="paragraph" w:customStyle="1" w:styleId="Source">
    <w:name w:val="Source"/>
    <w:basedOn w:val="BodyText"/>
    <w:next w:val="BodyText"/>
    <w:rsid w:val="009949E9"/>
    <w:pPr>
      <w:pBdr>
        <w:bottom w:val="single" w:sz="2" w:space="1" w:color="C0C0C0"/>
      </w:pBdr>
      <w:spacing w:before="40" w:after="60" w:line="180" w:lineRule="exact"/>
    </w:pPr>
    <w:rPr>
      <w:rFonts w:ascii="Arial" w:hAnsi="Arial"/>
      <w:sz w:val="16"/>
      <w:szCs w:val="14"/>
    </w:rPr>
  </w:style>
  <w:style w:type="paragraph" w:customStyle="1" w:styleId="PageNumberLandscape">
    <w:name w:val="Page Number Landscape"/>
    <w:basedOn w:val="Normal"/>
    <w:link w:val="PageNumberLandscapeChar"/>
    <w:rsid w:val="00C249C7"/>
    <w:pPr>
      <w:jc w:val="right"/>
    </w:pPr>
  </w:style>
  <w:style w:type="paragraph" w:customStyle="1" w:styleId="Tablebody">
    <w:name w:val="Table body"/>
    <w:basedOn w:val="Tabletext"/>
    <w:uiPriority w:val="3"/>
    <w:rsid w:val="00E10C5B"/>
  </w:style>
  <w:style w:type="paragraph" w:customStyle="1" w:styleId="Tablecolumnheadings">
    <w:name w:val="Table column headings"/>
    <w:uiPriority w:val="3"/>
    <w:qFormat/>
    <w:rsid w:val="00C249C7"/>
    <w:pPr>
      <w:keepNext/>
      <w:spacing w:before="60" w:after="60" w:line="220" w:lineRule="exact"/>
    </w:pPr>
    <w:rPr>
      <w:rFonts w:asciiTheme="majorHAnsi" w:hAnsiTheme="majorHAnsi"/>
      <w:color w:val="FFFFFF" w:themeColor="background1"/>
      <w:sz w:val="16"/>
      <w:szCs w:val="16"/>
      <w:lang w:eastAsia="en-US"/>
    </w:rPr>
  </w:style>
  <w:style w:type="paragraph" w:customStyle="1" w:styleId="Tablecontinued">
    <w:name w:val="Table continued"/>
    <w:basedOn w:val="Note"/>
    <w:next w:val="BodyText"/>
    <w:uiPriority w:val="4"/>
    <w:semiHidden/>
    <w:rsid w:val="00C249C7"/>
    <w:pPr>
      <w:spacing w:after="120" w:line="220" w:lineRule="exact"/>
      <w:jc w:val="right"/>
    </w:pPr>
  </w:style>
  <w:style w:type="paragraph" w:customStyle="1" w:styleId="Tablesideheading1">
    <w:name w:val="Table side heading 1"/>
    <w:basedOn w:val="Tablebody"/>
    <w:next w:val="Tabletext"/>
    <w:uiPriority w:val="3"/>
    <w:rsid w:val="009949E9"/>
    <w:rPr>
      <w:b/>
      <w:color w:val="auto"/>
      <w:szCs w:val="16"/>
    </w:rPr>
  </w:style>
  <w:style w:type="paragraph" w:customStyle="1" w:styleId="Tablesideheading2">
    <w:name w:val="Table side heading 2"/>
    <w:basedOn w:val="Tablesideheading1"/>
    <w:next w:val="Tabletext"/>
    <w:uiPriority w:val="3"/>
    <w:rsid w:val="009949E9"/>
    <w:rPr>
      <w:b w:val="0"/>
      <w:i/>
    </w:rPr>
  </w:style>
  <w:style w:type="paragraph" w:customStyle="1" w:styleId="Tablelistbullet">
    <w:name w:val="Table list bullet"/>
    <w:uiPriority w:val="3"/>
    <w:rsid w:val="009A67B0"/>
    <w:pPr>
      <w:numPr>
        <w:numId w:val="28"/>
      </w:numPr>
      <w:spacing w:before="40" w:after="40" w:line="240" w:lineRule="auto"/>
    </w:pPr>
    <w:rPr>
      <w:rFonts w:ascii="Arial" w:hAnsi="Arial"/>
      <w:color w:val="000000"/>
      <w:sz w:val="16"/>
      <w:lang w:eastAsia="en-US"/>
    </w:rPr>
  </w:style>
  <w:style w:type="paragraph" w:customStyle="1" w:styleId="Tablelistbullet2">
    <w:name w:val="Table list bullet 2"/>
    <w:basedOn w:val="Tablebody"/>
    <w:uiPriority w:val="3"/>
    <w:rsid w:val="009A67B0"/>
    <w:pPr>
      <w:numPr>
        <w:ilvl w:val="1"/>
        <w:numId w:val="28"/>
      </w:numPr>
      <w:tabs>
        <w:tab w:val="num" w:pos="360"/>
      </w:tabs>
      <w:ind w:left="0" w:firstLine="0"/>
    </w:pPr>
  </w:style>
  <w:style w:type="paragraph" w:customStyle="1" w:styleId="Tablelistnumber">
    <w:name w:val="Table list number"/>
    <w:uiPriority w:val="3"/>
    <w:rsid w:val="00520ED6"/>
    <w:pPr>
      <w:numPr>
        <w:numId w:val="21"/>
      </w:numPr>
      <w:spacing w:before="40" w:after="40" w:line="240" w:lineRule="auto"/>
    </w:pPr>
    <w:rPr>
      <w:rFonts w:ascii="Arial" w:hAnsi="Arial"/>
      <w:color w:val="000000"/>
      <w:sz w:val="16"/>
      <w:lang w:eastAsia="en-US"/>
    </w:rPr>
  </w:style>
  <w:style w:type="paragraph" w:styleId="TableofFigures">
    <w:name w:val="table of figures"/>
    <w:basedOn w:val="BodyText"/>
    <w:next w:val="BodyText"/>
    <w:autoRedefine/>
    <w:uiPriority w:val="99"/>
    <w:rsid w:val="009949E9"/>
    <w:pPr>
      <w:tabs>
        <w:tab w:val="left" w:pos="1021"/>
        <w:tab w:val="right" w:pos="7371"/>
      </w:tabs>
      <w:spacing w:before="40" w:line="240" w:lineRule="auto"/>
      <w:ind w:left="1021" w:right="680" w:hanging="1021"/>
    </w:pPr>
    <w:rPr>
      <w:rFonts w:asciiTheme="majorHAnsi" w:hAnsiTheme="majorHAnsi"/>
      <w:sz w:val="18"/>
    </w:rPr>
  </w:style>
  <w:style w:type="paragraph" w:customStyle="1" w:styleId="Tableunitsrow">
    <w:name w:val="Table units row"/>
    <w:basedOn w:val="Tablecolumnheadings"/>
    <w:uiPriority w:val="3"/>
    <w:rsid w:val="009949E9"/>
    <w:pPr>
      <w:spacing w:before="40"/>
    </w:pPr>
    <w:rPr>
      <w:color w:val="auto"/>
    </w:rPr>
  </w:style>
  <w:style w:type="paragraph" w:styleId="TOC3">
    <w:name w:val="toc 3"/>
    <w:basedOn w:val="TOC2"/>
    <w:next w:val="BodyText"/>
    <w:autoRedefine/>
    <w:uiPriority w:val="39"/>
    <w:rsid w:val="009949E9"/>
    <w:pPr>
      <w:tabs>
        <w:tab w:val="clear" w:pos="794"/>
        <w:tab w:val="left" w:pos="1361"/>
      </w:tabs>
      <w:ind w:left="1361" w:hanging="567"/>
    </w:pPr>
  </w:style>
  <w:style w:type="paragraph" w:customStyle="1" w:styleId="Footerlandscape">
    <w:name w:val="Footer landscape"/>
    <w:basedOn w:val="PageNumberLandscape"/>
    <w:semiHidden/>
    <w:rsid w:val="00C249C7"/>
    <w:pPr>
      <w:framePr w:wrap="around" w:hAnchor="text"/>
      <w:jc w:val="left"/>
    </w:pPr>
  </w:style>
  <w:style w:type="character" w:customStyle="1" w:styleId="PlaceholderTitle">
    <w:name w:val="Placeholder Title"/>
    <w:rsid w:val="00C249C7"/>
    <w:rPr>
      <w:b/>
      <w:color w:val="000000"/>
    </w:rPr>
  </w:style>
  <w:style w:type="paragraph" w:customStyle="1" w:styleId="Reference">
    <w:name w:val="Reference"/>
    <w:basedOn w:val="BodyText"/>
    <w:uiPriority w:val="99"/>
    <w:rsid w:val="00C249C7"/>
    <w:pPr>
      <w:spacing w:before="100" w:line="240" w:lineRule="auto"/>
      <w:ind w:left="340" w:hanging="340"/>
    </w:pPr>
    <w:rPr>
      <w:sz w:val="21"/>
    </w:rPr>
  </w:style>
  <w:style w:type="paragraph" w:styleId="ListNumber2">
    <w:name w:val="List Number 2"/>
    <w:basedOn w:val="ListNumber"/>
    <w:uiPriority w:val="2"/>
    <w:rsid w:val="00013650"/>
    <w:pPr>
      <w:numPr>
        <w:ilvl w:val="1"/>
      </w:numPr>
      <w:spacing w:before="40" w:after="40" w:line="260" w:lineRule="exact"/>
    </w:pPr>
  </w:style>
  <w:style w:type="paragraph" w:customStyle="1" w:styleId="LastBoxRow">
    <w:name w:val="LastBoxRow"/>
    <w:basedOn w:val="BoxText"/>
    <w:uiPriority w:val="99"/>
    <w:semiHidden/>
    <w:rsid w:val="00C249C7"/>
    <w:rPr>
      <w:sz w:val="8"/>
      <w:szCs w:val="8"/>
    </w:rPr>
  </w:style>
  <w:style w:type="paragraph" w:styleId="BodyText3">
    <w:name w:val="Body Text 3"/>
    <w:basedOn w:val="Normal"/>
    <w:semiHidden/>
    <w:rsid w:val="00C249C7"/>
    <w:rPr>
      <w:sz w:val="16"/>
    </w:rPr>
  </w:style>
  <w:style w:type="paragraph" w:styleId="ListBullet4">
    <w:name w:val="List Bullet 4"/>
    <w:basedOn w:val="Normal"/>
    <w:semiHidden/>
    <w:rsid w:val="00C249C7"/>
    <w:pPr>
      <w:numPr>
        <w:numId w:val="1"/>
      </w:numPr>
    </w:pPr>
  </w:style>
  <w:style w:type="paragraph" w:styleId="ListBullet5">
    <w:name w:val="List Bullet 5"/>
    <w:basedOn w:val="Normal"/>
    <w:semiHidden/>
    <w:rsid w:val="00C249C7"/>
    <w:pPr>
      <w:numPr>
        <w:numId w:val="2"/>
      </w:numPr>
    </w:pPr>
  </w:style>
  <w:style w:type="paragraph" w:customStyle="1" w:styleId="BoxListNumber2">
    <w:name w:val="Box List Number 2"/>
    <w:basedOn w:val="BoxListNumber"/>
    <w:uiPriority w:val="4"/>
    <w:rsid w:val="00C249C7"/>
    <w:pPr>
      <w:numPr>
        <w:ilvl w:val="1"/>
      </w:numPr>
    </w:pPr>
  </w:style>
  <w:style w:type="paragraph" w:customStyle="1" w:styleId="SideNoteopListBullet">
    <w:name w:val="Side Note op List Bullet"/>
    <w:basedOn w:val="SideNote"/>
    <w:uiPriority w:val="2"/>
    <w:rsid w:val="00C249C7"/>
    <w:pPr>
      <w:framePr w:wrap="around"/>
    </w:pPr>
  </w:style>
  <w:style w:type="paragraph" w:customStyle="1" w:styleId="OfficeAddress">
    <w:name w:val="OfficeAddress"/>
    <w:autoRedefine/>
    <w:semiHidden/>
    <w:rsid w:val="00C249C7"/>
    <w:pPr>
      <w:spacing w:before="0" w:line="240" w:lineRule="auto"/>
      <w:ind w:right="-291"/>
    </w:pPr>
    <w:rPr>
      <w:sz w:val="16"/>
      <w:szCs w:val="20"/>
      <w:lang w:eastAsia="en-AU"/>
    </w:rPr>
  </w:style>
  <w:style w:type="paragraph" w:customStyle="1" w:styleId="OfficeContact">
    <w:name w:val="OfficeContact"/>
    <w:autoRedefine/>
    <w:semiHidden/>
    <w:rsid w:val="00C249C7"/>
    <w:pPr>
      <w:spacing w:before="60" w:line="240" w:lineRule="auto"/>
    </w:pPr>
    <w:rPr>
      <w:sz w:val="16"/>
      <w:szCs w:val="20"/>
      <w:lang w:eastAsia="en-AU"/>
    </w:rPr>
  </w:style>
  <w:style w:type="paragraph" w:customStyle="1" w:styleId="OfficeEmail">
    <w:name w:val="OfficeEmail"/>
    <w:basedOn w:val="OfficeAddress"/>
    <w:autoRedefine/>
    <w:semiHidden/>
    <w:rsid w:val="00C249C7"/>
  </w:style>
  <w:style w:type="paragraph" w:styleId="BalloonText">
    <w:name w:val="Balloon Text"/>
    <w:basedOn w:val="Normal"/>
    <w:semiHidden/>
    <w:rsid w:val="00C249C7"/>
    <w:rPr>
      <w:rFonts w:ascii="Tahoma" w:hAnsi="Tahoma" w:cs="Tahoma"/>
      <w:sz w:val="16"/>
      <w:szCs w:val="16"/>
    </w:rPr>
  </w:style>
  <w:style w:type="paragraph" w:styleId="CommentSubject">
    <w:name w:val="annotation subject"/>
    <w:basedOn w:val="CommentText"/>
    <w:next w:val="CommentText"/>
    <w:semiHidden/>
    <w:rsid w:val="00C249C7"/>
    <w:pPr>
      <w:spacing w:before="0" w:line="240" w:lineRule="auto"/>
      <w:ind w:left="0" w:firstLine="0"/>
    </w:pPr>
    <w:rPr>
      <w:rFonts w:ascii="Garamond" w:hAnsi="Garamond"/>
      <w:b/>
      <w:bCs/>
      <w:sz w:val="20"/>
    </w:rPr>
  </w:style>
  <w:style w:type="paragraph" w:styleId="DocumentMap">
    <w:name w:val="Document Map"/>
    <w:basedOn w:val="Normal"/>
    <w:semiHidden/>
    <w:rsid w:val="00C249C7"/>
    <w:pPr>
      <w:shd w:val="clear" w:color="auto" w:fill="000080"/>
    </w:pPr>
    <w:rPr>
      <w:rFonts w:ascii="Tahoma" w:hAnsi="Tahoma" w:cs="Tahoma"/>
    </w:rPr>
  </w:style>
  <w:style w:type="character" w:styleId="EndnoteReference">
    <w:name w:val="endnote reference"/>
    <w:basedOn w:val="DefaultParagraphFont"/>
    <w:semiHidden/>
    <w:rsid w:val="00C249C7"/>
    <w:rPr>
      <w:vertAlign w:val="superscript"/>
    </w:rPr>
  </w:style>
  <w:style w:type="paragraph" w:styleId="EndnoteText">
    <w:name w:val="endnote text"/>
    <w:semiHidden/>
    <w:rsid w:val="00C249C7"/>
    <w:rPr>
      <w:lang w:eastAsia="en-US"/>
    </w:rPr>
  </w:style>
  <w:style w:type="paragraph" w:styleId="Index1">
    <w:name w:val="index 1"/>
    <w:basedOn w:val="Normal"/>
    <w:next w:val="Normal"/>
    <w:autoRedefine/>
    <w:uiPriority w:val="99"/>
    <w:semiHidden/>
    <w:rsid w:val="00C249C7"/>
    <w:pPr>
      <w:ind w:left="240" w:hanging="240"/>
    </w:pPr>
  </w:style>
  <w:style w:type="paragraph" w:styleId="Index2">
    <w:name w:val="index 2"/>
    <w:basedOn w:val="Normal"/>
    <w:next w:val="Normal"/>
    <w:autoRedefine/>
    <w:uiPriority w:val="99"/>
    <w:semiHidden/>
    <w:rsid w:val="00C249C7"/>
    <w:pPr>
      <w:ind w:left="480" w:hanging="240"/>
    </w:pPr>
  </w:style>
  <w:style w:type="paragraph" w:styleId="Index3">
    <w:name w:val="index 3"/>
    <w:basedOn w:val="Normal"/>
    <w:next w:val="Normal"/>
    <w:autoRedefine/>
    <w:uiPriority w:val="99"/>
    <w:semiHidden/>
    <w:rsid w:val="00C249C7"/>
    <w:pPr>
      <w:ind w:left="720" w:hanging="240"/>
    </w:pPr>
  </w:style>
  <w:style w:type="paragraph" w:styleId="Index4">
    <w:name w:val="index 4"/>
    <w:basedOn w:val="Normal"/>
    <w:next w:val="Normal"/>
    <w:autoRedefine/>
    <w:uiPriority w:val="99"/>
    <w:semiHidden/>
    <w:rsid w:val="00C249C7"/>
    <w:pPr>
      <w:ind w:left="960" w:hanging="240"/>
    </w:pPr>
  </w:style>
  <w:style w:type="paragraph" w:styleId="Index5">
    <w:name w:val="index 5"/>
    <w:basedOn w:val="Normal"/>
    <w:next w:val="Normal"/>
    <w:autoRedefine/>
    <w:semiHidden/>
    <w:rsid w:val="00C249C7"/>
    <w:pPr>
      <w:ind w:left="1200" w:hanging="240"/>
    </w:pPr>
  </w:style>
  <w:style w:type="paragraph" w:styleId="Index6">
    <w:name w:val="index 6"/>
    <w:basedOn w:val="Normal"/>
    <w:next w:val="Normal"/>
    <w:autoRedefine/>
    <w:semiHidden/>
    <w:rsid w:val="00C249C7"/>
    <w:pPr>
      <w:ind w:left="1440" w:hanging="240"/>
    </w:pPr>
  </w:style>
  <w:style w:type="paragraph" w:styleId="Index7">
    <w:name w:val="index 7"/>
    <w:basedOn w:val="Normal"/>
    <w:next w:val="Normal"/>
    <w:autoRedefine/>
    <w:semiHidden/>
    <w:rsid w:val="00C249C7"/>
    <w:pPr>
      <w:ind w:left="1680" w:hanging="240"/>
    </w:pPr>
  </w:style>
  <w:style w:type="paragraph" w:styleId="Index8">
    <w:name w:val="index 8"/>
    <w:basedOn w:val="Normal"/>
    <w:next w:val="Normal"/>
    <w:autoRedefine/>
    <w:semiHidden/>
    <w:rsid w:val="00C249C7"/>
    <w:pPr>
      <w:ind w:left="1920" w:hanging="240"/>
    </w:pPr>
  </w:style>
  <w:style w:type="paragraph" w:styleId="Index9">
    <w:name w:val="index 9"/>
    <w:basedOn w:val="Normal"/>
    <w:next w:val="Normal"/>
    <w:autoRedefine/>
    <w:semiHidden/>
    <w:rsid w:val="00C249C7"/>
    <w:pPr>
      <w:ind w:left="2160" w:hanging="240"/>
    </w:pPr>
  </w:style>
  <w:style w:type="paragraph" w:styleId="IndexHeading">
    <w:name w:val="index heading"/>
    <w:basedOn w:val="Normal"/>
    <w:next w:val="Index1"/>
    <w:uiPriority w:val="99"/>
    <w:semiHidden/>
    <w:rsid w:val="00C249C7"/>
    <w:rPr>
      <w:rFonts w:ascii="Arial" w:hAnsi="Arial" w:cs="Arial"/>
      <w:b/>
      <w:bCs/>
    </w:rPr>
  </w:style>
  <w:style w:type="paragraph" w:styleId="MacroText">
    <w:name w:val="macro"/>
    <w:semiHidden/>
    <w:rsid w:val="00C249C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AU"/>
    </w:rPr>
  </w:style>
  <w:style w:type="paragraph" w:styleId="TableofAuthorities">
    <w:name w:val="table of authorities"/>
    <w:next w:val="Normal"/>
    <w:uiPriority w:val="99"/>
    <w:rsid w:val="00C249C7"/>
    <w:pPr>
      <w:ind w:left="240" w:hanging="240"/>
    </w:pPr>
    <w:rPr>
      <w:rFonts w:asciiTheme="minorHAnsi" w:hAnsiTheme="minorHAnsi"/>
      <w:lang w:eastAsia="en-US"/>
    </w:rPr>
  </w:style>
  <w:style w:type="paragraph" w:styleId="TOAHeading">
    <w:name w:val="toa heading"/>
    <w:basedOn w:val="Normal"/>
    <w:next w:val="Normal"/>
    <w:autoRedefine/>
    <w:rsid w:val="00C249C7"/>
    <w:rPr>
      <w:rFonts w:asciiTheme="majorHAnsi" w:hAnsiTheme="majorHAnsi" w:cs="Arial"/>
      <w:b/>
      <w:bCs/>
      <w:sz w:val="20"/>
    </w:rPr>
  </w:style>
  <w:style w:type="paragraph" w:styleId="TOC4">
    <w:name w:val="toc 4"/>
    <w:basedOn w:val="Normal"/>
    <w:next w:val="Normal"/>
    <w:autoRedefine/>
    <w:uiPriority w:val="11"/>
    <w:rsid w:val="009949E9"/>
    <w:pPr>
      <w:ind w:left="720"/>
    </w:pPr>
    <w:rPr>
      <w:rFonts w:asciiTheme="majorHAnsi" w:hAnsiTheme="majorHAnsi"/>
    </w:rPr>
  </w:style>
  <w:style w:type="paragraph" w:styleId="TOC5">
    <w:name w:val="toc 5"/>
    <w:basedOn w:val="Normal"/>
    <w:next w:val="Normal"/>
    <w:autoRedefine/>
    <w:uiPriority w:val="39"/>
    <w:rsid w:val="00F77AB7"/>
    <w:pPr>
      <w:tabs>
        <w:tab w:val="right" w:pos="7362"/>
      </w:tabs>
      <w:spacing w:before="600" w:after="0" w:line="260" w:lineRule="exact"/>
    </w:pPr>
    <w:rPr>
      <w:rFonts w:asciiTheme="majorHAnsi" w:hAnsiTheme="majorHAnsi"/>
      <w:b/>
      <w:smallCaps/>
      <w:noProof/>
      <w:color w:val="9757A6" w:themeColor="text2"/>
    </w:rPr>
  </w:style>
  <w:style w:type="paragraph" w:styleId="TOC6">
    <w:name w:val="toc 6"/>
    <w:basedOn w:val="Normal"/>
    <w:next w:val="Normal"/>
    <w:autoRedefine/>
    <w:uiPriority w:val="39"/>
    <w:rsid w:val="009949E9"/>
    <w:pPr>
      <w:tabs>
        <w:tab w:val="right" w:pos="7371"/>
      </w:tabs>
      <w:ind w:right="568"/>
    </w:pPr>
    <w:rPr>
      <w:rFonts w:asciiTheme="majorHAnsi" w:hAnsiTheme="majorHAnsi"/>
    </w:rPr>
  </w:style>
  <w:style w:type="paragraph" w:styleId="TOC7">
    <w:name w:val="toc 7"/>
    <w:basedOn w:val="Normal"/>
    <w:next w:val="Normal"/>
    <w:autoRedefine/>
    <w:uiPriority w:val="39"/>
    <w:rsid w:val="009949E9"/>
    <w:pPr>
      <w:tabs>
        <w:tab w:val="right" w:pos="7371"/>
      </w:tabs>
      <w:ind w:left="1701" w:right="567" w:hanging="1701"/>
    </w:pPr>
    <w:rPr>
      <w:rFonts w:asciiTheme="majorHAnsi" w:hAnsiTheme="majorHAnsi"/>
      <w:noProof/>
    </w:rPr>
  </w:style>
  <w:style w:type="paragraph" w:styleId="TOC8">
    <w:name w:val="toc 8"/>
    <w:basedOn w:val="Normal"/>
    <w:next w:val="Normal"/>
    <w:autoRedefine/>
    <w:uiPriority w:val="11"/>
    <w:rsid w:val="009949E9"/>
    <w:pPr>
      <w:tabs>
        <w:tab w:val="right" w:pos="7371"/>
      </w:tabs>
      <w:spacing w:before="500" w:after="0" w:line="260" w:lineRule="exact"/>
    </w:pPr>
    <w:rPr>
      <w:rFonts w:asciiTheme="majorHAnsi" w:hAnsiTheme="majorHAnsi"/>
      <w:b/>
      <w:noProof/>
      <w:color w:val="9757A6" w:themeColor="text2"/>
      <w:sz w:val="32"/>
    </w:rPr>
  </w:style>
  <w:style w:type="paragraph" w:styleId="TOC9">
    <w:name w:val="toc 9"/>
    <w:basedOn w:val="Normal"/>
    <w:next w:val="Normal"/>
    <w:autoRedefine/>
    <w:uiPriority w:val="39"/>
    <w:rsid w:val="009949E9"/>
    <w:pPr>
      <w:ind w:left="1920"/>
    </w:pPr>
    <w:rPr>
      <w:rFonts w:asciiTheme="majorHAnsi" w:hAnsiTheme="majorHAnsi"/>
      <w:sz w:val="52"/>
    </w:rPr>
  </w:style>
  <w:style w:type="numbering" w:styleId="ArticleSection">
    <w:name w:val="Outline List 3"/>
    <w:basedOn w:val="NoList"/>
    <w:semiHidden/>
    <w:rsid w:val="00C249C7"/>
    <w:pPr>
      <w:numPr>
        <w:numId w:val="7"/>
      </w:numPr>
    </w:pPr>
  </w:style>
  <w:style w:type="paragraph" w:styleId="BlockText">
    <w:name w:val="Block Text"/>
    <w:basedOn w:val="Normal"/>
    <w:semiHidden/>
    <w:rsid w:val="00C249C7"/>
    <w:pPr>
      <w:ind w:left="1440" w:right="1440"/>
    </w:pPr>
  </w:style>
  <w:style w:type="paragraph" w:styleId="BodyTextFirstIndent">
    <w:name w:val="Body Text First Indent"/>
    <w:basedOn w:val="BodyText"/>
    <w:semiHidden/>
    <w:rsid w:val="00C249C7"/>
    <w:pPr>
      <w:spacing w:before="0" w:line="240" w:lineRule="auto"/>
      <w:ind w:firstLine="210"/>
    </w:pPr>
  </w:style>
  <w:style w:type="paragraph" w:styleId="BodyTextIndent">
    <w:name w:val="Body Text Indent"/>
    <w:basedOn w:val="Normal"/>
    <w:semiHidden/>
    <w:rsid w:val="00C249C7"/>
    <w:pPr>
      <w:ind w:left="283"/>
    </w:pPr>
  </w:style>
  <w:style w:type="paragraph" w:styleId="BodyTextFirstIndent2">
    <w:name w:val="Body Text First Indent 2"/>
    <w:basedOn w:val="BodyTextIndent"/>
    <w:semiHidden/>
    <w:rsid w:val="00C249C7"/>
    <w:pPr>
      <w:ind w:firstLine="210"/>
    </w:pPr>
  </w:style>
  <w:style w:type="paragraph" w:styleId="BodyTextIndent2">
    <w:name w:val="Body Text Indent 2"/>
    <w:basedOn w:val="Normal"/>
    <w:semiHidden/>
    <w:rsid w:val="00C249C7"/>
    <w:pPr>
      <w:spacing w:line="480" w:lineRule="auto"/>
      <w:ind w:left="283"/>
    </w:pPr>
  </w:style>
  <w:style w:type="paragraph" w:styleId="BodyTextIndent3">
    <w:name w:val="Body Text Indent 3"/>
    <w:basedOn w:val="Normal"/>
    <w:semiHidden/>
    <w:rsid w:val="00C249C7"/>
    <w:pPr>
      <w:ind w:left="283"/>
    </w:pPr>
    <w:rPr>
      <w:sz w:val="16"/>
      <w:szCs w:val="16"/>
    </w:rPr>
  </w:style>
  <w:style w:type="paragraph" w:styleId="Closing">
    <w:name w:val="Closing"/>
    <w:basedOn w:val="Normal"/>
    <w:semiHidden/>
    <w:rsid w:val="00C249C7"/>
    <w:pPr>
      <w:ind w:left="4252"/>
    </w:pPr>
  </w:style>
  <w:style w:type="paragraph" w:styleId="E-mailSignature">
    <w:name w:val="E-mail Signature"/>
    <w:basedOn w:val="Normal"/>
    <w:semiHidden/>
    <w:rsid w:val="00C249C7"/>
  </w:style>
  <w:style w:type="character" w:styleId="Emphasis">
    <w:name w:val="Emphasis"/>
    <w:basedOn w:val="DefaultParagraphFont"/>
    <w:semiHidden/>
    <w:rsid w:val="00C249C7"/>
    <w:rPr>
      <w:i/>
      <w:iCs/>
    </w:rPr>
  </w:style>
  <w:style w:type="paragraph" w:styleId="EnvelopeAddress">
    <w:name w:val="envelope address"/>
    <w:basedOn w:val="Normal"/>
    <w:semiHidden/>
    <w:rsid w:val="00C249C7"/>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C249C7"/>
    <w:rPr>
      <w:rFonts w:ascii="Arial" w:hAnsi="Arial" w:cs="Arial"/>
    </w:rPr>
  </w:style>
  <w:style w:type="character" w:styleId="FollowedHyperlink">
    <w:name w:val="FollowedHyperlink"/>
    <w:basedOn w:val="DefaultParagraphFont"/>
    <w:semiHidden/>
    <w:rsid w:val="00C249C7"/>
    <w:rPr>
      <w:color w:val="800080"/>
      <w:u w:val="single"/>
    </w:rPr>
  </w:style>
  <w:style w:type="character" w:styleId="HTMLAcronym">
    <w:name w:val="HTML Acronym"/>
    <w:basedOn w:val="DefaultParagraphFont"/>
    <w:semiHidden/>
    <w:rsid w:val="00C249C7"/>
  </w:style>
  <w:style w:type="paragraph" w:styleId="HTMLAddress">
    <w:name w:val="HTML Address"/>
    <w:basedOn w:val="Normal"/>
    <w:semiHidden/>
    <w:rsid w:val="00C249C7"/>
    <w:rPr>
      <w:i/>
      <w:iCs/>
    </w:rPr>
  </w:style>
  <w:style w:type="character" w:styleId="HTMLCite">
    <w:name w:val="HTML Cite"/>
    <w:basedOn w:val="DefaultParagraphFont"/>
    <w:semiHidden/>
    <w:rsid w:val="00C249C7"/>
    <w:rPr>
      <w:i/>
      <w:iCs/>
    </w:rPr>
  </w:style>
  <w:style w:type="character" w:styleId="HTMLCode">
    <w:name w:val="HTML Code"/>
    <w:basedOn w:val="DefaultParagraphFont"/>
    <w:semiHidden/>
    <w:rsid w:val="00C249C7"/>
    <w:rPr>
      <w:rFonts w:ascii="Courier New" w:hAnsi="Courier New" w:cs="Courier New"/>
      <w:sz w:val="20"/>
      <w:szCs w:val="20"/>
    </w:rPr>
  </w:style>
  <w:style w:type="character" w:styleId="HTMLDefinition">
    <w:name w:val="HTML Definition"/>
    <w:basedOn w:val="DefaultParagraphFont"/>
    <w:semiHidden/>
    <w:rsid w:val="00C249C7"/>
    <w:rPr>
      <w:i/>
      <w:iCs/>
    </w:rPr>
  </w:style>
  <w:style w:type="character" w:styleId="HTMLKeyboard">
    <w:name w:val="HTML Keyboard"/>
    <w:basedOn w:val="DefaultParagraphFont"/>
    <w:semiHidden/>
    <w:rsid w:val="00C249C7"/>
    <w:rPr>
      <w:rFonts w:ascii="Courier New" w:hAnsi="Courier New" w:cs="Courier New"/>
      <w:sz w:val="20"/>
      <w:szCs w:val="20"/>
    </w:rPr>
  </w:style>
  <w:style w:type="paragraph" w:styleId="HTMLPreformatted">
    <w:name w:val="HTML Preformatted"/>
    <w:basedOn w:val="Normal"/>
    <w:semiHidden/>
    <w:rsid w:val="00C249C7"/>
    <w:rPr>
      <w:rFonts w:ascii="Courier New" w:hAnsi="Courier New" w:cs="Courier New"/>
    </w:rPr>
  </w:style>
  <w:style w:type="character" w:styleId="HTMLSample">
    <w:name w:val="HTML Sample"/>
    <w:basedOn w:val="DefaultParagraphFont"/>
    <w:semiHidden/>
    <w:rsid w:val="00C249C7"/>
    <w:rPr>
      <w:rFonts w:ascii="Courier New" w:hAnsi="Courier New" w:cs="Courier New"/>
    </w:rPr>
  </w:style>
  <w:style w:type="character" w:styleId="HTMLTypewriter">
    <w:name w:val="HTML Typewriter"/>
    <w:basedOn w:val="DefaultParagraphFont"/>
    <w:semiHidden/>
    <w:rsid w:val="00C249C7"/>
    <w:rPr>
      <w:rFonts w:ascii="Courier New" w:hAnsi="Courier New" w:cs="Courier New"/>
      <w:sz w:val="20"/>
      <w:szCs w:val="20"/>
    </w:rPr>
  </w:style>
  <w:style w:type="character" w:styleId="HTMLVariable">
    <w:name w:val="HTML Variable"/>
    <w:basedOn w:val="DefaultParagraphFont"/>
    <w:semiHidden/>
    <w:rsid w:val="00C249C7"/>
    <w:rPr>
      <w:i/>
      <w:iCs/>
    </w:rPr>
  </w:style>
  <w:style w:type="character" w:styleId="LineNumber">
    <w:name w:val="line number"/>
    <w:basedOn w:val="DefaultParagraphFont"/>
    <w:semiHidden/>
    <w:rsid w:val="00C249C7"/>
  </w:style>
  <w:style w:type="paragraph" w:styleId="List">
    <w:name w:val="List"/>
    <w:basedOn w:val="Normal"/>
    <w:semiHidden/>
    <w:rsid w:val="00C249C7"/>
    <w:pPr>
      <w:ind w:left="283" w:hanging="283"/>
    </w:pPr>
  </w:style>
  <w:style w:type="paragraph" w:styleId="List2">
    <w:name w:val="List 2"/>
    <w:basedOn w:val="Normal"/>
    <w:semiHidden/>
    <w:rsid w:val="00C249C7"/>
    <w:pPr>
      <w:ind w:left="566" w:hanging="283"/>
    </w:pPr>
  </w:style>
  <w:style w:type="paragraph" w:styleId="List3">
    <w:name w:val="List 3"/>
    <w:basedOn w:val="Normal"/>
    <w:semiHidden/>
    <w:rsid w:val="00C249C7"/>
    <w:pPr>
      <w:ind w:left="849" w:hanging="283"/>
    </w:pPr>
  </w:style>
  <w:style w:type="paragraph" w:styleId="List4">
    <w:name w:val="List 4"/>
    <w:basedOn w:val="Normal"/>
    <w:semiHidden/>
    <w:rsid w:val="00C249C7"/>
    <w:pPr>
      <w:ind w:left="1132" w:hanging="283"/>
    </w:pPr>
  </w:style>
  <w:style w:type="paragraph" w:styleId="List5">
    <w:name w:val="List 5"/>
    <w:basedOn w:val="Normal"/>
    <w:semiHidden/>
    <w:rsid w:val="00C249C7"/>
    <w:pPr>
      <w:ind w:left="1415" w:hanging="283"/>
    </w:pPr>
  </w:style>
  <w:style w:type="paragraph" w:styleId="ListContinue">
    <w:name w:val="List Continue"/>
    <w:basedOn w:val="Normal"/>
    <w:semiHidden/>
    <w:rsid w:val="00C249C7"/>
    <w:pPr>
      <w:ind w:left="283"/>
    </w:pPr>
  </w:style>
  <w:style w:type="paragraph" w:styleId="ListContinue2">
    <w:name w:val="List Continue 2"/>
    <w:basedOn w:val="Normal"/>
    <w:semiHidden/>
    <w:rsid w:val="00C249C7"/>
    <w:pPr>
      <w:ind w:left="566"/>
    </w:pPr>
  </w:style>
  <w:style w:type="paragraph" w:styleId="ListContinue3">
    <w:name w:val="List Continue 3"/>
    <w:basedOn w:val="Normal"/>
    <w:semiHidden/>
    <w:rsid w:val="00C249C7"/>
    <w:pPr>
      <w:ind w:left="849"/>
    </w:pPr>
  </w:style>
  <w:style w:type="paragraph" w:styleId="ListContinue4">
    <w:name w:val="List Continue 4"/>
    <w:basedOn w:val="Normal"/>
    <w:semiHidden/>
    <w:rsid w:val="00C249C7"/>
    <w:pPr>
      <w:ind w:left="1132"/>
    </w:pPr>
  </w:style>
  <w:style w:type="paragraph" w:styleId="ListContinue5">
    <w:name w:val="List Continue 5"/>
    <w:basedOn w:val="Normal"/>
    <w:semiHidden/>
    <w:rsid w:val="00C249C7"/>
    <w:pPr>
      <w:ind w:left="1415"/>
    </w:pPr>
  </w:style>
  <w:style w:type="paragraph" w:styleId="ListNumber3">
    <w:name w:val="List Number 3"/>
    <w:basedOn w:val="ListNumber2"/>
    <w:uiPriority w:val="2"/>
    <w:rsid w:val="00013650"/>
    <w:pPr>
      <w:numPr>
        <w:ilvl w:val="2"/>
      </w:numPr>
    </w:pPr>
  </w:style>
  <w:style w:type="paragraph" w:styleId="ListNumber4">
    <w:name w:val="List Number 4"/>
    <w:basedOn w:val="Normal"/>
    <w:semiHidden/>
    <w:rsid w:val="00C249C7"/>
    <w:pPr>
      <w:numPr>
        <w:numId w:val="3"/>
      </w:numPr>
    </w:pPr>
  </w:style>
  <w:style w:type="paragraph" w:styleId="ListNumber5">
    <w:name w:val="List Number 5"/>
    <w:basedOn w:val="Normal"/>
    <w:semiHidden/>
    <w:rsid w:val="00C249C7"/>
    <w:pPr>
      <w:numPr>
        <w:numId w:val="4"/>
      </w:numPr>
    </w:pPr>
  </w:style>
  <w:style w:type="paragraph" w:styleId="MessageHeader">
    <w:name w:val="Message Header"/>
    <w:basedOn w:val="Normal"/>
    <w:semiHidden/>
    <w:rsid w:val="00C249C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C249C7"/>
    <w:rPr>
      <w:rFonts w:ascii="Times New Roman" w:hAnsi="Times New Roman"/>
    </w:rPr>
  </w:style>
  <w:style w:type="paragraph" w:styleId="NormalIndent">
    <w:name w:val="Normal Indent"/>
    <w:basedOn w:val="Normal"/>
    <w:semiHidden/>
    <w:rsid w:val="00C249C7"/>
    <w:pPr>
      <w:ind w:left="720"/>
    </w:pPr>
  </w:style>
  <w:style w:type="paragraph" w:styleId="PlainText">
    <w:name w:val="Plain Text"/>
    <w:basedOn w:val="Normal"/>
    <w:semiHidden/>
    <w:rsid w:val="00C249C7"/>
    <w:rPr>
      <w:rFonts w:ascii="Courier New" w:hAnsi="Courier New" w:cs="Courier New"/>
    </w:rPr>
  </w:style>
  <w:style w:type="paragraph" w:styleId="Salutation">
    <w:name w:val="Salutation"/>
    <w:basedOn w:val="Normal"/>
    <w:next w:val="Normal"/>
    <w:semiHidden/>
    <w:rsid w:val="00C249C7"/>
  </w:style>
  <w:style w:type="paragraph" w:styleId="Signature">
    <w:name w:val="Signature"/>
    <w:basedOn w:val="Normal"/>
    <w:semiHidden/>
    <w:rsid w:val="00C249C7"/>
    <w:pPr>
      <w:ind w:left="4252"/>
    </w:pPr>
  </w:style>
  <w:style w:type="character" w:styleId="Strong">
    <w:name w:val="Strong"/>
    <w:basedOn w:val="DefaultParagraphFont"/>
    <w:semiHidden/>
    <w:rsid w:val="00C249C7"/>
    <w:rPr>
      <w:b/>
      <w:bCs/>
    </w:rPr>
  </w:style>
  <w:style w:type="table" w:styleId="Table3Deffects1">
    <w:name w:val="Table 3D effects 1"/>
    <w:basedOn w:val="TableNormal"/>
    <w:semiHidden/>
    <w:rsid w:val="00C249C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249C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249C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249C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249C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249C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249C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249C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249C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249C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249C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249C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249C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249C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249C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249C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C24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C249C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249C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249C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249C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249C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249C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249C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249C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4">
    <w:name w:val="Table List 4"/>
    <w:basedOn w:val="TableNormal"/>
    <w:semiHidden/>
    <w:rsid w:val="00C249C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249C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249C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249C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249C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249C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249C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249C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249C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249C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249C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24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C249C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249C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249C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
    <w:name w:val="Table"/>
    <w:uiPriority w:val="4"/>
    <w:rsid w:val="00C249C7"/>
    <w:pPr>
      <w:spacing w:before="40" w:after="40" w:line="240" w:lineRule="auto"/>
    </w:pPr>
    <w:rPr>
      <w:rFonts w:ascii="Arial" w:hAnsi="Arial"/>
      <w:color w:val="000000"/>
      <w:sz w:val="16"/>
      <w:lang w:eastAsia="en-AU"/>
    </w:rPr>
  </w:style>
  <w:style w:type="paragraph" w:customStyle="1" w:styleId="QuoteListBullet">
    <w:name w:val="Quote List Bullet"/>
    <w:basedOn w:val="Quote"/>
    <w:uiPriority w:val="4"/>
    <w:qFormat/>
    <w:rsid w:val="00C249C7"/>
    <w:pPr>
      <w:numPr>
        <w:numId w:val="9"/>
      </w:numPr>
    </w:pPr>
    <w:rPr>
      <w:szCs w:val="18"/>
    </w:rPr>
  </w:style>
  <w:style w:type="paragraph" w:customStyle="1" w:styleId="AppendixFooterlandscape">
    <w:name w:val="AppendixFooter landscape"/>
    <w:uiPriority w:val="99"/>
    <w:semiHidden/>
    <w:rsid w:val="00C249C7"/>
    <w:pPr>
      <w:framePr w:wrap="around" w:vAnchor="text" w:hAnchor="margin" w:xAlign="right" w:y="1"/>
      <w:spacing w:line="200" w:lineRule="exact"/>
      <w:ind w:right="40"/>
      <w:jc w:val="both"/>
    </w:pPr>
    <w:rPr>
      <w:rFonts w:ascii="Century Gothic" w:hAnsi="Century Gothic"/>
      <w:b/>
      <w:sz w:val="16"/>
      <w:lang w:eastAsia="en-AU"/>
    </w:rPr>
  </w:style>
  <w:style w:type="paragraph" w:customStyle="1" w:styleId="AppendixLandscapePageNumber">
    <w:name w:val="AppendixLandscapePage Number"/>
    <w:basedOn w:val="Normal"/>
    <w:semiHidden/>
    <w:rsid w:val="00C249C7"/>
    <w:pPr>
      <w:framePr w:wrap="around" w:vAnchor="text" w:hAnchor="margin" w:xAlign="right" w:y="1"/>
      <w:spacing w:before="40"/>
      <w:ind w:left="-142" w:right="40"/>
      <w:jc w:val="right"/>
    </w:pPr>
    <w:rPr>
      <w:rFonts w:ascii="Century Gothic" w:hAnsi="Century Gothic"/>
      <w:sz w:val="16"/>
    </w:rPr>
  </w:style>
  <w:style w:type="character" w:customStyle="1" w:styleId="Heading1Char">
    <w:name w:val="Heading 1 Char"/>
    <w:basedOn w:val="DefaultParagraphFont"/>
    <w:link w:val="Heading1"/>
    <w:rsid w:val="0071248D"/>
    <w:rPr>
      <w:rFonts w:asciiTheme="majorHAnsi" w:hAnsiTheme="majorHAnsi"/>
      <w:b/>
      <w:color w:val="FFFFFF" w:themeColor="background1"/>
      <w:kern w:val="28"/>
      <w:sz w:val="38"/>
      <w:szCs w:val="38"/>
      <w:shd w:val="clear" w:color="auto" w:fill="9757A6"/>
      <w:lang w:eastAsia="en-AU"/>
    </w:rPr>
  </w:style>
  <w:style w:type="paragraph" w:customStyle="1" w:styleId="LastTableRow">
    <w:name w:val="LastTableRow"/>
    <w:basedOn w:val="Tablebody"/>
    <w:uiPriority w:val="99"/>
    <w:semiHidden/>
    <w:rsid w:val="00C249C7"/>
  </w:style>
  <w:style w:type="paragraph" w:customStyle="1" w:styleId="HeaderLandscape">
    <w:name w:val="HeaderLandscape"/>
    <w:semiHidden/>
    <w:rsid w:val="00C249C7"/>
    <w:pPr>
      <w:spacing w:before="0" w:line="240" w:lineRule="auto"/>
    </w:pPr>
    <w:rPr>
      <w:rFonts w:asciiTheme="minorHAnsi" w:hAnsiTheme="minorHAnsi"/>
      <w:sz w:val="14"/>
      <w:szCs w:val="16"/>
      <w:lang w:eastAsia="en-US"/>
    </w:rPr>
  </w:style>
  <w:style w:type="character" w:customStyle="1" w:styleId="HeaderChar">
    <w:name w:val="Header Char"/>
    <w:basedOn w:val="DefaultParagraphFont"/>
    <w:link w:val="Header"/>
    <w:rsid w:val="00C249C7"/>
    <w:rPr>
      <w:rFonts w:asciiTheme="minorHAnsi" w:hAnsiTheme="minorHAnsi"/>
      <w:noProof/>
      <w:sz w:val="16"/>
      <w:lang w:eastAsia="en-AU"/>
    </w:rPr>
  </w:style>
  <w:style w:type="character" w:customStyle="1" w:styleId="FooterChar">
    <w:name w:val="Footer Char"/>
    <w:basedOn w:val="DefaultParagraphFont"/>
    <w:link w:val="Footer"/>
    <w:uiPriority w:val="99"/>
    <w:rsid w:val="00C249C7"/>
    <w:rPr>
      <w:rFonts w:asciiTheme="minorHAnsi" w:hAnsiTheme="minorHAnsi"/>
      <w:sz w:val="14"/>
      <w:lang w:eastAsia="en-US"/>
    </w:rPr>
  </w:style>
  <w:style w:type="paragraph" w:customStyle="1" w:styleId="Contact">
    <w:name w:val="Contact"/>
    <w:basedOn w:val="OfficeAddress"/>
    <w:rsid w:val="00180AC7"/>
    <w:pPr>
      <w:spacing w:after="120" w:line="200" w:lineRule="exact"/>
      <w:ind w:left="113" w:right="-289"/>
    </w:pPr>
    <w:rPr>
      <w:rFonts w:asciiTheme="majorHAnsi" w:hAnsiTheme="majorHAnsi"/>
      <w:caps/>
      <w:sz w:val="14"/>
    </w:rPr>
  </w:style>
  <w:style w:type="paragraph" w:customStyle="1" w:styleId="BoxQuoteListBullet">
    <w:name w:val="Box Quote List Bullet"/>
    <w:basedOn w:val="BoxQuote"/>
    <w:uiPriority w:val="4"/>
    <w:rsid w:val="00EE1A65"/>
    <w:pPr>
      <w:numPr>
        <w:numId w:val="23"/>
      </w:numPr>
      <w:spacing w:before="40"/>
    </w:pPr>
  </w:style>
  <w:style w:type="paragraph" w:styleId="Bibliography">
    <w:name w:val="Bibliography"/>
    <w:basedOn w:val="Reference"/>
    <w:next w:val="BodyText"/>
    <w:uiPriority w:val="37"/>
    <w:semiHidden/>
    <w:rsid w:val="00C249C7"/>
  </w:style>
  <w:style w:type="table" w:customStyle="1" w:styleId="LightShading1">
    <w:name w:val="Light Shading1"/>
    <w:basedOn w:val="TableNormal"/>
    <w:uiPriority w:val="60"/>
    <w:rsid w:val="00C249C7"/>
    <w:pPr>
      <w:spacing w:before="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Equation">
    <w:name w:val="Equation"/>
    <w:basedOn w:val="BodyText"/>
    <w:next w:val="BodyText"/>
    <w:uiPriority w:val="8"/>
    <w:rsid w:val="00C249C7"/>
    <w:pPr>
      <w:spacing w:before="0" w:after="60" w:line="240" w:lineRule="auto"/>
      <w:jc w:val="center"/>
    </w:pPr>
  </w:style>
  <w:style w:type="character" w:styleId="PlaceholderText">
    <w:name w:val="Placeholder Text"/>
    <w:basedOn w:val="DefaultParagraphFont"/>
    <w:uiPriority w:val="99"/>
    <w:semiHidden/>
    <w:rsid w:val="00C249C7"/>
    <w:rPr>
      <w:color w:val="808080"/>
    </w:rPr>
  </w:style>
  <w:style w:type="paragraph" w:customStyle="1" w:styleId="Subject">
    <w:name w:val="Subject"/>
    <w:semiHidden/>
    <w:rsid w:val="00C249C7"/>
    <w:pPr>
      <w:spacing w:before="0"/>
    </w:pPr>
    <w:rPr>
      <w:rFonts w:ascii="Century Gothic" w:hAnsi="Century Gothic"/>
      <w:b/>
      <w:color w:val="000080"/>
      <w:szCs w:val="20"/>
      <w:lang w:eastAsia="en-US"/>
    </w:rPr>
  </w:style>
  <w:style w:type="paragraph" w:customStyle="1" w:styleId="Email">
    <w:name w:val="Email"/>
    <w:basedOn w:val="Normal"/>
    <w:semiHidden/>
    <w:rsid w:val="00C249C7"/>
    <w:pPr>
      <w:spacing w:line="240" w:lineRule="auto"/>
      <w:outlineLvl w:val="0"/>
    </w:pPr>
    <w:rPr>
      <w:sz w:val="23"/>
      <w:szCs w:val="20"/>
    </w:rPr>
  </w:style>
  <w:style w:type="paragraph" w:customStyle="1" w:styleId="SignatureBlock">
    <w:name w:val="Signature Block"/>
    <w:basedOn w:val="LetterName"/>
    <w:uiPriority w:val="6"/>
    <w:rsid w:val="00610859"/>
    <w:pPr>
      <w:spacing w:line="240" w:lineRule="auto"/>
    </w:pPr>
  </w:style>
  <w:style w:type="paragraph" w:customStyle="1" w:styleId="Address">
    <w:name w:val="Address"/>
    <w:basedOn w:val="BodyText"/>
    <w:uiPriority w:val="99"/>
    <w:semiHidden/>
    <w:rsid w:val="00C249C7"/>
  </w:style>
  <w:style w:type="paragraph" w:customStyle="1" w:styleId="OfficeDarwin">
    <w:name w:val="OfficeDarwin"/>
    <w:basedOn w:val="Office"/>
    <w:uiPriority w:val="99"/>
    <w:semiHidden/>
    <w:rsid w:val="00C249C7"/>
    <w:pPr>
      <w:spacing w:before="540"/>
      <w:ind w:right="-289"/>
    </w:pPr>
  </w:style>
  <w:style w:type="paragraph" w:customStyle="1" w:styleId="OfficeSydney">
    <w:name w:val="OfficeSydney"/>
    <w:basedOn w:val="Office"/>
    <w:uiPriority w:val="99"/>
    <w:semiHidden/>
    <w:rsid w:val="00C249C7"/>
    <w:pPr>
      <w:spacing w:before="640"/>
      <w:ind w:right="-289"/>
    </w:pPr>
  </w:style>
  <w:style w:type="paragraph" w:customStyle="1" w:styleId="Tablelistnumber2">
    <w:name w:val="Table list number 2"/>
    <w:basedOn w:val="Tablelistnumber"/>
    <w:uiPriority w:val="3"/>
    <w:rsid w:val="00520ED6"/>
    <w:pPr>
      <w:numPr>
        <w:ilvl w:val="1"/>
      </w:numPr>
    </w:pPr>
  </w:style>
  <w:style w:type="paragraph" w:customStyle="1" w:styleId="BoxListNumber3">
    <w:name w:val="Box List Number 3"/>
    <w:basedOn w:val="BoxListNumber2"/>
    <w:uiPriority w:val="4"/>
    <w:rsid w:val="00C249C7"/>
    <w:pPr>
      <w:numPr>
        <w:ilvl w:val="2"/>
      </w:numPr>
    </w:pPr>
  </w:style>
  <w:style w:type="paragraph" w:customStyle="1" w:styleId="Tablelistnumber3">
    <w:name w:val="Table list number 3"/>
    <w:basedOn w:val="Tablelistnumber2"/>
    <w:uiPriority w:val="3"/>
    <w:rsid w:val="00520ED6"/>
    <w:pPr>
      <w:numPr>
        <w:ilvl w:val="2"/>
      </w:numPr>
    </w:pPr>
    <w:rPr>
      <w:rFonts w:cs="Arial"/>
      <w:szCs w:val="16"/>
    </w:rPr>
  </w:style>
  <w:style w:type="character" w:customStyle="1" w:styleId="BodyTextChar">
    <w:name w:val="Body Text Char"/>
    <w:aliases w:val="Body Text Char1 Char,Body Text Char Char Char,Body Text Char2 Char,Body Text Char2 Char Char1 Char Char,Body Text Char1 Char Char Char Char Char,Body Text Char2 Char Char1 Char Char Char Char Char Char,Body Text Char11 Char Char"/>
    <w:basedOn w:val="DefaultParagraphFont"/>
    <w:link w:val="BodyText"/>
    <w:rsid w:val="00AD68FA"/>
    <w:rPr>
      <w:rFonts w:ascii="Times New Roman" w:hAnsi="Times New Roman"/>
      <w:sz w:val="22"/>
      <w:szCs w:val="22"/>
      <w:lang w:eastAsia="en-AU"/>
    </w:rPr>
  </w:style>
  <w:style w:type="numbering" w:styleId="111111">
    <w:name w:val="Outline List 2"/>
    <w:basedOn w:val="NoList"/>
    <w:uiPriority w:val="99"/>
    <w:semiHidden/>
    <w:unhideWhenUsed/>
    <w:rsid w:val="00C249C7"/>
    <w:pPr>
      <w:numPr>
        <w:numId w:val="6"/>
      </w:numPr>
    </w:pPr>
  </w:style>
  <w:style w:type="numbering" w:styleId="1ai">
    <w:name w:val="Outline List 1"/>
    <w:basedOn w:val="NoList"/>
    <w:uiPriority w:val="99"/>
    <w:semiHidden/>
    <w:unhideWhenUsed/>
    <w:rsid w:val="00C249C7"/>
    <w:pPr>
      <w:numPr>
        <w:numId w:val="5"/>
      </w:numPr>
    </w:pPr>
  </w:style>
  <w:style w:type="character" w:styleId="BookTitle">
    <w:name w:val="Book Title"/>
    <w:basedOn w:val="DefaultParagraphFont"/>
    <w:uiPriority w:val="33"/>
    <w:semiHidden/>
    <w:rsid w:val="00C249C7"/>
    <w:rPr>
      <w:b/>
      <w:bCs/>
      <w:smallCaps/>
      <w:spacing w:val="5"/>
    </w:rPr>
  </w:style>
  <w:style w:type="table" w:customStyle="1" w:styleId="ColorfulGrid1">
    <w:name w:val="Colorful Grid1"/>
    <w:basedOn w:val="TableNormal"/>
    <w:uiPriority w:val="73"/>
    <w:rsid w:val="00C249C7"/>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249C7"/>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ADDED" w:themeFill="accent1" w:themeFillTint="33"/>
    </w:tcPr>
    <w:tblStylePr w:type="firstRow">
      <w:rPr>
        <w:b/>
        <w:bCs/>
      </w:rPr>
      <w:tblPr/>
      <w:tcPr>
        <w:shd w:val="clear" w:color="auto" w:fill="D5BBDB" w:themeFill="accent1" w:themeFillTint="66"/>
      </w:tcPr>
    </w:tblStylePr>
    <w:tblStylePr w:type="lastRow">
      <w:rPr>
        <w:b/>
        <w:bCs/>
        <w:color w:val="000000" w:themeColor="text1"/>
      </w:rPr>
      <w:tblPr/>
      <w:tcPr>
        <w:shd w:val="clear" w:color="auto" w:fill="D5BBDB" w:themeFill="accent1" w:themeFillTint="66"/>
      </w:tcPr>
    </w:tblStylePr>
    <w:tblStylePr w:type="firstCol">
      <w:rPr>
        <w:color w:val="FFFFFF" w:themeColor="background1"/>
      </w:rPr>
      <w:tblPr/>
      <w:tcPr>
        <w:shd w:val="clear" w:color="auto" w:fill="70417C" w:themeFill="accent1" w:themeFillShade="BF"/>
      </w:tcPr>
    </w:tblStylePr>
    <w:tblStylePr w:type="lastCol">
      <w:rPr>
        <w:color w:val="FFFFFF" w:themeColor="background1"/>
      </w:rPr>
      <w:tblPr/>
      <w:tcPr>
        <w:shd w:val="clear" w:color="auto" w:fill="70417C" w:themeFill="accent1" w:themeFillShade="BF"/>
      </w:tcPr>
    </w:tblStylePr>
    <w:tblStylePr w:type="band1Vert">
      <w:tblPr/>
      <w:tcPr>
        <w:shd w:val="clear" w:color="auto" w:fill="CBABD3" w:themeFill="accent1" w:themeFillTint="7F"/>
      </w:tcPr>
    </w:tblStylePr>
    <w:tblStylePr w:type="band1Horz">
      <w:tblPr/>
      <w:tcPr>
        <w:shd w:val="clear" w:color="auto" w:fill="CBABD3" w:themeFill="accent1" w:themeFillTint="7F"/>
      </w:tcPr>
    </w:tblStylePr>
  </w:style>
  <w:style w:type="table" w:styleId="ColorfulGrid-Accent2">
    <w:name w:val="Colorful Grid Accent 2"/>
    <w:basedOn w:val="TableNormal"/>
    <w:uiPriority w:val="73"/>
    <w:rsid w:val="00C249C7"/>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EED7" w:themeFill="accent2" w:themeFillTint="33"/>
    </w:tcPr>
    <w:tblStylePr w:type="firstRow">
      <w:rPr>
        <w:b/>
        <w:bCs/>
      </w:rPr>
      <w:tblPr/>
      <w:tcPr>
        <w:shd w:val="clear" w:color="auto" w:fill="FFDEB0" w:themeFill="accent2" w:themeFillTint="66"/>
      </w:tcPr>
    </w:tblStylePr>
    <w:tblStylePr w:type="lastRow">
      <w:rPr>
        <w:b/>
        <w:bCs/>
        <w:color w:val="000000" w:themeColor="text1"/>
      </w:rPr>
      <w:tblPr/>
      <w:tcPr>
        <w:shd w:val="clear" w:color="auto" w:fill="FFDEB0" w:themeFill="accent2" w:themeFillTint="66"/>
      </w:tcPr>
    </w:tblStylePr>
    <w:tblStylePr w:type="firstCol">
      <w:rPr>
        <w:color w:val="FFFFFF" w:themeColor="background1"/>
      </w:rPr>
      <w:tblPr/>
      <w:tcPr>
        <w:shd w:val="clear" w:color="auto" w:fill="EB8900" w:themeFill="accent2" w:themeFillShade="BF"/>
      </w:tcPr>
    </w:tblStylePr>
    <w:tblStylePr w:type="lastCol">
      <w:rPr>
        <w:color w:val="FFFFFF" w:themeColor="background1"/>
      </w:rPr>
      <w:tblPr/>
      <w:tcPr>
        <w:shd w:val="clear" w:color="auto" w:fill="EB8900" w:themeFill="accent2" w:themeFillShade="BF"/>
      </w:tcPr>
    </w:tblStylePr>
    <w:tblStylePr w:type="band1Vert">
      <w:tblPr/>
      <w:tcPr>
        <w:shd w:val="clear" w:color="auto" w:fill="FFD69D" w:themeFill="accent2" w:themeFillTint="7F"/>
      </w:tcPr>
    </w:tblStylePr>
    <w:tblStylePr w:type="band1Horz">
      <w:tblPr/>
      <w:tcPr>
        <w:shd w:val="clear" w:color="auto" w:fill="FFD69D" w:themeFill="accent2" w:themeFillTint="7F"/>
      </w:tcPr>
    </w:tblStylePr>
  </w:style>
  <w:style w:type="table" w:styleId="ColorfulGrid-Accent3">
    <w:name w:val="Colorful Grid Accent 3"/>
    <w:basedOn w:val="TableNormal"/>
    <w:uiPriority w:val="73"/>
    <w:rsid w:val="00C249C7"/>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249C7"/>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0E7F2" w:themeFill="accent4" w:themeFillTint="33"/>
    </w:tcPr>
    <w:tblStylePr w:type="firstRow">
      <w:rPr>
        <w:b/>
        <w:bCs/>
      </w:rPr>
      <w:tblPr/>
      <w:tcPr>
        <w:shd w:val="clear" w:color="auto" w:fill="E1CFE6" w:themeFill="accent4" w:themeFillTint="66"/>
      </w:tcPr>
    </w:tblStylePr>
    <w:tblStylePr w:type="lastRow">
      <w:rPr>
        <w:b/>
        <w:bCs/>
        <w:color w:val="000000" w:themeColor="text1"/>
      </w:rPr>
      <w:tblPr/>
      <w:tcPr>
        <w:shd w:val="clear" w:color="auto" w:fill="E1CFE6" w:themeFill="accent4" w:themeFillTint="66"/>
      </w:tcPr>
    </w:tblStylePr>
    <w:tblStylePr w:type="firstCol">
      <w:rPr>
        <w:color w:val="FFFFFF" w:themeColor="background1"/>
      </w:rPr>
      <w:tblPr/>
      <w:tcPr>
        <w:shd w:val="clear" w:color="auto" w:fill="9255A1" w:themeFill="accent4" w:themeFillShade="BF"/>
      </w:tcPr>
    </w:tblStylePr>
    <w:tblStylePr w:type="lastCol">
      <w:rPr>
        <w:color w:val="FFFFFF" w:themeColor="background1"/>
      </w:rPr>
      <w:tblPr/>
      <w:tcPr>
        <w:shd w:val="clear" w:color="auto" w:fill="9255A1" w:themeFill="accent4" w:themeFillShade="BF"/>
      </w:tcPr>
    </w:tblStylePr>
    <w:tblStylePr w:type="band1Vert">
      <w:tblPr/>
      <w:tcPr>
        <w:shd w:val="clear" w:color="auto" w:fill="DAC4E0" w:themeFill="accent4" w:themeFillTint="7F"/>
      </w:tcPr>
    </w:tblStylePr>
    <w:tblStylePr w:type="band1Horz">
      <w:tblPr/>
      <w:tcPr>
        <w:shd w:val="clear" w:color="auto" w:fill="DAC4E0" w:themeFill="accent4" w:themeFillTint="7F"/>
      </w:tcPr>
    </w:tblStylePr>
  </w:style>
  <w:style w:type="table" w:styleId="ColorfulGrid-Accent5">
    <w:name w:val="Colorful Grid Accent 5"/>
    <w:basedOn w:val="TableNormal"/>
    <w:uiPriority w:val="73"/>
    <w:rsid w:val="00C249C7"/>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E8C7" w:themeFill="accent5" w:themeFillTint="33"/>
    </w:tcPr>
    <w:tblStylePr w:type="firstRow">
      <w:rPr>
        <w:b/>
        <w:bCs/>
      </w:rPr>
      <w:tblPr/>
      <w:tcPr>
        <w:shd w:val="clear" w:color="auto" w:fill="FFD190" w:themeFill="accent5" w:themeFillTint="66"/>
      </w:tcPr>
    </w:tblStylePr>
    <w:tblStylePr w:type="lastRow">
      <w:rPr>
        <w:b/>
        <w:bCs/>
        <w:color w:val="000000" w:themeColor="text1"/>
      </w:rPr>
      <w:tblPr/>
      <w:tcPr>
        <w:shd w:val="clear" w:color="auto" w:fill="FFD190" w:themeFill="accent5" w:themeFillTint="66"/>
      </w:tcPr>
    </w:tblStylePr>
    <w:tblStylePr w:type="firstCol">
      <w:rPr>
        <w:color w:val="FFFFFF" w:themeColor="background1"/>
      </w:rPr>
      <w:tblPr/>
      <w:tcPr>
        <w:shd w:val="clear" w:color="auto" w:fill="AF6700" w:themeFill="accent5" w:themeFillShade="BF"/>
      </w:tcPr>
    </w:tblStylePr>
    <w:tblStylePr w:type="lastCol">
      <w:rPr>
        <w:color w:val="FFFFFF" w:themeColor="background1"/>
      </w:rPr>
      <w:tblPr/>
      <w:tcPr>
        <w:shd w:val="clear" w:color="auto" w:fill="AF6700" w:themeFill="accent5" w:themeFillShade="BF"/>
      </w:tcPr>
    </w:tblStylePr>
    <w:tblStylePr w:type="band1Vert">
      <w:tblPr/>
      <w:tcPr>
        <w:shd w:val="clear" w:color="auto" w:fill="FFC675" w:themeFill="accent5" w:themeFillTint="7F"/>
      </w:tcPr>
    </w:tblStylePr>
    <w:tblStylePr w:type="band1Horz">
      <w:tblPr/>
      <w:tcPr>
        <w:shd w:val="clear" w:color="auto" w:fill="FFC675" w:themeFill="accent5" w:themeFillTint="7F"/>
      </w:tcPr>
    </w:tblStylePr>
  </w:style>
  <w:style w:type="table" w:styleId="ColorfulGrid-Accent6">
    <w:name w:val="Colorful Grid Accent 6"/>
    <w:basedOn w:val="TableNormal"/>
    <w:uiPriority w:val="73"/>
    <w:rsid w:val="00C249C7"/>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2F2F2" w:themeFill="accent6" w:themeFillTint="33"/>
    </w:tcPr>
    <w:tblStylePr w:type="firstRow">
      <w:rPr>
        <w:b/>
        <w:bCs/>
      </w:rPr>
      <w:tblPr/>
      <w:tcPr>
        <w:shd w:val="clear" w:color="auto" w:fill="E5E5E5" w:themeFill="accent6" w:themeFillTint="66"/>
      </w:tcPr>
    </w:tblStylePr>
    <w:tblStylePr w:type="lastRow">
      <w:rPr>
        <w:b/>
        <w:bCs/>
        <w:color w:val="000000" w:themeColor="text1"/>
      </w:rPr>
      <w:tblPr/>
      <w:tcPr>
        <w:shd w:val="clear" w:color="auto" w:fill="E5E5E5" w:themeFill="accent6" w:themeFillTint="66"/>
      </w:tcPr>
    </w:tblStylePr>
    <w:tblStylePr w:type="firstCol">
      <w:rPr>
        <w:color w:val="FFFFFF" w:themeColor="background1"/>
      </w:rPr>
      <w:tblPr/>
      <w:tcPr>
        <w:shd w:val="clear" w:color="auto" w:fill="8F8F8F" w:themeFill="accent6" w:themeFillShade="BF"/>
      </w:tcPr>
    </w:tblStylePr>
    <w:tblStylePr w:type="lastCol">
      <w:rPr>
        <w:color w:val="FFFFFF" w:themeColor="background1"/>
      </w:rPr>
      <w:tblPr/>
      <w:tcPr>
        <w:shd w:val="clear" w:color="auto" w:fill="8F8F8F" w:themeFill="accent6" w:themeFillShade="BF"/>
      </w:tcPr>
    </w:tblStylePr>
    <w:tblStylePr w:type="band1Vert">
      <w:tblPr/>
      <w:tcPr>
        <w:shd w:val="clear" w:color="auto" w:fill="DFDFDF" w:themeFill="accent6" w:themeFillTint="7F"/>
      </w:tcPr>
    </w:tblStylePr>
    <w:tblStylePr w:type="band1Horz">
      <w:tblPr/>
      <w:tcPr>
        <w:shd w:val="clear" w:color="auto" w:fill="DFDFDF" w:themeFill="accent6" w:themeFillTint="7F"/>
      </w:tcPr>
    </w:tblStylePr>
  </w:style>
  <w:style w:type="table" w:customStyle="1" w:styleId="ColorfulList1">
    <w:name w:val="Colorful List1"/>
    <w:basedOn w:val="TableNormal"/>
    <w:uiPriority w:val="72"/>
    <w:rsid w:val="00C249C7"/>
    <w:pPr>
      <w:spacing w:before="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B9200" w:themeFill="accent2" w:themeFillShade="CC"/>
      </w:tcPr>
    </w:tblStylePr>
    <w:tblStylePr w:type="lastRow">
      <w:rPr>
        <w:b/>
        <w:bCs/>
        <w:color w:val="FB92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249C7"/>
    <w:pPr>
      <w:spacing w:before="0" w:line="240" w:lineRule="auto"/>
    </w:pPr>
    <w:rPr>
      <w:color w:val="000000" w:themeColor="text1"/>
    </w:rPr>
    <w:tblPr>
      <w:tblStyleRowBandSize w:val="1"/>
      <w:tblStyleColBandSize w:val="1"/>
    </w:tblPr>
    <w:tcPr>
      <w:shd w:val="clear" w:color="auto" w:fill="F4EEF6" w:themeFill="accent1" w:themeFillTint="19"/>
    </w:tcPr>
    <w:tblStylePr w:type="firstRow">
      <w:rPr>
        <w:b/>
        <w:bCs/>
        <w:color w:val="FFFFFF" w:themeColor="background1"/>
      </w:rPr>
      <w:tblPr/>
      <w:tcPr>
        <w:tcBorders>
          <w:bottom w:val="single" w:sz="12" w:space="0" w:color="FFFFFF" w:themeColor="background1"/>
        </w:tcBorders>
        <w:shd w:val="clear" w:color="auto" w:fill="FB9200" w:themeFill="accent2" w:themeFillShade="CC"/>
      </w:tcPr>
    </w:tblStylePr>
    <w:tblStylePr w:type="lastRow">
      <w:rPr>
        <w:b/>
        <w:bCs/>
        <w:color w:val="FB92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D5E9" w:themeFill="accent1" w:themeFillTint="3F"/>
      </w:tcPr>
    </w:tblStylePr>
    <w:tblStylePr w:type="band1Horz">
      <w:tblPr/>
      <w:tcPr>
        <w:shd w:val="clear" w:color="auto" w:fill="EADDED" w:themeFill="accent1" w:themeFillTint="33"/>
      </w:tcPr>
    </w:tblStylePr>
  </w:style>
  <w:style w:type="table" w:styleId="ColorfulList-Accent2">
    <w:name w:val="Colorful List Accent 2"/>
    <w:basedOn w:val="TableNormal"/>
    <w:uiPriority w:val="72"/>
    <w:rsid w:val="00C249C7"/>
    <w:pPr>
      <w:spacing w:before="0" w:line="240" w:lineRule="auto"/>
    </w:pPr>
    <w:rPr>
      <w:color w:val="000000" w:themeColor="text1"/>
    </w:rPr>
    <w:tblPr>
      <w:tblStyleRowBandSize w:val="1"/>
      <w:tblStyleColBandSize w:val="1"/>
    </w:tblPr>
    <w:tcPr>
      <w:shd w:val="clear" w:color="auto" w:fill="FFF6EB" w:themeFill="accent2" w:themeFillTint="19"/>
    </w:tcPr>
    <w:tblStylePr w:type="firstRow">
      <w:rPr>
        <w:b/>
        <w:bCs/>
        <w:color w:val="FFFFFF" w:themeColor="background1"/>
      </w:rPr>
      <w:tblPr/>
      <w:tcPr>
        <w:tcBorders>
          <w:bottom w:val="single" w:sz="12" w:space="0" w:color="FFFFFF" w:themeColor="background1"/>
        </w:tcBorders>
        <w:shd w:val="clear" w:color="auto" w:fill="FB9200" w:themeFill="accent2" w:themeFillShade="CC"/>
      </w:tcPr>
    </w:tblStylePr>
    <w:tblStylePr w:type="lastRow">
      <w:rPr>
        <w:b/>
        <w:bCs/>
        <w:color w:val="FB92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ACE" w:themeFill="accent2" w:themeFillTint="3F"/>
      </w:tcPr>
    </w:tblStylePr>
    <w:tblStylePr w:type="band1Horz">
      <w:tblPr/>
      <w:tcPr>
        <w:shd w:val="clear" w:color="auto" w:fill="FFEED7" w:themeFill="accent2" w:themeFillTint="33"/>
      </w:tcPr>
    </w:tblStylePr>
  </w:style>
  <w:style w:type="table" w:styleId="ColorfulList-Accent3">
    <w:name w:val="Colorful List Accent 3"/>
    <w:basedOn w:val="TableNormal"/>
    <w:uiPriority w:val="72"/>
    <w:rsid w:val="00C249C7"/>
    <w:pPr>
      <w:spacing w:before="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9B5DAA" w:themeFill="accent4" w:themeFillShade="CC"/>
      </w:tcPr>
    </w:tblStylePr>
    <w:tblStylePr w:type="lastRow">
      <w:rPr>
        <w:b/>
        <w:bCs/>
        <w:color w:val="9B5D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249C7"/>
    <w:pPr>
      <w:spacing w:before="0" w:line="240" w:lineRule="auto"/>
    </w:pPr>
    <w:rPr>
      <w:color w:val="000000" w:themeColor="text1"/>
    </w:rPr>
    <w:tblPr>
      <w:tblStyleRowBandSize w:val="1"/>
      <w:tblStyleColBandSize w:val="1"/>
    </w:tblPr>
    <w:tcPr>
      <w:shd w:val="clear" w:color="auto" w:fill="F7F3F9"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1EF" w:themeFill="accent4" w:themeFillTint="3F"/>
      </w:tcPr>
    </w:tblStylePr>
    <w:tblStylePr w:type="band1Horz">
      <w:tblPr/>
      <w:tcPr>
        <w:shd w:val="clear" w:color="auto" w:fill="F0E7F2" w:themeFill="accent4" w:themeFillTint="33"/>
      </w:tcPr>
    </w:tblStylePr>
  </w:style>
  <w:style w:type="table" w:styleId="ColorfulList-Accent5">
    <w:name w:val="Colorful List Accent 5"/>
    <w:basedOn w:val="TableNormal"/>
    <w:uiPriority w:val="72"/>
    <w:rsid w:val="00C249C7"/>
    <w:pPr>
      <w:spacing w:before="0" w:line="240" w:lineRule="auto"/>
    </w:pPr>
    <w:rPr>
      <w:color w:val="000000" w:themeColor="text1"/>
    </w:rPr>
    <w:tblPr>
      <w:tblStyleRowBandSize w:val="1"/>
      <w:tblStyleColBandSize w:val="1"/>
    </w:tblPr>
    <w:tcPr>
      <w:shd w:val="clear" w:color="auto" w:fill="FFF3E3" w:themeFill="accent5" w:themeFillTint="19"/>
    </w:tcPr>
    <w:tblStylePr w:type="firstRow">
      <w:rPr>
        <w:b/>
        <w:bCs/>
        <w:color w:val="FFFFFF" w:themeColor="background1"/>
      </w:rPr>
      <w:tblPr/>
      <w:tcPr>
        <w:tcBorders>
          <w:bottom w:val="single" w:sz="12" w:space="0" w:color="FFFFFF" w:themeColor="background1"/>
        </w:tcBorders>
        <w:shd w:val="clear" w:color="auto" w:fill="989898" w:themeFill="accent6" w:themeFillShade="CC"/>
      </w:tcPr>
    </w:tblStylePr>
    <w:tblStylePr w:type="lastRow">
      <w:rPr>
        <w:b/>
        <w:bCs/>
        <w:color w:val="98989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3BA" w:themeFill="accent5" w:themeFillTint="3F"/>
      </w:tcPr>
    </w:tblStylePr>
    <w:tblStylePr w:type="band1Horz">
      <w:tblPr/>
      <w:tcPr>
        <w:shd w:val="clear" w:color="auto" w:fill="FFE8C7" w:themeFill="accent5" w:themeFillTint="33"/>
      </w:tcPr>
    </w:tblStylePr>
  </w:style>
  <w:style w:type="table" w:styleId="ColorfulList-Accent6">
    <w:name w:val="Colorful List Accent 6"/>
    <w:basedOn w:val="TableNormal"/>
    <w:uiPriority w:val="72"/>
    <w:rsid w:val="00C249C7"/>
    <w:pPr>
      <w:spacing w:before="0" w:line="240" w:lineRule="auto"/>
    </w:pPr>
    <w:rPr>
      <w:color w:val="000000" w:themeColor="text1"/>
    </w:rPr>
    <w:tblPr>
      <w:tblStyleRowBandSize w:val="1"/>
      <w:tblStyleColBandSize w:val="1"/>
    </w:tblPr>
    <w:tcPr>
      <w:shd w:val="clear" w:color="auto" w:fill="F8F8F8" w:themeFill="accent6" w:themeFillTint="19"/>
    </w:tcPr>
    <w:tblStylePr w:type="firstRow">
      <w:rPr>
        <w:b/>
        <w:bCs/>
        <w:color w:val="FFFFFF" w:themeColor="background1"/>
      </w:rPr>
      <w:tblPr/>
      <w:tcPr>
        <w:tcBorders>
          <w:bottom w:val="single" w:sz="12" w:space="0" w:color="FFFFFF" w:themeColor="background1"/>
        </w:tcBorders>
        <w:shd w:val="clear" w:color="auto" w:fill="BB6E00" w:themeFill="accent5" w:themeFillShade="CC"/>
      </w:tcPr>
    </w:tblStylePr>
    <w:tblStylePr w:type="lastRow">
      <w:rPr>
        <w:b/>
        <w:bCs/>
        <w:color w:val="BB6E0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FEF" w:themeFill="accent6" w:themeFillTint="3F"/>
      </w:tcPr>
    </w:tblStylePr>
    <w:tblStylePr w:type="band1Horz">
      <w:tblPr/>
      <w:tcPr>
        <w:shd w:val="clear" w:color="auto" w:fill="F2F2F2" w:themeFill="accent6" w:themeFillTint="33"/>
      </w:tcPr>
    </w:tblStylePr>
  </w:style>
  <w:style w:type="table" w:customStyle="1" w:styleId="ColorfulShading1">
    <w:name w:val="Colorful Shading1"/>
    <w:basedOn w:val="TableNormal"/>
    <w:uiPriority w:val="71"/>
    <w:rsid w:val="00C249C7"/>
    <w:pPr>
      <w:spacing w:before="0" w:line="240" w:lineRule="auto"/>
    </w:pPr>
    <w:rPr>
      <w:color w:val="000000" w:themeColor="text1"/>
    </w:rPr>
    <w:tblPr>
      <w:tblStyleRowBandSize w:val="1"/>
      <w:tblStyleColBandSize w:val="1"/>
      <w:tblBorders>
        <w:top w:val="single" w:sz="24" w:space="0" w:color="FFAE3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AE3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249C7"/>
    <w:pPr>
      <w:spacing w:before="0" w:line="240" w:lineRule="auto"/>
    </w:pPr>
    <w:rPr>
      <w:color w:val="000000" w:themeColor="text1"/>
    </w:rPr>
    <w:tblPr>
      <w:tblStyleRowBandSize w:val="1"/>
      <w:tblStyleColBandSize w:val="1"/>
      <w:tblBorders>
        <w:top w:val="single" w:sz="24" w:space="0" w:color="FFAE3B" w:themeColor="accent2"/>
        <w:left w:val="single" w:sz="4" w:space="0" w:color="9757A6" w:themeColor="accent1"/>
        <w:bottom w:val="single" w:sz="4" w:space="0" w:color="9757A6" w:themeColor="accent1"/>
        <w:right w:val="single" w:sz="4" w:space="0" w:color="9757A6" w:themeColor="accent1"/>
        <w:insideH w:val="single" w:sz="4" w:space="0" w:color="FFFFFF" w:themeColor="background1"/>
        <w:insideV w:val="single" w:sz="4" w:space="0" w:color="FFFFFF" w:themeColor="background1"/>
      </w:tblBorders>
    </w:tblPr>
    <w:tcPr>
      <w:shd w:val="clear" w:color="auto" w:fill="F4EEF6" w:themeFill="accent1" w:themeFillTint="19"/>
    </w:tcPr>
    <w:tblStylePr w:type="firstRow">
      <w:rPr>
        <w:b/>
        <w:bCs/>
      </w:rPr>
      <w:tblPr/>
      <w:tcPr>
        <w:tcBorders>
          <w:top w:val="nil"/>
          <w:left w:val="nil"/>
          <w:bottom w:val="single" w:sz="24" w:space="0" w:color="FFAE3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3463" w:themeFill="accent1" w:themeFillShade="99"/>
      </w:tcPr>
    </w:tblStylePr>
    <w:tblStylePr w:type="firstCol">
      <w:rPr>
        <w:color w:val="FFFFFF" w:themeColor="background1"/>
      </w:rPr>
      <w:tblPr/>
      <w:tcPr>
        <w:tcBorders>
          <w:top w:val="nil"/>
          <w:left w:val="nil"/>
          <w:bottom w:val="nil"/>
          <w:right w:val="nil"/>
          <w:insideH w:val="single" w:sz="4" w:space="0" w:color="5A3463" w:themeColor="accent1" w:themeShade="99"/>
          <w:insideV w:val="nil"/>
        </w:tcBorders>
        <w:shd w:val="clear" w:color="auto" w:fill="5A3463"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5A3463" w:themeFill="accent1" w:themeFillShade="99"/>
      </w:tcPr>
    </w:tblStylePr>
    <w:tblStylePr w:type="band1Vert">
      <w:tblPr/>
      <w:tcPr>
        <w:shd w:val="clear" w:color="auto" w:fill="D5BBDB" w:themeFill="accent1" w:themeFillTint="66"/>
      </w:tcPr>
    </w:tblStylePr>
    <w:tblStylePr w:type="band1Horz">
      <w:tblPr/>
      <w:tcPr>
        <w:shd w:val="clear" w:color="auto" w:fill="CBABD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249C7"/>
    <w:pPr>
      <w:spacing w:before="0" w:line="240" w:lineRule="auto"/>
    </w:pPr>
    <w:rPr>
      <w:color w:val="000000" w:themeColor="text1"/>
    </w:rPr>
    <w:tblPr>
      <w:tblStyleRowBandSize w:val="1"/>
      <w:tblStyleColBandSize w:val="1"/>
      <w:tblBorders>
        <w:top w:val="single" w:sz="24" w:space="0" w:color="FFAE3B" w:themeColor="accent2"/>
        <w:left w:val="single" w:sz="4" w:space="0" w:color="FFAE3B" w:themeColor="accent2"/>
        <w:bottom w:val="single" w:sz="4" w:space="0" w:color="FFAE3B" w:themeColor="accent2"/>
        <w:right w:val="single" w:sz="4" w:space="0" w:color="FFAE3B" w:themeColor="accent2"/>
        <w:insideH w:val="single" w:sz="4" w:space="0" w:color="FFFFFF" w:themeColor="background1"/>
        <w:insideV w:val="single" w:sz="4" w:space="0" w:color="FFFFFF" w:themeColor="background1"/>
      </w:tblBorders>
    </w:tblPr>
    <w:tcPr>
      <w:shd w:val="clear" w:color="auto" w:fill="FFF6EB" w:themeFill="accent2" w:themeFillTint="19"/>
    </w:tcPr>
    <w:tblStylePr w:type="firstRow">
      <w:rPr>
        <w:b/>
        <w:bCs/>
      </w:rPr>
      <w:tblPr/>
      <w:tcPr>
        <w:tcBorders>
          <w:top w:val="nil"/>
          <w:left w:val="nil"/>
          <w:bottom w:val="single" w:sz="24" w:space="0" w:color="FFAE3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C6E00" w:themeFill="accent2" w:themeFillShade="99"/>
      </w:tcPr>
    </w:tblStylePr>
    <w:tblStylePr w:type="firstCol">
      <w:rPr>
        <w:color w:val="FFFFFF" w:themeColor="background1"/>
      </w:rPr>
      <w:tblPr/>
      <w:tcPr>
        <w:tcBorders>
          <w:top w:val="nil"/>
          <w:left w:val="nil"/>
          <w:bottom w:val="nil"/>
          <w:right w:val="nil"/>
          <w:insideH w:val="single" w:sz="4" w:space="0" w:color="BC6E00" w:themeColor="accent2" w:themeShade="99"/>
          <w:insideV w:val="nil"/>
        </w:tcBorders>
        <w:shd w:val="clear" w:color="auto" w:fill="BC6E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BC6E00" w:themeFill="accent2" w:themeFillShade="99"/>
      </w:tcPr>
    </w:tblStylePr>
    <w:tblStylePr w:type="band1Vert">
      <w:tblPr/>
      <w:tcPr>
        <w:shd w:val="clear" w:color="auto" w:fill="FFDEB0" w:themeFill="accent2" w:themeFillTint="66"/>
      </w:tcPr>
    </w:tblStylePr>
    <w:tblStylePr w:type="band1Horz">
      <w:tblPr/>
      <w:tcPr>
        <w:shd w:val="clear" w:color="auto" w:fill="FFD69D"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249C7"/>
    <w:pPr>
      <w:spacing w:before="0" w:line="240" w:lineRule="auto"/>
    </w:pPr>
    <w:rPr>
      <w:color w:val="000000" w:themeColor="text1"/>
    </w:rPr>
    <w:tblPr>
      <w:tblStyleRowBandSize w:val="1"/>
      <w:tblStyleColBandSize w:val="1"/>
      <w:tblBorders>
        <w:top w:val="single" w:sz="24" w:space="0" w:color="B689C1"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B689C1"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249C7"/>
    <w:pPr>
      <w:spacing w:before="0" w:line="240" w:lineRule="auto"/>
    </w:pPr>
    <w:rPr>
      <w:color w:val="000000" w:themeColor="text1"/>
    </w:rPr>
    <w:tblPr>
      <w:tblStyleRowBandSize w:val="1"/>
      <w:tblStyleColBandSize w:val="1"/>
      <w:tblBorders>
        <w:top w:val="single" w:sz="24" w:space="0" w:color="A5A5A5" w:themeColor="accent3"/>
        <w:left w:val="single" w:sz="4" w:space="0" w:color="B689C1" w:themeColor="accent4"/>
        <w:bottom w:val="single" w:sz="4" w:space="0" w:color="B689C1" w:themeColor="accent4"/>
        <w:right w:val="single" w:sz="4" w:space="0" w:color="B689C1" w:themeColor="accent4"/>
        <w:insideH w:val="single" w:sz="4" w:space="0" w:color="FFFFFF" w:themeColor="background1"/>
        <w:insideV w:val="single" w:sz="4" w:space="0" w:color="FFFFFF" w:themeColor="background1"/>
      </w:tblBorders>
    </w:tblPr>
    <w:tcPr>
      <w:shd w:val="clear" w:color="auto" w:fill="F7F3F9"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54481" w:themeFill="accent4" w:themeFillShade="99"/>
      </w:tcPr>
    </w:tblStylePr>
    <w:tblStylePr w:type="firstCol">
      <w:rPr>
        <w:color w:val="FFFFFF" w:themeColor="background1"/>
      </w:rPr>
      <w:tblPr/>
      <w:tcPr>
        <w:tcBorders>
          <w:top w:val="nil"/>
          <w:left w:val="nil"/>
          <w:bottom w:val="nil"/>
          <w:right w:val="nil"/>
          <w:insideH w:val="single" w:sz="4" w:space="0" w:color="754481" w:themeColor="accent4" w:themeShade="99"/>
          <w:insideV w:val="nil"/>
        </w:tcBorders>
        <w:shd w:val="clear" w:color="auto" w:fill="75448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54481" w:themeFill="accent4" w:themeFillShade="99"/>
      </w:tcPr>
    </w:tblStylePr>
    <w:tblStylePr w:type="band1Vert">
      <w:tblPr/>
      <w:tcPr>
        <w:shd w:val="clear" w:color="auto" w:fill="E1CFE6" w:themeFill="accent4" w:themeFillTint="66"/>
      </w:tcPr>
    </w:tblStylePr>
    <w:tblStylePr w:type="band1Horz">
      <w:tblPr/>
      <w:tcPr>
        <w:shd w:val="clear" w:color="auto" w:fill="DAC4E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249C7"/>
    <w:pPr>
      <w:spacing w:before="0" w:line="240" w:lineRule="auto"/>
    </w:pPr>
    <w:rPr>
      <w:color w:val="000000" w:themeColor="text1"/>
    </w:rPr>
    <w:tblPr>
      <w:tblStyleRowBandSize w:val="1"/>
      <w:tblStyleColBandSize w:val="1"/>
      <w:tblBorders>
        <w:top w:val="single" w:sz="24" w:space="0" w:color="BFBFBF" w:themeColor="accent6"/>
        <w:left w:val="single" w:sz="4" w:space="0" w:color="EA8B00" w:themeColor="accent5"/>
        <w:bottom w:val="single" w:sz="4" w:space="0" w:color="EA8B00" w:themeColor="accent5"/>
        <w:right w:val="single" w:sz="4" w:space="0" w:color="EA8B00" w:themeColor="accent5"/>
        <w:insideH w:val="single" w:sz="4" w:space="0" w:color="FFFFFF" w:themeColor="background1"/>
        <w:insideV w:val="single" w:sz="4" w:space="0" w:color="FFFFFF" w:themeColor="background1"/>
      </w:tblBorders>
    </w:tblPr>
    <w:tcPr>
      <w:shd w:val="clear" w:color="auto" w:fill="FFF3E3" w:themeFill="accent5" w:themeFillTint="19"/>
    </w:tcPr>
    <w:tblStylePr w:type="firstRow">
      <w:rPr>
        <w:b/>
        <w:bCs/>
      </w:rPr>
      <w:tblPr/>
      <w:tcPr>
        <w:tcBorders>
          <w:top w:val="nil"/>
          <w:left w:val="nil"/>
          <w:bottom w:val="single" w:sz="24" w:space="0" w:color="BFBFB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C5300" w:themeFill="accent5" w:themeFillShade="99"/>
      </w:tcPr>
    </w:tblStylePr>
    <w:tblStylePr w:type="firstCol">
      <w:rPr>
        <w:color w:val="FFFFFF" w:themeColor="background1"/>
      </w:rPr>
      <w:tblPr/>
      <w:tcPr>
        <w:tcBorders>
          <w:top w:val="nil"/>
          <w:left w:val="nil"/>
          <w:bottom w:val="nil"/>
          <w:right w:val="nil"/>
          <w:insideH w:val="single" w:sz="4" w:space="0" w:color="8C5300" w:themeColor="accent5" w:themeShade="99"/>
          <w:insideV w:val="nil"/>
        </w:tcBorders>
        <w:shd w:val="clear" w:color="auto" w:fill="8C53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C5300" w:themeFill="accent5" w:themeFillShade="99"/>
      </w:tcPr>
    </w:tblStylePr>
    <w:tblStylePr w:type="band1Vert">
      <w:tblPr/>
      <w:tcPr>
        <w:shd w:val="clear" w:color="auto" w:fill="FFD190" w:themeFill="accent5" w:themeFillTint="66"/>
      </w:tcPr>
    </w:tblStylePr>
    <w:tblStylePr w:type="band1Horz">
      <w:tblPr/>
      <w:tcPr>
        <w:shd w:val="clear" w:color="auto" w:fill="FFC675"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249C7"/>
    <w:pPr>
      <w:spacing w:before="0" w:line="240" w:lineRule="auto"/>
    </w:pPr>
    <w:rPr>
      <w:color w:val="000000" w:themeColor="text1"/>
    </w:rPr>
    <w:tblPr>
      <w:tblStyleRowBandSize w:val="1"/>
      <w:tblStyleColBandSize w:val="1"/>
      <w:tblBorders>
        <w:top w:val="single" w:sz="24" w:space="0" w:color="EA8B00" w:themeColor="accent5"/>
        <w:left w:val="single" w:sz="4" w:space="0" w:color="BFBFBF" w:themeColor="accent6"/>
        <w:bottom w:val="single" w:sz="4" w:space="0" w:color="BFBFBF" w:themeColor="accent6"/>
        <w:right w:val="single" w:sz="4" w:space="0" w:color="BFBFBF" w:themeColor="accent6"/>
        <w:insideH w:val="single" w:sz="4" w:space="0" w:color="FFFFFF" w:themeColor="background1"/>
        <w:insideV w:val="single" w:sz="4" w:space="0" w:color="FFFFFF" w:themeColor="background1"/>
      </w:tblBorders>
    </w:tblPr>
    <w:tcPr>
      <w:shd w:val="clear" w:color="auto" w:fill="F8F8F8" w:themeFill="accent6" w:themeFillTint="19"/>
    </w:tcPr>
    <w:tblStylePr w:type="firstRow">
      <w:rPr>
        <w:b/>
        <w:bCs/>
      </w:rPr>
      <w:tblPr/>
      <w:tcPr>
        <w:tcBorders>
          <w:top w:val="nil"/>
          <w:left w:val="nil"/>
          <w:bottom w:val="single" w:sz="24" w:space="0" w:color="EA8B0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7272" w:themeFill="accent6" w:themeFillShade="99"/>
      </w:tcPr>
    </w:tblStylePr>
    <w:tblStylePr w:type="firstCol">
      <w:rPr>
        <w:color w:val="FFFFFF" w:themeColor="background1"/>
      </w:rPr>
      <w:tblPr/>
      <w:tcPr>
        <w:tcBorders>
          <w:top w:val="nil"/>
          <w:left w:val="nil"/>
          <w:bottom w:val="nil"/>
          <w:right w:val="nil"/>
          <w:insideH w:val="single" w:sz="4" w:space="0" w:color="727272" w:themeColor="accent6" w:themeShade="99"/>
          <w:insideV w:val="nil"/>
        </w:tcBorders>
        <w:shd w:val="clear" w:color="auto" w:fill="72727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27272" w:themeFill="accent6" w:themeFillShade="99"/>
      </w:tcPr>
    </w:tblStylePr>
    <w:tblStylePr w:type="band1Vert">
      <w:tblPr/>
      <w:tcPr>
        <w:shd w:val="clear" w:color="auto" w:fill="E5E5E5" w:themeFill="accent6" w:themeFillTint="66"/>
      </w:tcPr>
    </w:tblStylePr>
    <w:tblStylePr w:type="band1Horz">
      <w:tblPr/>
      <w:tcPr>
        <w:shd w:val="clear" w:color="auto" w:fill="DFDFDF"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TableNormal"/>
    <w:uiPriority w:val="70"/>
    <w:rsid w:val="00C249C7"/>
    <w:pPr>
      <w:spacing w:before="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249C7"/>
    <w:pPr>
      <w:spacing w:before="0" w:line="240" w:lineRule="auto"/>
    </w:pPr>
    <w:rPr>
      <w:color w:val="FFFFFF" w:themeColor="background1"/>
    </w:rPr>
    <w:tblPr>
      <w:tblStyleRowBandSize w:val="1"/>
      <w:tblStyleColBandSize w:val="1"/>
    </w:tblPr>
    <w:tcPr>
      <w:shd w:val="clear" w:color="auto" w:fill="9757A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B2B5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70417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70417C" w:themeFill="accent1" w:themeFillShade="BF"/>
      </w:tcPr>
    </w:tblStylePr>
    <w:tblStylePr w:type="band1Vert">
      <w:tblPr/>
      <w:tcPr>
        <w:tcBorders>
          <w:top w:val="nil"/>
          <w:left w:val="nil"/>
          <w:bottom w:val="nil"/>
          <w:right w:val="nil"/>
          <w:insideH w:val="nil"/>
          <w:insideV w:val="nil"/>
        </w:tcBorders>
        <w:shd w:val="clear" w:color="auto" w:fill="70417C" w:themeFill="accent1" w:themeFillShade="BF"/>
      </w:tcPr>
    </w:tblStylePr>
    <w:tblStylePr w:type="band1Horz">
      <w:tblPr/>
      <w:tcPr>
        <w:tcBorders>
          <w:top w:val="nil"/>
          <w:left w:val="nil"/>
          <w:bottom w:val="nil"/>
          <w:right w:val="nil"/>
          <w:insideH w:val="nil"/>
          <w:insideV w:val="nil"/>
        </w:tcBorders>
        <w:shd w:val="clear" w:color="auto" w:fill="70417C" w:themeFill="accent1" w:themeFillShade="BF"/>
      </w:tcPr>
    </w:tblStylePr>
  </w:style>
  <w:style w:type="table" w:styleId="DarkList-Accent2">
    <w:name w:val="Dark List Accent 2"/>
    <w:basedOn w:val="TableNormal"/>
    <w:uiPriority w:val="70"/>
    <w:rsid w:val="00C249C7"/>
    <w:pPr>
      <w:spacing w:before="0" w:line="240" w:lineRule="auto"/>
    </w:pPr>
    <w:rPr>
      <w:color w:val="FFFFFF" w:themeColor="background1"/>
    </w:rPr>
    <w:tblPr>
      <w:tblStyleRowBandSize w:val="1"/>
      <w:tblStyleColBandSize w:val="1"/>
    </w:tblPr>
    <w:tcPr>
      <w:shd w:val="clear" w:color="auto" w:fill="FFAE3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C5B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EB89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EB8900" w:themeFill="accent2" w:themeFillShade="BF"/>
      </w:tcPr>
    </w:tblStylePr>
    <w:tblStylePr w:type="band1Vert">
      <w:tblPr/>
      <w:tcPr>
        <w:tcBorders>
          <w:top w:val="nil"/>
          <w:left w:val="nil"/>
          <w:bottom w:val="nil"/>
          <w:right w:val="nil"/>
          <w:insideH w:val="nil"/>
          <w:insideV w:val="nil"/>
        </w:tcBorders>
        <w:shd w:val="clear" w:color="auto" w:fill="EB8900" w:themeFill="accent2" w:themeFillShade="BF"/>
      </w:tcPr>
    </w:tblStylePr>
    <w:tblStylePr w:type="band1Horz">
      <w:tblPr/>
      <w:tcPr>
        <w:tcBorders>
          <w:top w:val="nil"/>
          <w:left w:val="nil"/>
          <w:bottom w:val="nil"/>
          <w:right w:val="nil"/>
          <w:insideH w:val="nil"/>
          <w:insideV w:val="nil"/>
        </w:tcBorders>
        <w:shd w:val="clear" w:color="auto" w:fill="EB8900" w:themeFill="accent2" w:themeFillShade="BF"/>
      </w:tcPr>
    </w:tblStylePr>
  </w:style>
  <w:style w:type="table" w:styleId="DarkList-Accent3">
    <w:name w:val="Dark List Accent 3"/>
    <w:basedOn w:val="TableNormal"/>
    <w:uiPriority w:val="70"/>
    <w:rsid w:val="00C249C7"/>
    <w:pPr>
      <w:spacing w:before="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249C7"/>
    <w:pPr>
      <w:spacing w:before="0" w:line="240" w:lineRule="auto"/>
    </w:pPr>
    <w:rPr>
      <w:color w:val="FFFFFF" w:themeColor="background1"/>
    </w:rPr>
    <w:tblPr>
      <w:tblStyleRowBandSize w:val="1"/>
      <w:tblStyleColBandSize w:val="1"/>
    </w:tblPr>
    <w:tcPr>
      <w:shd w:val="clear" w:color="auto" w:fill="B689C1"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1386B"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9255A1"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9255A1" w:themeFill="accent4" w:themeFillShade="BF"/>
      </w:tcPr>
    </w:tblStylePr>
    <w:tblStylePr w:type="band1Vert">
      <w:tblPr/>
      <w:tcPr>
        <w:tcBorders>
          <w:top w:val="nil"/>
          <w:left w:val="nil"/>
          <w:bottom w:val="nil"/>
          <w:right w:val="nil"/>
          <w:insideH w:val="nil"/>
          <w:insideV w:val="nil"/>
        </w:tcBorders>
        <w:shd w:val="clear" w:color="auto" w:fill="9255A1" w:themeFill="accent4" w:themeFillShade="BF"/>
      </w:tcPr>
    </w:tblStylePr>
    <w:tblStylePr w:type="band1Horz">
      <w:tblPr/>
      <w:tcPr>
        <w:tcBorders>
          <w:top w:val="nil"/>
          <w:left w:val="nil"/>
          <w:bottom w:val="nil"/>
          <w:right w:val="nil"/>
          <w:insideH w:val="nil"/>
          <w:insideV w:val="nil"/>
        </w:tcBorders>
        <w:shd w:val="clear" w:color="auto" w:fill="9255A1" w:themeFill="accent4" w:themeFillShade="BF"/>
      </w:tcPr>
    </w:tblStylePr>
  </w:style>
  <w:style w:type="table" w:styleId="DarkList-Accent5">
    <w:name w:val="Dark List Accent 5"/>
    <w:basedOn w:val="TableNormal"/>
    <w:uiPriority w:val="70"/>
    <w:rsid w:val="00C249C7"/>
    <w:pPr>
      <w:spacing w:before="0" w:line="240" w:lineRule="auto"/>
    </w:pPr>
    <w:rPr>
      <w:color w:val="FFFFFF" w:themeColor="background1"/>
    </w:rPr>
    <w:tblPr>
      <w:tblStyleRowBandSize w:val="1"/>
      <w:tblStyleColBandSize w:val="1"/>
    </w:tblPr>
    <w:tcPr>
      <w:shd w:val="clear" w:color="auto" w:fill="EA8B0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44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F670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F6700" w:themeFill="accent5" w:themeFillShade="BF"/>
      </w:tcPr>
    </w:tblStylePr>
    <w:tblStylePr w:type="band1Vert">
      <w:tblPr/>
      <w:tcPr>
        <w:tcBorders>
          <w:top w:val="nil"/>
          <w:left w:val="nil"/>
          <w:bottom w:val="nil"/>
          <w:right w:val="nil"/>
          <w:insideH w:val="nil"/>
          <w:insideV w:val="nil"/>
        </w:tcBorders>
        <w:shd w:val="clear" w:color="auto" w:fill="AF6700" w:themeFill="accent5" w:themeFillShade="BF"/>
      </w:tcPr>
    </w:tblStylePr>
    <w:tblStylePr w:type="band1Horz">
      <w:tblPr/>
      <w:tcPr>
        <w:tcBorders>
          <w:top w:val="nil"/>
          <w:left w:val="nil"/>
          <w:bottom w:val="nil"/>
          <w:right w:val="nil"/>
          <w:insideH w:val="nil"/>
          <w:insideV w:val="nil"/>
        </w:tcBorders>
        <w:shd w:val="clear" w:color="auto" w:fill="AF6700" w:themeFill="accent5" w:themeFillShade="BF"/>
      </w:tcPr>
    </w:tblStylePr>
  </w:style>
  <w:style w:type="table" w:styleId="DarkList-Accent6">
    <w:name w:val="Dark List Accent 6"/>
    <w:basedOn w:val="TableNormal"/>
    <w:uiPriority w:val="70"/>
    <w:rsid w:val="00C249C7"/>
    <w:pPr>
      <w:spacing w:before="0" w:line="240" w:lineRule="auto"/>
    </w:pPr>
    <w:rPr>
      <w:color w:val="FFFFFF" w:themeColor="background1"/>
    </w:rPr>
    <w:tblPr>
      <w:tblStyleRowBandSize w:val="1"/>
      <w:tblStyleColBandSize w:val="1"/>
    </w:tblPr>
    <w:tcPr>
      <w:shd w:val="clear" w:color="auto" w:fill="BFBFB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5F5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F8F8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F8F8F" w:themeFill="accent6" w:themeFillShade="BF"/>
      </w:tcPr>
    </w:tblStylePr>
    <w:tblStylePr w:type="band1Vert">
      <w:tblPr/>
      <w:tcPr>
        <w:tcBorders>
          <w:top w:val="nil"/>
          <w:left w:val="nil"/>
          <w:bottom w:val="nil"/>
          <w:right w:val="nil"/>
          <w:insideH w:val="nil"/>
          <w:insideV w:val="nil"/>
        </w:tcBorders>
        <w:shd w:val="clear" w:color="auto" w:fill="8F8F8F" w:themeFill="accent6" w:themeFillShade="BF"/>
      </w:tcPr>
    </w:tblStylePr>
    <w:tblStylePr w:type="band1Horz">
      <w:tblPr/>
      <w:tcPr>
        <w:tcBorders>
          <w:top w:val="nil"/>
          <w:left w:val="nil"/>
          <w:bottom w:val="nil"/>
          <w:right w:val="nil"/>
          <w:insideH w:val="nil"/>
          <w:insideV w:val="nil"/>
        </w:tcBorders>
        <w:shd w:val="clear" w:color="auto" w:fill="8F8F8F" w:themeFill="accent6" w:themeFillShade="BF"/>
      </w:tcPr>
    </w:tblStylePr>
  </w:style>
  <w:style w:type="paragraph" w:styleId="Date">
    <w:name w:val="Date"/>
    <w:next w:val="Normal"/>
    <w:link w:val="DateChar"/>
    <w:rsid w:val="00C249C7"/>
    <w:pPr>
      <w:spacing w:before="0" w:line="240" w:lineRule="auto"/>
    </w:pPr>
    <w:rPr>
      <w:rFonts w:asciiTheme="majorHAnsi" w:hAnsiTheme="majorHAnsi"/>
      <w:caps/>
      <w:sz w:val="20"/>
      <w:lang w:eastAsia="en-US"/>
    </w:rPr>
  </w:style>
  <w:style w:type="character" w:customStyle="1" w:styleId="DateChar">
    <w:name w:val="Date Char"/>
    <w:basedOn w:val="DefaultParagraphFont"/>
    <w:link w:val="Date"/>
    <w:rsid w:val="00C249C7"/>
    <w:rPr>
      <w:rFonts w:asciiTheme="majorHAnsi" w:hAnsiTheme="majorHAnsi"/>
      <w:caps/>
      <w:sz w:val="20"/>
      <w:lang w:eastAsia="en-US"/>
    </w:rPr>
  </w:style>
  <w:style w:type="character" w:styleId="IntenseEmphasis">
    <w:name w:val="Intense Emphasis"/>
    <w:basedOn w:val="DefaultParagraphFont"/>
    <w:uiPriority w:val="99"/>
    <w:semiHidden/>
    <w:rsid w:val="00C249C7"/>
    <w:rPr>
      <w:b/>
      <w:bCs/>
      <w:i/>
      <w:iCs/>
      <w:color w:val="9757A6" w:themeColor="accent1"/>
    </w:rPr>
  </w:style>
  <w:style w:type="paragraph" w:styleId="IntenseQuote">
    <w:name w:val="Intense Quote"/>
    <w:basedOn w:val="Normal"/>
    <w:next w:val="Normal"/>
    <w:link w:val="IntenseQuoteChar"/>
    <w:uiPriority w:val="99"/>
    <w:semiHidden/>
    <w:rsid w:val="00C249C7"/>
    <w:pPr>
      <w:pBdr>
        <w:bottom w:val="single" w:sz="4" w:space="4" w:color="9757A6" w:themeColor="accent1"/>
      </w:pBdr>
      <w:spacing w:before="200" w:after="280"/>
      <w:ind w:left="936" w:right="936"/>
    </w:pPr>
    <w:rPr>
      <w:rFonts w:ascii="Garamond" w:hAnsi="Garamond"/>
      <w:b/>
      <w:bCs/>
      <w:i/>
      <w:iCs/>
      <w:color w:val="9757A6" w:themeColor="accent1"/>
    </w:rPr>
  </w:style>
  <w:style w:type="character" w:customStyle="1" w:styleId="IntenseQuoteChar">
    <w:name w:val="Intense Quote Char"/>
    <w:basedOn w:val="DefaultParagraphFont"/>
    <w:link w:val="IntenseQuote"/>
    <w:uiPriority w:val="99"/>
    <w:semiHidden/>
    <w:rsid w:val="00C249C7"/>
    <w:rPr>
      <w:b/>
      <w:bCs/>
      <w:i/>
      <w:iCs/>
      <w:color w:val="9757A6" w:themeColor="accent1"/>
      <w:lang w:eastAsia="en-US"/>
    </w:rPr>
  </w:style>
  <w:style w:type="character" w:styleId="IntenseReference">
    <w:name w:val="Intense Reference"/>
    <w:basedOn w:val="DefaultParagraphFont"/>
    <w:uiPriority w:val="99"/>
    <w:semiHidden/>
    <w:rsid w:val="00C249C7"/>
    <w:rPr>
      <w:b/>
      <w:bCs/>
      <w:smallCaps/>
      <w:color w:val="FFAE3B" w:themeColor="accent2"/>
      <w:spacing w:val="5"/>
      <w:u w:val="single"/>
    </w:rPr>
  </w:style>
  <w:style w:type="table" w:customStyle="1" w:styleId="LightGrid1">
    <w:name w:val="Light Grid1"/>
    <w:basedOn w:val="TableNormal"/>
    <w:uiPriority w:val="62"/>
    <w:rsid w:val="00C249C7"/>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C249C7"/>
    <w:pPr>
      <w:spacing w:before="0" w:line="240" w:lineRule="auto"/>
    </w:pPr>
    <w:tblPr>
      <w:tblStyleRowBandSize w:val="1"/>
      <w:tblStyleColBandSize w:val="1"/>
      <w:tblBorders>
        <w:top w:val="single" w:sz="8" w:space="0" w:color="9757A6" w:themeColor="accent1"/>
        <w:left w:val="single" w:sz="8" w:space="0" w:color="9757A6" w:themeColor="accent1"/>
        <w:bottom w:val="single" w:sz="8" w:space="0" w:color="9757A6" w:themeColor="accent1"/>
        <w:right w:val="single" w:sz="8" w:space="0" w:color="9757A6" w:themeColor="accent1"/>
        <w:insideH w:val="single" w:sz="8" w:space="0" w:color="9757A6" w:themeColor="accent1"/>
        <w:insideV w:val="single" w:sz="8" w:space="0" w:color="9757A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757A6" w:themeColor="accent1"/>
          <w:left w:val="single" w:sz="8" w:space="0" w:color="9757A6" w:themeColor="accent1"/>
          <w:bottom w:val="single" w:sz="18" w:space="0" w:color="9757A6" w:themeColor="accent1"/>
          <w:right w:val="single" w:sz="8" w:space="0" w:color="9757A6" w:themeColor="accent1"/>
          <w:insideH w:val="nil"/>
          <w:insideV w:val="single" w:sz="8" w:space="0" w:color="9757A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757A6" w:themeColor="accent1"/>
          <w:left w:val="single" w:sz="8" w:space="0" w:color="9757A6" w:themeColor="accent1"/>
          <w:bottom w:val="single" w:sz="8" w:space="0" w:color="9757A6" w:themeColor="accent1"/>
          <w:right w:val="single" w:sz="8" w:space="0" w:color="9757A6" w:themeColor="accent1"/>
          <w:insideH w:val="nil"/>
          <w:insideV w:val="single" w:sz="8" w:space="0" w:color="9757A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757A6" w:themeColor="accent1"/>
          <w:left w:val="single" w:sz="8" w:space="0" w:color="9757A6" w:themeColor="accent1"/>
          <w:bottom w:val="single" w:sz="8" w:space="0" w:color="9757A6" w:themeColor="accent1"/>
          <w:right w:val="single" w:sz="8" w:space="0" w:color="9757A6" w:themeColor="accent1"/>
        </w:tcBorders>
      </w:tcPr>
    </w:tblStylePr>
    <w:tblStylePr w:type="band1Vert">
      <w:tblPr/>
      <w:tcPr>
        <w:tcBorders>
          <w:top w:val="single" w:sz="8" w:space="0" w:color="9757A6" w:themeColor="accent1"/>
          <w:left w:val="single" w:sz="8" w:space="0" w:color="9757A6" w:themeColor="accent1"/>
          <w:bottom w:val="single" w:sz="8" w:space="0" w:color="9757A6" w:themeColor="accent1"/>
          <w:right w:val="single" w:sz="8" w:space="0" w:color="9757A6" w:themeColor="accent1"/>
        </w:tcBorders>
        <w:shd w:val="clear" w:color="auto" w:fill="E5D5E9" w:themeFill="accent1" w:themeFillTint="3F"/>
      </w:tcPr>
    </w:tblStylePr>
    <w:tblStylePr w:type="band1Horz">
      <w:tblPr/>
      <w:tcPr>
        <w:tcBorders>
          <w:top w:val="single" w:sz="8" w:space="0" w:color="9757A6" w:themeColor="accent1"/>
          <w:left w:val="single" w:sz="8" w:space="0" w:color="9757A6" w:themeColor="accent1"/>
          <w:bottom w:val="single" w:sz="8" w:space="0" w:color="9757A6" w:themeColor="accent1"/>
          <w:right w:val="single" w:sz="8" w:space="0" w:color="9757A6" w:themeColor="accent1"/>
          <w:insideV w:val="single" w:sz="8" w:space="0" w:color="9757A6" w:themeColor="accent1"/>
        </w:tcBorders>
        <w:shd w:val="clear" w:color="auto" w:fill="E5D5E9" w:themeFill="accent1" w:themeFillTint="3F"/>
      </w:tcPr>
    </w:tblStylePr>
    <w:tblStylePr w:type="band2Horz">
      <w:tblPr/>
      <w:tcPr>
        <w:tcBorders>
          <w:top w:val="single" w:sz="8" w:space="0" w:color="9757A6" w:themeColor="accent1"/>
          <w:left w:val="single" w:sz="8" w:space="0" w:color="9757A6" w:themeColor="accent1"/>
          <w:bottom w:val="single" w:sz="8" w:space="0" w:color="9757A6" w:themeColor="accent1"/>
          <w:right w:val="single" w:sz="8" w:space="0" w:color="9757A6" w:themeColor="accent1"/>
          <w:insideV w:val="single" w:sz="8" w:space="0" w:color="9757A6" w:themeColor="accent1"/>
        </w:tcBorders>
      </w:tcPr>
    </w:tblStylePr>
  </w:style>
  <w:style w:type="table" w:styleId="LightGrid-Accent2">
    <w:name w:val="Light Grid Accent 2"/>
    <w:basedOn w:val="TableNormal"/>
    <w:uiPriority w:val="62"/>
    <w:rsid w:val="00C249C7"/>
    <w:pPr>
      <w:spacing w:before="0" w:line="240" w:lineRule="auto"/>
    </w:pPr>
    <w:tblPr>
      <w:tblStyleRowBandSize w:val="1"/>
      <w:tblStyleColBandSize w:val="1"/>
      <w:tblBorders>
        <w:top w:val="single" w:sz="8" w:space="0" w:color="FFAE3B" w:themeColor="accent2"/>
        <w:left w:val="single" w:sz="8" w:space="0" w:color="FFAE3B" w:themeColor="accent2"/>
        <w:bottom w:val="single" w:sz="8" w:space="0" w:color="FFAE3B" w:themeColor="accent2"/>
        <w:right w:val="single" w:sz="8" w:space="0" w:color="FFAE3B" w:themeColor="accent2"/>
        <w:insideH w:val="single" w:sz="8" w:space="0" w:color="FFAE3B" w:themeColor="accent2"/>
        <w:insideV w:val="single" w:sz="8" w:space="0" w:color="FFAE3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AE3B" w:themeColor="accent2"/>
          <w:left w:val="single" w:sz="8" w:space="0" w:color="FFAE3B" w:themeColor="accent2"/>
          <w:bottom w:val="single" w:sz="18" w:space="0" w:color="FFAE3B" w:themeColor="accent2"/>
          <w:right w:val="single" w:sz="8" w:space="0" w:color="FFAE3B" w:themeColor="accent2"/>
          <w:insideH w:val="nil"/>
          <w:insideV w:val="single" w:sz="8" w:space="0" w:color="FFAE3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AE3B" w:themeColor="accent2"/>
          <w:left w:val="single" w:sz="8" w:space="0" w:color="FFAE3B" w:themeColor="accent2"/>
          <w:bottom w:val="single" w:sz="8" w:space="0" w:color="FFAE3B" w:themeColor="accent2"/>
          <w:right w:val="single" w:sz="8" w:space="0" w:color="FFAE3B" w:themeColor="accent2"/>
          <w:insideH w:val="nil"/>
          <w:insideV w:val="single" w:sz="8" w:space="0" w:color="FFAE3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AE3B" w:themeColor="accent2"/>
          <w:left w:val="single" w:sz="8" w:space="0" w:color="FFAE3B" w:themeColor="accent2"/>
          <w:bottom w:val="single" w:sz="8" w:space="0" w:color="FFAE3B" w:themeColor="accent2"/>
          <w:right w:val="single" w:sz="8" w:space="0" w:color="FFAE3B" w:themeColor="accent2"/>
        </w:tcBorders>
      </w:tcPr>
    </w:tblStylePr>
    <w:tblStylePr w:type="band1Vert">
      <w:tblPr/>
      <w:tcPr>
        <w:tcBorders>
          <w:top w:val="single" w:sz="8" w:space="0" w:color="FFAE3B" w:themeColor="accent2"/>
          <w:left w:val="single" w:sz="8" w:space="0" w:color="FFAE3B" w:themeColor="accent2"/>
          <w:bottom w:val="single" w:sz="8" w:space="0" w:color="FFAE3B" w:themeColor="accent2"/>
          <w:right w:val="single" w:sz="8" w:space="0" w:color="FFAE3B" w:themeColor="accent2"/>
        </w:tcBorders>
        <w:shd w:val="clear" w:color="auto" w:fill="FFEACE" w:themeFill="accent2" w:themeFillTint="3F"/>
      </w:tcPr>
    </w:tblStylePr>
    <w:tblStylePr w:type="band1Horz">
      <w:tblPr/>
      <w:tcPr>
        <w:tcBorders>
          <w:top w:val="single" w:sz="8" w:space="0" w:color="FFAE3B" w:themeColor="accent2"/>
          <w:left w:val="single" w:sz="8" w:space="0" w:color="FFAE3B" w:themeColor="accent2"/>
          <w:bottom w:val="single" w:sz="8" w:space="0" w:color="FFAE3B" w:themeColor="accent2"/>
          <w:right w:val="single" w:sz="8" w:space="0" w:color="FFAE3B" w:themeColor="accent2"/>
          <w:insideV w:val="single" w:sz="8" w:space="0" w:color="FFAE3B" w:themeColor="accent2"/>
        </w:tcBorders>
        <w:shd w:val="clear" w:color="auto" w:fill="FFEACE" w:themeFill="accent2" w:themeFillTint="3F"/>
      </w:tcPr>
    </w:tblStylePr>
    <w:tblStylePr w:type="band2Horz">
      <w:tblPr/>
      <w:tcPr>
        <w:tcBorders>
          <w:top w:val="single" w:sz="8" w:space="0" w:color="FFAE3B" w:themeColor="accent2"/>
          <w:left w:val="single" w:sz="8" w:space="0" w:color="FFAE3B" w:themeColor="accent2"/>
          <w:bottom w:val="single" w:sz="8" w:space="0" w:color="FFAE3B" w:themeColor="accent2"/>
          <w:right w:val="single" w:sz="8" w:space="0" w:color="FFAE3B" w:themeColor="accent2"/>
          <w:insideV w:val="single" w:sz="8" w:space="0" w:color="FFAE3B" w:themeColor="accent2"/>
        </w:tcBorders>
      </w:tcPr>
    </w:tblStylePr>
  </w:style>
  <w:style w:type="table" w:styleId="LightGrid-Accent3">
    <w:name w:val="Light Grid Accent 3"/>
    <w:basedOn w:val="TableNormal"/>
    <w:uiPriority w:val="62"/>
    <w:rsid w:val="00C249C7"/>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249C7"/>
    <w:pPr>
      <w:spacing w:before="0" w:line="240" w:lineRule="auto"/>
    </w:pPr>
    <w:tblPr>
      <w:tblStyleRowBandSize w:val="1"/>
      <w:tblStyleColBandSize w:val="1"/>
      <w:tblBorders>
        <w:top w:val="single" w:sz="8" w:space="0" w:color="B689C1" w:themeColor="accent4"/>
        <w:left w:val="single" w:sz="8" w:space="0" w:color="B689C1" w:themeColor="accent4"/>
        <w:bottom w:val="single" w:sz="8" w:space="0" w:color="B689C1" w:themeColor="accent4"/>
        <w:right w:val="single" w:sz="8" w:space="0" w:color="B689C1" w:themeColor="accent4"/>
        <w:insideH w:val="single" w:sz="8" w:space="0" w:color="B689C1" w:themeColor="accent4"/>
        <w:insideV w:val="single" w:sz="8" w:space="0" w:color="B689C1"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689C1" w:themeColor="accent4"/>
          <w:left w:val="single" w:sz="8" w:space="0" w:color="B689C1" w:themeColor="accent4"/>
          <w:bottom w:val="single" w:sz="18" w:space="0" w:color="B689C1" w:themeColor="accent4"/>
          <w:right w:val="single" w:sz="8" w:space="0" w:color="B689C1" w:themeColor="accent4"/>
          <w:insideH w:val="nil"/>
          <w:insideV w:val="single" w:sz="8" w:space="0" w:color="B689C1"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689C1" w:themeColor="accent4"/>
          <w:left w:val="single" w:sz="8" w:space="0" w:color="B689C1" w:themeColor="accent4"/>
          <w:bottom w:val="single" w:sz="8" w:space="0" w:color="B689C1" w:themeColor="accent4"/>
          <w:right w:val="single" w:sz="8" w:space="0" w:color="B689C1" w:themeColor="accent4"/>
          <w:insideH w:val="nil"/>
          <w:insideV w:val="single" w:sz="8" w:space="0" w:color="B689C1"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689C1" w:themeColor="accent4"/>
          <w:left w:val="single" w:sz="8" w:space="0" w:color="B689C1" w:themeColor="accent4"/>
          <w:bottom w:val="single" w:sz="8" w:space="0" w:color="B689C1" w:themeColor="accent4"/>
          <w:right w:val="single" w:sz="8" w:space="0" w:color="B689C1" w:themeColor="accent4"/>
        </w:tcBorders>
      </w:tcPr>
    </w:tblStylePr>
    <w:tblStylePr w:type="band1Vert">
      <w:tblPr/>
      <w:tcPr>
        <w:tcBorders>
          <w:top w:val="single" w:sz="8" w:space="0" w:color="B689C1" w:themeColor="accent4"/>
          <w:left w:val="single" w:sz="8" w:space="0" w:color="B689C1" w:themeColor="accent4"/>
          <w:bottom w:val="single" w:sz="8" w:space="0" w:color="B689C1" w:themeColor="accent4"/>
          <w:right w:val="single" w:sz="8" w:space="0" w:color="B689C1" w:themeColor="accent4"/>
        </w:tcBorders>
        <w:shd w:val="clear" w:color="auto" w:fill="ECE1EF" w:themeFill="accent4" w:themeFillTint="3F"/>
      </w:tcPr>
    </w:tblStylePr>
    <w:tblStylePr w:type="band1Horz">
      <w:tblPr/>
      <w:tcPr>
        <w:tcBorders>
          <w:top w:val="single" w:sz="8" w:space="0" w:color="B689C1" w:themeColor="accent4"/>
          <w:left w:val="single" w:sz="8" w:space="0" w:color="B689C1" w:themeColor="accent4"/>
          <w:bottom w:val="single" w:sz="8" w:space="0" w:color="B689C1" w:themeColor="accent4"/>
          <w:right w:val="single" w:sz="8" w:space="0" w:color="B689C1" w:themeColor="accent4"/>
          <w:insideV w:val="single" w:sz="8" w:space="0" w:color="B689C1" w:themeColor="accent4"/>
        </w:tcBorders>
        <w:shd w:val="clear" w:color="auto" w:fill="ECE1EF" w:themeFill="accent4" w:themeFillTint="3F"/>
      </w:tcPr>
    </w:tblStylePr>
    <w:tblStylePr w:type="band2Horz">
      <w:tblPr/>
      <w:tcPr>
        <w:tcBorders>
          <w:top w:val="single" w:sz="8" w:space="0" w:color="B689C1" w:themeColor="accent4"/>
          <w:left w:val="single" w:sz="8" w:space="0" w:color="B689C1" w:themeColor="accent4"/>
          <w:bottom w:val="single" w:sz="8" w:space="0" w:color="B689C1" w:themeColor="accent4"/>
          <w:right w:val="single" w:sz="8" w:space="0" w:color="B689C1" w:themeColor="accent4"/>
          <w:insideV w:val="single" w:sz="8" w:space="0" w:color="B689C1" w:themeColor="accent4"/>
        </w:tcBorders>
      </w:tcPr>
    </w:tblStylePr>
  </w:style>
  <w:style w:type="table" w:styleId="LightGrid-Accent5">
    <w:name w:val="Light Grid Accent 5"/>
    <w:basedOn w:val="TableNormal"/>
    <w:uiPriority w:val="62"/>
    <w:rsid w:val="00C249C7"/>
    <w:pPr>
      <w:spacing w:before="0" w:line="240" w:lineRule="auto"/>
    </w:pPr>
    <w:tblPr>
      <w:tblStyleRowBandSize w:val="1"/>
      <w:tblStyleColBandSize w:val="1"/>
      <w:tblBorders>
        <w:top w:val="single" w:sz="8" w:space="0" w:color="EA8B00" w:themeColor="accent5"/>
        <w:left w:val="single" w:sz="8" w:space="0" w:color="EA8B00" w:themeColor="accent5"/>
        <w:bottom w:val="single" w:sz="8" w:space="0" w:color="EA8B00" w:themeColor="accent5"/>
        <w:right w:val="single" w:sz="8" w:space="0" w:color="EA8B00" w:themeColor="accent5"/>
        <w:insideH w:val="single" w:sz="8" w:space="0" w:color="EA8B00" w:themeColor="accent5"/>
        <w:insideV w:val="single" w:sz="8" w:space="0" w:color="EA8B0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A8B00" w:themeColor="accent5"/>
          <w:left w:val="single" w:sz="8" w:space="0" w:color="EA8B00" w:themeColor="accent5"/>
          <w:bottom w:val="single" w:sz="18" w:space="0" w:color="EA8B00" w:themeColor="accent5"/>
          <w:right w:val="single" w:sz="8" w:space="0" w:color="EA8B00" w:themeColor="accent5"/>
          <w:insideH w:val="nil"/>
          <w:insideV w:val="single" w:sz="8" w:space="0" w:color="EA8B0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A8B00" w:themeColor="accent5"/>
          <w:left w:val="single" w:sz="8" w:space="0" w:color="EA8B00" w:themeColor="accent5"/>
          <w:bottom w:val="single" w:sz="8" w:space="0" w:color="EA8B00" w:themeColor="accent5"/>
          <w:right w:val="single" w:sz="8" w:space="0" w:color="EA8B00" w:themeColor="accent5"/>
          <w:insideH w:val="nil"/>
          <w:insideV w:val="single" w:sz="8" w:space="0" w:color="EA8B0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A8B00" w:themeColor="accent5"/>
          <w:left w:val="single" w:sz="8" w:space="0" w:color="EA8B00" w:themeColor="accent5"/>
          <w:bottom w:val="single" w:sz="8" w:space="0" w:color="EA8B00" w:themeColor="accent5"/>
          <w:right w:val="single" w:sz="8" w:space="0" w:color="EA8B00" w:themeColor="accent5"/>
        </w:tcBorders>
      </w:tcPr>
    </w:tblStylePr>
    <w:tblStylePr w:type="band1Vert">
      <w:tblPr/>
      <w:tcPr>
        <w:tcBorders>
          <w:top w:val="single" w:sz="8" w:space="0" w:color="EA8B00" w:themeColor="accent5"/>
          <w:left w:val="single" w:sz="8" w:space="0" w:color="EA8B00" w:themeColor="accent5"/>
          <w:bottom w:val="single" w:sz="8" w:space="0" w:color="EA8B00" w:themeColor="accent5"/>
          <w:right w:val="single" w:sz="8" w:space="0" w:color="EA8B00" w:themeColor="accent5"/>
        </w:tcBorders>
        <w:shd w:val="clear" w:color="auto" w:fill="FFE3BA" w:themeFill="accent5" w:themeFillTint="3F"/>
      </w:tcPr>
    </w:tblStylePr>
    <w:tblStylePr w:type="band1Horz">
      <w:tblPr/>
      <w:tcPr>
        <w:tcBorders>
          <w:top w:val="single" w:sz="8" w:space="0" w:color="EA8B00" w:themeColor="accent5"/>
          <w:left w:val="single" w:sz="8" w:space="0" w:color="EA8B00" w:themeColor="accent5"/>
          <w:bottom w:val="single" w:sz="8" w:space="0" w:color="EA8B00" w:themeColor="accent5"/>
          <w:right w:val="single" w:sz="8" w:space="0" w:color="EA8B00" w:themeColor="accent5"/>
          <w:insideV w:val="single" w:sz="8" w:space="0" w:color="EA8B00" w:themeColor="accent5"/>
        </w:tcBorders>
        <w:shd w:val="clear" w:color="auto" w:fill="FFE3BA" w:themeFill="accent5" w:themeFillTint="3F"/>
      </w:tcPr>
    </w:tblStylePr>
    <w:tblStylePr w:type="band2Horz">
      <w:tblPr/>
      <w:tcPr>
        <w:tcBorders>
          <w:top w:val="single" w:sz="8" w:space="0" w:color="EA8B00" w:themeColor="accent5"/>
          <w:left w:val="single" w:sz="8" w:space="0" w:color="EA8B00" w:themeColor="accent5"/>
          <w:bottom w:val="single" w:sz="8" w:space="0" w:color="EA8B00" w:themeColor="accent5"/>
          <w:right w:val="single" w:sz="8" w:space="0" w:color="EA8B00" w:themeColor="accent5"/>
          <w:insideV w:val="single" w:sz="8" w:space="0" w:color="EA8B00" w:themeColor="accent5"/>
        </w:tcBorders>
      </w:tcPr>
    </w:tblStylePr>
  </w:style>
  <w:style w:type="table" w:styleId="LightGrid-Accent6">
    <w:name w:val="Light Grid Accent 6"/>
    <w:basedOn w:val="TableNormal"/>
    <w:uiPriority w:val="62"/>
    <w:rsid w:val="00C249C7"/>
    <w:pPr>
      <w:spacing w:before="0" w:line="240" w:lineRule="auto"/>
    </w:pPr>
    <w:tblPr>
      <w:tblStyleRowBandSize w:val="1"/>
      <w:tblStyleColBandSize w:val="1"/>
      <w:tblBorders>
        <w:top w:val="single" w:sz="8" w:space="0" w:color="BFBFBF" w:themeColor="accent6"/>
        <w:left w:val="single" w:sz="8" w:space="0" w:color="BFBFBF" w:themeColor="accent6"/>
        <w:bottom w:val="single" w:sz="8" w:space="0" w:color="BFBFBF" w:themeColor="accent6"/>
        <w:right w:val="single" w:sz="8" w:space="0" w:color="BFBFBF" w:themeColor="accent6"/>
        <w:insideH w:val="single" w:sz="8" w:space="0" w:color="BFBFBF" w:themeColor="accent6"/>
        <w:insideV w:val="single" w:sz="8" w:space="0" w:color="BFBFB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BFBF" w:themeColor="accent6"/>
          <w:left w:val="single" w:sz="8" w:space="0" w:color="BFBFBF" w:themeColor="accent6"/>
          <w:bottom w:val="single" w:sz="18" w:space="0" w:color="BFBFBF" w:themeColor="accent6"/>
          <w:right w:val="single" w:sz="8" w:space="0" w:color="BFBFBF" w:themeColor="accent6"/>
          <w:insideH w:val="nil"/>
          <w:insideV w:val="single" w:sz="8" w:space="0" w:color="BFBFB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FBF" w:themeColor="accent6"/>
          <w:left w:val="single" w:sz="8" w:space="0" w:color="BFBFBF" w:themeColor="accent6"/>
          <w:bottom w:val="single" w:sz="8" w:space="0" w:color="BFBFBF" w:themeColor="accent6"/>
          <w:right w:val="single" w:sz="8" w:space="0" w:color="BFBFBF" w:themeColor="accent6"/>
          <w:insideH w:val="nil"/>
          <w:insideV w:val="single" w:sz="8" w:space="0" w:color="BFBFB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FBF" w:themeColor="accent6"/>
          <w:left w:val="single" w:sz="8" w:space="0" w:color="BFBFBF" w:themeColor="accent6"/>
          <w:bottom w:val="single" w:sz="8" w:space="0" w:color="BFBFBF" w:themeColor="accent6"/>
          <w:right w:val="single" w:sz="8" w:space="0" w:color="BFBFBF" w:themeColor="accent6"/>
        </w:tcBorders>
      </w:tcPr>
    </w:tblStylePr>
    <w:tblStylePr w:type="band1Vert">
      <w:tblPr/>
      <w:tcPr>
        <w:tcBorders>
          <w:top w:val="single" w:sz="8" w:space="0" w:color="BFBFBF" w:themeColor="accent6"/>
          <w:left w:val="single" w:sz="8" w:space="0" w:color="BFBFBF" w:themeColor="accent6"/>
          <w:bottom w:val="single" w:sz="8" w:space="0" w:color="BFBFBF" w:themeColor="accent6"/>
          <w:right w:val="single" w:sz="8" w:space="0" w:color="BFBFBF" w:themeColor="accent6"/>
        </w:tcBorders>
        <w:shd w:val="clear" w:color="auto" w:fill="EFEFEF" w:themeFill="accent6" w:themeFillTint="3F"/>
      </w:tcPr>
    </w:tblStylePr>
    <w:tblStylePr w:type="band1Horz">
      <w:tblPr/>
      <w:tcPr>
        <w:tcBorders>
          <w:top w:val="single" w:sz="8" w:space="0" w:color="BFBFBF" w:themeColor="accent6"/>
          <w:left w:val="single" w:sz="8" w:space="0" w:color="BFBFBF" w:themeColor="accent6"/>
          <w:bottom w:val="single" w:sz="8" w:space="0" w:color="BFBFBF" w:themeColor="accent6"/>
          <w:right w:val="single" w:sz="8" w:space="0" w:color="BFBFBF" w:themeColor="accent6"/>
          <w:insideV w:val="single" w:sz="8" w:space="0" w:color="BFBFBF" w:themeColor="accent6"/>
        </w:tcBorders>
        <w:shd w:val="clear" w:color="auto" w:fill="EFEFEF" w:themeFill="accent6" w:themeFillTint="3F"/>
      </w:tcPr>
    </w:tblStylePr>
    <w:tblStylePr w:type="band2Horz">
      <w:tblPr/>
      <w:tcPr>
        <w:tcBorders>
          <w:top w:val="single" w:sz="8" w:space="0" w:color="BFBFBF" w:themeColor="accent6"/>
          <w:left w:val="single" w:sz="8" w:space="0" w:color="BFBFBF" w:themeColor="accent6"/>
          <w:bottom w:val="single" w:sz="8" w:space="0" w:color="BFBFBF" w:themeColor="accent6"/>
          <w:right w:val="single" w:sz="8" w:space="0" w:color="BFBFBF" w:themeColor="accent6"/>
          <w:insideV w:val="single" w:sz="8" w:space="0" w:color="BFBFBF" w:themeColor="accent6"/>
        </w:tcBorders>
      </w:tcPr>
    </w:tblStylePr>
  </w:style>
  <w:style w:type="table" w:customStyle="1" w:styleId="LightList1">
    <w:name w:val="Light List1"/>
    <w:basedOn w:val="TableNormal"/>
    <w:uiPriority w:val="61"/>
    <w:rsid w:val="00C249C7"/>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C249C7"/>
    <w:pPr>
      <w:spacing w:before="0" w:line="240" w:lineRule="auto"/>
    </w:pPr>
    <w:tblPr>
      <w:tblStyleRowBandSize w:val="1"/>
      <w:tblStyleColBandSize w:val="1"/>
      <w:tblBorders>
        <w:top w:val="single" w:sz="8" w:space="0" w:color="9757A6" w:themeColor="accent1"/>
        <w:left w:val="single" w:sz="8" w:space="0" w:color="9757A6" w:themeColor="accent1"/>
        <w:bottom w:val="single" w:sz="8" w:space="0" w:color="9757A6" w:themeColor="accent1"/>
        <w:right w:val="single" w:sz="8" w:space="0" w:color="9757A6" w:themeColor="accent1"/>
      </w:tblBorders>
    </w:tblPr>
    <w:tblStylePr w:type="firstRow">
      <w:pPr>
        <w:spacing w:before="0" w:after="0" w:line="240" w:lineRule="auto"/>
      </w:pPr>
      <w:rPr>
        <w:b/>
        <w:bCs/>
        <w:color w:val="FFFFFF" w:themeColor="background1"/>
      </w:rPr>
      <w:tblPr/>
      <w:tcPr>
        <w:shd w:val="clear" w:color="auto" w:fill="9757A6" w:themeFill="accent1"/>
      </w:tcPr>
    </w:tblStylePr>
    <w:tblStylePr w:type="lastRow">
      <w:pPr>
        <w:spacing w:before="0" w:after="0" w:line="240" w:lineRule="auto"/>
      </w:pPr>
      <w:rPr>
        <w:b/>
        <w:bCs/>
      </w:rPr>
      <w:tblPr/>
      <w:tcPr>
        <w:tcBorders>
          <w:top w:val="double" w:sz="6" w:space="0" w:color="9757A6" w:themeColor="accent1"/>
          <w:left w:val="single" w:sz="8" w:space="0" w:color="9757A6" w:themeColor="accent1"/>
          <w:bottom w:val="single" w:sz="8" w:space="0" w:color="9757A6" w:themeColor="accent1"/>
          <w:right w:val="single" w:sz="8" w:space="0" w:color="9757A6" w:themeColor="accent1"/>
        </w:tcBorders>
      </w:tcPr>
    </w:tblStylePr>
    <w:tblStylePr w:type="firstCol">
      <w:rPr>
        <w:b/>
        <w:bCs/>
      </w:rPr>
    </w:tblStylePr>
    <w:tblStylePr w:type="lastCol">
      <w:rPr>
        <w:b/>
        <w:bCs/>
      </w:rPr>
    </w:tblStylePr>
    <w:tblStylePr w:type="band1Vert">
      <w:tblPr/>
      <w:tcPr>
        <w:tcBorders>
          <w:top w:val="single" w:sz="8" w:space="0" w:color="9757A6" w:themeColor="accent1"/>
          <w:left w:val="single" w:sz="8" w:space="0" w:color="9757A6" w:themeColor="accent1"/>
          <w:bottom w:val="single" w:sz="8" w:space="0" w:color="9757A6" w:themeColor="accent1"/>
          <w:right w:val="single" w:sz="8" w:space="0" w:color="9757A6" w:themeColor="accent1"/>
        </w:tcBorders>
      </w:tcPr>
    </w:tblStylePr>
    <w:tblStylePr w:type="band1Horz">
      <w:tblPr/>
      <w:tcPr>
        <w:tcBorders>
          <w:top w:val="single" w:sz="8" w:space="0" w:color="9757A6" w:themeColor="accent1"/>
          <w:left w:val="single" w:sz="8" w:space="0" w:color="9757A6" w:themeColor="accent1"/>
          <w:bottom w:val="single" w:sz="8" w:space="0" w:color="9757A6" w:themeColor="accent1"/>
          <w:right w:val="single" w:sz="8" w:space="0" w:color="9757A6" w:themeColor="accent1"/>
        </w:tcBorders>
      </w:tcPr>
    </w:tblStylePr>
  </w:style>
  <w:style w:type="table" w:styleId="LightList-Accent2">
    <w:name w:val="Light List Accent 2"/>
    <w:basedOn w:val="TableNormal"/>
    <w:uiPriority w:val="61"/>
    <w:rsid w:val="00C249C7"/>
    <w:pPr>
      <w:spacing w:before="0" w:line="240" w:lineRule="auto"/>
    </w:pPr>
    <w:tblPr>
      <w:tblStyleRowBandSize w:val="1"/>
      <w:tblStyleColBandSize w:val="1"/>
      <w:tblBorders>
        <w:top w:val="single" w:sz="8" w:space="0" w:color="FFAE3B" w:themeColor="accent2"/>
        <w:left w:val="single" w:sz="8" w:space="0" w:color="FFAE3B" w:themeColor="accent2"/>
        <w:bottom w:val="single" w:sz="8" w:space="0" w:color="FFAE3B" w:themeColor="accent2"/>
        <w:right w:val="single" w:sz="8" w:space="0" w:color="FFAE3B" w:themeColor="accent2"/>
      </w:tblBorders>
    </w:tblPr>
    <w:tblStylePr w:type="firstRow">
      <w:pPr>
        <w:spacing w:before="0" w:after="0" w:line="240" w:lineRule="auto"/>
      </w:pPr>
      <w:rPr>
        <w:b/>
        <w:bCs/>
        <w:color w:val="FFFFFF" w:themeColor="background1"/>
      </w:rPr>
      <w:tblPr/>
      <w:tcPr>
        <w:shd w:val="clear" w:color="auto" w:fill="FFAE3B" w:themeFill="accent2"/>
      </w:tcPr>
    </w:tblStylePr>
    <w:tblStylePr w:type="lastRow">
      <w:pPr>
        <w:spacing w:before="0" w:after="0" w:line="240" w:lineRule="auto"/>
      </w:pPr>
      <w:rPr>
        <w:b/>
        <w:bCs/>
      </w:rPr>
      <w:tblPr/>
      <w:tcPr>
        <w:tcBorders>
          <w:top w:val="double" w:sz="6" w:space="0" w:color="FFAE3B" w:themeColor="accent2"/>
          <w:left w:val="single" w:sz="8" w:space="0" w:color="FFAE3B" w:themeColor="accent2"/>
          <w:bottom w:val="single" w:sz="8" w:space="0" w:color="FFAE3B" w:themeColor="accent2"/>
          <w:right w:val="single" w:sz="8" w:space="0" w:color="FFAE3B" w:themeColor="accent2"/>
        </w:tcBorders>
      </w:tcPr>
    </w:tblStylePr>
    <w:tblStylePr w:type="firstCol">
      <w:rPr>
        <w:b/>
        <w:bCs/>
      </w:rPr>
    </w:tblStylePr>
    <w:tblStylePr w:type="lastCol">
      <w:rPr>
        <w:b/>
        <w:bCs/>
      </w:rPr>
    </w:tblStylePr>
    <w:tblStylePr w:type="band1Vert">
      <w:tblPr/>
      <w:tcPr>
        <w:tcBorders>
          <w:top w:val="single" w:sz="8" w:space="0" w:color="FFAE3B" w:themeColor="accent2"/>
          <w:left w:val="single" w:sz="8" w:space="0" w:color="FFAE3B" w:themeColor="accent2"/>
          <w:bottom w:val="single" w:sz="8" w:space="0" w:color="FFAE3B" w:themeColor="accent2"/>
          <w:right w:val="single" w:sz="8" w:space="0" w:color="FFAE3B" w:themeColor="accent2"/>
        </w:tcBorders>
      </w:tcPr>
    </w:tblStylePr>
    <w:tblStylePr w:type="band1Horz">
      <w:tblPr/>
      <w:tcPr>
        <w:tcBorders>
          <w:top w:val="single" w:sz="8" w:space="0" w:color="FFAE3B" w:themeColor="accent2"/>
          <w:left w:val="single" w:sz="8" w:space="0" w:color="FFAE3B" w:themeColor="accent2"/>
          <w:bottom w:val="single" w:sz="8" w:space="0" w:color="FFAE3B" w:themeColor="accent2"/>
          <w:right w:val="single" w:sz="8" w:space="0" w:color="FFAE3B" w:themeColor="accent2"/>
        </w:tcBorders>
      </w:tcPr>
    </w:tblStylePr>
  </w:style>
  <w:style w:type="table" w:styleId="LightList-Accent3">
    <w:name w:val="Light List Accent 3"/>
    <w:basedOn w:val="TableNormal"/>
    <w:uiPriority w:val="61"/>
    <w:rsid w:val="00C249C7"/>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249C7"/>
    <w:pPr>
      <w:spacing w:before="0" w:line="240" w:lineRule="auto"/>
    </w:pPr>
    <w:tblPr>
      <w:tblStyleRowBandSize w:val="1"/>
      <w:tblStyleColBandSize w:val="1"/>
      <w:tblBorders>
        <w:top w:val="single" w:sz="8" w:space="0" w:color="B689C1" w:themeColor="accent4"/>
        <w:left w:val="single" w:sz="8" w:space="0" w:color="B689C1" w:themeColor="accent4"/>
        <w:bottom w:val="single" w:sz="8" w:space="0" w:color="B689C1" w:themeColor="accent4"/>
        <w:right w:val="single" w:sz="8" w:space="0" w:color="B689C1" w:themeColor="accent4"/>
      </w:tblBorders>
    </w:tblPr>
    <w:tblStylePr w:type="firstRow">
      <w:pPr>
        <w:spacing w:before="0" w:after="0" w:line="240" w:lineRule="auto"/>
      </w:pPr>
      <w:rPr>
        <w:b/>
        <w:bCs/>
        <w:color w:val="FFFFFF" w:themeColor="background1"/>
      </w:rPr>
      <w:tblPr/>
      <w:tcPr>
        <w:shd w:val="clear" w:color="auto" w:fill="B689C1" w:themeFill="accent4"/>
      </w:tcPr>
    </w:tblStylePr>
    <w:tblStylePr w:type="lastRow">
      <w:pPr>
        <w:spacing w:before="0" w:after="0" w:line="240" w:lineRule="auto"/>
      </w:pPr>
      <w:rPr>
        <w:b/>
        <w:bCs/>
      </w:rPr>
      <w:tblPr/>
      <w:tcPr>
        <w:tcBorders>
          <w:top w:val="double" w:sz="6" w:space="0" w:color="B689C1" w:themeColor="accent4"/>
          <w:left w:val="single" w:sz="8" w:space="0" w:color="B689C1" w:themeColor="accent4"/>
          <w:bottom w:val="single" w:sz="8" w:space="0" w:color="B689C1" w:themeColor="accent4"/>
          <w:right w:val="single" w:sz="8" w:space="0" w:color="B689C1" w:themeColor="accent4"/>
        </w:tcBorders>
      </w:tcPr>
    </w:tblStylePr>
    <w:tblStylePr w:type="firstCol">
      <w:rPr>
        <w:b/>
        <w:bCs/>
      </w:rPr>
    </w:tblStylePr>
    <w:tblStylePr w:type="lastCol">
      <w:rPr>
        <w:b/>
        <w:bCs/>
      </w:rPr>
    </w:tblStylePr>
    <w:tblStylePr w:type="band1Vert">
      <w:tblPr/>
      <w:tcPr>
        <w:tcBorders>
          <w:top w:val="single" w:sz="8" w:space="0" w:color="B689C1" w:themeColor="accent4"/>
          <w:left w:val="single" w:sz="8" w:space="0" w:color="B689C1" w:themeColor="accent4"/>
          <w:bottom w:val="single" w:sz="8" w:space="0" w:color="B689C1" w:themeColor="accent4"/>
          <w:right w:val="single" w:sz="8" w:space="0" w:color="B689C1" w:themeColor="accent4"/>
        </w:tcBorders>
      </w:tcPr>
    </w:tblStylePr>
    <w:tblStylePr w:type="band1Horz">
      <w:tblPr/>
      <w:tcPr>
        <w:tcBorders>
          <w:top w:val="single" w:sz="8" w:space="0" w:color="B689C1" w:themeColor="accent4"/>
          <w:left w:val="single" w:sz="8" w:space="0" w:color="B689C1" w:themeColor="accent4"/>
          <w:bottom w:val="single" w:sz="8" w:space="0" w:color="B689C1" w:themeColor="accent4"/>
          <w:right w:val="single" w:sz="8" w:space="0" w:color="B689C1" w:themeColor="accent4"/>
        </w:tcBorders>
      </w:tcPr>
    </w:tblStylePr>
  </w:style>
  <w:style w:type="table" w:styleId="LightList-Accent5">
    <w:name w:val="Light List Accent 5"/>
    <w:basedOn w:val="TableNormal"/>
    <w:uiPriority w:val="61"/>
    <w:rsid w:val="00C249C7"/>
    <w:pPr>
      <w:spacing w:before="0" w:line="240" w:lineRule="auto"/>
    </w:pPr>
    <w:tblPr>
      <w:tblStyleRowBandSize w:val="1"/>
      <w:tblStyleColBandSize w:val="1"/>
      <w:tblBorders>
        <w:top w:val="single" w:sz="8" w:space="0" w:color="EA8B00" w:themeColor="accent5"/>
        <w:left w:val="single" w:sz="8" w:space="0" w:color="EA8B00" w:themeColor="accent5"/>
        <w:bottom w:val="single" w:sz="8" w:space="0" w:color="EA8B00" w:themeColor="accent5"/>
        <w:right w:val="single" w:sz="8" w:space="0" w:color="EA8B00" w:themeColor="accent5"/>
      </w:tblBorders>
    </w:tblPr>
    <w:tblStylePr w:type="firstRow">
      <w:pPr>
        <w:spacing w:before="0" w:after="0" w:line="240" w:lineRule="auto"/>
      </w:pPr>
      <w:rPr>
        <w:b/>
        <w:bCs/>
        <w:color w:val="FFFFFF" w:themeColor="background1"/>
      </w:rPr>
      <w:tblPr/>
      <w:tcPr>
        <w:shd w:val="clear" w:color="auto" w:fill="EA8B00" w:themeFill="accent5"/>
      </w:tcPr>
    </w:tblStylePr>
    <w:tblStylePr w:type="lastRow">
      <w:pPr>
        <w:spacing w:before="0" w:after="0" w:line="240" w:lineRule="auto"/>
      </w:pPr>
      <w:rPr>
        <w:b/>
        <w:bCs/>
      </w:rPr>
      <w:tblPr/>
      <w:tcPr>
        <w:tcBorders>
          <w:top w:val="double" w:sz="6" w:space="0" w:color="EA8B00" w:themeColor="accent5"/>
          <w:left w:val="single" w:sz="8" w:space="0" w:color="EA8B00" w:themeColor="accent5"/>
          <w:bottom w:val="single" w:sz="8" w:space="0" w:color="EA8B00" w:themeColor="accent5"/>
          <w:right w:val="single" w:sz="8" w:space="0" w:color="EA8B00" w:themeColor="accent5"/>
        </w:tcBorders>
      </w:tcPr>
    </w:tblStylePr>
    <w:tblStylePr w:type="firstCol">
      <w:rPr>
        <w:b/>
        <w:bCs/>
      </w:rPr>
    </w:tblStylePr>
    <w:tblStylePr w:type="lastCol">
      <w:rPr>
        <w:b/>
        <w:bCs/>
      </w:rPr>
    </w:tblStylePr>
    <w:tblStylePr w:type="band1Vert">
      <w:tblPr/>
      <w:tcPr>
        <w:tcBorders>
          <w:top w:val="single" w:sz="8" w:space="0" w:color="EA8B00" w:themeColor="accent5"/>
          <w:left w:val="single" w:sz="8" w:space="0" w:color="EA8B00" w:themeColor="accent5"/>
          <w:bottom w:val="single" w:sz="8" w:space="0" w:color="EA8B00" w:themeColor="accent5"/>
          <w:right w:val="single" w:sz="8" w:space="0" w:color="EA8B00" w:themeColor="accent5"/>
        </w:tcBorders>
      </w:tcPr>
    </w:tblStylePr>
    <w:tblStylePr w:type="band1Horz">
      <w:tblPr/>
      <w:tcPr>
        <w:tcBorders>
          <w:top w:val="single" w:sz="8" w:space="0" w:color="EA8B00" w:themeColor="accent5"/>
          <w:left w:val="single" w:sz="8" w:space="0" w:color="EA8B00" w:themeColor="accent5"/>
          <w:bottom w:val="single" w:sz="8" w:space="0" w:color="EA8B00" w:themeColor="accent5"/>
          <w:right w:val="single" w:sz="8" w:space="0" w:color="EA8B00" w:themeColor="accent5"/>
        </w:tcBorders>
      </w:tcPr>
    </w:tblStylePr>
  </w:style>
  <w:style w:type="table" w:styleId="LightList-Accent6">
    <w:name w:val="Light List Accent 6"/>
    <w:basedOn w:val="TableNormal"/>
    <w:uiPriority w:val="61"/>
    <w:rsid w:val="00C249C7"/>
    <w:pPr>
      <w:spacing w:before="0" w:line="240" w:lineRule="auto"/>
    </w:pPr>
    <w:tblPr>
      <w:tblStyleRowBandSize w:val="1"/>
      <w:tblStyleColBandSize w:val="1"/>
      <w:tblBorders>
        <w:top w:val="single" w:sz="8" w:space="0" w:color="BFBFBF" w:themeColor="accent6"/>
        <w:left w:val="single" w:sz="8" w:space="0" w:color="BFBFBF" w:themeColor="accent6"/>
        <w:bottom w:val="single" w:sz="8" w:space="0" w:color="BFBFBF" w:themeColor="accent6"/>
        <w:right w:val="single" w:sz="8" w:space="0" w:color="BFBFBF" w:themeColor="accent6"/>
      </w:tblBorders>
    </w:tblPr>
    <w:tblStylePr w:type="firstRow">
      <w:pPr>
        <w:spacing w:before="0" w:after="0" w:line="240" w:lineRule="auto"/>
      </w:pPr>
      <w:rPr>
        <w:b/>
        <w:bCs/>
        <w:color w:val="FFFFFF" w:themeColor="background1"/>
      </w:rPr>
      <w:tblPr/>
      <w:tcPr>
        <w:shd w:val="clear" w:color="auto" w:fill="BFBFBF" w:themeFill="accent6"/>
      </w:tcPr>
    </w:tblStylePr>
    <w:tblStylePr w:type="lastRow">
      <w:pPr>
        <w:spacing w:before="0" w:after="0" w:line="240" w:lineRule="auto"/>
      </w:pPr>
      <w:rPr>
        <w:b/>
        <w:bCs/>
      </w:rPr>
      <w:tblPr/>
      <w:tcPr>
        <w:tcBorders>
          <w:top w:val="double" w:sz="6" w:space="0" w:color="BFBFBF" w:themeColor="accent6"/>
          <w:left w:val="single" w:sz="8" w:space="0" w:color="BFBFBF" w:themeColor="accent6"/>
          <w:bottom w:val="single" w:sz="8" w:space="0" w:color="BFBFBF" w:themeColor="accent6"/>
          <w:right w:val="single" w:sz="8" w:space="0" w:color="BFBFBF" w:themeColor="accent6"/>
        </w:tcBorders>
      </w:tcPr>
    </w:tblStylePr>
    <w:tblStylePr w:type="firstCol">
      <w:rPr>
        <w:b/>
        <w:bCs/>
      </w:rPr>
    </w:tblStylePr>
    <w:tblStylePr w:type="lastCol">
      <w:rPr>
        <w:b/>
        <w:bCs/>
      </w:rPr>
    </w:tblStylePr>
    <w:tblStylePr w:type="band1Vert">
      <w:tblPr/>
      <w:tcPr>
        <w:tcBorders>
          <w:top w:val="single" w:sz="8" w:space="0" w:color="BFBFBF" w:themeColor="accent6"/>
          <w:left w:val="single" w:sz="8" w:space="0" w:color="BFBFBF" w:themeColor="accent6"/>
          <w:bottom w:val="single" w:sz="8" w:space="0" w:color="BFBFBF" w:themeColor="accent6"/>
          <w:right w:val="single" w:sz="8" w:space="0" w:color="BFBFBF" w:themeColor="accent6"/>
        </w:tcBorders>
      </w:tcPr>
    </w:tblStylePr>
    <w:tblStylePr w:type="band1Horz">
      <w:tblPr/>
      <w:tcPr>
        <w:tcBorders>
          <w:top w:val="single" w:sz="8" w:space="0" w:color="BFBFBF" w:themeColor="accent6"/>
          <w:left w:val="single" w:sz="8" w:space="0" w:color="BFBFBF" w:themeColor="accent6"/>
          <w:bottom w:val="single" w:sz="8" w:space="0" w:color="BFBFBF" w:themeColor="accent6"/>
          <w:right w:val="single" w:sz="8" w:space="0" w:color="BFBFBF" w:themeColor="accent6"/>
        </w:tcBorders>
      </w:tcPr>
    </w:tblStylePr>
  </w:style>
  <w:style w:type="table" w:customStyle="1" w:styleId="LightShading2">
    <w:name w:val="Light Shading2"/>
    <w:basedOn w:val="TableNormal"/>
    <w:uiPriority w:val="60"/>
    <w:rsid w:val="00C249C7"/>
    <w:pPr>
      <w:spacing w:before="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C249C7"/>
    <w:pPr>
      <w:spacing w:before="0" w:line="240" w:lineRule="auto"/>
    </w:pPr>
    <w:rPr>
      <w:color w:val="70417C" w:themeColor="accent1" w:themeShade="BF"/>
    </w:rPr>
    <w:tblPr>
      <w:tblStyleRowBandSize w:val="1"/>
      <w:tblStyleColBandSize w:val="1"/>
      <w:tblBorders>
        <w:top w:val="single" w:sz="8" w:space="0" w:color="9757A6" w:themeColor="accent1"/>
        <w:bottom w:val="single" w:sz="8" w:space="0" w:color="9757A6" w:themeColor="accent1"/>
      </w:tblBorders>
    </w:tblPr>
    <w:tblStylePr w:type="firstRow">
      <w:pPr>
        <w:spacing w:before="0" w:after="0" w:line="240" w:lineRule="auto"/>
      </w:pPr>
      <w:rPr>
        <w:b/>
        <w:bCs/>
      </w:rPr>
      <w:tblPr/>
      <w:tcPr>
        <w:tcBorders>
          <w:top w:val="single" w:sz="8" w:space="0" w:color="9757A6" w:themeColor="accent1"/>
          <w:left w:val="nil"/>
          <w:bottom w:val="single" w:sz="8" w:space="0" w:color="9757A6" w:themeColor="accent1"/>
          <w:right w:val="nil"/>
          <w:insideH w:val="nil"/>
          <w:insideV w:val="nil"/>
        </w:tcBorders>
      </w:tcPr>
    </w:tblStylePr>
    <w:tblStylePr w:type="lastRow">
      <w:pPr>
        <w:spacing w:before="0" w:after="0" w:line="240" w:lineRule="auto"/>
      </w:pPr>
      <w:rPr>
        <w:b/>
        <w:bCs/>
      </w:rPr>
      <w:tblPr/>
      <w:tcPr>
        <w:tcBorders>
          <w:top w:val="single" w:sz="8" w:space="0" w:color="9757A6" w:themeColor="accent1"/>
          <w:left w:val="nil"/>
          <w:bottom w:val="single" w:sz="8" w:space="0" w:color="9757A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D5E9" w:themeFill="accent1" w:themeFillTint="3F"/>
      </w:tcPr>
    </w:tblStylePr>
    <w:tblStylePr w:type="band1Horz">
      <w:tblPr/>
      <w:tcPr>
        <w:tcBorders>
          <w:left w:val="nil"/>
          <w:right w:val="nil"/>
          <w:insideH w:val="nil"/>
          <w:insideV w:val="nil"/>
        </w:tcBorders>
        <w:shd w:val="clear" w:color="auto" w:fill="E5D5E9" w:themeFill="accent1" w:themeFillTint="3F"/>
      </w:tcPr>
    </w:tblStylePr>
  </w:style>
  <w:style w:type="table" w:styleId="LightShading-Accent2">
    <w:name w:val="Light Shading Accent 2"/>
    <w:basedOn w:val="TableNormal"/>
    <w:uiPriority w:val="60"/>
    <w:rsid w:val="00C249C7"/>
    <w:pPr>
      <w:spacing w:before="0" w:line="240" w:lineRule="auto"/>
    </w:pPr>
    <w:rPr>
      <w:color w:val="EB8900" w:themeColor="accent2" w:themeShade="BF"/>
    </w:rPr>
    <w:tblPr>
      <w:tblStyleRowBandSize w:val="1"/>
      <w:tblStyleColBandSize w:val="1"/>
      <w:tblBorders>
        <w:top w:val="single" w:sz="8" w:space="0" w:color="FFAE3B" w:themeColor="accent2"/>
        <w:bottom w:val="single" w:sz="8" w:space="0" w:color="FFAE3B" w:themeColor="accent2"/>
      </w:tblBorders>
    </w:tblPr>
    <w:tblStylePr w:type="firstRow">
      <w:pPr>
        <w:spacing w:before="0" w:after="0" w:line="240" w:lineRule="auto"/>
      </w:pPr>
      <w:rPr>
        <w:b/>
        <w:bCs/>
      </w:rPr>
      <w:tblPr/>
      <w:tcPr>
        <w:tcBorders>
          <w:top w:val="single" w:sz="8" w:space="0" w:color="FFAE3B" w:themeColor="accent2"/>
          <w:left w:val="nil"/>
          <w:bottom w:val="single" w:sz="8" w:space="0" w:color="FFAE3B" w:themeColor="accent2"/>
          <w:right w:val="nil"/>
          <w:insideH w:val="nil"/>
          <w:insideV w:val="nil"/>
        </w:tcBorders>
      </w:tcPr>
    </w:tblStylePr>
    <w:tblStylePr w:type="lastRow">
      <w:pPr>
        <w:spacing w:before="0" w:after="0" w:line="240" w:lineRule="auto"/>
      </w:pPr>
      <w:rPr>
        <w:b/>
        <w:bCs/>
      </w:rPr>
      <w:tblPr/>
      <w:tcPr>
        <w:tcBorders>
          <w:top w:val="single" w:sz="8" w:space="0" w:color="FFAE3B" w:themeColor="accent2"/>
          <w:left w:val="nil"/>
          <w:bottom w:val="single" w:sz="8" w:space="0" w:color="FFAE3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ACE" w:themeFill="accent2" w:themeFillTint="3F"/>
      </w:tcPr>
    </w:tblStylePr>
    <w:tblStylePr w:type="band1Horz">
      <w:tblPr/>
      <w:tcPr>
        <w:tcBorders>
          <w:left w:val="nil"/>
          <w:right w:val="nil"/>
          <w:insideH w:val="nil"/>
          <w:insideV w:val="nil"/>
        </w:tcBorders>
        <w:shd w:val="clear" w:color="auto" w:fill="FFEACE" w:themeFill="accent2" w:themeFillTint="3F"/>
      </w:tcPr>
    </w:tblStylePr>
  </w:style>
  <w:style w:type="table" w:styleId="LightShading-Accent3">
    <w:name w:val="Light Shading Accent 3"/>
    <w:basedOn w:val="TableNormal"/>
    <w:uiPriority w:val="60"/>
    <w:rsid w:val="00C249C7"/>
    <w:pPr>
      <w:spacing w:before="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C249C7"/>
    <w:pPr>
      <w:spacing w:before="0" w:line="240" w:lineRule="auto"/>
    </w:pPr>
    <w:rPr>
      <w:color w:val="9255A1" w:themeColor="accent4" w:themeShade="BF"/>
    </w:rPr>
    <w:tblPr>
      <w:tblStyleRowBandSize w:val="1"/>
      <w:tblStyleColBandSize w:val="1"/>
      <w:tblBorders>
        <w:top w:val="single" w:sz="8" w:space="0" w:color="B689C1" w:themeColor="accent4"/>
        <w:bottom w:val="single" w:sz="8" w:space="0" w:color="B689C1" w:themeColor="accent4"/>
      </w:tblBorders>
    </w:tblPr>
    <w:tblStylePr w:type="firstRow">
      <w:pPr>
        <w:spacing w:before="0" w:after="0" w:line="240" w:lineRule="auto"/>
      </w:pPr>
      <w:rPr>
        <w:b/>
        <w:bCs/>
      </w:rPr>
      <w:tblPr/>
      <w:tcPr>
        <w:tcBorders>
          <w:top w:val="single" w:sz="8" w:space="0" w:color="B689C1" w:themeColor="accent4"/>
          <w:left w:val="nil"/>
          <w:bottom w:val="single" w:sz="8" w:space="0" w:color="B689C1" w:themeColor="accent4"/>
          <w:right w:val="nil"/>
          <w:insideH w:val="nil"/>
          <w:insideV w:val="nil"/>
        </w:tcBorders>
      </w:tcPr>
    </w:tblStylePr>
    <w:tblStylePr w:type="lastRow">
      <w:pPr>
        <w:spacing w:before="0" w:after="0" w:line="240" w:lineRule="auto"/>
      </w:pPr>
      <w:rPr>
        <w:b/>
        <w:bCs/>
      </w:rPr>
      <w:tblPr/>
      <w:tcPr>
        <w:tcBorders>
          <w:top w:val="single" w:sz="8" w:space="0" w:color="B689C1" w:themeColor="accent4"/>
          <w:left w:val="nil"/>
          <w:bottom w:val="single" w:sz="8" w:space="0" w:color="B689C1"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1EF" w:themeFill="accent4" w:themeFillTint="3F"/>
      </w:tcPr>
    </w:tblStylePr>
    <w:tblStylePr w:type="band1Horz">
      <w:tblPr/>
      <w:tcPr>
        <w:tcBorders>
          <w:left w:val="nil"/>
          <w:right w:val="nil"/>
          <w:insideH w:val="nil"/>
          <w:insideV w:val="nil"/>
        </w:tcBorders>
        <w:shd w:val="clear" w:color="auto" w:fill="ECE1EF" w:themeFill="accent4" w:themeFillTint="3F"/>
      </w:tcPr>
    </w:tblStylePr>
  </w:style>
  <w:style w:type="table" w:styleId="LightShading-Accent5">
    <w:name w:val="Light Shading Accent 5"/>
    <w:basedOn w:val="TableNormal"/>
    <w:uiPriority w:val="60"/>
    <w:rsid w:val="00C249C7"/>
    <w:pPr>
      <w:spacing w:before="0" w:line="240" w:lineRule="auto"/>
    </w:pPr>
    <w:rPr>
      <w:color w:val="AF6700" w:themeColor="accent5" w:themeShade="BF"/>
    </w:rPr>
    <w:tblPr>
      <w:tblStyleRowBandSize w:val="1"/>
      <w:tblStyleColBandSize w:val="1"/>
      <w:tblBorders>
        <w:top w:val="single" w:sz="8" w:space="0" w:color="EA8B00" w:themeColor="accent5"/>
        <w:bottom w:val="single" w:sz="8" w:space="0" w:color="EA8B00" w:themeColor="accent5"/>
      </w:tblBorders>
    </w:tblPr>
    <w:tblStylePr w:type="firstRow">
      <w:pPr>
        <w:spacing w:before="0" w:after="0" w:line="240" w:lineRule="auto"/>
      </w:pPr>
      <w:rPr>
        <w:b/>
        <w:bCs/>
      </w:rPr>
      <w:tblPr/>
      <w:tcPr>
        <w:tcBorders>
          <w:top w:val="single" w:sz="8" w:space="0" w:color="EA8B00" w:themeColor="accent5"/>
          <w:left w:val="nil"/>
          <w:bottom w:val="single" w:sz="8" w:space="0" w:color="EA8B00" w:themeColor="accent5"/>
          <w:right w:val="nil"/>
          <w:insideH w:val="nil"/>
          <w:insideV w:val="nil"/>
        </w:tcBorders>
      </w:tcPr>
    </w:tblStylePr>
    <w:tblStylePr w:type="lastRow">
      <w:pPr>
        <w:spacing w:before="0" w:after="0" w:line="240" w:lineRule="auto"/>
      </w:pPr>
      <w:rPr>
        <w:b/>
        <w:bCs/>
      </w:rPr>
      <w:tblPr/>
      <w:tcPr>
        <w:tcBorders>
          <w:top w:val="single" w:sz="8" w:space="0" w:color="EA8B00" w:themeColor="accent5"/>
          <w:left w:val="nil"/>
          <w:bottom w:val="single" w:sz="8" w:space="0" w:color="EA8B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3BA" w:themeFill="accent5" w:themeFillTint="3F"/>
      </w:tcPr>
    </w:tblStylePr>
    <w:tblStylePr w:type="band1Horz">
      <w:tblPr/>
      <w:tcPr>
        <w:tcBorders>
          <w:left w:val="nil"/>
          <w:right w:val="nil"/>
          <w:insideH w:val="nil"/>
          <w:insideV w:val="nil"/>
        </w:tcBorders>
        <w:shd w:val="clear" w:color="auto" w:fill="FFE3BA" w:themeFill="accent5" w:themeFillTint="3F"/>
      </w:tcPr>
    </w:tblStylePr>
  </w:style>
  <w:style w:type="table" w:styleId="LightShading-Accent6">
    <w:name w:val="Light Shading Accent 6"/>
    <w:basedOn w:val="TableNormal"/>
    <w:uiPriority w:val="60"/>
    <w:rsid w:val="00C249C7"/>
    <w:pPr>
      <w:spacing w:before="0" w:line="240" w:lineRule="auto"/>
    </w:pPr>
    <w:rPr>
      <w:color w:val="8F8F8F" w:themeColor="accent6" w:themeShade="BF"/>
    </w:rPr>
    <w:tblPr>
      <w:tblStyleRowBandSize w:val="1"/>
      <w:tblStyleColBandSize w:val="1"/>
      <w:tblBorders>
        <w:top w:val="single" w:sz="8" w:space="0" w:color="BFBFBF" w:themeColor="accent6"/>
        <w:bottom w:val="single" w:sz="8" w:space="0" w:color="BFBFBF" w:themeColor="accent6"/>
      </w:tblBorders>
    </w:tblPr>
    <w:tblStylePr w:type="firstRow">
      <w:pPr>
        <w:spacing w:before="0" w:after="0" w:line="240" w:lineRule="auto"/>
      </w:pPr>
      <w:rPr>
        <w:b/>
        <w:bCs/>
      </w:rPr>
      <w:tblPr/>
      <w:tcPr>
        <w:tcBorders>
          <w:top w:val="single" w:sz="8" w:space="0" w:color="BFBFBF" w:themeColor="accent6"/>
          <w:left w:val="nil"/>
          <w:bottom w:val="single" w:sz="8" w:space="0" w:color="BFBFBF" w:themeColor="accent6"/>
          <w:right w:val="nil"/>
          <w:insideH w:val="nil"/>
          <w:insideV w:val="nil"/>
        </w:tcBorders>
      </w:tcPr>
    </w:tblStylePr>
    <w:tblStylePr w:type="lastRow">
      <w:pPr>
        <w:spacing w:before="0" w:after="0" w:line="240" w:lineRule="auto"/>
      </w:pPr>
      <w:rPr>
        <w:b/>
        <w:bCs/>
      </w:rPr>
      <w:tblPr/>
      <w:tcPr>
        <w:tcBorders>
          <w:top w:val="single" w:sz="8" w:space="0" w:color="BFBFBF" w:themeColor="accent6"/>
          <w:left w:val="nil"/>
          <w:bottom w:val="single" w:sz="8" w:space="0" w:color="BFBFB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FEF" w:themeFill="accent6" w:themeFillTint="3F"/>
      </w:tcPr>
    </w:tblStylePr>
    <w:tblStylePr w:type="band1Horz">
      <w:tblPr/>
      <w:tcPr>
        <w:tcBorders>
          <w:left w:val="nil"/>
          <w:right w:val="nil"/>
          <w:insideH w:val="nil"/>
          <w:insideV w:val="nil"/>
        </w:tcBorders>
        <w:shd w:val="clear" w:color="auto" w:fill="EFEFEF" w:themeFill="accent6" w:themeFillTint="3F"/>
      </w:tcPr>
    </w:tblStylePr>
  </w:style>
  <w:style w:type="paragraph" w:styleId="ListParagraph">
    <w:name w:val="List Paragraph"/>
    <w:basedOn w:val="Normal"/>
    <w:uiPriority w:val="34"/>
    <w:qFormat/>
    <w:rsid w:val="00C249C7"/>
    <w:pPr>
      <w:ind w:left="720"/>
      <w:contextualSpacing/>
    </w:pPr>
  </w:style>
  <w:style w:type="table" w:customStyle="1" w:styleId="MediumGrid11">
    <w:name w:val="Medium Grid 11"/>
    <w:basedOn w:val="TableNormal"/>
    <w:uiPriority w:val="67"/>
    <w:rsid w:val="00C249C7"/>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249C7"/>
    <w:pPr>
      <w:spacing w:before="0" w:line="240" w:lineRule="auto"/>
    </w:pPr>
    <w:tblPr>
      <w:tblStyleRowBandSize w:val="1"/>
      <w:tblStyleColBandSize w:val="1"/>
      <w:tblBorders>
        <w:top w:val="single" w:sz="8" w:space="0" w:color="B180BC" w:themeColor="accent1" w:themeTint="BF"/>
        <w:left w:val="single" w:sz="8" w:space="0" w:color="B180BC" w:themeColor="accent1" w:themeTint="BF"/>
        <w:bottom w:val="single" w:sz="8" w:space="0" w:color="B180BC" w:themeColor="accent1" w:themeTint="BF"/>
        <w:right w:val="single" w:sz="8" w:space="0" w:color="B180BC" w:themeColor="accent1" w:themeTint="BF"/>
        <w:insideH w:val="single" w:sz="8" w:space="0" w:color="B180BC" w:themeColor="accent1" w:themeTint="BF"/>
        <w:insideV w:val="single" w:sz="8" w:space="0" w:color="B180BC" w:themeColor="accent1" w:themeTint="BF"/>
      </w:tblBorders>
    </w:tblPr>
    <w:tcPr>
      <w:shd w:val="clear" w:color="auto" w:fill="E5D5E9" w:themeFill="accent1" w:themeFillTint="3F"/>
    </w:tcPr>
    <w:tblStylePr w:type="firstRow">
      <w:rPr>
        <w:b/>
        <w:bCs/>
      </w:rPr>
    </w:tblStylePr>
    <w:tblStylePr w:type="lastRow">
      <w:rPr>
        <w:b/>
        <w:bCs/>
      </w:rPr>
      <w:tblPr/>
      <w:tcPr>
        <w:tcBorders>
          <w:top w:val="single" w:sz="18" w:space="0" w:color="B180BC" w:themeColor="accent1" w:themeTint="BF"/>
        </w:tcBorders>
      </w:tcPr>
    </w:tblStylePr>
    <w:tblStylePr w:type="firstCol">
      <w:rPr>
        <w:b/>
        <w:bCs/>
      </w:rPr>
    </w:tblStylePr>
    <w:tblStylePr w:type="lastCol">
      <w:rPr>
        <w:b/>
        <w:bCs/>
      </w:rPr>
    </w:tblStylePr>
    <w:tblStylePr w:type="band1Vert">
      <w:tblPr/>
      <w:tcPr>
        <w:shd w:val="clear" w:color="auto" w:fill="CBABD3" w:themeFill="accent1" w:themeFillTint="7F"/>
      </w:tcPr>
    </w:tblStylePr>
    <w:tblStylePr w:type="band1Horz">
      <w:tblPr/>
      <w:tcPr>
        <w:shd w:val="clear" w:color="auto" w:fill="CBABD3" w:themeFill="accent1" w:themeFillTint="7F"/>
      </w:tcPr>
    </w:tblStylePr>
  </w:style>
  <w:style w:type="table" w:styleId="MediumGrid1-Accent2">
    <w:name w:val="Medium Grid 1 Accent 2"/>
    <w:basedOn w:val="TableNormal"/>
    <w:uiPriority w:val="67"/>
    <w:rsid w:val="00C249C7"/>
    <w:pPr>
      <w:spacing w:before="0" w:line="240" w:lineRule="auto"/>
    </w:pPr>
    <w:tblPr>
      <w:tblStyleRowBandSize w:val="1"/>
      <w:tblStyleColBandSize w:val="1"/>
      <w:tblBorders>
        <w:top w:val="single" w:sz="8" w:space="0" w:color="FFC16C" w:themeColor="accent2" w:themeTint="BF"/>
        <w:left w:val="single" w:sz="8" w:space="0" w:color="FFC16C" w:themeColor="accent2" w:themeTint="BF"/>
        <w:bottom w:val="single" w:sz="8" w:space="0" w:color="FFC16C" w:themeColor="accent2" w:themeTint="BF"/>
        <w:right w:val="single" w:sz="8" w:space="0" w:color="FFC16C" w:themeColor="accent2" w:themeTint="BF"/>
        <w:insideH w:val="single" w:sz="8" w:space="0" w:color="FFC16C" w:themeColor="accent2" w:themeTint="BF"/>
        <w:insideV w:val="single" w:sz="8" w:space="0" w:color="FFC16C" w:themeColor="accent2" w:themeTint="BF"/>
      </w:tblBorders>
    </w:tblPr>
    <w:tcPr>
      <w:shd w:val="clear" w:color="auto" w:fill="FFEACE" w:themeFill="accent2" w:themeFillTint="3F"/>
    </w:tcPr>
    <w:tblStylePr w:type="firstRow">
      <w:rPr>
        <w:b/>
        <w:bCs/>
      </w:rPr>
    </w:tblStylePr>
    <w:tblStylePr w:type="lastRow">
      <w:rPr>
        <w:b/>
        <w:bCs/>
      </w:rPr>
      <w:tblPr/>
      <w:tcPr>
        <w:tcBorders>
          <w:top w:val="single" w:sz="18" w:space="0" w:color="FFC16C" w:themeColor="accent2" w:themeTint="BF"/>
        </w:tcBorders>
      </w:tcPr>
    </w:tblStylePr>
    <w:tblStylePr w:type="firstCol">
      <w:rPr>
        <w:b/>
        <w:bCs/>
      </w:rPr>
    </w:tblStylePr>
    <w:tblStylePr w:type="lastCol">
      <w:rPr>
        <w:b/>
        <w:bCs/>
      </w:rPr>
    </w:tblStylePr>
    <w:tblStylePr w:type="band1Vert">
      <w:tblPr/>
      <w:tcPr>
        <w:shd w:val="clear" w:color="auto" w:fill="FFD69D" w:themeFill="accent2" w:themeFillTint="7F"/>
      </w:tcPr>
    </w:tblStylePr>
    <w:tblStylePr w:type="band1Horz">
      <w:tblPr/>
      <w:tcPr>
        <w:shd w:val="clear" w:color="auto" w:fill="FFD69D" w:themeFill="accent2" w:themeFillTint="7F"/>
      </w:tcPr>
    </w:tblStylePr>
  </w:style>
  <w:style w:type="table" w:styleId="MediumGrid1-Accent3">
    <w:name w:val="Medium Grid 1 Accent 3"/>
    <w:basedOn w:val="TableNormal"/>
    <w:uiPriority w:val="67"/>
    <w:rsid w:val="00C249C7"/>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249C7"/>
    <w:pPr>
      <w:spacing w:before="0" w:line="240" w:lineRule="auto"/>
    </w:pPr>
    <w:tblPr>
      <w:tblStyleRowBandSize w:val="1"/>
      <w:tblStyleColBandSize w:val="1"/>
      <w:tblBorders>
        <w:top w:val="single" w:sz="8" w:space="0" w:color="C8A6D0" w:themeColor="accent4" w:themeTint="BF"/>
        <w:left w:val="single" w:sz="8" w:space="0" w:color="C8A6D0" w:themeColor="accent4" w:themeTint="BF"/>
        <w:bottom w:val="single" w:sz="8" w:space="0" w:color="C8A6D0" w:themeColor="accent4" w:themeTint="BF"/>
        <w:right w:val="single" w:sz="8" w:space="0" w:color="C8A6D0" w:themeColor="accent4" w:themeTint="BF"/>
        <w:insideH w:val="single" w:sz="8" w:space="0" w:color="C8A6D0" w:themeColor="accent4" w:themeTint="BF"/>
        <w:insideV w:val="single" w:sz="8" w:space="0" w:color="C8A6D0" w:themeColor="accent4" w:themeTint="BF"/>
      </w:tblBorders>
    </w:tblPr>
    <w:tcPr>
      <w:shd w:val="clear" w:color="auto" w:fill="ECE1EF" w:themeFill="accent4" w:themeFillTint="3F"/>
    </w:tcPr>
    <w:tblStylePr w:type="firstRow">
      <w:rPr>
        <w:b/>
        <w:bCs/>
      </w:rPr>
    </w:tblStylePr>
    <w:tblStylePr w:type="lastRow">
      <w:rPr>
        <w:b/>
        <w:bCs/>
      </w:rPr>
      <w:tblPr/>
      <w:tcPr>
        <w:tcBorders>
          <w:top w:val="single" w:sz="18" w:space="0" w:color="C8A6D0" w:themeColor="accent4" w:themeTint="BF"/>
        </w:tcBorders>
      </w:tcPr>
    </w:tblStylePr>
    <w:tblStylePr w:type="firstCol">
      <w:rPr>
        <w:b/>
        <w:bCs/>
      </w:rPr>
    </w:tblStylePr>
    <w:tblStylePr w:type="lastCol">
      <w:rPr>
        <w:b/>
        <w:bCs/>
      </w:rPr>
    </w:tblStylePr>
    <w:tblStylePr w:type="band1Vert">
      <w:tblPr/>
      <w:tcPr>
        <w:shd w:val="clear" w:color="auto" w:fill="DAC4E0" w:themeFill="accent4" w:themeFillTint="7F"/>
      </w:tcPr>
    </w:tblStylePr>
    <w:tblStylePr w:type="band1Horz">
      <w:tblPr/>
      <w:tcPr>
        <w:shd w:val="clear" w:color="auto" w:fill="DAC4E0" w:themeFill="accent4" w:themeFillTint="7F"/>
      </w:tcPr>
    </w:tblStylePr>
  </w:style>
  <w:style w:type="table" w:styleId="MediumGrid1-Accent5">
    <w:name w:val="Medium Grid 1 Accent 5"/>
    <w:basedOn w:val="TableNormal"/>
    <w:uiPriority w:val="67"/>
    <w:rsid w:val="00C249C7"/>
    <w:pPr>
      <w:spacing w:before="0" w:line="240" w:lineRule="auto"/>
    </w:pPr>
    <w:tblPr>
      <w:tblStyleRowBandSize w:val="1"/>
      <w:tblStyleColBandSize w:val="1"/>
      <w:tblBorders>
        <w:top w:val="single" w:sz="8" w:space="0" w:color="FFAA30" w:themeColor="accent5" w:themeTint="BF"/>
        <w:left w:val="single" w:sz="8" w:space="0" w:color="FFAA30" w:themeColor="accent5" w:themeTint="BF"/>
        <w:bottom w:val="single" w:sz="8" w:space="0" w:color="FFAA30" w:themeColor="accent5" w:themeTint="BF"/>
        <w:right w:val="single" w:sz="8" w:space="0" w:color="FFAA30" w:themeColor="accent5" w:themeTint="BF"/>
        <w:insideH w:val="single" w:sz="8" w:space="0" w:color="FFAA30" w:themeColor="accent5" w:themeTint="BF"/>
        <w:insideV w:val="single" w:sz="8" w:space="0" w:color="FFAA30" w:themeColor="accent5" w:themeTint="BF"/>
      </w:tblBorders>
    </w:tblPr>
    <w:tcPr>
      <w:shd w:val="clear" w:color="auto" w:fill="FFE3BA" w:themeFill="accent5" w:themeFillTint="3F"/>
    </w:tcPr>
    <w:tblStylePr w:type="firstRow">
      <w:rPr>
        <w:b/>
        <w:bCs/>
      </w:rPr>
    </w:tblStylePr>
    <w:tblStylePr w:type="lastRow">
      <w:rPr>
        <w:b/>
        <w:bCs/>
      </w:rPr>
      <w:tblPr/>
      <w:tcPr>
        <w:tcBorders>
          <w:top w:val="single" w:sz="18" w:space="0" w:color="FFAA30" w:themeColor="accent5" w:themeTint="BF"/>
        </w:tcBorders>
      </w:tcPr>
    </w:tblStylePr>
    <w:tblStylePr w:type="firstCol">
      <w:rPr>
        <w:b/>
        <w:bCs/>
      </w:rPr>
    </w:tblStylePr>
    <w:tblStylePr w:type="lastCol">
      <w:rPr>
        <w:b/>
        <w:bCs/>
      </w:rPr>
    </w:tblStylePr>
    <w:tblStylePr w:type="band1Vert">
      <w:tblPr/>
      <w:tcPr>
        <w:shd w:val="clear" w:color="auto" w:fill="FFC675" w:themeFill="accent5" w:themeFillTint="7F"/>
      </w:tcPr>
    </w:tblStylePr>
    <w:tblStylePr w:type="band1Horz">
      <w:tblPr/>
      <w:tcPr>
        <w:shd w:val="clear" w:color="auto" w:fill="FFC675" w:themeFill="accent5" w:themeFillTint="7F"/>
      </w:tcPr>
    </w:tblStylePr>
  </w:style>
  <w:style w:type="table" w:styleId="MediumGrid1-Accent6">
    <w:name w:val="Medium Grid 1 Accent 6"/>
    <w:basedOn w:val="TableNormal"/>
    <w:uiPriority w:val="67"/>
    <w:rsid w:val="00C249C7"/>
    <w:pPr>
      <w:spacing w:before="0" w:line="240" w:lineRule="auto"/>
    </w:pPr>
    <w:tblPr>
      <w:tblStyleRowBandSize w:val="1"/>
      <w:tblStyleColBandSize w:val="1"/>
      <w:tblBorders>
        <w:top w:val="single" w:sz="8" w:space="0" w:color="CFCFCF" w:themeColor="accent6" w:themeTint="BF"/>
        <w:left w:val="single" w:sz="8" w:space="0" w:color="CFCFCF" w:themeColor="accent6" w:themeTint="BF"/>
        <w:bottom w:val="single" w:sz="8" w:space="0" w:color="CFCFCF" w:themeColor="accent6" w:themeTint="BF"/>
        <w:right w:val="single" w:sz="8" w:space="0" w:color="CFCFCF" w:themeColor="accent6" w:themeTint="BF"/>
        <w:insideH w:val="single" w:sz="8" w:space="0" w:color="CFCFCF" w:themeColor="accent6" w:themeTint="BF"/>
        <w:insideV w:val="single" w:sz="8" w:space="0" w:color="CFCFCF" w:themeColor="accent6" w:themeTint="BF"/>
      </w:tblBorders>
    </w:tblPr>
    <w:tcPr>
      <w:shd w:val="clear" w:color="auto" w:fill="EFEFEF" w:themeFill="accent6" w:themeFillTint="3F"/>
    </w:tcPr>
    <w:tblStylePr w:type="firstRow">
      <w:rPr>
        <w:b/>
        <w:bCs/>
      </w:rPr>
    </w:tblStylePr>
    <w:tblStylePr w:type="lastRow">
      <w:rPr>
        <w:b/>
        <w:bCs/>
      </w:rPr>
      <w:tblPr/>
      <w:tcPr>
        <w:tcBorders>
          <w:top w:val="single" w:sz="18" w:space="0" w:color="CFCFCF" w:themeColor="accent6" w:themeTint="BF"/>
        </w:tcBorders>
      </w:tcPr>
    </w:tblStylePr>
    <w:tblStylePr w:type="firstCol">
      <w:rPr>
        <w:b/>
        <w:bCs/>
      </w:rPr>
    </w:tblStylePr>
    <w:tblStylePr w:type="lastCol">
      <w:rPr>
        <w:b/>
        <w:bCs/>
      </w:rPr>
    </w:tblStylePr>
    <w:tblStylePr w:type="band1Vert">
      <w:tblPr/>
      <w:tcPr>
        <w:shd w:val="clear" w:color="auto" w:fill="DFDFDF" w:themeFill="accent6" w:themeFillTint="7F"/>
      </w:tcPr>
    </w:tblStylePr>
    <w:tblStylePr w:type="band1Horz">
      <w:tblPr/>
      <w:tcPr>
        <w:shd w:val="clear" w:color="auto" w:fill="DFDFDF" w:themeFill="accent6" w:themeFillTint="7F"/>
      </w:tcPr>
    </w:tblStylePr>
  </w:style>
  <w:style w:type="table" w:customStyle="1" w:styleId="MediumGrid21">
    <w:name w:val="Medium Grid 21"/>
    <w:basedOn w:val="TableNormal"/>
    <w:uiPriority w:val="68"/>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757A6" w:themeColor="accent1"/>
        <w:left w:val="single" w:sz="8" w:space="0" w:color="9757A6" w:themeColor="accent1"/>
        <w:bottom w:val="single" w:sz="8" w:space="0" w:color="9757A6" w:themeColor="accent1"/>
        <w:right w:val="single" w:sz="8" w:space="0" w:color="9757A6" w:themeColor="accent1"/>
        <w:insideH w:val="single" w:sz="8" w:space="0" w:color="9757A6" w:themeColor="accent1"/>
        <w:insideV w:val="single" w:sz="8" w:space="0" w:color="9757A6" w:themeColor="accent1"/>
      </w:tblBorders>
    </w:tblPr>
    <w:tcPr>
      <w:shd w:val="clear" w:color="auto" w:fill="E5D5E9" w:themeFill="accent1" w:themeFillTint="3F"/>
    </w:tcPr>
    <w:tblStylePr w:type="firstRow">
      <w:rPr>
        <w:b/>
        <w:bCs/>
        <w:color w:val="000000" w:themeColor="text1"/>
      </w:rPr>
      <w:tblPr/>
      <w:tcPr>
        <w:shd w:val="clear" w:color="auto" w:fill="F4EE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DDED" w:themeFill="accent1" w:themeFillTint="33"/>
      </w:tcPr>
    </w:tblStylePr>
    <w:tblStylePr w:type="band1Vert">
      <w:tblPr/>
      <w:tcPr>
        <w:shd w:val="clear" w:color="auto" w:fill="CBABD3" w:themeFill="accent1" w:themeFillTint="7F"/>
      </w:tcPr>
    </w:tblStylePr>
    <w:tblStylePr w:type="band1Horz">
      <w:tblPr/>
      <w:tcPr>
        <w:tcBorders>
          <w:insideH w:val="single" w:sz="6" w:space="0" w:color="9757A6" w:themeColor="accent1"/>
          <w:insideV w:val="single" w:sz="6" w:space="0" w:color="9757A6" w:themeColor="accent1"/>
        </w:tcBorders>
        <w:shd w:val="clear" w:color="auto" w:fill="CBABD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E3B" w:themeColor="accent2"/>
        <w:left w:val="single" w:sz="8" w:space="0" w:color="FFAE3B" w:themeColor="accent2"/>
        <w:bottom w:val="single" w:sz="8" w:space="0" w:color="FFAE3B" w:themeColor="accent2"/>
        <w:right w:val="single" w:sz="8" w:space="0" w:color="FFAE3B" w:themeColor="accent2"/>
        <w:insideH w:val="single" w:sz="8" w:space="0" w:color="FFAE3B" w:themeColor="accent2"/>
        <w:insideV w:val="single" w:sz="8" w:space="0" w:color="FFAE3B" w:themeColor="accent2"/>
      </w:tblBorders>
    </w:tblPr>
    <w:tcPr>
      <w:shd w:val="clear" w:color="auto" w:fill="FFEACE" w:themeFill="accent2" w:themeFillTint="3F"/>
    </w:tcPr>
    <w:tblStylePr w:type="firstRow">
      <w:rPr>
        <w:b/>
        <w:bCs/>
        <w:color w:val="000000" w:themeColor="text1"/>
      </w:rPr>
      <w:tblPr/>
      <w:tcPr>
        <w:shd w:val="clear" w:color="auto" w:fill="FFF6E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ED7" w:themeFill="accent2" w:themeFillTint="33"/>
      </w:tcPr>
    </w:tblStylePr>
    <w:tblStylePr w:type="band1Vert">
      <w:tblPr/>
      <w:tcPr>
        <w:shd w:val="clear" w:color="auto" w:fill="FFD69D" w:themeFill="accent2" w:themeFillTint="7F"/>
      </w:tcPr>
    </w:tblStylePr>
    <w:tblStylePr w:type="band1Horz">
      <w:tblPr/>
      <w:tcPr>
        <w:tcBorders>
          <w:insideH w:val="single" w:sz="6" w:space="0" w:color="FFAE3B" w:themeColor="accent2"/>
          <w:insideV w:val="single" w:sz="6" w:space="0" w:color="FFAE3B" w:themeColor="accent2"/>
        </w:tcBorders>
        <w:shd w:val="clear" w:color="auto" w:fill="FFD69D"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689C1" w:themeColor="accent4"/>
        <w:left w:val="single" w:sz="8" w:space="0" w:color="B689C1" w:themeColor="accent4"/>
        <w:bottom w:val="single" w:sz="8" w:space="0" w:color="B689C1" w:themeColor="accent4"/>
        <w:right w:val="single" w:sz="8" w:space="0" w:color="B689C1" w:themeColor="accent4"/>
        <w:insideH w:val="single" w:sz="8" w:space="0" w:color="B689C1" w:themeColor="accent4"/>
        <w:insideV w:val="single" w:sz="8" w:space="0" w:color="B689C1" w:themeColor="accent4"/>
      </w:tblBorders>
    </w:tblPr>
    <w:tcPr>
      <w:shd w:val="clear" w:color="auto" w:fill="ECE1EF" w:themeFill="accent4" w:themeFillTint="3F"/>
    </w:tcPr>
    <w:tblStylePr w:type="firstRow">
      <w:rPr>
        <w:b/>
        <w:bCs/>
        <w:color w:val="000000" w:themeColor="text1"/>
      </w:rPr>
      <w:tblPr/>
      <w:tcPr>
        <w:shd w:val="clear" w:color="auto" w:fill="F7F3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7F2" w:themeFill="accent4" w:themeFillTint="33"/>
      </w:tcPr>
    </w:tblStylePr>
    <w:tblStylePr w:type="band1Vert">
      <w:tblPr/>
      <w:tcPr>
        <w:shd w:val="clear" w:color="auto" w:fill="DAC4E0" w:themeFill="accent4" w:themeFillTint="7F"/>
      </w:tcPr>
    </w:tblStylePr>
    <w:tblStylePr w:type="band1Horz">
      <w:tblPr/>
      <w:tcPr>
        <w:tcBorders>
          <w:insideH w:val="single" w:sz="6" w:space="0" w:color="B689C1" w:themeColor="accent4"/>
          <w:insideV w:val="single" w:sz="6" w:space="0" w:color="B689C1" w:themeColor="accent4"/>
        </w:tcBorders>
        <w:shd w:val="clear" w:color="auto" w:fill="DAC4E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8B00" w:themeColor="accent5"/>
        <w:left w:val="single" w:sz="8" w:space="0" w:color="EA8B00" w:themeColor="accent5"/>
        <w:bottom w:val="single" w:sz="8" w:space="0" w:color="EA8B00" w:themeColor="accent5"/>
        <w:right w:val="single" w:sz="8" w:space="0" w:color="EA8B00" w:themeColor="accent5"/>
        <w:insideH w:val="single" w:sz="8" w:space="0" w:color="EA8B00" w:themeColor="accent5"/>
        <w:insideV w:val="single" w:sz="8" w:space="0" w:color="EA8B00" w:themeColor="accent5"/>
      </w:tblBorders>
    </w:tblPr>
    <w:tcPr>
      <w:shd w:val="clear" w:color="auto" w:fill="FFE3BA" w:themeFill="accent5" w:themeFillTint="3F"/>
    </w:tcPr>
    <w:tblStylePr w:type="firstRow">
      <w:rPr>
        <w:b/>
        <w:bCs/>
        <w:color w:val="000000" w:themeColor="text1"/>
      </w:rPr>
      <w:tblPr/>
      <w:tcPr>
        <w:shd w:val="clear" w:color="auto" w:fill="FFF3E3"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8C7" w:themeFill="accent5" w:themeFillTint="33"/>
      </w:tcPr>
    </w:tblStylePr>
    <w:tblStylePr w:type="band1Vert">
      <w:tblPr/>
      <w:tcPr>
        <w:shd w:val="clear" w:color="auto" w:fill="FFC675" w:themeFill="accent5" w:themeFillTint="7F"/>
      </w:tcPr>
    </w:tblStylePr>
    <w:tblStylePr w:type="band1Horz">
      <w:tblPr/>
      <w:tcPr>
        <w:tcBorders>
          <w:insideH w:val="single" w:sz="6" w:space="0" w:color="EA8B00" w:themeColor="accent5"/>
          <w:insideV w:val="single" w:sz="6" w:space="0" w:color="EA8B00" w:themeColor="accent5"/>
        </w:tcBorders>
        <w:shd w:val="clear" w:color="auto" w:fill="FFC675"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FBFBF" w:themeColor="accent6"/>
        <w:left w:val="single" w:sz="8" w:space="0" w:color="BFBFBF" w:themeColor="accent6"/>
        <w:bottom w:val="single" w:sz="8" w:space="0" w:color="BFBFBF" w:themeColor="accent6"/>
        <w:right w:val="single" w:sz="8" w:space="0" w:color="BFBFBF" w:themeColor="accent6"/>
        <w:insideH w:val="single" w:sz="8" w:space="0" w:color="BFBFBF" w:themeColor="accent6"/>
        <w:insideV w:val="single" w:sz="8" w:space="0" w:color="BFBFBF" w:themeColor="accent6"/>
      </w:tblBorders>
    </w:tblPr>
    <w:tcPr>
      <w:shd w:val="clear" w:color="auto" w:fill="EFEFEF" w:themeFill="accent6" w:themeFillTint="3F"/>
    </w:tcPr>
    <w:tblStylePr w:type="firstRow">
      <w:rPr>
        <w:b/>
        <w:bCs/>
        <w:color w:val="000000" w:themeColor="text1"/>
      </w:rPr>
      <w:tblPr/>
      <w:tcPr>
        <w:shd w:val="clear" w:color="auto" w:fill="F8F8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2F2" w:themeFill="accent6" w:themeFillTint="33"/>
      </w:tcPr>
    </w:tblStylePr>
    <w:tblStylePr w:type="band1Vert">
      <w:tblPr/>
      <w:tcPr>
        <w:shd w:val="clear" w:color="auto" w:fill="DFDFDF" w:themeFill="accent6" w:themeFillTint="7F"/>
      </w:tcPr>
    </w:tblStylePr>
    <w:tblStylePr w:type="band1Horz">
      <w:tblPr/>
      <w:tcPr>
        <w:tcBorders>
          <w:insideH w:val="single" w:sz="6" w:space="0" w:color="BFBFBF" w:themeColor="accent6"/>
          <w:insideV w:val="single" w:sz="6" w:space="0" w:color="BFBFBF" w:themeColor="accent6"/>
        </w:tcBorders>
        <w:shd w:val="clear" w:color="auto" w:fill="DFDFDF"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C249C7"/>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249C7"/>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D5E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757A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757A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757A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757A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BABD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BABD3" w:themeFill="accent1" w:themeFillTint="7F"/>
      </w:tcPr>
    </w:tblStylePr>
  </w:style>
  <w:style w:type="table" w:styleId="MediumGrid3-Accent2">
    <w:name w:val="Medium Grid 3 Accent 2"/>
    <w:basedOn w:val="TableNormal"/>
    <w:uiPriority w:val="69"/>
    <w:rsid w:val="00C249C7"/>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ACE"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AE3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AE3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AE3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AE3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69D"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69D" w:themeFill="accent2" w:themeFillTint="7F"/>
      </w:tcPr>
    </w:tblStylePr>
  </w:style>
  <w:style w:type="table" w:styleId="MediumGrid3-Accent3">
    <w:name w:val="Medium Grid 3 Accent 3"/>
    <w:basedOn w:val="TableNormal"/>
    <w:uiPriority w:val="69"/>
    <w:rsid w:val="00C249C7"/>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249C7"/>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E1E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689C1"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689C1"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689C1"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689C1"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AC4E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AC4E0" w:themeFill="accent4" w:themeFillTint="7F"/>
      </w:tcPr>
    </w:tblStylePr>
  </w:style>
  <w:style w:type="table" w:styleId="MediumGrid3-Accent5">
    <w:name w:val="Medium Grid 3 Accent 5"/>
    <w:basedOn w:val="TableNormal"/>
    <w:uiPriority w:val="69"/>
    <w:rsid w:val="00C249C7"/>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3BA"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A8B0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A8B0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A8B0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A8B0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C675"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C675" w:themeFill="accent5" w:themeFillTint="7F"/>
      </w:tcPr>
    </w:tblStylePr>
  </w:style>
  <w:style w:type="table" w:styleId="MediumGrid3-Accent6">
    <w:name w:val="Medium Grid 3 Accent 6"/>
    <w:basedOn w:val="TableNormal"/>
    <w:uiPriority w:val="69"/>
    <w:rsid w:val="00C249C7"/>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FE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FB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FB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FB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FB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FD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FDF" w:themeFill="accent6" w:themeFillTint="7F"/>
      </w:tcPr>
    </w:tblStylePr>
  </w:style>
  <w:style w:type="table" w:customStyle="1" w:styleId="MediumList11">
    <w:name w:val="Medium List 11"/>
    <w:basedOn w:val="TableNormal"/>
    <w:uiPriority w:val="65"/>
    <w:rsid w:val="00C249C7"/>
    <w:pPr>
      <w:spacing w:before="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9757A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C249C7"/>
    <w:pPr>
      <w:spacing w:before="0" w:line="240" w:lineRule="auto"/>
    </w:pPr>
    <w:rPr>
      <w:color w:val="000000" w:themeColor="text1"/>
    </w:rPr>
    <w:tblPr>
      <w:tblStyleRowBandSize w:val="1"/>
      <w:tblStyleColBandSize w:val="1"/>
      <w:tblBorders>
        <w:top w:val="single" w:sz="8" w:space="0" w:color="9757A6" w:themeColor="accent1"/>
        <w:bottom w:val="single" w:sz="8" w:space="0" w:color="9757A6" w:themeColor="accent1"/>
      </w:tblBorders>
    </w:tblPr>
    <w:tblStylePr w:type="firstRow">
      <w:rPr>
        <w:rFonts w:asciiTheme="majorHAnsi" w:eastAsiaTheme="majorEastAsia" w:hAnsiTheme="majorHAnsi" w:cstheme="majorBidi"/>
      </w:rPr>
      <w:tblPr/>
      <w:tcPr>
        <w:tcBorders>
          <w:top w:val="nil"/>
          <w:bottom w:val="single" w:sz="8" w:space="0" w:color="9757A6" w:themeColor="accent1"/>
        </w:tcBorders>
      </w:tcPr>
    </w:tblStylePr>
    <w:tblStylePr w:type="lastRow">
      <w:rPr>
        <w:b/>
        <w:bCs/>
        <w:color w:val="9757A6" w:themeColor="text2"/>
      </w:rPr>
      <w:tblPr/>
      <w:tcPr>
        <w:tcBorders>
          <w:top w:val="single" w:sz="8" w:space="0" w:color="9757A6" w:themeColor="accent1"/>
          <w:bottom w:val="single" w:sz="8" w:space="0" w:color="9757A6" w:themeColor="accent1"/>
        </w:tcBorders>
      </w:tcPr>
    </w:tblStylePr>
    <w:tblStylePr w:type="firstCol">
      <w:rPr>
        <w:b/>
        <w:bCs/>
      </w:rPr>
    </w:tblStylePr>
    <w:tblStylePr w:type="lastCol">
      <w:rPr>
        <w:b/>
        <w:bCs/>
      </w:rPr>
      <w:tblPr/>
      <w:tcPr>
        <w:tcBorders>
          <w:top w:val="single" w:sz="8" w:space="0" w:color="9757A6" w:themeColor="accent1"/>
          <w:bottom w:val="single" w:sz="8" w:space="0" w:color="9757A6" w:themeColor="accent1"/>
        </w:tcBorders>
      </w:tcPr>
    </w:tblStylePr>
    <w:tblStylePr w:type="band1Vert">
      <w:tblPr/>
      <w:tcPr>
        <w:shd w:val="clear" w:color="auto" w:fill="E5D5E9" w:themeFill="accent1" w:themeFillTint="3F"/>
      </w:tcPr>
    </w:tblStylePr>
    <w:tblStylePr w:type="band1Horz">
      <w:tblPr/>
      <w:tcPr>
        <w:shd w:val="clear" w:color="auto" w:fill="E5D5E9" w:themeFill="accent1" w:themeFillTint="3F"/>
      </w:tcPr>
    </w:tblStylePr>
  </w:style>
  <w:style w:type="table" w:styleId="MediumList1-Accent2">
    <w:name w:val="Medium List 1 Accent 2"/>
    <w:basedOn w:val="TableNormal"/>
    <w:uiPriority w:val="65"/>
    <w:rsid w:val="00C249C7"/>
    <w:pPr>
      <w:spacing w:before="0" w:line="240" w:lineRule="auto"/>
    </w:pPr>
    <w:rPr>
      <w:color w:val="000000" w:themeColor="text1"/>
    </w:rPr>
    <w:tblPr>
      <w:tblStyleRowBandSize w:val="1"/>
      <w:tblStyleColBandSize w:val="1"/>
      <w:tblBorders>
        <w:top w:val="single" w:sz="8" w:space="0" w:color="FFAE3B" w:themeColor="accent2"/>
        <w:bottom w:val="single" w:sz="8" w:space="0" w:color="FFAE3B" w:themeColor="accent2"/>
      </w:tblBorders>
    </w:tblPr>
    <w:tblStylePr w:type="firstRow">
      <w:rPr>
        <w:rFonts w:asciiTheme="majorHAnsi" w:eastAsiaTheme="majorEastAsia" w:hAnsiTheme="majorHAnsi" w:cstheme="majorBidi"/>
      </w:rPr>
      <w:tblPr/>
      <w:tcPr>
        <w:tcBorders>
          <w:top w:val="nil"/>
          <w:bottom w:val="single" w:sz="8" w:space="0" w:color="FFAE3B" w:themeColor="accent2"/>
        </w:tcBorders>
      </w:tcPr>
    </w:tblStylePr>
    <w:tblStylePr w:type="lastRow">
      <w:rPr>
        <w:b/>
        <w:bCs/>
        <w:color w:val="9757A6" w:themeColor="text2"/>
      </w:rPr>
      <w:tblPr/>
      <w:tcPr>
        <w:tcBorders>
          <w:top w:val="single" w:sz="8" w:space="0" w:color="FFAE3B" w:themeColor="accent2"/>
          <w:bottom w:val="single" w:sz="8" w:space="0" w:color="FFAE3B" w:themeColor="accent2"/>
        </w:tcBorders>
      </w:tcPr>
    </w:tblStylePr>
    <w:tblStylePr w:type="firstCol">
      <w:rPr>
        <w:b/>
        <w:bCs/>
      </w:rPr>
    </w:tblStylePr>
    <w:tblStylePr w:type="lastCol">
      <w:rPr>
        <w:b/>
        <w:bCs/>
      </w:rPr>
      <w:tblPr/>
      <w:tcPr>
        <w:tcBorders>
          <w:top w:val="single" w:sz="8" w:space="0" w:color="FFAE3B" w:themeColor="accent2"/>
          <w:bottom w:val="single" w:sz="8" w:space="0" w:color="FFAE3B" w:themeColor="accent2"/>
        </w:tcBorders>
      </w:tcPr>
    </w:tblStylePr>
    <w:tblStylePr w:type="band1Vert">
      <w:tblPr/>
      <w:tcPr>
        <w:shd w:val="clear" w:color="auto" w:fill="FFEACE" w:themeFill="accent2" w:themeFillTint="3F"/>
      </w:tcPr>
    </w:tblStylePr>
    <w:tblStylePr w:type="band1Horz">
      <w:tblPr/>
      <w:tcPr>
        <w:shd w:val="clear" w:color="auto" w:fill="FFEACE" w:themeFill="accent2" w:themeFillTint="3F"/>
      </w:tcPr>
    </w:tblStylePr>
  </w:style>
  <w:style w:type="table" w:styleId="MediumList1-Accent3">
    <w:name w:val="Medium List 1 Accent 3"/>
    <w:basedOn w:val="TableNormal"/>
    <w:uiPriority w:val="65"/>
    <w:rsid w:val="00C249C7"/>
    <w:pPr>
      <w:spacing w:before="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9757A6"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249C7"/>
    <w:pPr>
      <w:spacing w:before="0" w:line="240" w:lineRule="auto"/>
    </w:pPr>
    <w:rPr>
      <w:color w:val="000000" w:themeColor="text1"/>
    </w:rPr>
    <w:tblPr>
      <w:tblStyleRowBandSize w:val="1"/>
      <w:tblStyleColBandSize w:val="1"/>
      <w:tblBorders>
        <w:top w:val="single" w:sz="8" w:space="0" w:color="B689C1" w:themeColor="accent4"/>
        <w:bottom w:val="single" w:sz="8" w:space="0" w:color="B689C1" w:themeColor="accent4"/>
      </w:tblBorders>
    </w:tblPr>
    <w:tblStylePr w:type="firstRow">
      <w:rPr>
        <w:rFonts w:asciiTheme="majorHAnsi" w:eastAsiaTheme="majorEastAsia" w:hAnsiTheme="majorHAnsi" w:cstheme="majorBidi"/>
      </w:rPr>
      <w:tblPr/>
      <w:tcPr>
        <w:tcBorders>
          <w:top w:val="nil"/>
          <w:bottom w:val="single" w:sz="8" w:space="0" w:color="B689C1" w:themeColor="accent4"/>
        </w:tcBorders>
      </w:tcPr>
    </w:tblStylePr>
    <w:tblStylePr w:type="lastRow">
      <w:rPr>
        <w:b/>
        <w:bCs/>
        <w:color w:val="9757A6" w:themeColor="text2"/>
      </w:rPr>
      <w:tblPr/>
      <w:tcPr>
        <w:tcBorders>
          <w:top w:val="single" w:sz="8" w:space="0" w:color="B689C1" w:themeColor="accent4"/>
          <w:bottom w:val="single" w:sz="8" w:space="0" w:color="B689C1" w:themeColor="accent4"/>
        </w:tcBorders>
      </w:tcPr>
    </w:tblStylePr>
    <w:tblStylePr w:type="firstCol">
      <w:rPr>
        <w:b/>
        <w:bCs/>
      </w:rPr>
    </w:tblStylePr>
    <w:tblStylePr w:type="lastCol">
      <w:rPr>
        <w:b/>
        <w:bCs/>
      </w:rPr>
      <w:tblPr/>
      <w:tcPr>
        <w:tcBorders>
          <w:top w:val="single" w:sz="8" w:space="0" w:color="B689C1" w:themeColor="accent4"/>
          <w:bottom w:val="single" w:sz="8" w:space="0" w:color="B689C1" w:themeColor="accent4"/>
        </w:tcBorders>
      </w:tcPr>
    </w:tblStylePr>
    <w:tblStylePr w:type="band1Vert">
      <w:tblPr/>
      <w:tcPr>
        <w:shd w:val="clear" w:color="auto" w:fill="ECE1EF" w:themeFill="accent4" w:themeFillTint="3F"/>
      </w:tcPr>
    </w:tblStylePr>
    <w:tblStylePr w:type="band1Horz">
      <w:tblPr/>
      <w:tcPr>
        <w:shd w:val="clear" w:color="auto" w:fill="ECE1EF" w:themeFill="accent4" w:themeFillTint="3F"/>
      </w:tcPr>
    </w:tblStylePr>
  </w:style>
  <w:style w:type="table" w:styleId="MediumList1-Accent5">
    <w:name w:val="Medium List 1 Accent 5"/>
    <w:basedOn w:val="TableNormal"/>
    <w:uiPriority w:val="65"/>
    <w:rsid w:val="00C249C7"/>
    <w:pPr>
      <w:spacing w:before="0" w:line="240" w:lineRule="auto"/>
    </w:pPr>
    <w:rPr>
      <w:color w:val="000000" w:themeColor="text1"/>
    </w:rPr>
    <w:tblPr>
      <w:tblStyleRowBandSize w:val="1"/>
      <w:tblStyleColBandSize w:val="1"/>
      <w:tblBorders>
        <w:top w:val="single" w:sz="8" w:space="0" w:color="EA8B00" w:themeColor="accent5"/>
        <w:bottom w:val="single" w:sz="8" w:space="0" w:color="EA8B00" w:themeColor="accent5"/>
      </w:tblBorders>
    </w:tblPr>
    <w:tblStylePr w:type="firstRow">
      <w:rPr>
        <w:rFonts w:asciiTheme="majorHAnsi" w:eastAsiaTheme="majorEastAsia" w:hAnsiTheme="majorHAnsi" w:cstheme="majorBidi"/>
      </w:rPr>
      <w:tblPr/>
      <w:tcPr>
        <w:tcBorders>
          <w:top w:val="nil"/>
          <w:bottom w:val="single" w:sz="8" w:space="0" w:color="EA8B00" w:themeColor="accent5"/>
        </w:tcBorders>
      </w:tcPr>
    </w:tblStylePr>
    <w:tblStylePr w:type="lastRow">
      <w:rPr>
        <w:b/>
        <w:bCs/>
        <w:color w:val="9757A6" w:themeColor="text2"/>
      </w:rPr>
      <w:tblPr/>
      <w:tcPr>
        <w:tcBorders>
          <w:top w:val="single" w:sz="8" w:space="0" w:color="EA8B00" w:themeColor="accent5"/>
          <w:bottom w:val="single" w:sz="8" w:space="0" w:color="EA8B00" w:themeColor="accent5"/>
        </w:tcBorders>
      </w:tcPr>
    </w:tblStylePr>
    <w:tblStylePr w:type="firstCol">
      <w:rPr>
        <w:b/>
        <w:bCs/>
      </w:rPr>
    </w:tblStylePr>
    <w:tblStylePr w:type="lastCol">
      <w:rPr>
        <w:b/>
        <w:bCs/>
      </w:rPr>
      <w:tblPr/>
      <w:tcPr>
        <w:tcBorders>
          <w:top w:val="single" w:sz="8" w:space="0" w:color="EA8B00" w:themeColor="accent5"/>
          <w:bottom w:val="single" w:sz="8" w:space="0" w:color="EA8B00" w:themeColor="accent5"/>
        </w:tcBorders>
      </w:tcPr>
    </w:tblStylePr>
    <w:tblStylePr w:type="band1Vert">
      <w:tblPr/>
      <w:tcPr>
        <w:shd w:val="clear" w:color="auto" w:fill="FFE3BA" w:themeFill="accent5" w:themeFillTint="3F"/>
      </w:tcPr>
    </w:tblStylePr>
    <w:tblStylePr w:type="band1Horz">
      <w:tblPr/>
      <w:tcPr>
        <w:shd w:val="clear" w:color="auto" w:fill="FFE3BA" w:themeFill="accent5" w:themeFillTint="3F"/>
      </w:tcPr>
    </w:tblStylePr>
  </w:style>
  <w:style w:type="table" w:styleId="MediumList1-Accent6">
    <w:name w:val="Medium List 1 Accent 6"/>
    <w:basedOn w:val="TableNormal"/>
    <w:uiPriority w:val="65"/>
    <w:rsid w:val="00C249C7"/>
    <w:pPr>
      <w:spacing w:before="0" w:line="240" w:lineRule="auto"/>
    </w:pPr>
    <w:rPr>
      <w:color w:val="000000" w:themeColor="text1"/>
    </w:rPr>
    <w:tblPr>
      <w:tblStyleRowBandSize w:val="1"/>
      <w:tblStyleColBandSize w:val="1"/>
      <w:tblBorders>
        <w:top w:val="single" w:sz="8" w:space="0" w:color="BFBFBF" w:themeColor="accent6"/>
        <w:bottom w:val="single" w:sz="8" w:space="0" w:color="BFBFBF" w:themeColor="accent6"/>
      </w:tblBorders>
    </w:tblPr>
    <w:tblStylePr w:type="firstRow">
      <w:rPr>
        <w:rFonts w:asciiTheme="majorHAnsi" w:eastAsiaTheme="majorEastAsia" w:hAnsiTheme="majorHAnsi" w:cstheme="majorBidi"/>
      </w:rPr>
      <w:tblPr/>
      <w:tcPr>
        <w:tcBorders>
          <w:top w:val="nil"/>
          <w:bottom w:val="single" w:sz="8" w:space="0" w:color="BFBFBF" w:themeColor="accent6"/>
        </w:tcBorders>
      </w:tcPr>
    </w:tblStylePr>
    <w:tblStylePr w:type="lastRow">
      <w:rPr>
        <w:b/>
        <w:bCs/>
        <w:color w:val="9757A6" w:themeColor="text2"/>
      </w:rPr>
      <w:tblPr/>
      <w:tcPr>
        <w:tcBorders>
          <w:top w:val="single" w:sz="8" w:space="0" w:color="BFBFBF" w:themeColor="accent6"/>
          <w:bottom w:val="single" w:sz="8" w:space="0" w:color="BFBFBF" w:themeColor="accent6"/>
        </w:tcBorders>
      </w:tcPr>
    </w:tblStylePr>
    <w:tblStylePr w:type="firstCol">
      <w:rPr>
        <w:b/>
        <w:bCs/>
      </w:rPr>
    </w:tblStylePr>
    <w:tblStylePr w:type="lastCol">
      <w:rPr>
        <w:b/>
        <w:bCs/>
      </w:rPr>
      <w:tblPr/>
      <w:tcPr>
        <w:tcBorders>
          <w:top w:val="single" w:sz="8" w:space="0" w:color="BFBFBF" w:themeColor="accent6"/>
          <w:bottom w:val="single" w:sz="8" w:space="0" w:color="BFBFBF" w:themeColor="accent6"/>
        </w:tcBorders>
      </w:tcPr>
    </w:tblStylePr>
    <w:tblStylePr w:type="band1Vert">
      <w:tblPr/>
      <w:tcPr>
        <w:shd w:val="clear" w:color="auto" w:fill="EFEFEF" w:themeFill="accent6" w:themeFillTint="3F"/>
      </w:tcPr>
    </w:tblStylePr>
    <w:tblStylePr w:type="band1Horz">
      <w:tblPr/>
      <w:tcPr>
        <w:shd w:val="clear" w:color="auto" w:fill="EFEFEF" w:themeFill="accent6" w:themeFillTint="3F"/>
      </w:tcPr>
    </w:tblStylePr>
  </w:style>
  <w:style w:type="table" w:customStyle="1" w:styleId="MediumList21">
    <w:name w:val="Medium List 21"/>
    <w:basedOn w:val="TableNormal"/>
    <w:uiPriority w:val="66"/>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757A6" w:themeColor="accent1"/>
        <w:left w:val="single" w:sz="8" w:space="0" w:color="9757A6" w:themeColor="accent1"/>
        <w:bottom w:val="single" w:sz="8" w:space="0" w:color="9757A6" w:themeColor="accent1"/>
        <w:right w:val="single" w:sz="8" w:space="0" w:color="9757A6" w:themeColor="accent1"/>
      </w:tblBorders>
    </w:tblPr>
    <w:tblStylePr w:type="firstRow">
      <w:rPr>
        <w:sz w:val="24"/>
        <w:szCs w:val="24"/>
      </w:rPr>
      <w:tblPr/>
      <w:tcPr>
        <w:tcBorders>
          <w:top w:val="nil"/>
          <w:left w:val="nil"/>
          <w:bottom w:val="single" w:sz="24" w:space="0" w:color="9757A6" w:themeColor="accent1"/>
          <w:right w:val="nil"/>
          <w:insideH w:val="nil"/>
          <w:insideV w:val="nil"/>
        </w:tcBorders>
        <w:shd w:val="clear" w:color="auto" w:fill="FFFFFF" w:themeFill="background1"/>
      </w:tcPr>
    </w:tblStylePr>
    <w:tblStylePr w:type="lastRow">
      <w:tblPr/>
      <w:tcPr>
        <w:tcBorders>
          <w:top w:val="single" w:sz="8" w:space="0" w:color="9757A6"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757A6" w:themeColor="accent1"/>
          <w:insideH w:val="nil"/>
          <w:insideV w:val="nil"/>
        </w:tcBorders>
        <w:shd w:val="clear" w:color="auto" w:fill="FFFFFF" w:themeFill="background1"/>
      </w:tcPr>
    </w:tblStylePr>
    <w:tblStylePr w:type="lastCol">
      <w:tblPr/>
      <w:tcPr>
        <w:tcBorders>
          <w:top w:val="nil"/>
          <w:left w:val="single" w:sz="8" w:space="0" w:color="9757A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D5E9" w:themeFill="accent1" w:themeFillTint="3F"/>
      </w:tcPr>
    </w:tblStylePr>
    <w:tblStylePr w:type="band1Horz">
      <w:tblPr/>
      <w:tcPr>
        <w:tcBorders>
          <w:top w:val="nil"/>
          <w:bottom w:val="nil"/>
          <w:insideH w:val="nil"/>
          <w:insideV w:val="nil"/>
        </w:tcBorders>
        <w:shd w:val="clear" w:color="auto" w:fill="E5D5E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E3B" w:themeColor="accent2"/>
        <w:left w:val="single" w:sz="8" w:space="0" w:color="FFAE3B" w:themeColor="accent2"/>
        <w:bottom w:val="single" w:sz="8" w:space="0" w:color="FFAE3B" w:themeColor="accent2"/>
        <w:right w:val="single" w:sz="8" w:space="0" w:color="FFAE3B" w:themeColor="accent2"/>
      </w:tblBorders>
    </w:tblPr>
    <w:tblStylePr w:type="firstRow">
      <w:rPr>
        <w:sz w:val="24"/>
        <w:szCs w:val="24"/>
      </w:rPr>
      <w:tblPr/>
      <w:tcPr>
        <w:tcBorders>
          <w:top w:val="nil"/>
          <w:left w:val="nil"/>
          <w:bottom w:val="single" w:sz="24" w:space="0" w:color="FFAE3B" w:themeColor="accent2"/>
          <w:right w:val="nil"/>
          <w:insideH w:val="nil"/>
          <w:insideV w:val="nil"/>
        </w:tcBorders>
        <w:shd w:val="clear" w:color="auto" w:fill="FFFFFF" w:themeFill="background1"/>
      </w:tcPr>
    </w:tblStylePr>
    <w:tblStylePr w:type="lastRow">
      <w:tblPr/>
      <w:tcPr>
        <w:tcBorders>
          <w:top w:val="single" w:sz="8" w:space="0" w:color="FFAE3B"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AE3B" w:themeColor="accent2"/>
          <w:insideH w:val="nil"/>
          <w:insideV w:val="nil"/>
        </w:tcBorders>
        <w:shd w:val="clear" w:color="auto" w:fill="FFFFFF" w:themeFill="background1"/>
      </w:tcPr>
    </w:tblStylePr>
    <w:tblStylePr w:type="lastCol">
      <w:tblPr/>
      <w:tcPr>
        <w:tcBorders>
          <w:top w:val="nil"/>
          <w:left w:val="single" w:sz="8" w:space="0" w:color="FFAE3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ACE" w:themeFill="accent2" w:themeFillTint="3F"/>
      </w:tcPr>
    </w:tblStylePr>
    <w:tblStylePr w:type="band1Horz">
      <w:tblPr/>
      <w:tcPr>
        <w:tcBorders>
          <w:top w:val="nil"/>
          <w:bottom w:val="nil"/>
          <w:insideH w:val="nil"/>
          <w:insideV w:val="nil"/>
        </w:tcBorders>
        <w:shd w:val="clear" w:color="auto" w:fill="FFEAC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689C1" w:themeColor="accent4"/>
        <w:left w:val="single" w:sz="8" w:space="0" w:color="B689C1" w:themeColor="accent4"/>
        <w:bottom w:val="single" w:sz="8" w:space="0" w:color="B689C1" w:themeColor="accent4"/>
        <w:right w:val="single" w:sz="8" w:space="0" w:color="B689C1" w:themeColor="accent4"/>
      </w:tblBorders>
    </w:tblPr>
    <w:tblStylePr w:type="firstRow">
      <w:rPr>
        <w:sz w:val="24"/>
        <w:szCs w:val="24"/>
      </w:rPr>
      <w:tblPr/>
      <w:tcPr>
        <w:tcBorders>
          <w:top w:val="nil"/>
          <w:left w:val="nil"/>
          <w:bottom w:val="single" w:sz="24" w:space="0" w:color="B689C1" w:themeColor="accent4"/>
          <w:right w:val="nil"/>
          <w:insideH w:val="nil"/>
          <w:insideV w:val="nil"/>
        </w:tcBorders>
        <w:shd w:val="clear" w:color="auto" w:fill="FFFFFF" w:themeFill="background1"/>
      </w:tcPr>
    </w:tblStylePr>
    <w:tblStylePr w:type="lastRow">
      <w:tblPr/>
      <w:tcPr>
        <w:tcBorders>
          <w:top w:val="single" w:sz="8" w:space="0" w:color="B689C1"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689C1" w:themeColor="accent4"/>
          <w:insideH w:val="nil"/>
          <w:insideV w:val="nil"/>
        </w:tcBorders>
        <w:shd w:val="clear" w:color="auto" w:fill="FFFFFF" w:themeFill="background1"/>
      </w:tcPr>
    </w:tblStylePr>
    <w:tblStylePr w:type="lastCol">
      <w:tblPr/>
      <w:tcPr>
        <w:tcBorders>
          <w:top w:val="nil"/>
          <w:left w:val="single" w:sz="8" w:space="0" w:color="B689C1"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1EF" w:themeFill="accent4" w:themeFillTint="3F"/>
      </w:tcPr>
    </w:tblStylePr>
    <w:tblStylePr w:type="band1Horz">
      <w:tblPr/>
      <w:tcPr>
        <w:tcBorders>
          <w:top w:val="nil"/>
          <w:bottom w:val="nil"/>
          <w:insideH w:val="nil"/>
          <w:insideV w:val="nil"/>
        </w:tcBorders>
        <w:shd w:val="clear" w:color="auto" w:fill="ECE1E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8B00" w:themeColor="accent5"/>
        <w:left w:val="single" w:sz="8" w:space="0" w:color="EA8B00" w:themeColor="accent5"/>
        <w:bottom w:val="single" w:sz="8" w:space="0" w:color="EA8B00" w:themeColor="accent5"/>
        <w:right w:val="single" w:sz="8" w:space="0" w:color="EA8B00" w:themeColor="accent5"/>
      </w:tblBorders>
    </w:tblPr>
    <w:tblStylePr w:type="firstRow">
      <w:rPr>
        <w:sz w:val="24"/>
        <w:szCs w:val="24"/>
      </w:rPr>
      <w:tblPr/>
      <w:tcPr>
        <w:tcBorders>
          <w:top w:val="nil"/>
          <w:left w:val="nil"/>
          <w:bottom w:val="single" w:sz="24" w:space="0" w:color="EA8B00" w:themeColor="accent5"/>
          <w:right w:val="nil"/>
          <w:insideH w:val="nil"/>
          <w:insideV w:val="nil"/>
        </w:tcBorders>
        <w:shd w:val="clear" w:color="auto" w:fill="FFFFFF" w:themeFill="background1"/>
      </w:tcPr>
    </w:tblStylePr>
    <w:tblStylePr w:type="lastRow">
      <w:tblPr/>
      <w:tcPr>
        <w:tcBorders>
          <w:top w:val="single" w:sz="8" w:space="0" w:color="EA8B0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A8B00" w:themeColor="accent5"/>
          <w:insideH w:val="nil"/>
          <w:insideV w:val="nil"/>
        </w:tcBorders>
        <w:shd w:val="clear" w:color="auto" w:fill="FFFFFF" w:themeFill="background1"/>
      </w:tcPr>
    </w:tblStylePr>
    <w:tblStylePr w:type="lastCol">
      <w:tblPr/>
      <w:tcPr>
        <w:tcBorders>
          <w:top w:val="nil"/>
          <w:left w:val="single" w:sz="8" w:space="0" w:color="EA8B0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3BA" w:themeFill="accent5" w:themeFillTint="3F"/>
      </w:tcPr>
    </w:tblStylePr>
    <w:tblStylePr w:type="band1Horz">
      <w:tblPr/>
      <w:tcPr>
        <w:tcBorders>
          <w:top w:val="nil"/>
          <w:bottom w:val="nil"/>
          <w:insideH w:val="nil"/>
          <w:insideV w:val="nil"/>
        </w:tcBorders>
        <w:shd w:val="clear" w:color="auto" w:fill="FFE3BA"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249C7"/>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FBFBF" w:themeColor="accent6"/>
        <w:left w:val="single" w:sz="8" w:space="0" w:color="BFBFBF" w:themeColor="accent6"/>
        <w:bottom w:val="single" w:sz="8" w:space="0" w:color="BFBFBF" w:themeColor="accent6"/>
        <w:right w:val="single" w:sz="8" w:space="0" w:color="BFBFBF" w:themeColor="accent6"/>
      </w:tblBorders>
    </w:tblPr>
    <w:tblStylePr w:type="firstRow">
      <w:rPr>
        <w:sz w:val="24"/>
        <w:szCs w:val="24"/>
      </w:rPr>
      <w:tblPr/>
      <w:tcPr>
        <w:tcBorders>
          <w:top w:val="nil"/>
          <w:left w:val="nil"/>
          <w:bottom w:val="single" w:sz="24" w:space="0" w:color="BFBFBF" w:themeColor="accent6"/>
          <w:right w:val="nil"/>
          <w:insideH w:val="nil"/>
          <w:insideV w:val="nil"/>
        </w:tcBorders>
        <w:shd w:val="clear" w:color="auto" w:fill="FFFFFF" w:themeFill="background1"/>
      </w:tcPr>
    </w:tblStylePr>
    <w:tblStylePr w:type="lastRow">
      <w:tblPr/>
      <w:tcPr>
        <w:tcBorders>
          <w:top w:val="single" w:sz="8" w:space="0" w:color="BFBFB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FBF" w:themeColor="accent6"/>
          <w:insideH w:val="nil"/>
          <w:insideV w:val="nil"/>
        </w:tcBorders>
        <w:shd w:val="clear" w:color="auto" w:fill="FFFFFF" w:themeFill="background1"/>
      </w:tcPr>
    </w:tblStylePr>
    <w:tblStylePr w:type="lastCol">
      <w:tblPr/>
      <w:tcPr>
        <w:tcBorders>
          <w:top w:val="nil"/>
          <w:left w:val="single" w:sz="8" w:space="0" w:color="BFBFB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FEF" w:themeFill="accent6" w:themeFillTint="3F"/>
      </w:tcPr>
    </w:tblStylePr>
    <w:tblStylePr w:type="band1Horz">
      <w:tblPr/>
      <w:tcPr>
        <w:tcBorders>
          <w:top w:val="nil"/>
          <w:bottom w:val="nil"/>
          <w:insideH w:val="nil"/>
          <w:insideV w:val="nil"/>
        </w:tcBorders>
        <w:shd w:val="clear" w:color="auto" w:fill="EFEFE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rsid w:val="00C249C7"/>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C249C7"/>
    <w:pPr>
      <w:spacing w:before="0" w:line="240" w:lineRule="auto"/>
    </w:pPr>
    <w:tblPr>
      <w:tblStyleRowBandSize w:val="1"/>
      <w:tblStyleColBandSize w:val="1"/>
      <w:tblBorders>
        <w:top w:val="single" w:sz="8" w:space="0" w:color="B180BC" w:themeColor="accent1" w:themeTint="BF"/>
        <w:left w:val="single" w:sz="8" w:space="0" w:color="B180BC" w:themeColor="accent1" w:themeTint="BF"/>
        <w:bottom w:val="single" w:sz="8" w:space="0" w:color="B180BC" w:themeColor="accent1" w:themeTint="BF"/>
        <w:right w:val="single" w:sz="8" w:space="0" w:color="B180BC" w:themeColor="accent1" w:themeTint="BF"/>
        <w:insideH w:val="single" w:sz="8" w:space="0" w:color="B180BC" w:themeColor="accent1" w:themeTint="BF"/>
      </w:tblBorders>
    </w:tblPr>
    <w:tblStylePr w:type="firstRow">
      <w:pPr>
        <w:spacing w:before="0" w:after="0" w:line="240" w:lineRule="auto"/>
      </w:pPr>
      <w:rPr>
        <w:b/>
        <w:bCs/>
        <w:color w:val="FFFFFF" w:themeColor="background1"/>
      </w:rPr>
      <w:tblPr/>
      <w:tcPr>
        <w:tcBorders>
          <w:top w:val="single" w:sz="8" w:space="0" w:color="B180BC" w:themeColor="accent1" w:themeTint="BF"/>
          <w:left w:val="single" w:sz="8" w:space="0" w:color="B180BC" w:themeColor="accent1" w:themeTint="BF"/>
          <w:bottom w:val="single" w:sz="8" w:space="0" w:color="B180BC" w:themeColor="accent1" w:themeTint="BF"/>
          <w:right w:val="single" w:sz="8" w:space="0" w:color="B180BC" w:themeColor="accent1" w:themeTint="BF"/>
          <w:insideH w:val="nil"/>
          <w:insideV w:val="nil"/>
        </w:tcBorders>
        <w:shd w:val="clear" w:color="auto" w:fill="9757A6" w:themeFill="accent1"/>
      </w:tcPr>
    </w:tblStylePr>
    <w:tblStylePr w:type="lastRow">
      <w:pPr>
        <w:spacing w:before="0" w:after="0" w:line="240" w:lineRule="auto"/>
      </w:pPr>
      <w:rPr>
        <w:b/>
        <w:bCs/>
      </w:rPr>
      <w:tblPr/>
      <w:tcPr>
        <w:tcBorders>
          <w:top w:val="double" w:sz="6" w:space="0" w:color="B180BC" w:themeColor="accent1" w:themeTint="BF"/>
          <w:left w:val="single" w:sz="8" w:space="0" w:color="B180BC" w:themeColor="accent1" w:themeTint="BF"/>
          <w:bottom w:val="single" w:sz="8" w:space="0" w:color="B180BC" w:themeColor="accent1" w:themeTint="BF"/>
          <w:right w:val="single" w:sz="8" w:space="0" w:color="B180BC" w:themeColor="accent1" w:themeTint="BF"/>
          <w:insideH w:val="nil"/>
          <w:insideV w:val="nil"/>
        </w:tcBorders>
      </w:tcPr>
    </w:tblStylePr>
    <w:tblStylePr w:type="firstCol">
      <w:rPr>
        <w:b/>
        <w:bCs/>
      </w:rPr>
    </w:tblStylePr>
    <w:tblStylePr w:type="lastCol">
      <w:rPr>
        <w:b/>
        <w:bCs/>
      </w:rPr>
    </w:tblStylePr>
    <w:tblStylePr w:type="band1Vert">
      <w:tblPr/>
      <w:tcPr>
        <w:shd w:val="clear" w:color="auto" w:fill="E5D5E9" w:themeFill="accent1" w:themeFillTint="3F"/>
      </w:tcPr>
    </w:tblStylePr>
    <w:tblStylePr w:type="band1Horz">
      <w:tblPr/>
      <w:tcPr>
        <w:tcBorders>
          <w:insideH w:val="nil"/>
          <w:insideV w:val="nil"/>
        </w:tcBorders>
        <w:shd w:val="clear" w:color="auto" w:fill="E5D5E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249C7"/>
    <w:pPr>
      <w:spacing w:before="0" w:line="240" w:lineRule="auto"/>
    </w:pPr>
    <w:tblPr>
      <w:tblStyleRowBandSize w:val="1"/>
      <w:tblStyleColBandSize w:val="1"/>
      <w:tblBorders>
        <w:top w:val="single" w:sz="8" w:space="0" w:color="FFC16C" w:themeColor="accent2" w:themeTint="BF"/>
        <w:left w:val="single" w:sz="8" w:space="0" w:color="FFC16C" w:themeColor="accent2" w:themeTint="BF"/>
        <w:bottom w:val="single" w:sz="8" w:space="0" w:color="FFC16C" w:themeColor="accent2" w:themeTint="BF"/>
        <w:right w:val="single" w:sz="8" w:space="0" w:color="FFC16C" w:themeColor="accent2" w:themeTint="BF"/>
        <w:insideH w:val="single" w:sz="8" w:space="0" w:color="FFC16C" w:themeColor="accent2" w:themeTint="BF"/>
      </w:tblBorders>
    </w:tblPr>
    <w:tblStylePr w:type="firstRow">
      <w:pPr>
        <w:spacing w:before="0" w:after="0" w:line="240" w:lineRule="auto"/>
      </w:pPr>
      <w:rPr>
        <w:b/>
        <w:bCs/>
        <w:color w:val="FFFFFF" w:themeColor="background1"/>
      </w:rPr>
      <w:tblPr/>
      <w:tcPr>
        <w:tcBorders>
          <w:top w:val="single" w:sz="8" w:space="0" w:color="FFC16C" w:themeColor="accent2" w:themeTint="BF"/>
          <w:left w:val="single" w:sz="8" w:space="0" w:color="FFC16C" w:themeColor="accent2" w:themeTint="BF"/>
          <w:bottom w:val="single" w:sz="8" w:space="0" w:color="FFC16C" w:themeColor="accent2" w:themeTint="BF"/>
          <w:right w:val="single" w:sz="8" w:space="0" w:color="FFC16C" w:themeColor="accent2" w:themeTint="BF"/>
          <w:insideH w:val="nil"/>
          <w:insideV w:val="nil"/>
        </w:tcBorders>
        <w:shd w:val="clear" w:color="auto" w:fill="FFAE3B" w:themeFill="accent2"/>
      </w:tcPr>
    </w:tblStylePr>
    <w:tblStylePr w:type="lastRow">
      <w:pPr>
        <w:spacing w:before="0" w:after="0" w:line="240" w:lineRule="auto"/>
      </w:pPr>
      <w:rPr>
        <w:b/>
        <w:bCs/>
      </w:rPr>
      <w:tblPr/>
      <w:tcPr>
        <w:tcBorders>
          <w:top w:val="double" w:sz="6" w:space="0" w:color="FFC16C" w:themeColor="accent2" w:themeTint="BF"/>
          <w:left w:val="single" w:sz="8" w:space="0" w:color="FFC16C" w:themeColor="accent2" w:themeTint="BF"/>
          <w:bottom w:val="single" w:sz="8" w:space="0" w:color="FFC16C" w:themeColor="accent2" w:themeTint="BF"/>
          <w:right w:val="single" w:sz="8" w:space="0" w:color="FFC16C"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ACE" w:themeFill="accent2" w:themeFillTint="3F"/>
      </w:tcPr>
    </w:tblStylePr>
    <w:tblStylePr w:type="band1Horz">
      <w:tblPr/>
      <w:tcPr>
        <w:tcBorders>
          <w:insideH w:val="nil"/>
          <w:insideV w:val="nil"/>
        </w:tcBorders>
        <w:shd w:val="clear" w:color="auto" w:fill="FFEACE"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249C7"/>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249C7"/>
    <w:pPr>
      <w:spacing w:before="0" w:line="240" w:lineRule="auto"/>
    </w:pPr>
    <w:tblPr>
      <w:tblStyleRowBandSize w:val="1"/>
      <w:tblStyleColBandSize w:val="1"/>
      <w:tblBorders>
        <w:top w:val="single" w:sz="8" w:space="0" w:color="C8A6D0" w:themeColor="accent4" w:themeTint="BF"/>
        <w:left w:val="single" w:sz="8" w:space="0" w:color="C8A6D0" w:themeColor="accent4" w:themeTint="BF"/>
        <w:bottom w:val="single" w:sz="8" w:space="0" w:color="C8A6D0" w:themeColor="accent4" w:themeTint="BF"/>
        <w:right w:val="single" w:sz="8" w:space="0" w:color="C8A6D0" w:themeColor="accent4" w:themeTint="BF"/>
        <w:insideH w:val="single" w:sz="8" w:space="0" w:color="C8A6D0" w:themeColor="accent4" w:themeTint="BF"/>
      </w:tblBorders>
    </w:tblPr>
    <w:tblStylePr w:type="firstRow">
      <w:pPr>
        <w:spacing w:before="0" w:after="0" w:line="240" w:lineRule="auto"/>
      </w:pPr>
      <w:rPr>
        <w:b/>
        <w:bCs/>
        <w:color w:val="FFFFFF" w:themeColor="background1"/>
      </w:rPr>
      <w:tblPr/>
      <w:tcPr>
        <w:tcBorders>
          <w:top w:val="single" w:sz="8" w:space="0" w:color="C8A6D0" w:themeColor="accent4" w:themeTint="BF"/>
          <w:left w:val="single" w:sz="8" w:space="0" w:color="C8A6D0" w:themeColor="accent4" w:themeTint="BF"/>
          <w:bottom w:val="single" w:sz="8" w:space="0" w:color="C8A6D0" w:themeColor="accent4" w:themeTint="BF"/>
          <w:right w:val="single" w:sz="8" w:space="0" w:color="C8A6D0" w:themeColor="accent4" w:themeTint="BF"/>
          <w:insideH w:val="nil"/>
          <w:insideV w:val="nil"/>
        </w:tcBorders>
        <w:shd w:val="clear" w:color="auto" w:fill="B689C1" w:themeFill="accent4"/>
      </w:tcPr>
    </w:tblStylePr>
    <w:tblStylePr w:type="lastRow">
      <w:pPr>
        <w:spacing w:before="0" w:after="0" w:line="240" w:lineRule="auto"/>
      </w:pPr>
      <w:rPr>
        <w:b/>
        <w:bCs/>
      </w:rPr>
      <w:tblPr/>
      <w:tcPr>
        <w:tcBorders>
          <w:top w:val="double" w:sz="6" w:space="0" w:color="C8A6D0" w:themeColor="accent4" w:themeTint="BF"/>
          <w:left w:val="single" w:sz="8" w:space="0" w:color="C8A6D0" w:themeColor="accent4" w:themeTint="BF"/>
          <w:bottom w:val="single" w:sz="8" w:space="0" w:color="C8A6D0" w:themeColor="accent4" w:themeTint="BF"/>
          <w:right w:val="single" w:sz="8" w:space="0" w:color="C8A6D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1EF" w:themeFill="accent4" w:themeFillTint="3F"/>
      </w:tcPr>
    </w:tblStylePr>
    <w:tblStylePr w:type="band1Horz">
      <w:tblPr/>
      <w:tcPr>
        <w:tcBorders>
          <w:insideH w:val="nil"/>
          <w:insideV w:val="nil"/>
        </w:tcBorders>
        <w:shd w:val="clear" w:color="auto" w:fill="ECE1E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249C7"/>
    <w:pPr>
      <w:spacing w:before="0" w:line="240" w:lineRule="auto"/>
    </w:pPr>
    <w:tblPr>
      <w:tblStyleRowBandSize w:val="1"/>
      <w:tblStyleColBandSize w:val="1"/>
      <w:tblBorders>
        <w:top w:val="single" w:sz="8" w:space="0" w:color="FFAA30" w:themeColor="accent5" w:themeTint="BF"/>
        <w:left w:val="single" w:sz="8" w:space="0" w:color="FFAA30" w:themeColor="accent5" w:themeTint="BF"/>
        <w:bottom w:val="single" w:sz="8" w:space="0" w:color="FFAA30" w:themeColor="accent5" w:themeTint="BF"/>
        <w:right w:val="single" w:sz="8" w:space="0" w:color="FFAA30" w:themeColor="accent5" w:themeTint="BF"/>
        <w:insideH w:val="single" w:sz="8" w:space="0" w:color="FFAA30" w:themeColor="accent5" w:themeTint="BF"/>
      </w:tblBorders>
    </w:tblPr>
    <w:tblStylePr w:type="firstRow">
      <w:pPr>
        <w:spacing w:before="0" w:after="0" w:line="240" w:lineRule="auto"/>
      </w:pPr>
      <w:rPr>
        <w:b/>
        <w:bCs/>
        <w:color w:val="FFFFFF" w:themeColor="background1"/>
      </w:rPr>
      <w:tblPr/>
      <w:tcPr>
        <w:tcBorders>
          <w:top w:val="single" w:sz="8" w:space="0" w:color="FFAA30" w:themeColor="accent5" w:themeTint="BF"/>
          <w:left w:val="single" w:sz="8" w:space="0" w:color="FFAA30" w:themeColor="accent5" w:themeTint="BF"/>
          <w:bottom w:val="single" w:sz="8" w:space="0" w:color="FFAA30" w:themeColor="accent5" w:themeTint="BF"/>
          <w:right w:val="single" w:sz="8" w:space="0" w:color="FFAA30" w:themeColor="accent5" w:themeTint="BF"/>
          <w:insideH w:val="nil"/>
          <w:insideV w:val="nil"/>
        </w:tcBorders>
        <w:shd w:val="clear" w:color="auto" w:fill="EA8B00" w:themeFill="accent5"/>
      </w:tcPr>
    </w:tblStylePr>
    <w:tblStylePr w:type="lastRow">
      <w:pPr>
        <w:spacing w:before="0" w:after="0" w:line="240" w:lineRule="auto"/>
      </w:pPr>
      <w:rPr>
        <w:b/>
        <w:bCs/>
      </w:rPr>
      <w:tblPr/>
      <w:tcPr>
        <w:tcBorders>
          <w:top w:val="double" w:sz="6" w:space="0" w:color="FFAA30" w:themeColor="accent5" w:themeTint="BF"/>
          <w:left w:val="single" w:sz="8" w:space="0" w:color="FFAA30" w:themeColor="accent5" w:themeTint="BF"/>
          <w:bottom w:val="single" w:sz="8" w:space="0" w:color="FFAA30" w:themeColor="accent5" w:themeTint="BF"/>
          <w:right w:val="single" w:sz="8" w:space="0" w:color="FFAA30"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3BA" w:themeFill="accent5" w:themeFillTint="3F"/>
      </w:tcPr>
    </w:tblStylePr>
    <w:tblStylePr w:type="band1Horz">
      <w:tblPr/>
      <w:tcPr>
        <w:tcBorders>
          <w:insideH w:val="nil"/>
          <w:insideV w:val="nil"/>
        </w:tcBorders>
        <w:shd w:val="clear" w:color="auto" w:fill="FFE3BA"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249C7"/>
    <w:pPr>
      <w:spacing w:before="0" w:line="240" w:lineRule="auto"/>
    </w:pPr>
    <w:tblPr>
      <w:tblStyleRowBandSize w:val="1"/>
      <w:tblStyleColBandSize w:val="1"/>
      <w:tblBorders>
        <w:top w:val="single" w:sz="8" w:space="0" w:color="CFCFCF" w:themeColor="accent6" w:themeTint="BF"/>
        <w:left w:val="single" w:sz="8" w:space="0" w:color="CFCFCF" w:themeColor="accent6" w:themeTint="BF"/>
        <w:bottom w:val="single" w:sz="8" w:space="0" w:color="CFCFCF" w:themeColor="accent6" w:themeTint="BF"/>
        <w:right w:val="single" w:sz="8" w:space="0" w:color="CFCFCF" w:themeColor="accent6" w:themeTint="BF"/>
        <w:insideH w:val="single" w:sz="8" w:space="0" w:color="CFCFCF" w:themeColor="accent6" w:themeTint="BF"/>
      </w:tblBorders>
    </w:tblPr>
    <w:tblStylePr w:type="firstRow">
      <w:pPr>
        <w:spacing w:before="0" w:after="0" w:line="240" w:lineRule="auto"/>
      </w:pPr>
      <w:rPr>
        <w:b/>
        <w:bCs/>
        <w:color w:val="FFFFFF" w:themeColor="background1"/>
      </w:rPr>
      <w:tblPr/>
      <w:tcPr>
        <w:tcBorders>
          <w:top w:val="single" w:sz="8" w:space="0" w:color="CFCFCF" w:themeColor="accent6" w:themeTint="BF"/>
          <w:left w:val="single" w:sz="8" w:space="0" w:color="CFCFCF" w:themeColor="accent6" w:themeTint="BF"/>
          <w:bottom w:val="single" w:sz="8" w:space="0" w:color="CFCFCF" w:themeColor="accent6" w:themeTint="BF"/>
          <w:right w:val="single" w:sz="8" w:space="0" w:color="CFCFCF" w:themeColor="accent6" w:themeTint="BF"/>
          <w:insideH w:val="nil"/>
          <w:insideV w:val="nil"/>
        </w:tcBorders>
        <w:shd w:val="clear" w:color="auto" w:fill="BFBFBF" w:themeFill="accent6"/>
      </w:tcPr>
    </w:tblStylePr>
    <w:tblStylePr w:type="lastRow">
      <w:pPr>
        <w:spacing w:before="0" w:after="0" w:line="240" w:lineRule="auto"/>
      </w:pPr>
      <w:rPr>
        <w:b/>
        <w:bCs/>
      </w:rPr>
      <w:tblPr/>
      <w:tcPr>
        <w:tcBorders>
          <w:top w:val="double" w:sz="6" w:space="0" w:color="CFCFCF" w:themeColor="accent6" w:themeTint="BF"/>
          <w:left w:val="single" w:sz="8" w:space="0" w:color="CFCFCF" w:themeColor="accent6" w:themeTint="BF"/>
          <w:bottom w:val="single" w:sz="8" w:space="0" w:color="CFCFCF" w:themeColor="accent6" w:themeTint="BF"/>
          <w:right w:val="single" w:sz="8" w:space="0" w:color="CFCFCF" w:themeColor="accent6" w:themeTint="BF"/>
          <w:insideH w:val="nil"/>
          <w:insideV w:val="nil"/>
        </w:tcBorders>
      </w:tcPr>
    </w:tblStylePr>
    <w:tblStylePr w:type="firstCol">
      <w:rPr>
        <w:b/>
        <w:bCs/>
      </w:rPr>
    </w:tblStylePr>
    <w:tblStylePr w:type="lastCol">
      <w:rPr>
        <w:b/>
        <w:bCs/>
      </w:rPr>
    </w:tblStylePr>
    <w:tblStylePr w:type="band1Vert">
      <w:tblPr/>
      <w:tcPr>
        <w:shd w:val="clear" w:color="auto" w:fill="EFEFEF" w:themeFill="accent6" w:themeFillTint="3F"/>
      </w:tcPr>
    </w:tblStylePr>
    <w:tblStylePr w:type="band1Horz">
      <w:tblPr/>
      <w:tcPr>
        <w:tcBorders>
          <w:insideH w:val="nil"/>
          <w:insideV w:val="nil"/>
        </w:tcBorders>
        <w:shd w:val="clear" w:color="auto" w:fill="EFEFEF"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C249C7"/>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C249C7"/>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757A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757A6" w:themeFill="accent1"/>
      </w:tcPr>
    </w:tblStylePr>
    <w:tblStylePr w:type="lastCol">
      <w:rPr>
        <w:b/>
        <w:bCs/>
        <w:color w:val="FFFFFF" w:themeColor="background1"/>
      </w:rPr>
      <w:tblPr/>
      <w:tcPr>
        <w:tcBorders>
          <w:left w:val="nil"/>
          <w:right w:val="nil"/>
          <w:insideH w:val="nil"/>
          <w:insideV w:val="nil"/>
        </w:tcBorders>
        <w:shd w:val="clear" w:color="auto" w:fill="9757A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249C7"/>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AE3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AE3B" w:themeFill="accent2"/>
      </w:tcPr>
    </w:tblStylePr>
    <w:tblStylePr w:type="lastCol">
      <w:rPr>
        <w:b/>
        <w:bCs/>
        <w:color w:val="FFFFFF" w:themeColor="background1"/>
      </w:rPr>
      <w:tblPr/>
      <w:tcPr>
        <w:tcBorders>
          <w:left w:val="nil"/>
          <w:right w:val="nil"/>
          <w:insideH w:val="nil"/>
          <w:insideV w:val="nil"/>
        </w:tcBorders>
        <w:shd w:val="clear" w:color="auto" w:fill="FFAE3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249C7"/>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249C7"/>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689C1"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689C1" w:themeFill="accent4"/>
      </w:tcPr>
    </w:tblStylePr>
    <w:tblStylePr w:type="lastCol">
      <w:rPr>
        <w:b/>
        <w:bCs/>
        <w:color w:val="FFFFFF" w:themeColor="background1"/>
      </w:rPr>
      <w:tblPr/>
      <w:tcPr>
        <w:tcBorders>
          <w:left w:val="nil"/>
          <w:right w:val="nil"/>
          <w:insideH w:val="nil"/>
          <w:insideV w:val="nil"/>
        </w:tcBorders>
        <w:shd w:val="clear" w:color="auto" w:fill="B689C1"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249C7"/>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A8B0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A8B00" w:themeFill="accent5"/>
      </w:tcPr>
    </w:tblStylePr>
    <w:tblStylePr w:type="lastCol">
      <w:rPr>
        <w:b/>
        <w:bCs/>
        <w:color w:val="FFFFFF" w:themeColor="background1"/>
      </w:rPr>
      <w:tblPr/>
      <w:tcPr>
        <w:tcBorders>
          <w:left w:val="nil"/>
          <w:right w:val="nil"/>
          <w:insideH w:val="nil"/>
          <w:insideV w:val="nil"/>
        </w:tcBorders>
        <w:shd w:val="clear" w:color="auto" w:fill="EA8B0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249C7"/>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BFB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FBFBF" w:themeFill="accent6"/>
      </w:tcPr>
    </w:tblStylePr>
    <w:tblStylePr w:type="lastCol">
      <w:rPr>
        <w:b/>
        <w:bCs/>
        <w:color w:val="FFFFFF" w:themeColor="background1"/>
      </w:rPr>
      <w:tblPr/>
      <w:tcPr>
        <w:tcBorders>
          <w:left w:val="nil"/>
          <w:right w:val="nil"/>
          <w:insideH w:val="nil"/>
          <w:insideV w:val="nil"/>
        </w:tcBorders>
        <w:shd w:val="clear" w:color="auto" w:fill="BFBFB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semiHidden/>
    <w:rsid w:val="00C249C7"/>
    <w:pPr>
      <w:spacing w:before="0" w:line="240" w:lineRule="auto"/>
    </w:pPr>
    <w:rPr>
      <w:lang w:eastAsia="en-US"/>
    </w:rPr>
  </w:style>
  <w:style w:type="paragraph" w:styleId="NoteHeading">
    <w:name w:val="Note Heading"/>
    <w:basedOn w:val="Normal"/>
    <w:next w:val="Normal"/>
    <w:link w:val="NoteHeadingChar"/>
    <w:uiPriority w:val="99"/>
    <w:semiHidden/>
    <w:unhideWhenUsed/>
    <w:rsid w:val="00C249C7"/>
    <w:pPr>
      <w:spacing w:line="240" w:lineRule="auto"/>
    </w:pPr>
    <w:rPr>
      <w:rFonts w:ascii="Garamond" w:hAnsi="Garamond"/>
    </w:rPr>
  </w:style>
  <w:style w:type="character" w:customStyle="1" w:styleId="NoteHeadingChar">
    <w:name w:val="Note Heading Char"/>
    <w:basedOn w:val="DefaultParagraphFont"/>
    <w:link w:val="NoteHeading"/>
    <w:uiPriority w:val="99"/>
    <w:semiHidden/>
    <w:rsid w:val="00C249C7"/>
    <w:rPr>
      <w:lang w:eastAsia="en-US"/>
    </w:rPr>
  </w:style>
  <w:style w:type="paragraph" w:styleId="Subtitle0">
    <w:name w:val="Subtitle"/>
    <w:basedOn w:val="Normal"/>
    <w:next w:val="Normal"/>
    <w:link w:val="SubtitleChar"/>
    <w:rsid w:val="00180AC7"/>
    <w:pPr>
      <w:numPr>
        <w:ilvl w:val="1"/>
      </w:numPr>
      <w:spacing w:after="0" w:line="220" w:lineRule="exact"/>
    </w:pPr>
    <w:rPr>
      <w:rFonts w:asciiTheme="majorHAnsi" w:eastAsiaTheme="majorEastAsia" w:hAnsiTheme="majorHAnsi" w:cstheme="majorBidi"/>
      <w:b/>
      <w:iCs/>
      <w:caps/>
      <w:spacing w:val="15"/>
    </w:rPr>
  </w:style>
  <w:style w:type="character" w:customStyle="1" w:styleId="SubtitleChar">
    <w:name w:val="Subtitle Char"/>
    <w:basedOn w:val="DefaultParagraphFont"/>
    <w:link w:val="Subtitle0"/>
    <w:rsid w:val="00180AC7"/>
    <w:rPr>
      <w:rFonts w:asciiTheme="majorHAnsi" w:eastAsiaTheme="majorEastAsia" w:hAnsiTheme="majorHAnsi" w:cstheme="majorBidi"/>
      <w:b/>
      <w:iCs/>
      <w:caps/>
      <w:spacing w:val="15"/>
      <w:sz w:val="22"/>
      <w:lang w:eastAsia="en-US"/>
    </w:rPr>
  </w:style>
  <w:style w:type="character" w:styleId="SubtleEmphasis">
    <w:name w:val="Subtle Emphasis"/>
    <w:basedOn w:val="DefaultParagraphFont"/>
    <w:uiPriority w:val="19"/>
    <w:semiHidden/>
    <w:rsid w:val="00C249C7"/>
    <w:rPr>
      <w:i/>
      <w:iCs/>
      <w:color w:val="808080" w:themeColor="text1" w:themeTint="7F"/>
    </w:rPr>
  </w:style>
  <w:style w:type="character" w:styleId="SubtleReference">
    <w:name w:val="Subtle Reference"/>
    <w:basedOn w:val="DefaultParagraphFont"/>
    <w:uiPriority w:val="31"/>
    <w:semiHidden/>
    <w:rsid w:val="00C249C7"/>
    <w:rPr>
      <w:smallCaps/>
      <w:color w:val="FFAE3B" w:themeColor="accent2"/>
      <w:u w:val="single"/>
    </w:rPr>
  </w:style>
  <w:style w:type="table" w:styleId="Table3Deffects3">
    <w:name w:val="Table 3D effects 3"/>
    <w:basedOn w:val="TableNormal"/>
    <w:uiPriority w:val="99"/>
    <w:semiHidden/>
    <w:unhideWhenUsed/>
    <w:rsid w:val="00C249C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249C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249C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249C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TOCHeading">
    <w:name w:val="TOC Heading"/>
    <w:basedOn w:val="Heading1"/>
    <w:next w:val="Normal"/>
    <w:uiPriority w:val="39"/>
    <w:semiHidden/>
    <w:unhideWhenUsed/>
    <w:qFormat/>
    <w:rsid w:val="00C249C7"/>
    <w:pPr>
      <w:keepLines/>
      <w:pageBreakBefore w:val="0"/>
      <w:numPr>
        <w:numId w:val="0"/>
      </w:numPr>
      <w:spacing w:before="480" w:after="0" w:line="300" w:lineRule="exact"/>
      <w:outlineLvl w:val="9"/>
    </w:pPr>
    <w:rPr>
      <w:rFonts w:eastAsiaTheme="majorEastAsia" w:cstheme="majorBidi"/>
      <w:bCs/>
      <w:color w:val="70417C" w:themeColor="accent1" w:themeShade="BF"/>
      <w:kern w:val="0"/>
      <w:sz w:val="28"/>
      <w:szCs w:val="28"/>
      <w:lang w:eastAsia="en-US"/>
    </w:rPr>
  </w:style>
  <w:style w:type="paragraph" w:customStyle="1" w:styleId="BoxListBullet3">
    <w:name w:val="Box List Bullet 3"/>
    <w:basedOn w:val="BoxListBullet2"/>
    <w:uiPriority w:val="4"/>
    <w:rsid w:val="00C249C7"/>
    <w:pPr>
      <w:numPr>
        <w:ilvl w:val="2"/>
      </w:numPr>
    </w:pPr>
  </w:style>
  <w:style w:type="paragraph" w:customStyle="1" w:styleId="Tablelistbullet3">
    <w:name w:val="Table list bullet 3"/>
    <w:basedOn w:val="Tablebody"/>
    <w:uiPriority w:val="3"/>
    <w:rsid w:val="009A67B0"/>
    <w:pPr>
      <w:numPr>
        <w:ilvl w:val="2"/>
        <w:numId w:val="28"/>
      </w:numPr>
    </w:pPr>
  </w:style>
  <w:style w:type="paragraph" w:customStyle="1" w:styleId="SmallDeltasRightAligned">
    <w:name w:val="SmallDeltasRightAligned"/>
    <w:basedOn w:val="Normal"/>
    <w:rsid w:val="00C249C7"/>
    <w:pPr>
      <w:spacing w:after="0" w:line="240" w:lineRule="auto"/>
      <w:jc w:val="right"/>
    </w:pPr>
  </w:style>
  <w:style w:type="paragraph" w:customStyle="1" w:styleId="SmallDeltasLeftAligned">
    <w:name w:val="SmallDeltasLeftAligned"/>
    <w:basedOn w:val="BodyText"/>
    <w:semiHidden/>
    <w:rsid w:val="00C249C7"/>
  </w:style>
  <w:style w:type="paragraph" w:customStyle="1" w:styleId="LandscapeHeader">
    <w:name w:val="LandscapeHeader"/>
    <w:basedOn w:val="Header"/>
    <w:rsid w:val="00C249C7"/>
    <w:pPr>
      <w:pBdr>
        <w:top w:val="single" w:sz="6" w:space="2" w:color="A6A6A6" w:themeColor="background1" w:themeShade="A6"/>
      </w:pBdr>
      <w:tabs>
        <w:tab w:val="left" w:pos="567"/>
      </w:tabs>
      <w:jc w:val="right"/>
    </w:pPr>
    <w:rPr>
      <w:rFonts w:ascii="Novecento Book" w:hAnsi="Novecento Book"/>
      <w:b/>
      <w:spacing w:val="22"/>
      <w:sz w:val="14"/>
      <w:szCs w:val="14"/>
    </w:rPr>
  </w:style>
  <w:style w:type="paragraph" w:customStyle="1" w:styleId="PortraitHeader">
    <w:name w:val="PortraitHeader"/>
    <w:basedOn w:val="Normal"/>
    <w:semiHidden/>
    <w:rsid w:val="00C249C7"/>
    <w:pPr>
      <w:pBdr>
        <w:top w:val="single" w:sz="6" w:space="2" w:color="A6A6A6" w:themeColor="background1" w:themeShade="A6"/>
      </w:pBdr>
      <w:tabs>
        <w:tab w:val="left" w:pos="567"/>
      </w:tabs>
      <w:spacing w:after="0" w:line="240" w:lineRule="auto"/>
      <w:ind w:left="-2268"/>
      <w:jc w:val="right"/>
    </w:pPr>
    <w:rPr>
      <w:rFonts w:ascii="Novecento Book" w:hAnsi="Novecento Book"/>
      <w:b/>
      <w:spacing w:val="22"/>
      <w:sz w:val="14"/>
      <w:szCs w:val="14"/>
    </w:rPr>
  </w:style>
  <w:style w:type="paragraph" w:customStyle="1" w:styleId="PortraitFooter">
    <w:name w:val="PortraitFooter"/>
    <w:basedOn w:val="Normal"/>
    <w:rsid w:val="00C249C7"/>
    <w:pPr>
      <w:spacing w:after="0" w:line="240" w:lineRule="auto"/>
      <w:jc w:val="right"/>
    </w:pPr>
    <w:rPr>
      <w:rFonts w:asciiTheme="majorHAnsi" w:eastAsia="Calibri" w:hAnsiTheme="majorHAnsi"/>
      <w:caps/>
      <w:sz w:val="14"/>
      <w:szCs w:val="14"/>
    </w:rPr>
  </w:style>
  <w:style w:type="paragraph" w:customStyle="1" w:styleId="LandscapeFooter">
    <w:name w:val="LandscapeFooter"/>
    <w:basedOn w:val="PortraitFooter"/>
    <w:rsid w:val="00C249C7"/>
    <w:rPr>
      <w:b/>
    </w:rPr>
  </w:style>
  <w:style w:type="paragraph" w:customStyle="1" w:styleId="AACHeader">
    <w:name w:val="AACHeader"/>
    <w:basedOn w:val="Header"/>
    <w:rsid w:val="00EA4292"/>
    <w:pPr>
      <w:pBdr>
        <w:top w:val="single" w:sz="6" w:space="2" w:color="A6A6A6" w:themeColor="background1" w:themeShade="A6"/>
      </w:pBdr>
      <w:ind w:left="-2552"/>
      <w:jc w:val="right"/>
    </w:pPr>
    <w:rPr>
      <w:rFonts w:asciiTheme="majorHAnsi" w:hAnsiTheme="majorHAnsi" w:cstheme="majorHAnsi"/>
      <w:b/>
      <w:caps/>
      <w:spacing w:val="22"/>
      <w:sz w:val="14"/>
      <w:szCs w:val="14"/>
    </w:rPr>
  </w:style>
  <w:style w:type="paragraph" w:customStyle="1" w:styleId="AACFooter">
    <w:name w:val="AACFooter"/>
    <w:basedOn w:val="Footer"/>
    <w:semiHidden/>
    <w:rsid w:val="00C249C7"/>
    <w:pPr>
      <w:jc w:val="right"/>
    </w:pPr>
    <w:rPr>
      <w:rFonts w:ascii="Novecento Book" w:eastAsia="Calibri" w:hAnsi="Novecento Book"/>
      <w:szCs w:val="14"/>
    </w:rPr>
  </w:style>
  <w:style w:type="paragraph" w:customStyle="1" w:styleId="Tabletext">
    <w:name w:val="Table text"/>
    <w:uiPriority w:val="3"/>
    <w:rsid w:val="009949E9"/>
    <w:pPr>
      <w:keepNext/>
      <w:keepLines/>
      <w:spacing w:before="40" w:after="40" w:line="240" w:lineRule="auto"/>
    </w:pPr>
    <w:rPr>
      <w:rFonts w:ascii="Arial" w:hAnsi="Arial"/>
      <w:color w:val="000000"/>
      <w:sz w:val="16"/>
      <w:lang w:eastAsia="en-US"/>
    </w:rPr>
  </w:style>
  <w:style w:type="paragraph" w:customStyle="1" w:styleId="SpaceAboveAppendixTOC">
    <w:name w:val="SpaceAboveAppendixTOC"/>
    <w:basedOn w:val="BodyText"/>
    <w:uiPriority w:val="8"/>
    <w:semiHidden/>
    <w:rsid w:val="00C249C7"/>
    <w:pPr>
      <w:pBdr>
        <w:top w:val="single" w:sz="4" w:space="1" w:color="A6A6A6" w:themeColor="background1" w:themeShade="A6"/>
      </w:pBdr>
    </w:pPr>
  </w:style>
  <w:style w:type="paragraph" w:customStyle="1" w:styleId="SpaceAboveInTOC">
    <w:name w:val="SpaceAboveInTOC"/>
    <w:basedOn w:val="BodyText"/>
    <w:rsid w:val="00C249C7"/>
    <w:pPr>
      <w:pBdr>
        <w:top w:val="single" w:sz="4" w:space="1" w:color="A6A6A6" w:themeColor="background1" w:themeShade="A6"/>
      </w:pBdr>
      <w:spacing w:before="0" w:after="0" w:line="240" w:lineRule="auto"/>
    </w:pPr>
  </w:style>
  <w:style w:type="paragraph" w:customStyle="1" w:styleId="ContactPageDeltas">
    <w:name w:val="ContactPageDeltas"/>
    <w:basedOn w:val="Normal"/>
    <w:rsid w:val="00C249C7"/>
    <w:pPr>
      <w:spacing w:after="0" w:line="240" w:lineRule="auto"/>
    </w:pPr>
  </w:style>
  <w:style w:type="paragraph" w:customStyle="1" w:styleId="ReportTo">
    <w:name w:val="ReportTo"/>
    <w:basedOn w:val="Normal"/>
    <w:rsid w:val="00C249C7"/>
    <w:pPr>
      <w:spacing w:after="0" w:line="240" w:lineRule="auto"/>
    </w:pPr>
    <w:rPr>
      <w:rFonts w:asciiTheme="majorHAnsi" w:hAnsiTheme="majorHAnsi"/>
      <w:caps/>
    </w:rPr>
  </w:style>
  <w:style w:type="paragraph" w:customStyle="1" w:styleId="CoverPageDeltas">
    <w:name w:val="CoverPageDeltas"/>
    <w:basedOn w:val="Normal"/>
    <w:rsid w:val="00C249C7"/>
    <w:pPr>
      <w:spacing w:after="0" w:line="240" w:lineRule="auto"/>
      <w:jc w:val="right"/>
    </w:pPr>
  </w:style>
  <w:style w:type="paragraph" w:customStyle="1" w:styleId="PreparedFor0">
    <w:name w:val="Prepared For"/>
    <w:basedOn w:val="Normal"/>
    <w:rsid w:val="00C249C7"/>
    <w:pPr>
      <w:spacing w:after="0" w:line="240" w:lineRule="auto"/>
    </w:pPr>
    <w:rPr>
      <w:rFonts w:asciiTheme="majorHAnsi" w:hAnsiTheme="majorHAnsi"/>
      <w:b/>
      <w:caps/>
      <w:szCs w:val="20"/>
    </w:rPr>
  </w:style>
  <w:style w:type="character" w:customStyle="1" w:styleId="StyleTextBrandingNotBoldCustomColorRGB25517459Expan">
    <w:name w:val="Style TextBranding + Not Bold Custom Color(RGB(25517459)) Expan..."/>
    <w:basedOn w:val="DefaultParagraphFont"/>
    <w:uiPriority w:val="7"/>
    <w:rsid w:val="00C249C7"/>
    <w:rPr>
      <w:color w:val="FFAE3B"/>
      <w:spacing w:val="120"/>
    </w:rPr>
  </w:style>
  <w:style w:type="paragraph" w:customStyle="1" w:styleId="TextBranding">
    <w:name w:val="TextBranding"/>
    <w:basedOn w:val="Normal"/>
    <w:rsid w:val="00C249C7"/>
    <w:pPr>
      <w:spacing w:after="0" w:line="240" w:lineRule="auto"/>
    </w:pPr>
    <w:rPr>
      <w:rFonts w:ascii="Novecento Book" w:hAnsi="Novecento Book"/>
      <w:b/>
      <w:caps/>
      <w:color w:val="9757A6"/>
      <w:spacing w:val="60"/>
      <w:sz w:val="27"/>
    </w:rPr>
  </w:style>
  <w:style w:type="paragraph" w:customStyle="1" w:styleId="TextBrandingPurple">
    <w:name w:val="TextBrandingPurple"/>
    <w:basedOn w:val="Normal"/>
    <w:rsid w:val="00C249C7"/>
    <w:pPr>
      <w:spacing w:after="0" w:line="240" w:lineRule="auto"/>
    </w:pPr>
    <w:rPr>
      <w:rFonts w:asciiTheme="majorHAnsi" w:hAnsiTheme="majorHAnsi"/>
      <w:b/>
      <w:caps/>
      <w:color w:val="9757A6"/>
      <w:spacing w:val="120"/>
      <w:sz w:val="25"/>
    </w:rPr>
  </w:style>
  <w:style w:type="paragraph" w:customStyle="1" w:styleId="TextBrandingYellow">
    <w:name w:val="TextBrandingYellow"/>
    <w:basedOn w:val="TextBrandingPurple"/>
    <w:uiPriority w:val="7"/>
    <w:rsid w:val="00C249C7"/>
    <w:rPr>
      <w:b w:val="0"/>
      <w:caps w:val="0"/>
      <w:color w:val="FFAE3B"/>
    </w:rPr>
  </w:style>
  <w:style w:type="paragraph" w:customStyle="1" w:styleId="TitleShort">
    <w:name w:val="Title Short"/>
    <w:basedOn w:val="Normal"/>
    <w:qFormat/>
    <w:rsid w:val="00C249C7"/>
    <w:pPr>
      <w:spacing w:after="0" w:line="780" w:lineRule="exact"/>
    </w:pPr>
    <w:rPr>
      <w:rFonts w:ascii="Georgia" w:hAnsi="Georgia"/>
      <w:b/>
      <w:caps/>
      <w:color w:val="9D57A6"/>
      <w:sz w:val="72"/>
      <w:szCs w:val="20"/>
    </w:rPr>
  </w:style>
  <w:style w:type="paragraph" w:customStyle="1" w:styleId="Image">
    <w:name w:val="Image"/>
    <w:basedOn w:val="Normal"/>
    <w:rsid w:val="00C249C7"/>
    <w:pPr>
      <w:spacing w:after="0" w:line="240" w:lineRule="auto"/>
      <w:jc w:val="right"/>
    </w:pPr>
    <w:rPr>
      <w:noProof/>
      <w:szCs w:val="20"/>
      <w:lang w:eastAsia="en-AU"/>
    </w:rPr>
  </w:style>
  <w:style w:type="paragraph" w:customStyle="1" w:styleId="SpaceAbove">
    <w:name w:val="SpaceAbove"/>
    <w:basedOn w:val="Normal"/>
    <w:rsid w:val="009949E9"/>
    <w:pPr>
      <w:spacing w:after="0" w:line="240" w:lineRule="auto"/>
    </w:pPr>
    <w:rPr>
      <w:rFonts w:asciiTheme="majorHAnsi" w:hAnsiTheme="majorHAnsi"/>
      <w:sz w:val="12"/>
      <w:szCs w:val="20"/>
    </w:rPr>
  </w:style>
  <w:style w:type="paragraph" w:customStyle="1" w:styleId="Disclaimer">
    <w:name w:val="Disclaimer"/>
    <w:basedOn w:val="Normal"/>
    <w:rsid w:val="00FD14ED"/>
    <w:pPr>
      <w:spacing w:after="40" w:line="240" w:lineRule="auto"/>
    </w:pPr>
    <w:rPr>
      <w:rFonts w:asciiTheme="majorHAnsi" w:hAnsiTheme="majorHAnsi"/>
      <w:caps/>
      <w:sz w:val="14"/>
      <w:szCs w:val="16"/>
    </w:rPr>
  </w:style>
  <w:style w:type="table" w:customStyle="1" w:styleId="TableGrid10">
    <w:name w:val="Table Grid1"/>
    <w:basedOn w:val="TableNormal"/>
    <w:next w:val="TableGrid"/>
    <w:uiPriority w:val="59"/>
    <w:rsid w:val="00C249C7"/>
    <w:pPr>
      <w:spacing w:before="0" w:line="240" w:lineRule="auto"/>
    </w:pPr>
    <w:rPr>
      <w:rFonts w:ascii="HelveticaNeueLT Std Lt Cn" w:eastAsiaTheme="minorHAnsi" w:hAnsi="HelveticaNeueLT Std Lt C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CILAllenTable">
    <w:name w:val="ACIL Allen Table"/>
    <w:basedOn w:val="TableNormal"/>
    <w:uiPriority w:val="99"/>
    <w:rsid w:val="00C249C7"/>
    <w:pPr>
      <w:spacing w:before="40" w:after="40" w:line="240" w:lineRule="auto"/>
    </w:pPr>
    <w:rPr>
      <w:rFonts w:asciiTheme="minorHAnsi" w:hAnsiTheme="minorHAnsi"/>
      <w:sz w:val="16"/>
    </w:rPr>
    <w:tblPr>
      <w:tblBorders>
        <w:bottom w:val="single" w:sz="6" w:space="0" w:color="BFBFBF" w:themeColor="background1" w:themeShade="BF"/>
        <w:insideH w:val="single" w:sz="6" w:space="0" w:color="BFBFBF" w:themeColor="background1" w:themeShade="BF"/>
      </w:tblBorders>
    </w:tblPr>
    <w:tblStylePr w:type="firstRow">
      <w:rPr>
        <w:rFonts w:asciiTheme="minorHAnsi" w:hAnsiTheme="minorHAnsi"/>
        <w:color w:val="FFFFFF" w:themeColor="background1"/>
        <w:sz w:val="16"/>
      </w:rPr>
      <w:tblPr/>
      <w:tcPr>
        <w:shd w:val="clear" w:color="auto" w:fill="9757A6"/>
      </w:tcPr>
    </w:tblStylePr>
    <w:tblStylePr w:type="lastRow">
      <w:tblPr/>
      <w:tcPr>
        <w:tcBorders>
          <w:bottom w:val="single" w:sz="6" w:space="0" w:color="C0C0C0"/>
        </w:tcBorders>
      </w:tcPr>
    </w:tblStylePr>
  </w:style>
  <w:style w:type="numbering" w:customStyle="1" w:styleId="ACILAllenBoxBulletedList">
    <w:name w:val="ACIL Allen Box Bulleted List"/>
    <w:uiPriority w:val="99"/>
    <w:rsid w:val="009A67B0"/>
    <w:pPr>
      <w:numPr>
        <w:numId w:val="10"/>
      </w:numPr>
    </w:pPr>
  </w:style>
  <w:style w:type="numbering" w:customStyle="1" w:styleId="ACILAllenBoxListNumbering">
    <w:name w:val="ACIL Allen Box List Numbering"/>
    <w:uiPriority w:val="99"/>
    <w:rsid w:val="007F1F56"/>
    <w:pPr>
      <w:numPr>
        <w:numId w:val="11"/>
      </w:numPr>
    </w:pPr>
  </w:style>
  <w:style w:type="numbering" w:customStyle="1" w:styleId="ACILAllenNumberedList">
    <w:name w:val="ACIL Allen Numbered List"/>
    <w:uiPriority w:val="99"/>
    <w:rsid w:val="00C249C7"/>
    <w:pPr>
      <w:numPr>
        <w:numId w:val="12"/>
      </w:numPr>
    </w:pPr>
  </w:style>
  <w:style w:type="numbering" w:customStyle="1" w:styleId="ACILAllenTableBulletedList">
    <w:name w:val="ACIL Allen Table Bulleted List"/>
    <w:uiPriority w:val="99"/>
    <w:rsid w:val="009A67B0"/>
    <w:pPr>
      <w:numPr>
        <w:numId w:val="13"/>
      </w:numPr>
    </w:pPr>
  </w:style>
  <w:style w:type="numbering" w:customStyle="1" w:styleId="ACILAllenTableListNumbering">
    <w:name w:val="ACIL Allen Table List Numbering"/>
    <w:uiPriority w:val="99"/>
    <w:rsid w:val="00520ED6"/>
    <w:pPr>
      <w:numPr>
        <w:numId w:val="21"/>
      </w:numPr>
    </w:pPr>
  </w:style>
  <w:style w:type="paragraph" w:customStyle="1" w:styleId="TableQuote">
    <w:name w:val="Table Quote"/>
    <w:basedOn w:val="Tabletext"/>
    <w:uiPriority w:val="3"/>
    <w:rsid w:val="009949E9"/>
    <w:pPr>
      <w:ind w:left="113" w:right="113"/>
    </w:pPr>
  </w:style>
  <w:style w:type="paragraph" w:customStyle="1" w:styleId="TableQuoteBullet">
    <w:name w:val="Table Quote Bullet"/>
    <w:basedOn w:val="TableQuote"/>
    <w:uiPriority w:val="3"/>
    <w:rsid w:val="00E57AAC"/>
    <w:pPr>
      <w:numPr>
        <w:numId w:val="22"/>
      </w:numPr>
    </w:pPr>
  </w:style>
  <w:style w:type="paragraph" w:customStyle="1" w:styleId="LetterHeading1">
    <w:name w:val="Letter Heading 1"/>
    <w:next w:val="BodyText"/>
    <w:uiPriority w:val="7"/>
    <w:qFormat/>
    <w:rsid w:val="00C249C7"/>
    <w:pPr>
      <w:spacing w:before="200" w:line="240" w:lineRule="auto"/>
    </w:pPr>
    <w:rPr>
      <w:rFonts w:asciiTheme="majorHAnsi" w:hAnsiTheme="majorHAnsi"/>
      <w:b/>
      <w:sz w:val="20"/>
      <w:szCs w:val="36"/>
      <w:lang w:eastAsia="en-AU"/>
    </w:rPr>
  </w:style>
  <w:style w:type="paragraph" w:customStyle="1" w:styleId="LetterHeading2">
    <w:name w:val="Letter Heading 2"/>
    <w:basedOn w:val="LetterHeading1"/>
    <w:next w:val="BodyText"/>
    <w:uiPriority w:val="7"/>
    <w:qFormat/>
    <w:rsid w:val="00C249C7"/>
    <w:rPr>
      <w:i/>
      <w:sz w:val="18"/>
      <w:szCs w:val="28"/>
    </w:rPr>
  </w:style>
  <w:style w:type="paragraph" w:customStyle="1" w:styleId="LetterHeading3">
    <w:name w:val="Letter Heading 3"/>
    <w:basedOn w:val="LetterHeading2"/>
    <w:next w:val="BodyText"/>
    <w:uiPriority w:val="7"/>
    <w:qFormat/>
    <w:rsid w:val="00C249C7"/>
    <w:rPr>
      <w:b w:val="0"/>
      <w:szCs w:val="27"/>
    </w:rPr>
  </w:style>
  <w:style w:type="paragraph" w:customStyle="1" w:styleId="LetterAddress">
    <w:name w:val="LetterAddress"/>
    <w:basedOn w:val="LetterName"/>
    <w:uiPriority w:val="99"/>
    <w:rsid w:val="00610859"/>
    <w:pPr>
      <w:jc w:val="both"/>
    </w:pPr>
  </w:style>
  <w:style w:type="paragraph" w:customStyle="1" w:styleId="LetterCityStatePostcode">
    <w:name w:val="LetterCityStatePostcode"/>
    <w:basedOn w:val="LetterName"/>
    <w:uiPriority w:val="99"/>
    <w:rsid w:val="00610859"/>
    <w:pPr>
      <w:spacing w:line="260" w:lineRule="exact"/>
    </w:pPr>
  </w:style>
  <w:style w:type="paragraph" w:customStyle="1" w:styleId="LetterCompany">
    <w:name w:val="LetterCompany"/>
    <w:basedOn w:val="LetterName"/>
    <w:uiPriority w:val="99"/>
    <w:rsid w:val="00610859"/>
  </w:style>
  <w:style w:type="paragraph" w:customStyle="1" w:styleId="LetterDate">
    <w:name w:val="LetterDate"/>
    <w:basedOn w:val="LetterName"/>
    <w:uiPriority w:val="99"/>
    <w:rsid w:val="00EF6248"/>
    <w:pPr>
      <w:spacing w:before="600"/>
    </w:pPr>
  </w:style>
  <w:style w:type="paragraph" w:customStyle="1" w:styleId="LetterName">
    <w:name w:val="LetterName"/>
    <w:basedOn w:val="Normal"/>
    <w:uiPriority w:val="99"/>
    <w:rsid w:val="00610859"/>
    <w:pPr>
      <w:spacing w:after="0" w:line="280" w:lineRule="exact"/>
    </w:pPr>
    <w:rPr>
      <w:szCs w:val="20"/>
    </w:rPr>
  </w:style>
  <w:style w:type="paragraph" w:customStyle="1" w:styleId="LetterSubject">
    <w:name w:val="LetterSubject"/>
    <w:basedOn w:val="Normal"/>
    <w:next w:val="Normal"/>
    <w:uiPriority w:val="99"/>
    <w:semiHidden/>
    <w:rsid w:val="00C249C7"/>
    <w:pPr>
      <w:tabs>
        <w:tab w:val="left" w:pos="4395"/>
        <w:tab w:val="left" w:pos="6946"/>
      </w:tabs>
      <w:spacing w:before="400" w:after="200" w:line="260" w:lineRule="exact"/>
    </w:pPr>
    <w:rPr>
      <w:b/>
      <w:caps/>
      <w:szCs w:val="20"/>
    </w:rPr>
  </w:style>
  <w:style w:type="paragraph" w:customStyle="1" w:styleId="LetterTitle">
    <w:name w:val="LetterTitle"/>
    <w:basedOn w:val="LetterName"/>
    <w:uiPriority w:val="99"/>
    <w:rsid w:val="00610859"/>
  </w:style>
  <w:style w:type="character" w:customStyle="1" w:styleId="ACILAllenYellow">
    <w:name w:val="ACIL Allen Yellow"/>
    <w:basedOn w:val="DefaultParagraphFont"/>
    <w:uiPriority w:val="1"/>
    <w:rsid w:val="00C249C7"/>
    <w:rPr>
      <w:color w:val="FFAE3B"/>
    </w:rPr>
  </w:style>
  <w:style w:type="character" w:customStyle="1" w:styleId="PageNumberLandscapeChar">
    <w:name w:val="Page Number Landscape Char"/>
    <w:basedOn w:val="DefaultParagraphFont"/>
    <w:link w:val="PageNumberLandscape"/>
    <w:rsid w:val="00C249C7"/>
    <w:rPr>
      <w:rFonts w:asciiTheme="minorHAnsi" w:hAnsiTheme="minorHAnsi"/>
      <w:lang w:eastAsia="en-US"/>
    </w:rPr>
  </w:style>
  <w:style w:type="character" w:customStyle="1" w:styleId="CaptionLabel">
    <w:name w:val="Caption Label"/>
    <w:qFormat/>
    <w:rsid w:val="00C249C7"/>
    <w:rPr>
      <w:b/>
    </w:rPr>
  </w:style>
  <w:style w:type="paragraph" w:customStyle="1" w:styleId="SideQuote">
    <w:name w:val="Side Quote"/>
    <w:basedOn w:val="SideNote"/>
    <w:next w:val="SideQuoteSource"/>
    <w:link w:val="SideQuoteChar"/>
    <w:rsid w:val="0010233D"/>
    <w:pPr>
      <w:framePr w:wrap="around"/>
      <w:pBdr>
        <w:top w:val="single" w:sz="12" w:space="3" w:color="9757A6" w:themeColor="accent1"/>
        <w:bottom w:val="single" w:sz="12" w:space="3" w:color="9757A6" w:themeColor="accent1"/>
      </w:pBdr>
    </w:pPr>
    <w:rPr>
      <w:rFonts w:ascii="Times New Roman" w:hAnsi="Times New Roman"/>
      <w:color w:val="808080" w:themeColor="background1" w:themeShade="80"/>
    </w:rPr>
  </w:style>
  <w:style w:type="paragraph" w:customStyle="1" w:styleId="SideQuoteSource">
    <w:name w:val="Side Quote Source"/>
    <w:basedOn w:val="SideQuote"/>
    <w:next w:val="BodyText"/>
    <w:rsid w:val="00C249C7"/>
    <w:pPr>
      <w:framePr w:wrap="around"/>
      <w:jc w:val="right"/>
    </w:pPr>
    <w:rPr>
      <w:i/>
    </w:rPr>
  </w:style>
  <w:style w:type="paragraph" w:customStyle="1" w:styleId="Style1">
    <w:name w:val="Style1"/>
    <w:basedOn w:val="SideQuote"/>
    <w:next w:val="BodyText"/>
    <w:link w:val="Style1Char"/>
    <w:rsid w:val="00C249C7"/>
    <w:pPr>
      <w:keepNext w:val="0"/>
      <w:framePr w:w="0" w:hSpace="0" w:vSpace="0" w:wrap="auto" w:vAnchor="margin" w:hAnchor="text" w:xAlign="left" w:yAlign="inline"/>
      <w:spacing w:before="120" w:after="120" w:line="240" w:lineRule="exact"/>
    </w:pPr>
    <w:rPr>
      <w:b w:val="0"/>
      <w:color w:val="9757A6" w:themeColor="accent1"/>
      <w:sz w:val="18"/>
      <w:lang w:eastAsia="en-US"/>
    </w:rPr>
  </w:style>
  <w:style w:type="character" w:customStyle="1" w:styleId="Style1Char">
    <w:name w:val="Style1 Char"/>
    <w:basedOn w:val="DefaultParagraphFont"/>
    <w:link w:val="Style1"/>
    <w:rsid w:val="00C249C7"/>
    <w:rPr>
      <w:rFonts w:asciiTheme="minorHAnsi" w:hAnsiTheme="minorHAnsi"/>
      <w:color w:val="9757A6" w:themeColor="accent1"/>
      <w:sz w:val="18"/>
      <w:lang w:eastAsia="en-US"/>
    </w:rPr>
  </w:style>
  <w:style w:type="character" w:customStyle="1" w:styleId="SideQuoteChar">
    <w:name w:val="Side Quote Char"/>
    <w:basedOn w:val="DefaultParagraphFont"/>
    <w:link w:val="SideQuote"/>
    <w:rsid w:val="0010233D"/>
    <w:rPr>
      <w:rFonts w:ascii="Times New Roman" w:hAnsi="Times New Roman"/>
      <w:b/>
      <w:color w:val="808080" w:themeColor="background1" w:themeShade="80"/>
      <w:sz w:val="16"/>
      <w:szCs w:val="22"/>
      <w:lang w:eastAsia="en-AU"/>
    </w:rPr>
  </w:style>
  <w:style w:type="paragraph" w:customStyle="1" w:styleId="ExecSummaryHeading">
    <w:name w:val="Exec Summary Heading"/>
    <w:basedOn w:val="Heading1nonumber"/>
    <w:next w:val="BodyText"/>
    <w:autoRedefine/>
    <w:rsid w:val="00E41AE2"/>
    <w:pPr>
      <w:pBdr>
        <w:top w:val="single" w:sz="48" w:space="30" w:color="9757A6"/>
        <w:left w:val="single" w:sz="48" w:space="4" w:color="9757A6"/>
        <w:bottom w:val="single" w:sz="48" w:space="5" w:color="9757A6"/>
        <w:right w:val="single" w:sz="48" w:space="4" w:color="9757A6"/>
      </w:pBdr>
      <w:shd w:val="clear" w:color="auto" w:fill="9757A6"/>
      <w:spacing w:before="0"/>
    </w:pPr>
    <w:rPr>
      <w:color w:val="FFFFFF" w:themeColor="background1"/>
    </w:rPr>
  </w:style>
  <w:style w:type="paragraph" w:customStyle="1" w:styleId="QuoteSource">
    <w:name w:val="Quote Source"/>
    <w:basedOn w:val="Quote"/>
    <w:next w:val="BodyText"/>
    <w:rsid w:val="00C249C7"/>
    <w:pPr>
      <w:jc w:val="right"/>
    </w:pPr>
    <w:rPr>
      <w:i/>
    </w:rPr>
  </w:style>
  <w:style w:type="paragraph" w:customStyle="1" w:styleId="BoxQuoteSource">
    <w:name w:val="Box Quote Source"/>
    <w:basedOn w:val="BoxQuote"/>
    <w:rsid w:val="00C249C7"/>
    <w:pPr>
      <w:ind w:right="199"/>
      <w:jc w:val="right"/>
    </w:pPr>
    <w:rPr>
      <w:i/>
    </w:rPr>
  </w:style>
  <w:style w:type="paragraph" w:customStyle="1" w:styleId="TableQuoteSource">
    <w:name w:val="Table Quote Source"/>
    <w:basedOn w:val="TableQuote"/>
    <w:rsid w:val="00C249C7"/>
    <w:pPr>
      <w:jc w:val="right"/>
    </w:pPr>
    <w:rPr>
      <w:i/>
    </w:rPr>
  </w:style>
  <w:style w:type="paragraph" w:customStyle="1" w:styleId="ConsultantContact">
    <w:name w:val="Consultant Contact"/>
    <w:basedOn w:val="BodyText"/>
    <w:rsid w:val="007377C2"/>
    <w:rPr>
      <w:color w:val="808080" w:themeColor="background1" w:themeShade="80"/>
      <w:sz w:val="20"/>
    </w:rPr>
  </w:style>
  <w:style w:type="paragraph" w:customStyle="1" w:styleId="CoverInfoHeading">
    <w:name w:val="Cover Info Heading"/>
    <w:basedOn w:val="CoverInfo"/>
    <w:rsid w:val="007377C2"/>
    <w:rPr>
      <w:b/>
      <w:color w:val="9757A6"/>
      <w:sz w:val="20"/>
      <w:lang w:val="en-AU"/>
    </w:rPr>
  </w:style>
  <w:style w:type="numbering" w:customStyle="1" w:styleId="ACILAllenBulletedlist">
    <w:name w:val="ACIL Allen Bulleted list"/>
    <w:uiPriority w:val="99"/>
    <w:rsid w:val="00CE3F7C"/>
    <w:pPr>
      <w:numPr>
        <w:numId w:val="14"/>
      </w:numPr>
    </w:pPr>
  </w:style>
  <w:style w:type="paragraph" w:customStyle="1" w:styleId="ListDash">
    <w:name w:val="List Dash"/>
    <w:basedOn w:val="BodyText"/>
    <w:rsid w:val="00A62441"/>
    <w:pPr>
      <w:numPr>
        <w:numId w:val="19"/>
      </w:numPr>
      <w:spacing w:before="60" w:after="60"/>
    </w:pPr>
  </w:style>
  <w:style w:type="paragraph" w:customStyle="1" w:styleId="ListDash2">
    <w:name w:val="List Dash 2"/>
    <w:basedOn w:val="ListDash"/>
    <w:rsid w:val="00160E03"/>
    <w:pPr>
      <w:numPr>
        <w:ilvl w:val="1"/>
      </w:numPr>
      <w:ind w:left="567"/>
    </w:pPr>
  </w:style>
  <w:style w:type="paragraph" w:customStyle="1" w:styleId="ListDash3">
    <w:name w:val="List Dash 3"/>
    <w:basedOn w:val="ListDash2"/>
    <w:rsid w:val="00160E03"/>
    <w:pPr>
      <w:numPr>
        <w:ilvl w:val="2"/>
      </w:numPr>
      <w:ind w:left="851"/>
    </w:pPr>
  </w:style>
  <w:style w:type="numbering" w:customStyle="1" w:styleId="ACILAllenDashedList">
    <w:name w:val="ACIL Allen Dashed List"/>
    <w:uiPriority w:val="99"/>
    <w:rsid w:val="00A62441"/>
    <w:pPr>
      <w:numPr>
        <w:numId w:val="15"/>
      </w:numPr>
    </w:pPr>
  </w:style>
  <w:style w:type="paragraph" w:customStyle="1" w:styleId="NewPartDeltas">
    <w:name w:val="NewPartDeltas"/>
    <w:basedOn w:val="BodyText"/>
    <w:rsid w:val="00C249C7"/>
    <w:pPr>
      <w:spacing w:before="0" w:after="0" w:line="240" w:lineRule="auto"/>
    </w:pPr>
    <w:rPr>
      <w:noProof/>
    </w:rPr>
  </w:style>
  <w:style w:type="paragraph" w:customStyle="1" w:styleId="Part">
    <w:name w:val="Part"/>
    <w:basedOn w:val="Normal"/>
    <w:rsid w:val="007B3211"/>
    <w:pPr>
      <w:spacing w:after="0" w:line="240" w:lineRule="auto"/>
    </w:pPr>
    <w:rPr>
      <w:rFonts w:asciiTheme="majorHAnsi" w:hAnsiTheme="majorHAnsi"/>
      <w:color w:val="FFFFFF" w:themeColor="background1"/>
      <w:spacing w:val="80"/>
      <w:sz w:val="80"/>
      <w:szCs w:val="80"/>
    </w:rPr>
  </w:style>
  <w:style w:type="paragraph" w:customStyle="1" w:styleId="PartTitle">
    <w:name w:val="Part Title"/>
    <w:basedOn w:val="BodyText"/>
    <w:rsid w:val="007B3211"/>
    <w:pPr>
      <w:spacing w:line="240" w:lineRule="auto"/>
    </w:pPr>
    <w:rPr>
      <w:rFonts w:ascii="Arial Narrow" w:hAnsi="Arial Narrow" w:cstheme="majorHAnsi"/>
      <w:b/>
      <w:caps/>
      <w:color w:val="FFAE3B"/>
      <w:spacing w:val="100"/>
      <w:sz w:val="40"/>
      <w:szCs w:val="40"/>
      <w:lang w:eastAsia="zh-CN"/>
    </w:rPr>
  </w:style>
  <w:style w:type="paragraph" w:customStyle="1" w:styleId="PartNumberOnly">
    <w:name w:val="PartNumberOnly"/>
    <w:basedOn w:val="Normal"/>
    <w:rsid w:val="00CF7515"/>
    <w:pPr>
      <w:spacing w:after="0" w:line="240" w:lineRule="auto"/>
      <w:jc w:val="center"/>
    </w:pPr>
    <w:rPr>
      <w:rFonts w:ascii="Georgia" w:hAnsi="Georgia"/>
      <w:color w:val="FFFFFF" w:themeColor="background1"/>
      <w:sz w:val="144"/>
    </w:rPr>
  </w:style>
  <w:style w:type="numbering" w:customStyle="1" w:styleId="ATbulletedlist">
    <w:name w:val="AT bulleted list"/>
    <w:uiPriority w:val="99"/>
    <w:rsid w:val="00C249C7"/>
    <w:pPr>
      <w:numPr>
        <w:numId w:val="16"/>
      </w:numPr>
    </w:pPr>
  </w:style>
  <w:style w:type="numbering" w:customStyle="1" w:styleId="ATBoxBulletedList">
    <w:name w:val="AT Box Bulleted List"/>
    <w:uiPriority w:val="99"/>
    <w:rsid w:val="00C249C7"/>
    <w:pPr>
      <w:numPr>
        <w:numId w:val="17"/>
      </w:numPr>
    </w:pPr>
  </w:style>
  <w:style w:type="numbering" w:customStyle="1" w:styleId="ACILAllenPartNumbers">
    <w:name w:val="ACIL Allen Part Numbers"/>
    <w:uiPriority w:val="99"/>
    <w:rsid w:val="00C249C7"/>
    <w:pPr>
      <w:numPr>
        <w:numId w:val="18"/>
      </w:numPr>
    </w:pPr>
  </w:style>
  <w:style w:type="paragraph" w:customStyle="1" w:styleId="LetterRef">
    <w:name w:val="LetterRef"/>
    <w:basedOn w:val="LetterDate"/>
    <w:rsid w:val="002F733E"/>
    <w:pPr>
      <w:spacing w:before="40" w:after="600"/>
    </w:pPr>
  </w:style>
  <w:style w:type="character" w:customStyle="1" w:styleId="reference-text">
    <w:name w:val="reference-text"/>
    <w:basedOn w:val="DefaultParagraphFont"/>
    <w:rsid w:val="006A2D4B"/>
  </w:style>
  <w:style w:type="character" w:customStyle="1" w:styleId="Heading2Char">
    <w:name w:val="Heading 2 Char"/>
    <w:basedOn w:val="DefaultParagraphFont"/>
    <w:link w:val="Heading2"/>
    <w:rsid w:val="002B4B9C"/>
    <w:rPr>
      <w:rFonts w:asciiTheme="majorHAnsi" w:hAnsiTheme="majorHAnsi"/>
      <w:b/>
      <w:color w:val="9757A6" w:themeColor="text2"/>
      <w:kern w:val="36"/>
      <w:sz w:val="28"/>
      <w:lang w:eastAsia="en-AU"/>
    </w:rPr>
  </w:style>
  <w:style w:type="paragraph" w:customStyle="1" w:styleId="EndNoteBibliography">
    <w:name w:val="EndNote Bibliography"/>
    <w:basedOn w:val="Normal"/>
    <w:link w:val="EndNoteBibliographyChar"/>
    <w:rsid w:val="00B46AAB"/>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B46AAB"/>
    <w:rPr>
      <w:rFonts w:ascii="Calibri" w:eastAsiaTheme="minorHAnsi" w:hAnsi="Calibri" w:cs="Calibri"/>
      <w:noProof/>
      <w:sz w:val="22"/>
      <w:szCs w:val="22"/>
      <w:lang w:val="en-US" w:eastAsia="en-US"/>
    </w:rPr>
  </w:style>
  <w:style w:type="character" w:customStyle="1" w:styleId="QuoteChar">
    <w:name w:val="Quote Char"/>
    <w:basedOn w:val="DefaultParagraphFont"/>
    <w:link w:val="Quote"/>
    <w:uiPriority w:val="4"/>
    <w:rsid w:val="003F49F1"/>
    <w:rPr>
      <w:rFonts w:ascii="Times New Roman" w:hAnsi="Times New Roman"/>
      <w:sz w:val="18"/>
      <w:szCs w:val="22"/>
      <w:lang w:eastAsia="en-AU"/>
    </w:rPr>
  </w:style>
  <w:style w:type="character" w:customStyle="1" w:styleId="CommentTextChar">
    <w:name w:val="Comment Text Char"/>
    <w:basedOn w:val="DefaultParagraphFont"/>
    <w:link w:val="CommentText"/>
    <w:uiPriority w:val="99"/>
    <w:semiHidden/>
    <w:rsid w:val="00BD3283"/>
    <w:rPr>
      <w:rFonts w:ascii="Century Gothic" w:hAnsi="Century Gothic"/>
      <w:sz w:val="21"/>
      <w:szCs w:val="22"/>
      <w:lang w:eastAsia="en-AU"/>
    </w:rPr>
  </w:style>
  <w:style w:type="table" w:customStyle="1" w:styleId="TableGrid30">
    <w:name w:val="Table Grid3"/>
    <w:basedOn w:val="TableNormal"/>
    <w:next w:val="TableGrid"/>
    <w:uiPriority w:val="59"/>
    <w:rsid w:val="003F3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59"/>
    <w:rsid w:val="00460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4604D8"/>
    <w:pPr>
      <w:spacing w:before="0" w:line="240" w:lineRule="auto"/>
    </w:pPr>
    <w:rPr>
      <w:rFonts w:ascii="HelveticaNeueLT Std Lt Cn" w:eastAsiaTheme="minorHAnsi" w:hAnsi="HelveticaNeueLT Std Lt C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4604D8"/>
    <w:pPr>
      <w:spacing w:before="0" w:line="240" w:lineRule="auto"/>
    </w:pPr>
    <w:rPr>
      <w:rFonts w:ascii="HelveticaNeueLT Std Lt Cn" w:eastAsiaTheme="minorHAnsi" w:hAnsi="HelveticaNeueLT Std Lt C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link w:val="TextChar"/>
    <w:rsid w:val="004604D8"/>
    <w:pPr>
      <w:keepLines/>
      <w:spacing w:after="180" w:line="250" w:lineRule="exact"/>
      <w:jc w:val="both"/>
    </w:pPr>
    <w:rPr>
      <w:rFonts w:ascii="Times New Roman" w:eastAsia="Times New Roman" w:hAnsi="Times New Roman" w:cs="Times New Roman"/>
      <w:szCs w:val="24"/>
    </w:rPr>
  </w:style>
  <w:style w:type="character" w:customStyle="1" w:styleId="TextChar">
    <w:name w:val="Text Char"/>
    <w:link w:val="Text"/>
    <w:rsid w:val="004604D8"/>
    <w:rPr>
      <w:rFonts w:ascii="Times New Roman" w:hAnsi="Times New Roman"/>
      <w:sz w:val="22"/>
      <w:lang w:eastAsia="en-US"/>
    </w:rPr>
  </w:style>
  <w:style w:type="paragraph" w:styleId="Revision">
    <w:name w:val="Revision"/>
    <w:hidden/>
    <w:uiPriority w:val="99"/>
    <w:semiHidden/>
    <w:rsid w:val="004604D8"/>
    <w:pPr>
      <w:spacing w:before="0" w:line="240" w:lineRule="auto"/>
    </w:pPr>
    <w:rPr>
      <w:rFonts w:asciiTheme="minorHAnsi" w:hAnsiTheme="minorHAnsi"/>
      <w:lang w:eastAsia="en-US"/>
    </w:rPr>
  </w:style>
  <w:style w:type="character" w:customStyle="1" w:styleId="Heading7Char">
    <w:name w:val="Heading 7 Char"/>
    <w:basedOn w:val="DefaultParagraphFont"/>
    <w:link w:val="Heading7"/>
    <w:rsid w:val="004604D8"/>
    <w:rPr>
      <w:rFonts w:asciiTheme="majorHAnsi" w:hAnsiTheme="majorHAnsi"/>
      <w:b/>
      <w:color w:val="9757A6"/>
      <w:sz w:val="36"/>
      <w:szCs w:val="36"/>
      <w:lang w:eastAsia="en-AU"/>
    </w:rPr>
  </w:style>
  <w:style w:type="character" w:customStyle="1" w:styleId="FootnoteTextChar">
    <w:name w:val="Footnote Text Char"/>
    <w:basedOn w:val="DefaultParagraphFont"/>
    <w:link w:val="FootnoteText"/>
    <w:uiPriority w:val="8"/>
    <w:rsid w:val="004604D8"/>
    <w:rPr>
      <w:rFonts w:asciiTheme="minorHAnsi" w:hAnsiTheme="minorHAnsi"/>
      <w:sz w:val="16"/>
      <w:szCs w:val="22"/>
      <w:lang w:eastAsia="en-AU"/>
    </w:rPr>
  </w:style>
  <w:style w:type="paragraph" w:customStyle="1" w:styleId="Default">
    <w:name w:val="Default"/>
    <w:basedOn w:val="Normal"/>
    <w:rsid w:val="004604D8"/>
    <w:pPr>
      <w:spacing w:after="0" w:line="240" w:lineRule="auto"/>
    </w:pPr>
    <w:rPr>
      <w:rFonts w:ascii="Times New Roman" w:hAnsi="Times New Roman" w:cs="Times New Roman"/>
      <w:color w:val="000000"/>
      <w:sz w:val="24"/>
      <w:szCs w:val="24"/>
    </w:rPr>
  </w:style>
  <w:style w:type="character" w:customStyle="1" w:styleId="ta-response-item-highlight1">
    <w:name w:val="ta-response-item-highlight1"/>
    <w:basedOn w:val="DefaultParagraphFont"/>
    <w:rsid w:val="004604D8"/>
    <w:rPr>
      <w:shd w:val="clear" w:color="auto" w:fill="FFFF00"/>
    </w:rPr>
  </w:style>
  <w:style w:type="paragraph" w:customStyle="1" w:styleId="footnotedescription">
    <w:name w:val="footnote description"/>
    <w:next w:val="Normal"/>
    <w:link w:val="footnotedescriptionChar"/>
    <w:hidden/>
    <w:rsid w:val="004604D8"/>
    <w:pPr>
      <w:spacing w:before="0" w:line="259" w:lineRule="auto"/>
    </w:pPr>
    <w:rPr>
      <w:rFonts w:ascii="Times New Roman" w:hAnsi="Times New Roman"/>
      <w:color w:val="000000"/>
      <w:sz w:val="16"/>
      <w:szCs w:val="22"/>
      <w:lang w:eastAsia="en-AU"/>
    </w:rPr>
  </w:style>
  <w:style w:type="character" w:customStyle="1" w:styleId="footnotedescriptionChar">
    <w:name w:val="footnote description Char"/>
    <w:link w:val="footnotedescription"/>
    <w:rsid w:val="004604D8"/>
    <w:rPr>
      <w:rFonts w:ascii="Times New Roman" w:hAnsi="Times New Roman"/>
      <w:color w:val="000000"/>
      <w:sz w:val="16"/>
      <w:szCs w:val="22"/>
      <w:lang w:eastAsia="en-AU"/>
    </w:rPr>
  </w:style>
  <w:style w:type="character" w:customStyle="1" w:styleId="footnotemark">
    <w:name w:val="footnote mark"/>
    <w:hidden/>
    <w:rsid w:val="004604D8"/>
    <w:rPr>
      <w:rFonts w:ascii="Times New Roman" w:eastAsia="Times New Roman" w:hAnsi="Times New Roman" w:cs="Times New Roman"/>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99393">
      <w:bodyDiv w:val="1"/>
      <w:marLeft w:val="0"/>
      <w:marRight w:val="0"/>
      <w:marTop w:val="0"/>
      <w:marBottom w:val="0"/>
      <w:divBdr>
        <w:top w:val="none" w:sz="0" w:space="0" w:color="auto"/>
        <w:left w:val="none" w:sz="0" w:space="0" w:color="auto"/>
        <w:bottom w:val="none" w:sz="0" w:space="0" w:color="auto"/>
        <w:right w:val="none" w:sz="0" w:space="0" w:color="auto"/>
      </w:divBdr>
      <w:divsChild>
        <w:div w:id="670908033">
          <w:marLeft w:val="0"/>
          <w:marRight w:val="0"/>
          <w:marTop w:val="0"/>
          <w:marBottom w:val="0"/>
          <w:divBdr>
            <w:top w:val="none" w:sz="0" w:space="0" w:color="auto"/>
            <w:left w:val="none" w:sz="0" w:space="0" w:color="auto"/>
            <w:bottom w:val="none" w:sz="0" w:space="0" w:color="auto"/>
            <w:right w:val="none" w:sz="0" w:space="0" w:color="auto"/>
          </w:divBdr>
          <w:divsChild>
            <w:div w:id="2040427329">
              <w:marLeft w:val="0"/>
              <w:marRight w:val="0"/>
              <w:marTop w:val="0"/>
              <w:marBottom w:val="0"/>
              <w:divBdr>
                <w:top w:val="none" w:sz="0" w:space="0" w:color="auto"/>
                <w:left w:val="none" w:sz="0" w:space="0" w:color="auto"/>
                <w:bottom w:val="none" w:sz="0" w:space="0" w:color="auto"/>
                <w:right w:val="none" w:sz="0" w:space="0" w:color="auto"/>
              </w:divBdr>
              <w:divsChild>
                <w:div w:id="1406803323">
                  <w:marLeft w:val="0"/>
                  <w:marRight w:val="0"/>
                  <w:marTop w:val="0"/>
                  <w:marBottom w:val="0"/>
                  <w:divBdr>
                    <w:top w:val="none" w:sz="0" w:space="0" w:color="auto"/>
                    <w:left w:val="none" w:sz="0" w:space="0" w:color="auto"/>
                    <w:bottom w:val="none" w:sz="0" w:space="0" w:color="auto"/>
                    <w:right w:val="none" w:sz="0" w:space="0" w:color="auto"/>
                  </w:divBdr>
                  <w:divsChild>
                    <w:div w:id="1711219396">
                      <w:marLeft w:val="0"/>
                      <w:marRight w:val="0"/>
                      <w:marTop w:val="0"/>
                      <w:marBottom w:val="0"/>
                      <w:divBdr>
                        <w:top w:val="none" w:sz="0" w:space="0" w:color="auto"/>
                        <w:left w:val="none" w:sz="0" w:space="0" w:color="auto"/>
                        <w:bottom w:val="none" w:sz="0" w:space="0" w:color="auto"/>
                        <w:right w:val="none" w:sz="0" w:space="0" w:color="auto"/>
                      </w:divBdr>
                      <w:divsChild>
                        <w:div w:id="763696022">
                          <w:marLeft w:val="0"/>
                          <w:marRight w:val="0"/>
                          <w:marTop w:val="0"/>
                          <w:marBottom w:val="0"/>
                          <w:divBdr>
                            <w:top w:val="none" w:sz="0" w:space="0" w:color="auto"/>
                            <w:left w:val="none" w:sz="0" w:space="0" w:color="auto"/>
                            <w:bottom w:val="none" w:sz="0" w:space="0" w:color="auto"/>
                            <w:right w:val="none" w:sz="0" w:space="0" w:color="auto"/>
                          </w:divBdr>
                          <w:divsChild>
                            <w:div w:id="1167789318">
                              <w:marLeft w:val="0"/>
                              <w:marRight w:val="0"/>
                              <w:marTop w:val="0"/>
                              <w:marBottom w:val="0"/>
                              <w:divBdr>
                                <w:top w:val="none" w:sz="0" w:space="0" w:color="auto"/>
                                <w:left w:val="none" w:sz="0" w:space="0" w:color="auto"/>
                                <w:bottom w:val="none" w:sz="0" w:space="0" w:color="auto"/>
                                <w:right w:val="none" w:sz="0" w:space="0" w:color="auto"/>
                              </w:divBdr>
                              <w:divsChild>
                                <w:div w:id="1196651867">
                                  <w:marLeft w:val="0"/>
                                  <w:marRight w:val="0"/>
                                  <w:marTop w:val="0"/>
                                  <w:marBottom w:val="0"/>
                                  <w:divBdr>
                                    <w:top w:val="none" w:sz="0" w:space="0" w:color="auto"/>
                                    <w:left w:val="none" w:sz="0" w:space="0" w:color="auto"/>
                                    <w:bottom w:val="none" w:sz="0" w:space="0" w:color="auto"/>
                                    <w:right w:val="none" w:sz="0" w:space="0" w:color="auto"/>
                                  </w:divBdr>
                                  <w:divsChild>
                                    <w:div w:id="9791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3190963">
      <w:bodyDiv w:val="1"/>
      <w:marLeft w:val="0"/>
      <w:marRight w:val="0"/>
      <w:marTop w:val="0"/>
      <w:marBottom w:val="0"/>
      <w:divBdr>
        <w:top w:val="none" w:sz="0" w:space="0" w:color="auto"/>
        <w:left w:val="none" w:sz="0" w:space="0" w:color="auto"/>
        <w:bottom w:val="none" w:sz="0" w:space="0" w:color="auto"/>
        <w:right w:val="none" w:sz="0" w:space="0" w:color="auto"/>
      </w:divBdr>
    </w:div>
    <w:div w:id="1017928851">
      <w:bodyDiv w:val="1"/>
      <w:marLeft w:val="0"/>
      <w:marRight w:val="0"/>
      <w:marTop w:val="0"/>
      <w:marBottom w:val="0"/>
      <w:divBdr>
        <w:top w:val="none" w:sz="0" w:space="0" w:color="auto"/>
        <w:left w:val="none" w:sz="0" w:space="0" w:color="auto"/>
        <w:bottom w:val="none" w:sz="0" w:space="0" w:color="auto"/>
        <w:right w:val="none" w:sz="0" w:space="0" w:color="auto"/>
      </w:divBdr>
    </w:div>
    <w:div w:id="1026836089">
      <w:bodyDiv w:val="1"/>
      <w:marLeft w:val="0"/>
      <w:marRight w:val="0"/>
      <w:marTop w:val="0"/>
      <w:marBottom w:val="0"/>
      <w:divBdr>
        <w:top w:val="none" w:sz="0" w:space="0" w:color="auto"/>
        <w:left w:val="none" w:sz="0" w:space="0" w:color="auto"/>
        <w:bottom w:val="none" w:sz="0" w:space="0" w:color="auto"/>
        <w:right w:val="none" w:sz="0" w:space="0" w:color="auto"/>
      </w:divBdr>
    </w:div>
    <w:div w:id="1643539588">
      <w:bodyDiv w:val="1"/>
      <w:marLeft w:val="0"/>
      <w:marRight w:val="0"/>
      <w:marTop w:val="0"/>
      <w:marBottom w:val="0"/>
      <w:divBdr>
        <w:top w:val="none" w:sz="0" w:space="0" w:color="auto"/>
        <w:left w:val="none" w:sz="0" w:space="0" w:color="auto"/>
        <w:bottom w:val="none" w:sz="0" w:space="0" w:color="auto"/>
        <w:right w:val="none" w:sz="0" w:space="0" w:color="auto"/>
      </w:divBdr>
    </w:div>
    <w:div w:id="1649357552">
      <w:bodyDiv w:val="1"/>
      <w:marLeft w:val="0"/>
      <w:marRight w:val="0"/>
      <w:marTop w:val="0"/>
      <w:marBottom w:val="0"/>
      <w:divBdr>
        <w:top w:val="none" w:sz="0" w:space="0" w:color="auto"/>
        <w:left w:val="none" w:sz="0" w:space="0" w:color="auto"/>
        <w:bottom w:val="none" w:sz="0" w:space="0" w:color="auto"/>
        <w:right w:val="none" w:sz="0" w:space="0" w:color="auto"/>
      </w:divBdr>
    </w:div>
    <w:div w:id="1835946553">
      <w:bodyDiv w:val="1"/>
      <w:marLeft w:val="0"/>
      <w:marRight w:val="0"/>
      <w:marTop w:val="0"/>
      <w:marBottom w:val="0"/>
      <w:divBdr>
        <w:top w:val="none" w:sz="0" w:space="0" w:color="auto"/>
        <w:left w:val="none" w:sz="0" w:space="0" w:color="auto"/>
        <w:bottom w:val="none" w:sz="0" w:space="0" w:color="auto"/>
        <w:right w:val="none" w:sz="0" w:space="0" w:color="auto"/>
      </w:divBdr>
    </w:div>
    <w:div w:id="1851136055">
      <w:bodyDiv w:val="1"/>
      <w:marLeft w:val="0"/>
      <w:marRight w:val="0"/>
      <w:marTop w:val="0"/>
      <w:marBottom w:val="0"/>
      <w:divBdr>
        <w:top w:val="none" w:sz="0" w:space="0" w:color="auto"/>
        <w:left w:val="none" w:sz="0" w:space="0" w:color="auto"/>
        <w:bottom w:val="none" w:sz="0" w:space="0" w:color="auto"/>
        <w:right w:val="none" w:sz="0" w:space="0" w:color="auto"/>
      </w:divBdr>
    </w:div>
    <w:div w:id="2120373888">
      <w:bodyDiv w:val="1"/>
      <w:marLeft w:val="0"/>
      <w:marRight w:val="0"/>
      <w:marTop w:val="0"/>
      <w:marBottom w:val="0"/>
      <w:divBdr>
        <w:top w:val="none" w:sz="0" w:space="0" w:color="auto"/>
        <w:left w:val="none" w:sz="0" w:space="0" w:color="auto"/>
        <w:bottom w:val="none" w:sz="0" w:space="0" w:color="auto"/>
        <w:right w:val="none" w:sz="0" w:space="0" w:color="auto"/>
      </w:divBdr>
      <w:divsChild>
        <w:div w:id="1122965078">
          <w:marLeft w:val="0"/>
          <w:marRight w:val="0"/>
          <w:marTop w:val="0"/>
          <w:marBottom w:val="0"/>
          <w:divBdr>
            <w:top w:val="none" w:sz="0" w:space="0" w:color="auto"/>
            <w:left w:val="none" w:sz="0" w:space="0" w:color="auto"/>
            <w:bottom w:val="none" w:sz="0" w:space="0" w:color="auto"/>
            <w:right w:val="none" w:sz="0" w:space="0" w:color="auto"/>
          </w:divBdr>
          <w:divsChild>
            <w:div w:id="1715621732">
              <w:marLeft w:val="0"/>
              <w:marRight w:val="0"/>
              <w:marTop w:val="0"/>
              <w:marBottom w:val="0"/>
              <w:divBdr>
                <w:top w:val="none" w:sz="0" w:space="0" w:color="auto"/>
                <w:left w:val="none" w:sz="0" w:space="0" w:color="auto"/>
                <w:bottom w:val="none" w:sz="0" w:space="0" w:color="auto"/>
                <w:right w:val="none" w:sz="0" w:space="0" w:color="auto"/>
              </w:divBdr>
              <w:divsChild>
                <w:div w:id="526603352">
                  <w:marLeft w:val="0"/>
                  <w:marRight w:val="0"/>
                  <w:marTop w:val="0"/>
                  <w:marBottom w:val="0"/>
                  <w:divBdr>
                    <w:top w:val="none" w:sz="0" w:space="0" w:color="auto"/>
                    <w:left w:val="none" w:sz="0" w:space="0" w:color="auto"/>
                    <w:bottom w:val="none" w:sz="0" w:space="0" w:color="auto"/>
                    <w:right w:val="none" w:sz="0" w:space="0" w:color="auto"/>
                  </w:divBdr>
                  <w:divsChild>
                    <w:div w:id="28143314">
                      <w:marLeft w:val="0"/>
                      <w:marRight w:val="0"/>
                      <w:marTop w:val="0"/>
                      <w:marBottom w:val="245"/>
                      <w:divBdr>
                        <w:top w:val="none" w:sz="0" w:space="0" w:color="auto"/>
                        <w:left w:val="none" w:sz="0" w:space="0" w:color="auto"/>
                        <w:bottom w:val="none" w:sz="0" w:space="0" w:color="auto"/>
                        <w:right w:val="none" w:sz="0" w:space="0" w:color="auto"/>
                      </w:divBdr>
                      <w:divsChild>
                        <w:div w:id="1072241569">
                          <w:marLeft w:val="0"/>
                          <w:marRight w:val="0"/>
                          <w:marTop w:val="0"/>
                          <w:marBottom w:val="245"/>
                          <w:divBdr>
                            <w:top w:val="single" w:sz="6" w:space="0" w:color="CCCCCC"/>
                            <w:left w:val="none" w:sz="0" w:space="0" w:color="auto"/>
                            <w:bottom w:val="none" w:sz="0" w:space="0" w:color="auto"/>
                            <w:right w:val="none" w:sz="0" w:space="0" w:color="auto"/>
                          </w:divBdr>
                          <w:divsChild>
                            <w:div w:id="417823444">
                              <w:marLeft w:val="0"/>
                              <w:marRight w:val="0"/>
                              <w:marTop w:val="0"/>
                              <w:marBottom w:val="0"/>
                              <w:divBdr>
                                <w:top w:val="none" w:sz="0" w:space="0" w:color="auto"/>
                                <w:left w:val="none" w:sz="0" w:space="0" w:color="auto"/>
                                <w:bottom w:val="single" w:sz="6" w:space="0" w:color="CCCCCC"/>
                                <w:right w:val="none" w:sz="0" w:space="0" w:color="auto"/>
                              </w:divBdr>
                              <w:divsChild>
                                <w:div w:id="73952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footer" Target="footer6.xml"/><Relationship Id="rId39" Type="http://schemas.openxmlformats.org/officeDocument/2006/relationships/hyperlink" Target="http://www.medscape.com/viewarticle/765974_2" TargetMode="External"/><Relationship Id="rId21" Type="http://schemas.openxmlformats.org/officeDocument/2006/relationships/header" Target="header6.xml"/><Relationship Id="rId34" Type="http://schemas.openxmlformats.org/officeDocument/2006/relationships/hyperlink" Target="http://www.michigan.gov/lara/0,4601,7-154-35299_63294_27648-43127--,00.html" TargetMode="External"/><Relationship Id="rId42" Type="http://schemas.openxmlformats.org/officeDocument/2006/relationships/hyperlink" Target="http://ww5.cch.com.au/amed/amed113.html%20" TargetMode="External"/><Relationship Id="rId47" Type="http://schemas.openxmlformats.org/officeDocument/2006/relationships/header" Target="header1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chart" Target="charts/chart1.xml"/><Relationship Id="rId11" Type="http://schemas.openxmlformats.org/officeDocument/2006/relationships/header" Target="header1.xml"/><Relationship Id="rId24" Type="http://schemas.openxmlformats.org/officeDocument/2006/relationships/header" Target="header8.xml"/><Relationship Id="rId32" Type="http://schemas.openxmlformats.org/officeDocument/2006/relationships/hyperlink" Target="http://nursingworld.org/FunctionalMenuCategories/MediaResources/MediaBackgrounders/The-Nurse-Work-Environment-2011-Health-Safety-Survey.pdf" TargetMode="External"/><Relationship Id="rId37" Type="http://schemas.openxmlformats.org/officeDocument/2006/relationships/hyperlink" Target="http://www.hccc.nsw.gov.au/Information/Information-for-health-providers/National-Registration-Scheme%20" TargetMode="External"/><Relationship Id="rId40" Type="http://schemas.openxmlformats.org/officeDocument/2006/relationships/hyperlink" Target="http://sick-doctors-trust.co.uk/page/the-helpline" TargetMode="External"/><Relationship Id="rId45"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7.xml"/><Relationship Id="rId36" Type="http://schemas.openxmlformats.org/officeDocument/2006/relationships/hyperlink" Target="http://www.gmc-uk.org/concerns/11542.asp" TargetMode="External"/><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4.png"/><Relationship Id="rId31" Type="http://schemas.openxmlformats.org/officeDocument/2006/relationships/footer" Target="footer8.xml"/><Relationship Id="rId44"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oter" Target="footer4.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hyperlink" Target="http://www.medicalboard.gov.au" TargetMode="External"/><Relationship Id="rId43" Type="http://schemas.openxmlformats.org/officeDocument/2006/relationships/header" Target="header11.xml"/><Relationship Id="rId48" Type="http://schemas.openxmlformats.org/officeDocument/2006/relationships/footer" Target="footer1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footer" Target="footer5.xml"/><Relationship Id="rId33" Type="http://schemas.openxmlformats.org/officeDocument/2006/relationships/hyperlink" Target="http://www.vdhp.org.au/_literature_38085/The_conspiracy_of_silence_-_emotional_health_among_Medical_Practitioners" TargetMode="External"/><Relationship Id="rId38" Type="http://schemas.openxmlformats.org/officeDocument/2006/relationships/hyperlink" Target="http://www.h4hp.co.uk/" TargetMode="External"/><Relationship Id="rId46" Type="http://schemas.openxmlformats.org/officeDocument/2006/relationships/footer" Target="footer10.xml"/><Relationship Id="rId20" Type="http://schemas.openxmlformats.org/officeDocument/2006/relationships/image" Target="media/image5.png"/><Relationship Id="rId41" Type="http://schemas.openxmlformats.org/officeDocument/2006/relationships/hyperlink" Target="http://www.audit.vic.gov.au/reports_and_publications/reports_by_year/2008/20080528_patient_safety.aspx"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Previous%20template\ACIL%20Allen%20Report.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orp.acilallen.com.au\aac_data$\03_Projects\RAS00010%20-%20Impairment\9-%20Survey%20data\Survey%20graph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spPr>
            <a:solidFill>
              <a:schemeClr val="accent1"/>
            </a:solidFill>
            <a:ln>
              <a:noFill/>
            </a:ln>
            <a:effectLst/>
          </c:spPr>
          <c:invertIfNegative val="0"/>
          <c:dLbls>
            <c:dLbl>
              <c:idx val="0"/>
              <c:layout>
                <c:manualLayout>
                  <c:x val="4.9975012493753079E-2"/>
                  <c:y val="-4.4667775506092812E-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12593703148425794"/>
                  <c:y val="0"/>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7.1964017991004534E-2"/>
                  <c:y val="0"/>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9.3953023488256196E-2"/>
                  <c:y val="0"/>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14992503748125977"/>
                  <c:y val="0"/>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1699150424787613"/>
                  <c:y val="0"/>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26468386669118454"/>
                  <c:y val="0"/>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0.28820593342487238"/>
                  <c:y val="0"/>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'Survey response'!$B$5:$B$12</c:f>
              <c:strCache>
                <c:ptCount val="8"/>
                <c:pt idx="0">
                  <c:v>Other </c:v>
                </c:pt>
                <c:pt idx="1">
                  <c:v>None</c:v>
                </c:pt>
                <c:pt idx="2">
                  <c:v>NMHPV</c:v>
                </c:pt>
                <c:pt idx="3">
                  <c:v>Other employer related programs</c:v>
                </c:pt>
                <c:pt idx="4">
                  <c:v>Government drug and alcohol service</c:v>
                </c:pt>
                <c:pt idx="5">
                  <c:v>Government mental health service</c:v>
                </c:pt>
                <c:pt idx="6">
                  <c:v>Private health practitioner</c:v>
                </c:pt>
                <c:pt idx="7">
                  <c:v>EAPs</c:v>
                </c:pt>
              </c:strCache>
            </c:strRef>
          </c:cat>
          <c:val>
            <c:numRef>
              <c:f>'Survey response'!$C$5:$C$12</c:f>
              <c:numCache>
                <c:formatCode>General</c:formatCode>
                <c:ptCount val="8"/>
                <c:pt idx="0">
                  <c:v>273</c:v>
                </c:pt>
                <c:pt idx="1">
                  <c:v>1732</c:v>
                </c:pt>
                <c:pt idx="2">
                  <c:v>817</c:v>
                </c:pt>
                <c:pt idx="3">
                  <c:v>1102</c:v>
                </c:pt>
                <c:pt idx="4">
                  <c:v>2150</c:v>
                </c:pt>
                <c:pt idx="5">
                  <c:v>2546</c:v>
                </c:pt>
                <c:pt idx="6" formatCode="#,##0">
                  <c:v>4756</c:v>
                </c:pt>
                <c:pt idx="7" formatCode="#,##0">
                  <c:v>5285</c:v>
                </c:pt>
              </c:numCache>
            </c:numRef>
          </c:val>
        </c:ser>
        <c:dLbls>
          <c:showLegendKey val="0"/>
          <c:showVal val="0"/>
          <c:showCatName val="0"/>
          <c:showSerName val="0"/>
          <c:showPercent val="0"/>
          <c:showBubbleSize val="0"/>
        </c:dLbls>
        <c:gapWidth val="150"/>
        <c:overlap val="100"/>
        <c:axId val="421383712"/>
        <c:axId val="421384272"/>
      </c:barChart>
      <c:catAx>
        <c:axId val="4213837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1384272"/>
        <c:crosses val="autoZero"/>
        <c:auto val="1"/>
        <c:lblAlgn val="ctr"/>
        <c:lblOffset val="100"/>
        <c:noMultiLvlLbl val="0"/>
      </c:catAx>
      <c:valAx>
        <c:axId val="4213842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138371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ACIL Allen 1">
      <a:dk1>
        <a:sysClr val="windowText" lastClr="000000"/>
      </a:dk1>
      <a:lt1>
        <a:sysClr val="window" lastClr="FFFFFF"/>
      </a:lt1>
      <a:dk2>
        <a:srgbClr val="9757A6"/>
      </a:dk2>
      <a:lt2>
        <a:srgbClr val="F4E7ED"/>
      </a:lt2>
      <a:accent1>
        <a:srgbClr val="9757A6"/>
      </a:accent1>
      <a:accent2>
        <a:srgbClr val="FFAE3B"/>
      </a:accent2>
      <a:accent3>
        <a:srgbClr val="A5A5A5"/>
      </a:accent3>
      <a:accent4>
        <a:srgbClr val="B689C1"/>
      </a:accent4>
      <a:accent5>
        <a:srgbClr val="EA8B00"/>
      </a:accent5>
      <a:accent6>
        <a:srgbClr val="BFBFBF"/>
      </a:accent6>
      <a:hlink>
        <a:srgbClr val="FFDE66"/>
      </a:hlink>
      <a:folHlink>
        <a:srgbClr val="D490C5"/>
      </a:folHlink>
    </a:clrScheme>
    <a:fontScheme name="Arial with Arial Narrow">
      <a:majorFont>
        <a:latin typeface="Arial"/>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214F9-5819-466F-9E82-C8DE7F288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ACIL Allen Report</Template>
  <TotalTime>0</TotalTime>
  <Pages>55</Pages>
  <Words>21020</Words>
  <Characters>135062</Characters>
  <Application>Microsoft Office Word</Application>
  <DocSecurity>0</DocSecurity>
  <Lines>1125</Lines>
  <Paragraphs>311</Paragraphs>
  <ScaleCrop>false</ScaleCrop>
  <HeadingPairs>
    <vt:vector size="2" baseType="variant">
      <vt:variant>
        <vt:lpstr>Title</vt:lpstr>
      </vt:variant>
      <vt:variant>
        <vt:i4>1</vt:i4>
      </vt:variant>
    </vt:vector>
  </HeadingPairs>
  <TitlesOfParts>
    <vt:vector size="1" baseType="lpstr">
      <vt:lpstr>Report: National Health Impairment</vt:lpstr>
    </vt:vector>
  </TitlesOfParts>
  <Company>ACIL Allen Consulting Pty Ltd</Company>
  <LinksUpToDate>false</LinksUpToDate>
  <CharactersWithSpaces>155771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National Health Impairment</dc:title>
  <dc:subject>Report</dc:subject>
  <dc:creator>Nursing and Midwifery Board</dc:creator>
  <cp:lastModifiedBy>Gareth Meade</cp:lastModifiedBy>
  <cp:revision>3</cp:revision>
  <cp:lastPrinted>2015-12-09T03:58:00Z</cp:lastPrinted>
  <dcterms:created xsi:type="dcterms:W3CDTF">2015-12-09T03:58:00Z</dcterms:created>
  <dcterms:modified xsi:type="dcterms:W3CDTF">2015-12-09T03:58:00Z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quationNumberFormat">
    <vt:lpwstr>EquationNumberOnly</vt:lpwstr>
  </property>
</Properties>
</file>