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A7AB7" w14:textId="77777777" w:rsidR="00A20F46" w:rsidRDefault="008877B5">
      <w:bookmarkStart w:id="0" w:name="_GoBack"/>
      <w:bookmarkEnd w:id="0"/>
      <w:r>
        <w:rPr>
          <w:noProof/>
          <w:lang w:eastAsia="en-AU"/>
        </w:rPr>
        <w:drawing>
          <wp:anchor distT="0" distB="0" distL="114300" distR="114300" simplePos="0" relativeHeight="251658240" behindDoc="1" locked="0" layoutInCell="1" allowOverlap="1" wp14:anchorId="1913B025" wp14:editId="235938A9">
            <wp:simplePos x="0" y="0"/>
            <wp:positionH relativeFrom="page">
              <wp:align>right</wp:align>
            </wp:positionH>
            <wp:positionV relativeFrom="paragraph">
              <wp:posOffset>-904875</wp:posOffset>
            </wp:positionV>
            <wp:extent cx="7542000" cy="10663200"/>
            <wp:effectExtent l="0" t="0" r="1905"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v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42000" cy="10663200"/>
                    </a:xfrm>
                    <a:prstGeom prst="rect">
                      <a:avLst/>
                    </a:prstGeom>
                  </pic:spPr>
                </pic:pic>
              </a:graphicData>
            </a:graphic>
            <wp14:sizeRelH relativeFrom="page">
              <wp14:pctWidth>0</wp14:pctWidth>
            </wp14:sizeRelH>
            <wp14:sizeRelV relativeFrom="page">
              <wp14:pctHeight>0</wp14:pctHeight>
            </wp14:sizeRelV>
          </wp:anchor>
        </w:drawing>
      </w:r>
    </w:p>
    <w:p w14:paraId="5672C7C0" w14:textId="77777777" w:rsidR="00A20F46" w:rsidRDefault="00833A18">
      <w:pPr>
        <w:spacing w:line="259" w:lineRule="auto"/>
      </w:pPr>
      <w:r>
        <w:rPr>
          <w:noProof/>
          <w:lang w:eastAsia="en-AU"/>
        </w:rPr>
        <mc:AlternateContent>
          <mc:Choice Requires="wps">
            <w:drawing>
              <wp:anchor distT="45720" distB="45720" distL="114300" distR="114300" simplePos="0" relativeHeight="251660288" behindDoc="0" locked="0" layoutInCell="1" allowOverlap="1" wp14:anchorId="30DF6E3B" wp14:editId="0694A82D">
                <wp:simplePos x="0" y="0"/>
                <wp:positionH relativeFrom="margin">
                  <wp:align>right</wp:align>
                </wp:positionH>
                <wp:positionV relativeFrom="paragraph">
                  <wp:posOffset>1943735</wp:posOffset>
                </wp:positionV>
                <wp:extent cx="5724525" cy="49244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4924425"/>
                        </a:xfrm>
                        <a:prstGeom prst="rect">
                          <a:avLst/>
                        </a:prstGeom>
                        <a:noFill/>
                        <a:ln w="9525">
                          <a:noFill/>
                          <a:miter lim="800000"/>
                          <a:headEnd/>
                          <a:tailEnd/>
                        </a:ln>
                      </wps:spPr>
                      <wps:txbx>
                        <w:txbxContent>
                          <w:p w14:paraId="5176D13F" w14:textId="2765B09B" w:rsidR="00A20F46" w:rsidRPr="00833A18" w:rsidRDefault="00505FF7" w:rsidP="00A20F46">
                            <w:pPr>
                              <w:pStyle w:val="Title"/>
                              <w:rPr>
                                <w:sz w:val="72"/>
                                <w:szCs w:val="72"/>
                              </w:rPr>
                            </w:pPr>
                            <w:sdt>
                              <w:sdtPr>
                                <w:rPr>
                                  <w:sz w:val="72"/>
                                  <w:szCs w:val="72"/>
                                </w:rPr>
                                <w:alias w:val="Title"/>
                                <w:tag w:val=""/>
                                <w:id w:val="1619712585"/>
                                <w:placeholder>
                                  <w:docPart w:val="708E6874692741F187B989689A81FC8E"/>
                                </w:placeholder>
                                <w:dataBinding w:prefixMappings="xmlns:ns0='http://purl.org/dc/elements/1.1/' xmlns:ns1='http://schemas.openxmlformats.org/package/2006/metadata/core-properties' " w:xpath="/ns1:coreProperties[1]/ns0:title[1]" w:storeItemID="{6C3C8BC8-F283-45AE-878A-BAB7291924A1}"/>
                                <w:text/>
                              </w:sdtPr>
                              <w:sdtEndPr/>
                              <w:sdtContent>
                                <w:r w:rsidR="00C444EE">
                                  <w:rPr>
                                    <w:sz w:val="72"/>
                                    <w:szCs w:val="72"/>
                                  </w:rPr>
                                  <w:t>ACN Submission to THE</w:t>
                                </w:r>
                              </w:sdtContent>
                            </w:sdt>
                            <w:r w:rsidR="00C444EE">
                              <w:rPr>
                                <w:sz w:val="72"/>
                                <w:szCs w:val="72"/>
                              </w:rPr>
                              <w:t xml:space="preserve"> </w:t>
                            </w:r>
                            <w:r w:rsidR="00B345BE">
                              <w:rPr>
                                <w:sz w:val="72"/>
                                <w:szCs w:val="72"/>
                              </w:rPr>
                              <w:t>Nursing and midwifery board of Australia proposed decision-making framework for nurses and midwives</w:t>
                            </w:r>
                            <w:r w:rsidR="000950B8">
                              <w:rPr>
                                <w:sz w:val="72"/>
                                <w:szCs w:val="72"/>
                              </w:rPr>
                              <w:t xml:space="preserve"> public consultation paper</w:t>
                            </w:r>
                          </w:p>
                          <w:p w14:paraId="56463C38" w14:textId="77777777" w:rsidR="00A20F46" w:rsidRPr="0091709D" w:rsidRDefault="00A20F46" w:rsidP="00A20F46">
                            <w:pPr>
                              <w:rPr>
                                <w:rStyle w:val="SubtitleCha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DF6E3B" id="_x0000_t202" coordsize="21600,21600" o:spt="202" path="m,l,21600r21600,l21600,xe">
                <v:stroke joinstyle="miter"/>
                <v:path gradientshapeok="t" o:connecttype="rect"/>
              </v:shapetype>
              <v:shape id="Text Box 2" o:spid="_x0000_s1026" type="#_x0000_t202" style="position:absolute;margin-left:399.55pt;margin-top:153.05pt;width:450.75pt;height:387.7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" filled="f" stroked="f">
                <v:textbox>
                  <w:txbxContent>
                    <w:p w14:paraId="5176D13F" w14:textId="2765B09B" w:rsidR="00A20F46" w:rsidRPr="00833A18" w:rsidRDefault="00261793" w:rsidP="00A20F46">
                      <w:pPr>
                        <w:pStyle w:val="Title"/>
                        <w:rPr>
                          <w:sz w:val="72"/>
                          <w:szCs w:val="72"/>
                        </w:rPr>
                      </w:pPr>
                      <w:sdt>
                        <w:sdtPr>
                          <w:rPr>
                            <w:sz w:val="72"/>
                            <w:szCs w:val="72"/>
                          </w:rPr>
                          <w:alias w:val="Title"/>
                          <w:tag w:val=""/>
                          <w:id w:val="1619712585"/>
                          <w:placeholder>
                            <w:docPart w:val="708E6874692741F187B989689A81FC8E"/>
                          </w:placeholder>
                          <w:dataBinding w:prefixMappings="xmlns:ns0='http://purl.org/dc/elements/1.1/' xmlns:ns1='http://schemas.openxmlformats.org/package/2006/metadata/core-properties' " w:xpath="/ns1:coreProperties[1]/ns0:title[1]" w:storeItemID="{6C3C8BC8-F283-45AE-878A-BAB7291924A1}"/>
                          <w:text/>
                        </w:sdtPr>
                        <w:sdtEndPr/>
                        <w:sdtContent>
                          <w:r w:rsidR="00C444EE">
                            <w:rPr>
                              <w:sz w:val="72"/>
                              <w:szCs w:val="72"/>
                            </w:rPr>
                            <w:t>ACN Submission to THE</w:t>
                          </w:r>
                        </w:sdtContent>
                      </w:sdt>
                      <w:r w:rsidR="00C444EE">
                        <w:rPr>
                          <w:sz w:val="72"/>
                          <w:szCs w:val="72"/>
                        </w:rPr>
                        <w:t xml:space="preserve"> </w:t>
                      </w:r>
                      <w:r w:rsidR="00B345BE">
                        <w:rPr>
                          <w:sz w:val="72"/>
                          <w:szCs w:val="72"/>
                        </w:rPr>
                        <w:t>Nursing and midwifery board of Australia proposed decision-making framework for nurses and midwives</w:t>
                      </w:r>
                      <w:r w:rsidR="000950B8">
                        <w:rPr>
                          <w:sz w:val="72"/>
                          <w:szCs w:val="72"/>
                        </w:rPr>
                        <w:t xml:space="preserve"> public consultation paper</w:t>
                      </w:r>
                    </w:p>
                    <w:p w14:paraId="56463C38" w14:textId="77777777" w:rsidR="00A20F46" w:rsidRPr="0091709D" w:rsidRDefault="00A20F46" w:rsidP="00A20F46">
                      <w:pPr>
                        <w:rPr>
                          <w:rStyle w:val="SubtitleChar"/>
                        </w:rPr>
                      </w:pPr>
                    </w:p>
                  </w:txbxContent>
                </v:textbox>
                <w10:wrap type="square" anchorx="margin"/>
              </v:shape>
            </w:pict>
          </mc:Fallback>
        </mc:AlternateContent>
      </w:r>
      <w:r w:rsidR="00A20F46">
        <w:br w:type="page"/>
      </w:r>
    </w:p>
    <w:p w14:paraId="0C65E19A" w14:textId="77777777" w:rsidR="00981680" w:rsidRDefault="00981680" w:rsidP="00981680">
      <w:pPr>
        <w:sectPr w:rsidR="00981680" w:rsidSect="00981680">
          <w:footerReference w:type="default" r:id="rId12"/>
          <w:pgSz w:w="11906" w:h="16838"/>
          <w:pgMar w:top="1440" w:right="1440" w:bottom="1440" w:left="1440" w:header="708" w:footer="708" w:gutter="0"/>
          <w:pgNumType w:start="1"/>
          <w:cols w:space="708"/>
          <w:docGrid w:linePitch="360"/>
        </w:sectPr>
      </w:pPr>
    </w:p>
    <w:p w14:paraId="13668CF3" w14:textId="06B4DA53" w:rsidR="009669A9" w:rsidRPr="009669A9" w:rsidRDefault="00505FF7" w:rsidP="009669A9">
      <w:pPr>
        <w:pStyle w:val="Title"/>
        <w:rPr>
          <w:sz w:val="60"/>
          <w:szCs w:val="60"/>
        </w:rPr>
      </w:pPr>
      <w:sdt>
        <w:sdtPr>
          <w:rPr>
            <w:sz w:val="60"/>
            <w:szCs w:val="60"/>
          </w:rPr>
          <w:alias w:val="Title"/>
          <w:tag w:val=""/>
          <w:id w:val="1696662230"/>
          <w:placeholder>
            <w:docPart w:val="254844EE66194FB587CBBBB4D384613C"/>
          </w:placeholder>
          <w:dataBinding w:prefixMappings="xmlns:ns0='http://purl.org/dc/elements/1.1/' xmlns:ns1='http://schemas.openxmlformats.org/package/2006/metadata/core-properties' " w:xpath="/ns1:coreProperties[1]/ns0:title[1]" w:storeItemID="{6C3C8BC8-F283-45AE-878A-BAB7291924A1}"/>
          <w:text/>
        </w:sdtPr>
        <w:sdtEndPr/>
        <w:sdtContent>
          <w:r w:rsidR="009669A9" w:rsidRPr="009669A9">
            <w:rPr>
              <w:sz w:val="60"/>
              <w:szCs w:val="60"/>
            </w:rPr>
            <w:t>ACN Submission to THE</w:t>
          </w:r>
        </w:sdtContent>
      </w:sdt>
      <w:r w:rsidR="009669A9" w:rsidRPr="009669A9">
        <w:rPr>
          <w:sz w:val="60"/>
          <w:szCs w:val="60"/>
        </w:rPr>
        <w:t xml:space="preserve"> Nursing and midwifery board of Australia proposed decision-making framework for nurses and midwives</w:t>
      </w:r>
      <w:r w:rsidR="000950B8">
        <w:rPr>
          <w:sz w:val="60"/>
          <w:szCs w:val="60"/>
        </w:rPr>
        <w:t xml:space="preserve"> public consultation paper</w:t>
      </w:r>
    </w:p>
    <w:p w14:paraId="727A854A" w14:textId="77777777" w:rsidR="007C1C17" w:rsidRDefault="007C1C17" w:rsidP="004A3F60">
      <w:pPr>
        <w:pStyle w:val="Numberedheading2"/>
        <w:numPr>
          <w:ilvl w:val="0"/>
          <w:numId w:val="0"/>
        </w:numPr>
        <w:ind w:left="357" w:hanging="357"/>
      </w:pPr>
    </w:p>
    <w:p w14:paraId="16203038" w14:textId="0B2A57E4" w:rsidR="00EE29B3" w:rsidRDefault="00833A18" w:rsidP="004A3F60">
      <w:pPr>
        <w:pStyle w:val="Numberedheading2"/>
        <w:numPr>
          <w:ilvl w:val="0"/>
          <w:numId w:val="0"/>
        </w:numPr>
        <w:ind w:left="357" w:hanging="357"/>
      </w:pPr>
      <w:r>
        <w:t>General comment</w:t>
      </w:r>
    </w:p>
    <w:p w14:paraId="0E0ACA23" w14:textId="364AC6B0" w:rsidR="003F4445" w:rsidRDefault="004A3F60" w:rsidP="00FE520C">
      <w:pPr>
        <w:spacing w:after="0" w:line="240" w:lineRule="auto"/>
      </w:pPr>
      <w:r>
        <w:t xml:space="preserve">The Australian College of Nursing (ACN) welcomes the opportunity to provide </w:t>
      </w:r>
      <w:r w:rsidR="00743FCE">
        <w:t xml:space="preserve">feedback to the </w:t>
      </w:r>
      <w:r w:rsidR="00FE520C">
        <w:t>Nursing and Midwifery Board of Australia</w:t>
      </w:r>
      <w:r w:rsidR="00921DC8">
        <w:t xml:space="preserve"> (NMBA) regarding the Proposed D</w:t>
      </w:r>
      <w:r w:rsidR="00FE520C">
        <w:t>ecision-making framework for nurses and midwives</w:t>
      </w:r>
      <w:r w:rsidR="00921DC8">
        <w:t xml:space="preserve"> (DMF)</w:t>
      </w:r>
      <w:r w:rsidR="00FE520C">
        <w:t xml:space="preserve">.  </w:t>
      </w:r>
    </w:p>
    <w:p w14:paraId="6DB50F92" w14:textId="5FE3FB22" w:rsidR="00953731" w:rsidRDefault="00953731" w:rsidP="00FE520C">
      <w:pPr>
        <w:spacing w:after="0" w:line="240" w:lineRule="auto"/>
      </w:pPr>
    </w:p>
    <w:p w14:paraId="56368D7E" w14:textId="32E04A1E" w:rsidR="005E1820" w:rsidRDefault="00921DC8" w:rsidP="00936BBF">
      <w:pPr>
        <w:spacing w:after="0" w:line="240" w:lineRule="auto"/>
      </w:pPr>
      <w:r>
        <w:t xml:space="preserve">ACN has distributed the DMF to our members and sought </w:t>
      </w:r>
      <w:r w:rsidR="00465D6A">
        <w:t xml:space="preserve">their </w:t>
      </w:r>
      <w:r>
        <w:t xml:space="preserve">feedback.  </w:t>
      </w:r>
      <w:r w:rsidR="00D41C5C">
        <w:t xml:space="preserve">The overall </w:t>
      </w:r>
      <w:r w:rsidR="00DF261E">
        <w:t xml:space="preserve">response has been </w:t>
      </w:r>
      <w:r w:rsidR="005A58E4">
        <w:t xml:space="preserve">in </w:t>
      </w:r>
      <w:r w:rsidR="006B3D93">
        <w:t xml:space="preserve">strong </w:t>
      </w:r>
      <w:r w:rsidR="005A58E4">
        <w:t xml:space="preserve">support of the </w:t>
      </w:r>
      <w:r w:rsidR="00EF5210">
        <w:t xml:space="preserve">DMF, with most respondents commenting that </w:t>
      </w:r>
      <w:r w:rsidR="00FB6FA4">
        <w:t xml:space="preserve">it is an improvement on the </w:t>
      </w:r>
      <w:r w:rsidR="001E611B">
        <w:t xml:space="preserve">previous </w:t>
      </w:r>
      <w:r w:rsidR="00FB6FA4">
        <w:t xml:space="preserve">national framework.  </w:t>
      </w:r>
      <w:r w:rsidR="001E611B">
        <w:t xml:space="preserve">ACN </w:t>
      </w:r>
      <w:r w:rsidR="00A1481B">
        <w:t>also agrees with the position of NMBA,</w:t>
      </w:r>
      <w:r w:rsidR="001E611B">
        <w:t xml:space="preserve"> that it is important to ensure that this important framework is updated and reflective of contemporary nursing practice.  Thus, ACN supports the preferred option, Option two: to adopt the proposed DMF. </w:t>
      </w:r>
    </w:p>
    <w:p w14:paraId="7F6E4D4B" w14:textId="52B710A7" w:rsidR="003F4445" w:rsidRDefault="003F4445" w:rsidP="00936BBF">
      <w:pPr>
        <w:spacing w:after="0" w:line="240" w:lineRule="auto"/>
      </w:pPr>
    </w:p>
    <w:p w14:paraId="5406ADF5" w14:textId="5263893F" w:rsidR="006B3D93" w:rsidRDefault="006B3D93" w:rsidP="00936BBF">
      <w:pPr>
        <w:spacing w:after="0" w:line="240" w:lineRule="auto"/>
      </w:pPr>
      <w:r>
        <w:t xml:space="preserve">ACN </w:t>
      </w:r>
      <w:r w:rsidR="00FB0622">
        <w:t>and our membership</w:t>
      </w:r>
      <w:r>
        <w:t xml:space="preserve"> have identified some aspects of the DMF which could be fu</w:t>
      </w:r>
      <w:r w:rsidR="00FB0622">
        <w:t xml:space="preserve">rther developed or improved.  Aside from this, the DMF is a concise framework that clearly </w:t>
      </w:r>
      <w:r w:rsidR="00117780">
        <w:t>articulates the process of decision-making and delegation.</w:t>
      </w:r>
    </w:p>
    <w:p w14:paraId="64B4A819" w14:textId="1822091D" w:rsidR="00DC138D" w:rsidRDefault="00DC138D" w:rsidP="00D1746D">
      <w:pPr>
        <w:spacing w:after="0" w:line="240" w:lineRule="auto"/>
      </w:pPr>
    </w:p>
    <w:p w14:paraId="4BE3F36B" w14:textId="77777777" w:rsidR="004A3F60" w:rsidRDefault="004A3F60" w:rsidP="00D1746D">
      <w:pPr>
        <w:spacing w:after="0" w:line="240" w:lineRule="auto"/>
      </w:pPr>
    </w:p>
    <w:p w14:paraId="02FE20D6" w14:textId="1C8ECB7E" w:rsidR="006910C8" w:rsidRDefault="006910C8">
      <w:pPr>
        <w:spacing w:line="259" w:lineRule="auto"/>
        <w:rPr>
          <w:rFonts w:eastAsiaTheme="majorEastAsia" w:cstheme="majorBidi"/>
          <w:b/>
          <w:color w:val="ACC32B"/>
          <w:sz w:val="36"/>
          <w:szCs w:val="26"/>
        </w:rPr>
      </w:pPr>
    </w:p>
    <w:p w14:paraId="5AC692BA" w14:textId="4F028949" w:rsidR="001166EA" w:rsidRPr="00AC1750" w:rsidRDefault="00A66EF2" w:rsidP="00A76705">
      <w:pPr>
        <w:spacing w:after="0" w:line="240" w:lineRule="auto"/>
        <w:rPr>
          <w:rFonts w:eastAsiaTheme="majorEastAsia" w:cstheme="majorBidi"/>
          <w:b/>
          <w:color w:val="ACC32B"/>
          <w:sz w:val="28"/>
          <w:szCs w:val="26"/>
        </w:rPr>
      </w:pPr>
      <w:r>
        <w:br w:type="page"/>
      </w:r>
      <w:r w:rsidR="00E14D21" w:rsidRPr="000245A4">
        <w:rPr>
          <w:rFonts w:eastAsiaTheme="majorEastAsia" w:cstheme="majorBidi"/>
          <w:b/>
          <w:color w:val="ACC32B"/>
          <w:sz w:val="28"/>
          <w:szCs w:val="26"/>
        </w:rPr>
        <w:lastRenderedPageBreak/>
        <w:t xml:space="preserve">Is the proposed DMF more helpful, clear and usable in practice when compared to the national framework? </w:t>
      </w:r>
    </w:p>
    <w:p w14:paraId="31E7847A" w14:textId="77777777" w:rsidR="001166EA" w:rsidRDefault="001166EA" w:rsidP="00A76705">
      <w:pPr>
        <w:spacing w:after="0" w:line="240" w:lineRule="auto"/>
      </w:pPr>
    </w:p>
    <w:p w14:paraId="08894D54" w14:textId="48420B63" w:rsidR="00A1481B" w:rsidRPr="000245A4" w:rsidRDefault="000C0359" w:rsidP="00A76705">
      <w:pPr>
        <w:spacing w:after="0" w:line="240" w:lineRule="auto"/>
        <w:rPr>
          <w:rFonts w:eastAsiaTheme="majorEastAsia" w:cstheme="majorBidi"/>
          <w:b/>
          <w:color w:val="ACC32B"/>
          <w:sz w:val="28"/>
          <w:szCs w:val="26"/>
        </w:rPr>
      </w:pPr>
      <w:r>
        <w:t>T</w:t>
      </w:r>
      <w:r w:rsidR="00DB5AEB">
        <w:t>he proposed DMF is</w:t>
      </w:r>
      <w:r w:rsidR="000245A4">
        <w:t xml:space="preserve"> </w:t>
      </w:r>
      <w:r w:rsidR="001F4B4A">
        <w:t xml:space="preserve">more accessible and user-friendly than the national framework.  </w:t>
      </w:r>
      <w:r w:rsidR="00117780">
        <w:t>ACN</w:t>
      </w:r>
      <w:r w:rsidR="001F4B4A">
        <w:t xml:space="preserve"> members</w:t>
      </w:r>
      <w:r w:rsidR="00117780">
        <w:t xml:space="preserve"> have</w:t>
      </w:r>
      <w:r w:rsidR="001F4B4A">
        <w:t xml:space="preserve"> noted that it is more co</w:t>
      </w:r>
      <w:r w:rsidR="00A1481B">
        <w:t>ncise, decreases</w:t>
      </w:r>
      <w:r>
        <w:t xml:space="preserve"> duplication and that the formatting enables straightforward referencing of </w:t>
      </w:r>
      <w:r w:rsidR="000245A4">
        <w:t xml:space="preserve">specific </w:t>
      </w:r>
      <w:r>
        <w:t>information.</w:t>
      </w:r>
    </w:p>
    <w:p w14:paraId="7D2C2BF2" w14:textId="77777777" w:rsidR="008C2B64" w:rsidRDefault="008C2B64" w:rsidP="00A76705">
      <w:pPr>
        <w:pStyle w:val="Default"/>
        <w:rPr>
          <w:sz w:val="20"/>
          <w:szCs w:val="20"/>
        </w:rPr>
      </w:pPr>
    </w:p>
    <w:p w14:paraId="32AA4D5B" w14:textId="77777777" w:rsidR="00E14D21" w:rsidRPr="00E14D21" w:rsidRDefault="00E14D21" w:rsidP="00A76705">
      <w:pPr>
        <w:pStyle w:val="Default"/>
        <w:rPr>
          <w:sz w:val="20"/>
          <w:szCs w:val="20"/>
        </w:rPr>
      </w:pPr>
    </w:p>
    <w:p w14:paraId="640F4AD0" w14:textId="59C5D47F" w:rsidR="000245A4" w:rsidRPr="00AC1750" w:rsidRDefault="00E14D21" w:rsidP="00A76705">
      <w:pPr>
        <w:pStyle w:val="Default"/>
        <w:rPr>
          <w:rFonts w:asciiTheme="minorHAnsi" w:eastAsiaTheme="majorEastAsia" w:hAnsiTheme="minorHAnsi" w:cstheme="majorBidi"/>
          <w:b/>
          <w:color w:val="ACC32B"/>
          <w:sz w:val="28"/>
          <w:szCs w:val="26"/>
        </w:rPr>
      </w:pPr>
      <w:r w:rsidRPr="000245A4">
        <w:rPr>
          <w:rFonts w:asciiTheme="minorHAnsi" w:eastAsiaTheme="majorEastAsia" w:hAnsiTheme="minorHAnsi" w:cstheme="majorBidi"/>
          <w:b/>
          <w:color w:val="ACC32B"/>
          <w:sz w:val="28"/>
          <w:szCs w:val="26"/>
        </w:rPr>
        <w:t xml:space="preserve">Does the proposed DMF adequately include the person/woman receiving care in the decision-making? </w:t>
      </w:r>
    </w:p>
    <w:p w14:paraId="797B5B5E" w14:textId="77777777" w:rsidR="001166EA" w:rsidRDefault="001166EA" w:rsidP="00A76705">
      <w:pPr>
        <w:pStyle w:val="Default"/>
        <w:rPr>
          <w:rFonts w:asciiTheme="minorHAnsi" w:hAnsiTheme="minorHAnsi" w:cstheme="minorBidi"/>
          <w:color w:val="auto"/>
          <w:sz w:val="22"/>
          <w:szCs w:val="22"/>
        </w:rPr>
      </w:pPr>
    </w:p>
    <w:p w14:paraId="4F454B79" w14:textId="00989AE8" w:rsidR="00BC687D" w:rsidRDefault="00BC687D" w:rsidP="00A76705">
      <w:pPr>
        <w:pStyle w:val="Default"/>
        <w:rPr>
          <w:rFonts w:asciiTheme="minorHAnsi" w:hAnsiTheme="minorHAnsi" w:cstheme="minorBidi"/>
          <w:color w:val="auto"/>
          <w:sz w:val="22"/>
          <w:szCs w:val="22"/>
        </w:rPr>
      </w:pPr>
      <w:r>
        <w:rPr>
          <w:rFonts w:asciiTheme="minorHAnsi" w:hAnsiTheme="minorHAnsi" w:cstheme="minorBidi"/>
          <w:color w:val="auto"/>
          <w:sz w:val="22"/>
          <w:szCs w:val="22"/>
        </w:rPr>
        <w:t xml:space="preserve">For the most part, the DMF is inclusive of the person receiving care with regard to decision-making.  </w:t>
      </w:r>
    </w:p>
    <w:p w14:paraId="0D71162E" w14:textId="6F8F4A4A" w:rsidR="00BC687D" w:rsidRDefault="00BC687D" w:rsidP="00A76705">
      <w:pPr>
        <w:pStyle w:val="Default"/>
        <w:rPr>
          <w:rFonts w:asciiTheme="minorHAnsi" w:hAnsiTheme="minorHAnsi" w:cstheme="minorBidi"/>
          <w:color w:val="auto"/>
          <w:sz w:val="22"/>
          <w:szCs w:val="22"/>
        </w:rPr>
      </w:pPr>
      <w:r>
        <w:rPr>
          <w:rFonts w:asciiTheme="minorHAnsi" w:hAnsiTheme="minorHAnsi" w:cstheme="minorBidi"/>
          <w:color w:val="auto"/>
          <w:sz w:val="22"/>
          <w:szCs w:val="22"/>
        </w:rPr>
        <w:t xml:space="preserve">To provide </w:t>
      </w:r>
      <w:r w:rsidRPr="007B3465">
        <w:rPr>
          <w:rFonts w:asciiTheme="minorHAnsi" w:hAnsiTheme="minorHAnsi" w:cstheme="minorBidi"/>
          <w:color w:val="auto"/>
          <w:sz w:val="22"/>
          <w:szCs w:val="22"/>
        </w:rPr>
        <w:t xml:space="preserve">additional reinforcement of this, it may be beneficial to further include the person as a stakeholder within </w:t>
      </w:r>
      <w:r w:rsidR="00CB3B63">
        <w:rPr>
          <w:rFonts w:asciiTheme="minorHAnsi" w:hAnsiTheme="minorHAnsi" w:cstheme="minorBidi"/>
          <w:color w:val="auto"/>
          <w:sz w:val="22"/>
          <w:szCs w:val="22"/>
        </w:rPr>
        <w:t>the ‘</w:t>
      </w:r>
      <w:r w:rsidRPr="007B3465">
        <w:rPr>
          <w:rFonts w:asciiTheme="minorHAnsi" w:hAnsiTheme="minorHAnsi" w:cstheme="minorBidi"/>
          <w:color w:val="auto"/>
          <w:sz w:val="22"/>
          <w:szCs w:val="22"/>
        </w:rPr>
        <w:t>Guide to nursing practice decisions</w:t>
      </w:r>
      <w:r w:rsidR="007B3465" w:rsidRPr="007B3465">
        <w:rPr>
          <w:rFonts w:asciiTheme="minorHAnsi" w:hAnsiTheme="minorHAnsi" w:cstheme="minorBidi"/>
          <w:color w:val="auto"/>
          <w:sz w:val="22"/>
          <w:szCs w:val="22"/>
        </w:rPr>
        <w:t>’</w:t>
      </w:r>
      <w:r>
        <w:rPr>
          <w:rFonts w:asciiTheme="minorHAnsi" w:hAnsiTheme="minorHAnsi" w:cstheme="minorBidi"/>
          <w:color w:val="auto"/>
          <w:sz w:val="22"/>
          <w:szCs w:val="22"/>
        </w:rPr>
        <w:t>, particularly within statements 2,</w:t>
      </w:r>
      <w:r w:rsidR="00DC6362">
        <w:rPr>
          <w:rFonts w:asciiTheme="minorHAnsi" w:hAnsiTheme="minorHAnsi" w:cstheme="minorBidi"/>
          <w:color w:val="auto"/>
          <w:sz w:val="22"/>
          <w:szCs w:val="22"/>
        </w:rPr>
        <w:t xml:space="preserve"> </w:t>
      </w:r>
      <w:r>
        <w:rPr>
          <w:rFonts w:asciiTheme="minorHAnsi" w:hAnsiTheme="minorHAnsi" w:cstheme="minorBidi"/>
          <w:color w:val="auto"/>
          <w:sz w:val="22"/>
          <w:szCs w:val="22"/>
        </w:rPr>
        <w:t>4 and 5.</w:t>
      </w:r>
    </w:p>
    <w:p w14:paraId="0727F0B4" w14:textId="77777777" w:rsidR="00DC6362" w:rsidRDefault="00DC6362" w:rsidP="00A76705">
      <w:pPr>
        <w:pStyle w:val="Default"/>
        <w:rPr>
          <w:rFonts w:asciiTheme="minorHAnsi" w:hAnsiTheme="minorHAnsi" w:cstheme="minorBidi"/>
          <w:color w:val="auto"/>
          <w:sz w:val="22"/>
          <w:szCs w:val="22"/>
        </w:rPr>
      </w:pPr>
    </w:p>
    <w:p w14:paraId="164041E2" w14:textId="02675A07" w:rsidR="00BC687D" w:rsidRDefault="00F12B61" w:rsidP="00A76705">
      <w:pPr>
        <w:pStyle w:val="Default"/>
        <w:rPr>
          <w:rFonts w:asciiTheme="minorHAnsi" w:hAnsiTheme="minorHAnsi" w:cstheme="minorBidi"/>
          <w:color w:val="auto"/>
          <w:sz w:val="22"/>
          <w:szCs w:val="22"/>
        </w:rPr>
      </w:pPr>
      <w:r>
        <w:rPr>
          <w:rFonts w:asciiTheme="minorHAnsi" w:hAnsiTheme="minorHAnsi" w:cstheme="minorBidi"/>
          <w:color w:val="auto"/>
          <w:sz w:val="22"/>
          <w:szCs w:val="22"/>
        </w:rPr>
        <w:t xml:space="preserve">Consideration could also be given to referencing the person’s right to refuse a decision, </w:t>
      </w:r>
      <w:r w:rsidR="00DC6362">
        <w:rPr>
          <w:rFonts w:asciiTheme="minorHAnsi" w:hAnsiTheme="minorHAnsi" w:cstheme="minorBidi"/>
          <w:color w:val="auto"/>
          <w:sz w:val="22"/>
          <w:szCs w:val="22"/>
        </w:rPr>
        <w:t>thus ensuring</w:t>
      </w:r>
      <w:r>
        <w:rPr>
          <w:rFonts w:asciiTheme="minorHAnsi" w:hAnsiTheme="minorHAnsi" w:cstheme="minorBidi"/>
          <w:color w:val="auto"/>
          <w:sz w:val="22"/>
          <w:szCs w:val="22"/>
        </w:rPr>
        <w:t xml:space="preserve"> that </w:t>
      </w:r>
      <w:r w:rsidR="00DC6362">
        <w:rPr>
          <w:rFonts w:asciiTheme="minorHAnsi" w:hAnsiTheme="minorHAnsi" w:cstheme="minorBidi"/>
          <w:color w:val="auto"/>
          <w:sz w:val="22"/>
          <w:szCs w:val="22"/>
        </w:rPr>
        <w:t>the person is</w:t>
      </w:r>
      <w:r>
        <w:rPr>
          <w:rFonts w:asciiTheme="minorHAnsi" w:hAnsiTheme="minorHAnsi" w:cstheme="minorBidi"/>
          <w:color w:val="auto"/>
          <w:sz w:val="22"/>
          <w:szCs w:val="22"/>
        </w:rPr>
        <w:t xml:space="preserve"> </w:t>
      </w:r>
      <w:r w:rsidR="00117780">
        <w:rPr>
          <w:rFonts w:asciiTheme="minorHAnsi" w:hAnsiTheme="minorHAnsi" w:cstheme="minorBidi"/>
          <w:color w:val="auto"/>
          <w:sz w:val="22"/>
          <w:szCs w:val="22"/>
        </w:rPr>
        <w:t>completely</w:t>
      </w:r>
      <w:r>
        <w:rPr>
          <w:rFonts w:asciiTheme="minorHAnsi" w:hAnsiTheme="minorHAnsi" w:cstheme="minorBidi"/>
          <w:color w:val="auto"/>
          <w:sz w:val="22"/>
          <w:szCs w:val="22"/>
        </w:rPr>
        <w:t xml:space="preserve"> included in</w:t>
      </w:r>
      <w:r w:rsidR="00927C21">
        <w:rPr>
          <w:rFonts w:asciiTheme="minorHAnsi" w:hAnsiTheme="minorHAnsi" w:cstheme="minorBidi"/>
          <w:color w:val="auto"/>
          <w:sz w:val="22"/>
          <w:szCs w:val="22"/>
        </w:rPr>
        <w:t xml:space="preserve"> the decision-making process.  Additionally</w:t>
      </w:r>
      <w:r>
        <w:rPr>
          <w:rFonts w:asciiTheme="minorHAnsi" w:hAnsiTheme="minorHAnsi" w:cstheme="minorBidi"/>
          <w:color w:val="auto"/>
          <w:sz w:val="22"/>
          <w:szCs w:val="22"/>
        </w:rPr>
        <w:t xml:space="preserve">, </w:t>
      </w:r>
      <w:r w:rsidR="00927C21">
        <w:rPr>
          <w:rFonts w:asciiTheme="minorHAnsi" w:hAnsiTheme="minorHAnsi" w:cstheme="minorBidi"/>
          <w:color w:val="auto"/>
          <w:sz w:val="22"/>
          <w:szCs w:val="22"/>
        </w:rPr>
        <w:t>it c</w:t>
      </w:r>
      <w:r>
        <w:rPr>
          <w:rFonts w:asciiTheme="minorHAnsi" w:hAnsiTheme="minorHAnsi" w:cstheme="minorBidi"/>
          <w:color w:val="auto"/>
          <w:sz w:val="22"/>
          <w:szCs w:val="22"/>
        </w:rPr>
        <w:t xml:space="preserve">ould be valuable to incorporate supported decision making </w:t>
      </w:r>
      <w:r w:rsidR="00123B7A">
        <w:rPr>
          <w:rFonts w:asciiTheme="minorHAnsi" w:hAnsiTheme="minorHAnsi" w:cstheme="minorBidi"/>
          <w:color w:val="auto"/>
          <w:sz w:val="22"/>
          <w:szCs w:val="22"/>
        </w:rPr>
        <w:t xml:space="preserve">into the DMF, </w:t>
      </w:r>
      <w:r w:rsidR="00DC6362">
        <w:rPr>
          <w:rFonts w:asciiTheme="minorHAnsi" w:hAnsiTheme="minorHAnsi" w:cstheme="minorBidi"/>
          <w:color w:val="auto"/>
          <w:sz w:val="22"/>
          <w:szCs w:val="22"/>
        </w:rPr>
        <w:t xml:space="preserve">to </w:t>
      </w:r>
      <w:r w:rsidR="00927C21">
        <w:rPr>
          <w:rFonts w:asciiTheme="minorHAnsi" w:hAnsiTheme="minorHAnsi" w:cstheme="minorBidi"/>
          <w:color w:val="auto"/>
          <w:sz w:val="22"/>
          <w:szCs w:val="22"/>
        </w:rPr>
        <w:t xml:space="preserve">facilitate inclusivity of all and </w:t>
      </w:r>
      <w:r w:rsidR="000C0359">
        <w:rPr>
          <w:rFonts w:asciiTheme="minorHAnsi" w:hAnsiTheme="minorHAnsi" w:cstheme="minorBidi"/>
          <w:color w:val="auto"/>
          <w:sz w:val="22"/>
          <w:szCs w:val="22"/>
        </w:rPr>
        <w:t>avoid overlooking</w:t>
      </w:r>
      <w:r w:rsidR="00DC6362">
        <w:rPr>
          <w:rFonts w:asciiTheme="minorHAnsi" w:hAnsiTheme="minorHAnsi" w:cstheme="minorBidi"/>
          <w:color w:val="auto"/>
          <w:sz w:val="22"/>
          <w:szCs w:val="22"/>
        </w:rPr>
        <w:t xml:space="preserve"> the </w:t>
      </w:r>
      <w:r w:rsidR="000C0359">
        <w:rPr>
          <w:rFonts w:asciiTheme="minorHAnsi" w:hAnsiTheme="minorHAnsi" w:cstheme="minorBidi"/>
          <w:color w:val="auto"/>
          <w:sz w:val="22"/>
          <w:szCs w:val="22"/>
        </w:rPr>
        <w:t>needs</w:t>
      </w:r>
      <w:r w:rsidR="00123B7A">
        <w:rPr>
          <w:rFonts w:asciiTheme="minorHAnsi" w:hAnsiTheme="minorHAnsi" w:cstheme="minorBidi"/>
          <w:color w:val="auto"/>
          <w:sz w:val="22"/>
          <w:szCs w:val="22"/>
        </w:rPr>
        <w:t xml:space="preserve"> of people with disabilities.</w:t>
      </w:r>
      <w:r w:rsidR="00123B7A">
        <w:rPr>
          <w:rStyle w:val="FootnoteReference"/>
          <w:rFonts w:asciiTheme="minorHAnsi" w:hAnsiTheme="minorHAnsi" w:cstheme="minorBidi"/>
          <w:color w:val="auto"/>
          <w:sz w:val="22"/>
          <w:szCs w:val="22"/>
        </w:rPr>
        <w:footnoteReference w:id="1"/>
      </w:r>
      <w:r w:rsidR="00123B7A">
        <w:rPr>
          <w:rFonts w:asciiTheme="minorHAnsi" w:hAnsiTheme="minorHAnsi" w:cstheme="minorBidi"/>
          <w:color w:val="auto"/>
          <w:sz w:val="22"/>
          <w:szCs w:val="22"/>
        </w:rPr>
        <w:t xml:space="preserve">  </w:t>
      </w:r>
    </w:p>
    <w:p w14:paraId="64911C75" w14:textId="43BFCC99" w:rsidR="00F12B61" w:rsidRDefault="00F12B61" w:rsidP="00A76705">
      <w:pPr>
        <w:pStyle w:val="Default"/>
        <w:rPr>
          <w:rFonts w:asciiTheme="minorHAnsi" w:hAnsiTheme="minorHAnsi" w:cstheme="minorBidi"/>
          <w:color w:val="auto"/>
          <w:sz w:val="22"/>
          <w:szCs w:val="22"/>
        </w:rPr>
      </w:pPr>
    </w:p>
    <w:p w14:paraId="5756A95F" w14:textId="6B5E571B" w:rsidR="00A23B9C" w:rsidRDefault="00A23B9C" w:rsidP="00A76705">
      <w:pPr>
        <w:pStyle w:val="Default"/>
      </w:pPr>
    </w:p>
    <w:p w14:paraId="746B972E" w14:textId="5AD09A63" w:rsidR="000245A4" w:rsidRPr="00AC1750" w:rsidRDefault="000C0359" w:rsidP="00A76705">
      <w:pPr>
        <w:pStyle w:val="Default"/>
        <w:rPr>
          <w:rFonts w:asciiTheme="minorHAnsi" w:eastAsiaTheme="majorEastAsia" w:hAnsiTheme="minorHAnsi" w:cstheme="majorBidi"/>
          <w:b/>
          <w:color w:val="ACC32B"/>
          <w:sz w:val="28"/>
          <w:szCs w:val="26"/>
        </w:rPr>
      </w:pPr>
      <w:r w:rsidRPr="000245A4">
        <w:rPr>
          <w:rFonts w:asciiTheme="minorHAnsi" w:eastAsiaTheme="majorEastAsia" w:hAnsiTheme="minorHAnsi" w:cstheme="majorBidi"/>
          <w:b/>
          <w:color w:val="ACC32B"/>
          <w:sz w:val="28"/>
          <w:szCs w:val="26"/>
        </w:rPr>
        <w:t>Does the ‘</w:t>
      </w:r>
      <w:r w:rsidR="00E14D21" w:rsidRPr="000245A4">
        <w:rPr>
          <w:rFonts w:asciiTheme="minorHAnsi" w:eastAsiaTheme="majorEastAsia" w:hAnsiTheme="minorHAnsi" w:cstheme="majorBidi"/>
          <w:b/>
          <w:color w:val="ACC32B"/>
          <w:sz w:val="28"/>
          <w:szCs w:val="26"/>
        </w:rPr>
        <w:t>Guide to delegation decisions’ within the proposed DMF clearly identify the delegation roles and responsibilities of the registered nurse and midwife?</w:t>
      </w:r>
    </w:p>
    <w:p w14:paraId="55BC48AE" w14:textId="77777777" w:rsidR="001166EA" w:rsidRDefault="001166EA" w:rsidP="00A76705">
      <w:pPr>
        <w:pStyle w:val="Default"/>
        <w:rPr>
          <w:rFonts w:asciiTheme="minorHAnsi" w:hAnsiTheme="minorHAnsi" w:cstheme="minorBidi"/>
          <w:color w:val="auto"/>
          <w:sz w:val="22"/>
          <w:szCs w:val="22"/>
        </w:rPr>
      </w:pPr>
    </w:p>
    <w:p w14:paraId="5870D273" w14:textId="56F098A1" w:rsidR="00B35D7F" w:rsidRDefault="00B35D7F" w:rsidP="00A76705">
      <w:pPr>
        <w:pStyle w:val="Default"/>
        <w:rPr>
          <w:rFonts w:asciiTheme="minorHAnsi" w:hAnsiTheme="minorHAnsi" w:cstheme="minorBidi"/>
          <w:color w:val="auto"/>
          <w:sz w:val="22"/>
          <w:szCs w:val="22"/>
        </w:rPr>
      </w:pPr>
      <w:r>
        <w:rPr>
          <w:rFonts w:asciiTheme="minorHAnsi" w:hAnsiTheme="minorHAnsi" w:cstheme="minorBidi"/>
          <w:color w:val="auto"/>
          <w:sz w:val="22"/>
          <w:szCs w:val="22"/>
        </w:rPr>
        <w:t>Yes, the delegation roles and responsibil</w:t>
      </w:r>
      <w:r w:rsidR="00DB5AEB">
        <w:rPr>
          <w:rFonts w:asciiTheme="minorHAnsi" w:hAnsiTheme="minorHAnsi" w:cstheme="minorBidi"/>
          <w:color w:val="auto"/>
          <w:sz w:val="22"/>
          <w:szCs w:val="22"/>
        </w:rPr>
        <w:t>ities of the registered nurse are</w:t>
      </w:r>
      <w:r>
        <w:rPr>
          <w:rFonts w:asciiTheme="minorHAnsi" w:hAnsiTheme="minorHAnsi" w:cstheme="minorBidi"/>
          <w:color w:val="auto"/>
          <w:sz w:val="22"/>
          <w:szCs w:val="22"/>
        </w:rPr>
        <w:t xml:space="preserve"> </w:t>
      </w:r>
      <w:r w:rsidR="000C0359">
        <w:rPr>
          <w:rFonts w:asciiTheme="minorHAnsi" w:hAnsiTheme="minorHAnsi" w:cstheme="minorBidi"/>
          <w:color w:val="auto"/>
          <w:sz w:val="22"/>
          <w:szCs w:val="22"/>
        </w:rPr>
        <w:t xml:space="preserve">generally </w:t>
      </w:r>
      <w:r>
        <w:rPr>
          <w:rFonts w:asciiTheme="minorHAnsi" w:hAnsiTheme="minorHAnsi" w:cstheme="minorBidi"/>
          <w:color w:val="auto"/>
          <w:sz w:val="22"/>
          <w:szCs w:val="22"/>
        </w:rPr>
        <w:t xml:space="preserve">clearly identified within the DMF.  </w:t>
      </w:r>
      <w:r w:rsidR="000C0359">
        <w:rPr>
          <w:rFonts w:asciiTheme="minorHAnsi" w:hAnsiTheme="minorHAnsi" w:cstheme="minorBidi"/>
          <w:color w:val="auto"/>
          <w:sz w:val="22"/>
          <w:szCs w:val="22"/>
        </w:rPr>
        <w:t xml:space="preserve">For additional clarity, it </w:t>
      </w:r>
      <w:r w:rsidR="000245A4">
        <w:rPr>
          <w:rFonts w:asciiTheme="minorHAnsi" w:hAnsiTheme="minorHAnsi" w:cstheme="minorBidi"/>
          <w:color w:val="auto"/>
          <w:sz w:val="22"/>
          <w:szCs w:val="22"/>
        </w:rPr>
        <w:t xml:space="preserve">may be of benefit to provide a detailed comparison of </w:t>
      </w:r>
      <w:r w:rsidR="001C44D1">
        <w:rPr>
          <w:rFonts w:asciiTheme="minorHAnsi" w:hAnsiTheme="minorHAnsi" w:cstheme="minorBidi"/>
          <w:color w:val="auto"/>
          <w:sz w:val="22"/>
          <w:szCs w:val="22"/>
        </w:rPr>
        <w:t xml:space="preserve">the concepts of delegation versus </w:t>
      </w:r>
      <w:r w:rsidR="000245A4">
        <w:rPr>
          <w:rFonts w:asciiTheme="minorHAnsi" w:hAnsiTheme="minorHAnsi" w:cstheme="minorBidi"/>
          <w:color w:val="auto"/>
          <w:sz w:val="22"/>
          <w:szCs w:val="22"/>
        </w:rPr>
        <w:t>assignment or allocation.  The DMF does identify that they are different activities, however further explanation would dispel any confusion.</w:t>
      </w:r>
      <w:r w:rsidR="000C0359">
        <w:rPr>
          <w:rFonts w:asciiTheme="minorHAnsi" w:hAnsiTheme="minorHAnsi" w:cstheme="minorBidi"/>
          <w:color w:val="auto"/>
          <w:sz w:val="22"/>
          <w:szCs w:val="22"/>
        </w:rPr>
        <w:t xml:space="preserve"> </w:t>
      </w:r>
    </w:p>
    <w:p w14:paraId="71DD6D9C" w14:textId="77777777" w:rsidR="000245A4" w:rsidRPr="00B35D7F" w:rsidRDefault="000245A4" w:rsidP="00A76705">
      <w:pPr>
        <w:pStyle w:val="Default"/>
        <w:rPr>
          <w:rFonts w:asciiTheme="minorHAnsi" w:hAnsiTheme="minorHAnsi" w:cstheme="minorBidi"/>
          <w:color w:val="auto"/>
          <w:sz w:val="22"/>
          <w:szCs w:val="22"/>
        </w:rPr>
      </w:pPr>
    </w:p>
    <w:p w14:paraId="073479BE" w14:textId="77777777" w:rsidR="00E14D21" w:rsidRPr="00E14D21" w:rsidRDefault="00E14D21" w:rsidP="00A76705">
      <w:pPr>
        <w:pStyle w:val="Default"/>
        <w:ind w:left="360"/>
        <w:rPr>
          <w:sz w:val="20"/>
          <w:szCs w:val="20"/>
        </w:rPr>
      </w:pPr>
    </w:p>
    <w:p w14:paraId="4135CB3F" w14:textId="1B0341E7" w:rsidR="000245A4" w:rsidRPr="000245A4" w:rsidRDefault="00E14D21" w:rsidP="00A76705">
      <w:pPr>
        <w:pStyle w:val="Default"/>
        <w:rPr>
          <w:rFonts w:asciiTheme="minorHAnsi" w:eastAsiaTheme="majorEastAsia" w:hAnsiTheme="minorHAnsi" w:cstheme="majorBidi"/>
          <w:b/>
          <w:color w:val="ACC32B"/>
          <w:sz w:val="28"/>
          <w:szCs w:val="26"/>
        </w:rPr>
      </w:pPr>
      <w:r w:rsidRPr="000245A4">
        <w:rPr>
          <w:rFonts w:asciiTheme="minorHAnsi" w:eastAsiaTheme="majorEastAsia" w:hAnsiTheme="minorHAnsi" w:cstheme="majorBidi"/>
          <w:b/>
          <w:color w:val="ACC32B"/>
          <w:sz w:val="28"/>
          <w:szCs w:val="26"/>
        </w:rPr>
        <w:t xml:space="preserve">Does the ‘Guide to delegation decisions’ within the proposed DMF clearly define the relationship and responsibilities of the enrolled nurse? </w:t>
      </w:r>
    </w:p>
    <w:p w14:paraId="62AFA63F" w14:textId="77777777" w:rsidR="001166EA" w:rsidRDefault="001166EA" w:rsidP="00A76705">
      <w:pPr>
        <w:autoSpaceDE w:val="0"/>
        <w:autoSpaceDN w:val="0"/>
        <w:adjustRightInd w:val="0"/>
        <w:spacing w:after="0" w:line="240" w:lineRule="auto"/>
      </w:pPr>
    </w:p>
    <w:p w14:paraId="1B58CA2D" w14:textId="6070CE85" w:rsidR="00CC2086" w:rsidRDefault="00927C21" w:rsidP="00A76705">
      <w:pPr>
        <w:autoSpaceDE w:val="0"/>
        <w:autoSpaceDN w:val="0"/>
        <w:adjustRightInd w:val="0"/>
        <w:spacing w:after="0" w:line="240" w:lineRule="auto"/>
      </w:pPr>
      <w:r w:rsidRPr="00A03D07">
        <w:t xml:space="preserve">ACN is </w:t>
      </w:r>
      <w:r>
        <w:t xml:space="preserve">also </w:t>
      </w:r>
      <w:r w:rsidRPr="00A03D07">
        <w:t xml:space="preserve">of the view that </w:t>
      </w:r>
      <w:r>
        <w:t>the relationship between the registered and enrolled nurse could be better represented in the DMF</w:t>
      </w:r>
      <w:r w:rsidR="00A6532B">
        <w:t xml:space="preserve">; many </w:t>
      </w:r>
      <w:r w:rsidR="007779AB" w:rsidRPr="00A03D07">
        <w:t>ACN members have ex</w:t>
      </w:r>
      <w:r>
        <w:t>pressed</w:t>
      </w:r>
      <w:r w:rsidR="007779AB" w:rsidRPr="00A03D07">
        <w:t xml:space="preserve"> that the relationship and responsib</w:t>
      </w:r>
      <w:r w:rsidR="00DB5AEB">
        <w:t>ilities of the enrolled nurse are</w:t>
      </w:r>
      <w:r w:rsidR="007779AB" w:rsidRPr="00A03D07">
        <w:t xml:space="preserve"> </w:t>
      </w:r>
      <w:r>
        <w:t xml:space="preserve">not </w:t>
      </w:r>
      <w:r w:rsidR="007779AB" w:rsidRPr="00A03D07">
        <w:t>clearly and a</w:t>
      </w:r>
      <w:r w:rsidR="00A6532B">
        <w:t>dequately defined</w:t>
      </w:r>
      <w:r w:rsidR="007779AB" w:rsidRPr="00A03D07">
        <w:t xml:space="preserve">. </w:t>
      </w:r>
      <w:r w:rsidR="00E0478A">
        <w:t>Indeed, the ‘gui</w:t>
      </w:r>
      <w:r w:rsidR="009B37DC">
        <w:t>de to delegation decisions’</w:t>
      </w:r>
      <w:r w:rsidR="00E0478A">
        <w:t xml:space="preserve"> discusses delegation from the registe</w:t>
      </w:r>
      <w:r w:rsidR="009B37DC">
        <w:t>red nurse’s perspective, with minimal</w:t>
      </w:r>
      <w:r w:rsidR="00E0478A">
        <w:t xml:space="preserve"> reference to the enrolled nurse’s function in accepting the delegation.</w:t>
      </w:r>
      <w:r w:rsidR="00EC1947">
        <w:t xml:space="preserve">  </w:t>
      </w:r>
    </w:p>
    <w:p w14:paraId="5234B4EE" w14:textId="77777777" w:rsidR="00CC2086" w:rsidRPr="00A03D07" w:rsidRDefault="00CC2086" w:rsidP="00A76705">
      <w:pPr>
        <w:autoSpaceDE w:val="0"/>
        <w:autoSpaceDN w:val="0"/>
        <w:adjustRightInd w:val="0"/>
        <w:spacing w:after="0" w:line="240" w:lineRule="auto"/>
      </w:pPr>
    </w:p>
    <w:p w14:paraId="45A4B0E3" w14:textId="6A406B8F" w:rsidR="00C62C9F" w:rsidRDefault="00EC1947" w:rsidP="00A76705">
      <w:pPr>
        <w:autoSpaceDE w:val="0"/>
        <w:autoSpaceDN w:val="0"/>
        <w:adjustRightInd w:val="0"/>
        <w:spacing w:after="0" w:line="240" w:lineRule="auto"/>
      </w:pPr>
      <w:r>
        <w:t>There is also</w:t>
      </w:r>
      <w:r w:rsidR="002568D3">
        <w:t xml:space="preserve"> </w:t>
      </w:r>
      <w:r>
        <w:t xml:space="preserve">a lack </w:t>
      </w:r>
      <w:r w:rsidR="00C62C9F">
        <w:t xml:space="preserve">of </w:t>
      </w:r>
      <w:r w:rsidR="00117780">
        <w:t xml:space="preserve">detail </w:t>
      </w:r>
      <w:r w:rsidR="00C62C9F">
        <w:t>around</w:t>
      </w:r>
      <w:r w:rsidR="00272FFF">
        <w:t xml:space="preserve"> the </w:t>
      </w:r>
      <w:r w:rsidR="00E0478A">
        <w:t>enrol</w:t>
      </w:r>
      <w:r w:rsidR="00272FFF">
        <w:t>led nurse’s</w:t>
      </w:r>
      <w:r w:rsidR="00E0478A">
        <w:t xml:space="preserve"> </w:t>
      </w:r>
      <w:r w:rsidR="00EE5633">
        <w:t>capacity to disp</w:t>
      </w:r>
      <w:r w:rsidR="00117780">
        <w:t>ute a delegation, such as</w:t>
      </w:r>
      <w:r w:rsidR="00C62C9F">
        <w:t xml:space="preserve"> in a situation where they felt they lacked the experience to safely perform a tas</w:t>
      </w:r>
      <w:r w:rsidR="00117780">
        <w:t>k.  This also pertains to</w:t>
      </w:r>
      <w:r w:rsidR="00C62C9F">
        <w:t xml:space="preserve"> </w:t>
      </w:r>
      <w:r w:rsidR="00CC2086">
        <w:t>similar s</w:t>
      </w:r>
      <w:r w:rsidR="00117780">
        <w:t>cenarios</w:t>
      </w:r>
      <w:r w:rsidR="00CC2086">
        <w:t xml:space="preserve"> involving a </w:t>
      </w:r>
      <w:r w:rsidR="00C62C9F">
        <w:t>registered nurse delegating to another registered nurse with less training or experience.</w:t>
      </w:r>
    </w:p>
    <w:p w14:paraId="12F26D22" w14:textId="452355F7" w:rsidR="00E0478A" w:rsidRDefault="00E0478A" w:rsidP="00A76705">
      <w:pPr>
        <w:autoSpaceDE w:val="0"/>
        <w:autoSpaceDN w:val="0"/>
        <w:adjustRightInd w:val="0"/>
        <w:spacing w:after="0" w:line="240" w:lineRule="auto"/>
      </w:pPr>
    </w:p>
    <w:p w14:paraId="60F149A7" w14:textId="0821C796" w:rsidR="00053617" w:rsidRDefault="00A6532B" w:rsidP="00A76705">
      <w:pPr>
        <w:autoSpaceDE w:val="0"/>
        <w:autoSpaceDN w:val="0"/>
        <w:adjustRightInd w:val="0"/>
        <w:spacing w:after="0" w:line="240" w:lineRule="auto"/>
      </w:pPr>
      <w:r>
        <w:t>ACN members have noted that within the general nursing community</w:t>
      </w:r>
      <w:r w:rsidR="0095474E">
        <w:t>, there appears to be persistent confusion</w:t>
      </w:r>
      <w:r w:rsidR="00D24006">
        <w:t xml:space="preserve"> about the enrolled nurse scope of practice and how it relates to the registered nurse scope of practice.  Ensuring that </w:t>
      </w:r>
      <w:r w:rsidR="00B419B8">
        <w:t xml:space="preserve">the delegation and supervisory relationship between the registered and enrolled nurse is very clearly defined would </w:t>
      </w:r>
      <w:r w:rsidR="007B3465">
        <w:t>assist with minimising this uncertainty.</w:t>
      </w:r>
    </w:p>
    <w:p w14:paraId="32A8174B" w14:textId="11D496B1" w:rsidR="007B3465" w:rsidRDefault="007B3465" w:rsidP="00A76705">
      <w:pPr>
        <w:autoSpaceDE w:val="0"/>
        <w:autoSpaceDN w:val="0"/>
        <w:adjustRightInd w:val="0"/>
        <w:spacing w:after="0" w:line="240" w:lineRule="auto"/>
      </w:pPr>
    </w:p>
    <w:p w14:paraId="5AFA5D2D" w14:textId="77777777" w:rsidR="00E14D21" w:rsidRDefault="00E14D21" w:rsidP="00A76705">
      <w:pPr>
        <w:pStyle w:val="Default"/>
      </w:pPr>
    </w:p>
    <w:p w14:paraId="2A2461A8" w14:textId="3B80B054" w:rsidR="001166EA" w:rsidRPr="00A76705" w:rsidRDefault="000C0359" w:rsidP="00A76705">
      <w:pPr>
        <w:pStyle w:val="Default"/>
        <w:rPr>
          <w:rFonts w:asciiTheme="minorHAnsi" w:eastAsiaTheme="majorEastAsia" w:hAnsiTheme="minorHAnsi" w:cstheme="majorBidi"/>
          <w:b/>
          <w:color w:val="ACC32B"/>
          <w:sz w:val="28"/>
          <w:szCs w:val="26"/>
        </w:rPr>
      </w:pPr>
      <w:r w:rsidRPr="000245A4">
        <w:rPr>
          <w:rFonts w:asciiTheme="minorHAnsi" w:eastAsiaTheme="majorEastAsia" w:hAnsiTheme="minorHAnsi" w:cstheme="majorBidi"/>
          <w:b/>
          <w:color w:val="ACC32B"/>
          <w:sz w:val="28"/>
          <w:szCs w:val="26"/>
        </w:rPr>
        <w:t>Does the ‘</w:t>
      </w:r>
      <w:r w:rsidR="00E14D21" w:rsidRPr="000245A4">
        <w:rPr>
          <w:rFonts w:asciiTheme="minorHAnsi" w:eastAsiaTheme="majorEastAsia" w:hAnsiTheme="minorHAnsi" w:cstheme="majorBidi"/>
          <w:b/>
          <w:color w:val="ACC32B"/>
          <w:sz w:val="28"/>
          <w:szCs w:val="26"/>
        </w:rPr>
        <w:t xml:space="preserve">Guide to nursing practice decisions’ within the proposed DMF provide clear direction when making decisions about nursing practice? </w:t>
      </w:r>
    </w:p>
    <w:p w14:paraId="3FC64E8A" w14:textId="77777777" w:rsidR="00A76705" w:rsidRDefault="00A76705" w:rsidP="00A76705">
      <w:pPr>
        <w:pStyle w:val="AHPRAbody"/>
        <w:spacing w:after="0"/>
        <w:rPr>
          <w:rFonts w:asciiTheme="minorHAnsi" w:eastAsiaTheme="minorHAnsi" w:hAnsiTheme="minorHAnsi" w:cstheme="minorBidi"/>
          <w:sz w:val="22"/>
          <w:szCs w:val="22"/>
        </w:rPr>
      </w:pPr>
    </w:p>
    <w:p w14:paraId="6E37D48A" w14:textId="2EF861B1" w:rsidR="001950A8" w:rsidRDefault="009D5260" w:rsidP="00A76705">
      <w:pPr>
        <w:pStyle w:val="AHPRAbody"/>
        <w:spacing w:after="0"/>
        <w:rPr>
          <w:rFonts w:asciiTheme="minorHAnsi" w:eastAsiaTheme="minorHAnsi" w:hAnsiTheme="minorHAnsi" w:cstheme="minorBidi"/>
          <w:sz w:val="22"/>
          <w:szCs w:val="22"/>
        </w:rPr>
      </w:pPr>
      <w:r>
        <w:rPr>
          <w:rFonts w:asciiTheme="minorHAnsi" w:eastAsiaTheme="minorHAnsi" w:hAnsiTheme="minorHAnsi" w:cstheme="minorBidi"/>
          <w:sz w:val="22"/>
          <w:szCs w:val="22"/>
        </w:rPr>
        <w:t>Generally, yes.  However, statement 4, which addresses expansion to scop</w:t>
      </w:r>
      <w:r w:rsidR="00261793">
        <w:rPr>
          <w:rFonts w:asciiTheme="minorHAnsi" w:eastAsiaTheme="minorHAnsi" w:hAnsiTheme="minorHAnsi" w:cstheme="minorBidi"/>
          <w:sz w:val="22"/>
          <w:szCs w:val="22"/>
        </w:rPr>
        <w:t>e of practice, could better define contemporary scope of practice; particularly as this is something that is constantly evolving.  The statement includes “nurses planning to integrate activities that are not currently part of… accepted contemporary scope of nursing practice”, and then goes on to stipulate that nurses must ensure that the “activity is within the current contemporary scope of practice”</w:t>
      </w:r>
      <w:r w:rsidR="00831A79">
        <w:rPr>
          <w:rFonts w:asciiTheme="minorHAnsi" w:eastAsiaTheme="minorHAnsi" w:hAnsiTheme="minorHAnsi" w:cstheme="minorBidi"/>
          <w:sz w:val="22"/>
          <w:szCs w:val="22"/>
        </w:rPr>
        <w:t xml:space="preserve">.  </w:t>
      </w:r>
      <w:r w:rsidR="00033D52">
        <w:rPr>
          <w:rFonts w:asciiTheme="minorHAnsi" w:eastAsiaTheme="minorHAnsi" w:hAnsiTheme="minorHAnsi" w:cstheme="minorBidi"/>
          <w:sz w:val="22"/>
          <w:szCs w:val="22"/>
        </w:rPr>
        <w:t xml:space="preserve">This carries the potential for confusion </w:t>
      </w:r>
      <w:r w:rsidR="00FB6493">
        <w:rPr>
          <w:rFonts w:asciiTheme="minorHAnsi" w:eastAsiaTheme="minorHAnsi" w:hAnsiTheme="minorHAnsi" w:cstheme="minorBidi"/>
          <w:sz w:val="22"/>
          <w:szCs w:val="22"/>
        </w:rPr>
        <w:t>and may not be adequate to allow for the continual change</w:t>
      </w:r>
      <w:r w:rsidR="00117780">
        <w:rPr>
          <w:rFonts w:asciiTheme="minorHAnsi" w:eastAsiaTheme="minorHAnsi" w:hAnsiTheme="minorHAnsi" w:cstheme="minorBidi"/>
          <w:sz w:val="22"/>
          <w:szCs w:val="22"/>
        </w:rPr>
        <w:t>s that inevitably occur in</w:t>
      </w:r>
      <w:r w:rsidR="00FB6493">
        <w:rPr>
          <w:rFonts w:asciiTheme="minorHAnsi" w:eastAsiaTheme="minorHAnsi" w:hAnsiTheme="minorHAnsi" w:cstheme="minorBidi"/>
          <w:sz w:val="22"/>
          <w:szCs w:val="22"/>
        </w:rPr>
        <w:t xml:space="preserve"> contemporary scope of practice.</w:t>
      </w:r>
    </w:p>
    <w:p w14:paraId="2C71FD19" w14:textId="6CBC668E" w:rsidR="001166EA" w:rsidRDefault="001166EA" w:rsidP="00A76705">
      <w:pPr>
        <w:pStyle w:val="AHPRAbody"/>
        <w:spacing w:after="0"/>
        <w:rPr>
          <w:rFonts w:asciiTheme="minorHAnsi" w:eastAsiaTheme="minorHAnsi" w:hAnsiTheme="minorHAnsi" w:cstheme="minorBidi"/>
          <w:sz w:val="22"/>
          <w:szCs w:val="22"/>
        </w:rPr>
      </w:pPr>
    </w:p>
    <w:p w14:paraId="12B750FF" w14:textId="77777777" w:rsidR="006B3D93" w:rsidRPr="00CB3B63" w:rsidRDefault="006B3D93" w:rsidP="00A76705">
      <w:pPr>
        <w:pStyle w:val="AHPRAbody"/>
        <w:spacing w:after="0"/>
        <w:rPr>
          <w:rFonts w:asciiTheme="minorHAnsi" w:eastAsiaTheme="minorHAnsi" w:hAnsiTheme="minorHAnsi" w:cstheme="minorBidi"/>
          <w:sz w:val="22"/>
          <w:szCs w:val="22"/>
        </w:rPr>
      </w:pPr>
    </w:p>
    <w:p w14:paraId="3DF139F1" w14:textId="73791CB6" w:rsidR="000245A4" w:rsidRPr="000245A4" w:rsidRDefault="00E14D21" w:rsidP="00A76705">
      <w:pPr>
        <w:pStyle w:val="Default"/>
        <w:rPr>
          <w:rFonts w:asciiTheme="minorHAnsi" w:eastAsiaTheme="majorEastAsia" w:hAnsiTheme="minorHAnsi" w:cstheme="majorBidi"/>
          <w:b/>
          <w:color w:val="ACC32B"/>
          <w:sz w:val="28"/>
          <w:szCs w:val="26"/>
        </w:rPr>
      </w:pPr>
      <w:r w:rsidRPr="000245A4">
        <w:rPr>
          <w:rFonts w:asciiTheme="minorHAnsi" w:eastAsiaTheme="majorEastAsia" w:hAnsiTheme="minorHAnsi" w:cstheme="majorBidi"/>
          <w:b/>
          <w:color w:val="ACC32B"/>
          <w:sz w:val="28"/>
          <w:szCs w:val="26"/>
        </w:rPr>
        <w:t xml:space="preserve">Is the proposed Decision-making framework: summary for nurses more helpful, clear and usable in practice compared to the current nursing practice summary guide? </w:t>
      </w:r>
    </w:p>
    <w:p w14:paraId="79111767" w14:textId="77777777" w:rsidR="001166EA" w:rsidRDefault="001166EA" w:rsidP="00A76705">
      <w:pPr>
        <w:pStyle w:val="AHPRAbody"/>
        <w:spacing w:after="0"/>
        <w:rPr>
          <w:rFonts w:asciiTheme="minorHAnsi" w:eastAsiaTheme="minorHAnsi" w:hAnsiTheme="minorHAnsi" w:cstheme="minorBidi"/>
          <w:sz w:val="22"/>
          <w:szCs w:val="22"/>
        </w:rPr>
      </w:pPr>
    </w:p>
    <w:p w14:paraId="602C41E1" w14:textId="467AEC3A" w:rsidR="00AD22C8" w:rsidRPr="000245A4" w:rsidRDefault="00AD22C8" w:rsidP="00A76705">
      <w:pPr>
        <w:pStyle w:val="AHPRAbody"/>
        <w:spacing w:after="0"/>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Yes, the </w:t>
      </w:r>
      <w:r w:rsidR="00AC0970">
        <w:rPr>
          <w:rFonts w:asciiTheme="minorHAnsi" w:eastAsiaTheme="minorHAnsi" w:hAnsiTheme="minorHAnsi" w:cstheme="minorBidi"/>
          <w:sz w:val="22"/>
          <w:szCs w:val="22"/>
        </w:rPr>
        <w:t xml:space="preserve">proposed summary is helpful, clear and usable in practice, in comparison to the current summary guide.  One ACN </w:t>
      </w:r>
      <w:r w:rsidR="004E5490">
        <w:rPr>
          <w:rFonts w:asciiTheme="minorHAnsi" w:eastAsiaTheme="minorHAnsi" w:hAnsiTheme="minorHAnsi" w:cstheme="minorBidi"/>
          <w:sz w:val="22"/>
          <w:szCs w:val="22"/>
        </w:rPr>
        <w:t>member noted that the colour schemes used in the summaries can create legibility issues when the document is photocopied for education sessions</w:t>
      </w:r>
      <w:r w:rsidR="00124AD4">
        <w:rPr>
          <w:rFonts w:asciiTheme="minorHAnsi" w:eastAsiaTheme="minorHAnsi" w:hAnsiTheme="minorHAnsi" w:cstheme="minorBidi"/>
          <w:sz w:val="22"/>
          <w:szCs w:val="22"/>
        </w:rPr>
        <w:t>.  This could be mitigated by a slight redesign, or perhaps the development of a black and white version for photocopying.</w:t>
      </w:r>
    </w:p>
    <w:p w14:paraId="348435E0" w14:textId="53B5CBA6" w:rsidR="00E14D21" w:rsidRDefault="00E14D21" w:rsidP="00A76705">
      <w:pPr>
        <w:spacing w:after="0" w:line="240" w:lineRule="auto"/>
        <w:rPr>
          <w:rFonts w:cs="Arial"/>
          <w:color w:val="000000"/>
          <w:sz w:val="20"/>
          <w:szCs w:val="20"/>
        </w:rPr>
      </w:pPr>
    </w:p>
    <w:p w14:paraId="00527780" w14:textId="77777777" w:rsidR="006B3D93" w:rsidRDefault="006B3D93" w:rsidP="00A76705">
      <w:pPr>
        <w:spacing w:after="0" w:line="240" w:lineRule="auto"/>
        <w:rPr>
          <w:rFonts w:cs="Arial"/>
          <w:color w:val="000000"/>
          <w:sz w:val="20"/>
          <w:szCs w:val="20"/>
        </w:rPr>
      </w:pPr>
    </w:p>
    <w:p w14:paraId="04813A5E" w14:textId="3588151E" w:rsidR="00E14D21" w:rsidRDefault="00E14D21" w:rsidP="00A76705">
      <w:pPr>
        <w:pStyle w:val="Default"/>
        <w:rPr>
          <w:rFonts w:asciiTheme="minorHAnsi" w:eastAsiaTheme="majorEastAsia" w:hAnsiTheme="minorHAnsi" w:cstheme="majorBidi"/>
          <w:b/>
          <w:color w:val="ACC32B"/>
          <w:sz w:val="28"/>
          <w:szCs w:val="26"/>
        </w:rPr>
      </w:pPr>
      <w:r w:rsidRPr="000245A4">
        <w:rPr>
          <w:rFonts w:asciiTheme="minorHAnsi" w:eastAsiaTheme="majorEastAsia" w:hAnsiTheme="minorHAnsi" w:cstheme="majorBidi"/>
          <w:b/>
          <w:color w:val="ACC32B"/>
          <w:sz w:val="28"/>
          <w:szCs w:val="26"/>
        </w:rPr>
        <w:t xml:space="preserve">Are the essential components from the national framework practice decision flowcharts captured in the proposed DMF summaries? </w:t>
      </w:r>
    </w:p>
    <w:p w14:paraId="6A642C68" w14:textId="77777777" w:rsidR="001166EA" w:rsidRDefault="001166EA" w:rsidP="00A76705">
      <w:pPr>
        <w:pStyle w:val="Default"/>
        <w:rPr>
          <w:rFonts w:asciiTheme="minorHAnsi" w:hAnsiTheme="minorHAnsi" w:cs="ArialMTStd"/>
          <w:sz w:val="22"/>
          <w:szCs w:val="22"/>
        </w:rPr>
      </w:pPr>
    </w:p>
    <w:p w14:paraId="5C77781C" w14:textId="4A59998A" w:rsidR="00124AD4" w:rsidRDefault="001166EA" w:rsidP="00A76705">
      <w:pPr>
        <w:pStyle w:val="Default"/>
        <w:rPr>
          <w:rFonts w:asciiTheme="minorHAnsi" w:hAnsiTheme="minorHAnsi" w:cs="ArialMTStd"/>
          <w:sz w:val="22"/>
          <w:szCs w:val="22"/>
        </w:rPr>
      </w:pPr>
      <w:r>
        <w:rPr>
          <w:rFonts w:asciiTheme="minorHAnsi" w:hAnsiTheme="minorHAnsi" w:cs="ArialMTStd"/>
          <w:sz w:val="22"/>
          <w:szCs w:val="22"/>
        </w:rPr>
        <w:t>Yes, the essential information is captured within the summaries.</w:t>
      </w:r>
    </w:p>
    <w:p w14:paraId="5EED59FD" w14:textId="77777777" w:rsidR="001166EA" w:rsidRDefault="001166EA" w:rsidP="00A76705">
      <w:pPr>
        <w:pStyle w:val="Default"/>
      </w:pPr>
    </w:p>
    <w:p w14:paraId="79BD0C8C" w14:textId="77777777" w:rsidR="00124AD4" w:rsidRDefault="00124AD4" w:rsidP="00A76705">
      <w:pPr>
        <w:pStyle w:val="Default"/>
      </w:pPr>
    </w:p>
    <w:p w14:paraId="3BB6109A" w14:textId="0F5E1FC7" w:rsidR="000245A4" w:rsidRPr="000245A4" w:rsidRDefault="00E14D21" w:rsidP="00A76705">
      <w:pPr>
        <w:pStyle w:val="Default"/>
        <w:rPr>
          <w:rFonts w:asciiTheme="minorHAnsi" w:eastAsiaTheme="majorEastAsia" w:hAnsiTheme="minorHAnsi" w:cstheme="majorBidi"/>
          <w:b/>
          <w:color w:val="ACC32B"/>
          <w:sz w:val="28"/>
          <w:szCs w:val="26"/>
        </w:rPr>
      </w:pPr>
      <w:r w:rsidRPr="000245A4">
        <w:rPr>
          <w:rFonts w:asciiTheme="minorHAnsi" w:eastAsiaTheme="majorEastAsia" w:hAnsiTheme="minorHAnsi" w:cstheme="majorBidi"/>
          <w:b/>
          <w:color w:val="ACC32B"/>
          <w:sz w:val="28"/>
          <w:szCs w:val="26"/>
        </w:rPr>
        <w:t xml:space="preserve">Please share any other comments you have on the proposed DMF and DMF summaries. </w:t>
      </w:r>
    </w:p>
    <w:p w14:paraId="12624D45" w14:textId="77777777" w:rsidR="001166EA" w:rsidRDefault="001166EA" w:rsidP="00A76705">
      <w:pPr>
        <w:autoSpaceDE w:val="0"/>
        <w:autoSpaceDN w:val="0"/>
        <w:adjustRightInd w:val="0"/>
        <w:spacing w:after="0" w:line="240" w:lineRule="auto"/>
        <w:rPr>
          <w:rFonts w:cs="ArialMTStd"/>
          <w:color w:val="000000"/>
        </w:rPr>
      </w:pPr>
    </w:p>
    <w:p w14:paraId="4738349A" w14:textId="1CFC33F7" w:rsidR="000950B8" w:rsidRDefault="00FC1E34" w:rsidP="00A76705">
      <w:pPr>
        <w:autoSpaceDE w:val="0"/>
        <w:autoSpaceDN w:val="0"/>
        <w:adjustRightInd w:val="0"/>
        <w:spacing w:after="0" w:line="240" w:lineRule="auto"/>
        <w:rPr>
          <w:rFonts w:cs="ArialMTStd"/>
          <w:color w:val="000000"/>
        </w:rPr>
      </w:pPr>
      <w:r>
        <w:rPr>
          <w:rFonts w:cs="ArialMTStd"/>
          <w:color w:val="000000"/>
        </w:rPr>
        <w:t xml:space="preserve">As the DMF is such an important foundation document to guide the practice of nurses and midwives in Australia, it is imperative that it is widely disseminated and promoted.  There should be a particular focus on targeting undergraduate, newly qualified and newly arrived international nurses </w:t>
      </w:r>
      <w:r w:rsidR="000950B8">
        <w:rPr>
          <w:rFonts w:cs="ArialMTStd"/>
          <w:color w:val="000000"/>
        </w:rPr>
        <w:t>to ensure that they are fully cognisant of the DMF and its influence on their practice.</w:t>
      </w:r>
    </w:p>
    <w:p w14:paraId="6685CF0E" w14:textId="46A203DC" w:rsidR="000950B8" w:rsidRDefault="000950B8" w:rsidP="00A76705">
      <w:pPr>
        <w:autoSpaceDE w:val="0"/>
        <w:autoSpaceDN w:val="0"/>
        <w:adjustRightInd w:val="0"/>
        <w:spacing w:after="0" w:line="240" w:lineRule="auto"/>
        <w:rPr>
          <w:rFonts w:cs="ArialMTStd"/>
          <w:color w:val="000000"/>
        </w:rPr>
      </w:pPr>
    </w:p>
    <w:p w14:paraId="507ADC52" w14:textId="1DB32145" w:rsidR="00A76705" w:rsidRDefault="00A76705" w:rsidP="00A76705">
      <w:pPr>
        <w:autoSpaceDE w:val="0"/>
        <w:autoSpaceDN w:val="0"/>
        <w:adjustRightInd w:val="0"/>
        <w:spacing w:after="0" w:line="240" w:lineRule="auto"/>
        <w:rPr>
          <w:rFonts w:cs="ArialMTStd"/>
          <w:color w:val="000000"/>
        </w:rPr>
      </w:pPr>
      <w:r>
        <w:rPr>
          <w:rFonts w:cs="ArialMTStd"/>
          <w:color w:val="000000"/>
        </w:rPr>
        <w:t>ACN sup</w:t>
      </w:r>
      <w:r w:rsidR="002715E7">
        <w:rPr>
          <w:rFonts w:cs="ArialMTStd"/>
          <w:color w:val="000000"/>
        </w:rPr>
        <w:t>ports the review and ongoing updating of the DMF.  Nursing practice in Australia is fluid, and it is important that the professional frameworks, codes and guidelines that guide</w:t>
      </w:r>
      <w:r w:rsidR="00CF5C33">
        <w:rPr>
          <w:rFonts w:cs="ArialMTStd"/>
          <w:color w:val="000000"/>
        </w:rPr>
        <w:t xml:space="preserve"> this practice are relevant, contemporary and well-considered.</w:t>
      </w:r>
    </w:p>
    <w:p w14:paraId="728ECBCB" w14:textId="7F4072EC" w:rsidR="00FC1E34" w:rsidRDefault="00FC1E34" w:rsidP="004A2768">
      <w:pPr>
        <w:autoSpaceDE w:val="0"/>
        <w:autoSpaceDN w:val="0"/>
        <w:adjustRightInd w:val="0"/>
        <w:spacing w:after="0" w:line="240" w:lineRule="auto"/>
        <w:rPr>
          <w:rFonts w:cs="ArialMTStd"/>
          <w:color w:val="000000"/>
        </w:rPr>
      </w:pPr>
      <w:r>
        <w:rPr>
          <w:rFonts w:cs="ArialMTStd"/>
          <w:color w:val="000000"/>
        </w:rPr>
        <w:t xml:space="preserve"> </w:t>
      </w:r>
    </w:p>
    <w:p w14:paraId="2368840E" w14:textId="055A17E3" w:rsidR="001D19CA" w:rsidRPr="00E95112" w:rsidRDefault="001D19CA" w:rsidP="004A2768">
      <w:pPr>
        <w:autoSpaceDE w:val="0"/>
        <w:autoSpaceDN w:val="0"/>
        <w:adjustRightInd w:val="0"/>
        <w:spacing w:after="0" w:line="240" w:lineRule="auto"/>
        <w:rPr>
          <w:rFonts w:cs="ArialMTStd"/>
          <w:color w:val="000000"/>
        </w:rPr>
      </w:pPr>
    </w:p>
    <w:sectPr w:rsidR="001D19CA" w:rsidRPr="00E95112" w:rsidSect="0098168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07B91" w14:textId="77777777" w:rsidR="007F22CE" w:rsidRDefault="007F22CE" w:rsidP="006D4799">
      <w:pPr>
        <w:spacing w:after="0" w:line="240" w:lineRule="auto"/>
      </w:pPr>
      <w:r>
        <w:separator/>
      </w:r>
    </w:p>
  </w:endnote>
  <w:endnote w:type="continuationSeparator" w:id="0">
    <w:p w14:paraId="72B7E244" w14:textId="77777777" w:rsidR="007F22CE" w:rsidRDefault="007F22CE" w:rsidP="006D4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MTSt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A5519" w14:textId="05496324" w:rsidR="00833A18" w:rsidRDefault="00981680" w:rsidP="00833A18">
    <w:pPr>
      <w:pStyle w:val="Footer"/>
      <w:pBdr>
        <w:top w:val="single" w:sz="4" w:space="1" w:color="D9D9D9" w:themeColor="background1" w:themeShade="D9"/>
      </w:pBdr>
      <w:rPr>
        <w:b/>
        <w:bCs/>
      </w:rPr>
    </w:pPr>
    <w:r>
      <w:rPr>
        <w:noProof/>
        <w:lang w:eastAsia="en-AU"/>
      </w:rPr>
      <w:drawing>
        <wp:anchor distT="0" distB="0" distL="114300" distR="114300" simplePos="0" relativeHeight="251659264" behindDoc="1" locked="0" layoutInCell="1" allowOverlap="1" wp14:anchorId="4CFBB333" wp14:editId="6F169C4B">
          <wp:simplePos x="0" y="0"/>
          <wp:positionH relativeFrom="column">
            <wp:posOffset>-456565</wp:posOffset>
          </wp:positionH>
          <wp:positionV relativeFrom="paragraph">
            <wp:posOffset>-40005</wp:posOffset>
          </wp:positionV>
          <wp:extent cx="2038350" cy="264492"/>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264492"/>
                  </a:xfrm>
                  <a:prstGeom prst="rect">
                    <a:avLst/>
                  </a:prstGeom>
                </pic:spPr>
              </pic:pic>
            </a:graphicData>
          </a:graphic>
          <wp14:sizeRelH relativeFrom="page">
            <wp14:pctWidth>0</wp14:pctWidth>
          </wp14:sizeRelH>
          <wp14:sizeRelV relativeFrom="page">
            <wp14:pctHeight>0</wp14:pctHeight>
          </wp14:sizeRelV>
        </wp:anchor>
      </w:drawing>
    </w:r>
    <w:r>
      <w:ptab w:relativeTo="margin" w:alignment="center" w:leader="none"/>
    </w:r>
    <w:r w:rsidR="00833A18" w:rsidRPr="00833A18">
      <w:rPr>
        <w:sz w:val="16"/>
      </w:rPr>
      <w:t xml:space="preserve"> </w:t>
    </w:r>
    <w:r w:rsidR="00833A18">
      <w:ptab w:relativeTo="margin" w:alignment="left" w:leader="none"/>
    </w:r>
    <w:r w:rsidR="00833A18" w:rsidRPr="00833A18">
      <w:rPr>
        <w:sz w:val="16"/>
      </w:rPr>
      <w:t xml:space="preserve"> </w:t>
    </w:r>
    <w:sdt>
      <w:sdtPr>
        <w:id w:val="-252967424"/>
        <w:docPartObj>
          <w:docPartGallery w:val="Page Numbers (Bottom of Page)"/>
          <w:docPartUnique/>
        </w:docPartObj>
      </w:sdtPr>
      <w:sdtEndPr>
        <w:rPr>
          <w:color w:val="7F7F7F" w:themeColor="background1" w:themeShade="7F"/>
          <w:spacing w:val="60"/>
        </w:rPr>
      </w:sdtEndPr>
      <w:sdtContent>
        <w:r w:rsidR="00833A18">
          <w:fldChar w:fldCharType="begin"/>
        </w:r>
        <w:r w:rsidR="00833A18">
          <w:instrText xml:space="preserve"> PAGE   \* MERGEFORMAT </w:instrText>
        </w:r>
        <w:r w:rsidR="00833A18">
          <w:fldChar w:fldCharType="separate"/>
        </w:r>
        <w:r w:rsidR="00B54FFD" w:rsidRPr="00B54FFD">
          <w:rPr>
            <w:b/>
            <w:bCs/>
            <w:noProof/>
          </w:rPr>
          <w:t>3</w:t>
        </w:r>
        <w:r w:rsidR="00833A18">
          <w:rPr>
            <w:b/>
            <w:bCs/>
            <w:noProof/>
          </w:rPr>
          <w:fldChar w:fldCharType="end"/>
        </w:r>
        <w:r w:rsidR="00833A18">
          <w:rPr>
            <w:b/>
            <w:bCs/>
          </w:rPr>
          <w:t xml:space="preserve"> | </w:t>
        </w:r>
        <w:r w:rsidR="00833A18">
          <w:rPr>
            <w:color w:val="7F7F7F" w:themeColor="background1" w:themeShade="7F"/>
            <w:spacing w:val="60"/>
          </w:rPr>
          <w:t xml:space="preserve">Page  </w:t>
        </w:r>
        <w:r w:rsidR="005E1820">
          <w:rPr>
            <w:color w:val="7F7F7F" w:themeColor="background1" w:themeShade="7F"/>
            <w:spacing w:val="60"/>
          </w:rPr>
          <w:tab/>
        </w:r>
        <w:r w:rsidR="005E1820">
          <w:rPr>
            <w:bCs/>
            <w:sz w:val="16"/>
            <w:szCs w:val="16"/>
          </w:rPr>
          <w:t>ACN</w:t>
        </w:r>
        <w:r w:rsidR="005E1820" w:rsidRPr="005E1820">
          <w:rPr>
            <w:bCs/>
            <w:sz w:val="16"/>
            <w:szCs w:val="16"/>
          </w:rPr>
          <w:t xml:space="preserve"> Submission To </w:t>
        </w:r>
        <w:r w:rsidR="000950B8">
          <w:rPr>
            <w:bCs/>
            <w:sz w:val="16"/>
            <w:szCs w:val="16"/>
          </w:rPr>
          <w:t>NBMA Proposed Decision-making framework for nurses and midwives Public consultation</w:t>
        </w:r>
      </w:sdtContent>
    </w:sdt>
  </w:p>
  <w:p w14:paraId="4ACF6ADC" w14:textId="77777777" w:rsidR="00981680" w:rsidRPr="00833A18" w:rsidRDefault="00981680" w:rsidP="00833A18">
    <w:pPr>
      <w:pStyle w:val="Footer"/>
      <w:rPr>
        <w:sz w:val="16"/>
      </w:rPr>
    </w:pPr>
  </w:p>
  <w:p w14:paraId="12435E67" w14:textId="3046CBDA" w:rsidR="001C7EF5" w:rsidRDefault="000950B8" w:rsidP="001C7EF5">
    <w:pPr>
      <w:pStyle w:val="Footer"/>
      <w:jc w:val="right"/>
    </w:pPr>
    <w:r>
      <w:t xml:space="preserve">June </w:t>
    </w:r>
    <w:r w:rsidR="00B1662C">
      <w:t>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A1E45" w14:textId="77777777" w:rsidR="007F22CE" w:rsidRDefault="007F22CE" w:rsidP="006D4799">
      <w:pPr>
        <w:spacing w:after="0" w:line="240" w:lineRule="auto"/>
      </w:pPr>
      <w:r>
        <w:separator/>
      </w:r>
    </w:p>
  </w:footnote>
  <w:footnote w:type="continuationSeparator" w:id="0">
    <w:p w14:paraId="1D23CF1B" w14:textId="77777777" w:rsidR="007F22CE" w:rsidRDefault="007F22CE" w:rsidP="006D4799">
      <w:pPr>
        <w:spacing w:after="0" w:line="240" w:lineRule="auto"/>
      </w:pPr>
      <w:r>
        <w:continuationSeparator/>
      </w:r>
    </w:p>
  </w:footnote>
  <w:footnote w:id="1">
    <w:p w14:paraId="765C5EFB" w14:textId="699CA09E" w:rsidR="00123B7A" w:rsidRPr="00123B7A" w:rsidRDefault="00123B7A">
      <w:pPr>
        <w:pStyle w:val="FootnoteText"/>
        <w:rPr>
          <w:lang w:val="en-US"/>
        </w:rPr>
      </w:pPr>
      <w:r>
        <w:rPr>
          <w:rStyle w:val="FootnoteReference"/>
        </w:rPr>
        <w:footnoteRef/>
      </w:r>
      <w:r>
        <w:t xml:space="preserve"> </w:t>
      </w:r>
      <w:hyperlink r:id="rId1" w:history="1">
        <w:r>
          <w:rPr>
            <w:rStyle w:val="Hyperlink"/>
          </w:rPr>
          <w:t>https://www.un.org/development/desa/disabilities/resources/handbook-for-parliamentarians-on-the-convention-on-the-rights-of-persons-with-disabilities/chapter-six-from-provisions-to-practice-implementing-the-convention-5.html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90C12"/>
    <w:multiLevelType w:val="multilevel"/>
    <w:tmpl w:val="5E1E1522"/>
    <w:numStyleLink w:val="Style1"/>
  </w:abstractNum>
  <w:abstractNum w:abstractNumId="1" w15:restartNumberingAfterBreak="0">
    <w:nsid w:val="18621205"/>
    <w:multiLevelType w:val="multilevel"/>
    <w:tmpl w:val="0BFE64FA"/>
    <w:lvl w:ilvl="0">
      <w:start w:val="1"/>
      <w:numFmt w:val="decimal"/>
      <w:pStyle w:val="Numberedheading1"/>
      <w:lvlText w:val="%1."/>
      <w:lvlJc w:val="left"/>
      <w:pPr>
        <w:tabs>
          <w:tab w:val="num" w:pos="357"/>
        </w:tabs>
        <w:ind w:left="357" w:hanging="357"/>
      </w:pPr>
      <w:rPr>
        <w:rFonts w:hint="default"/>
      </w:rPr>
    </w:lvl>
    <w:lvl w:ilvl="1">
      <w:start w:val="1"/>
      <w:numFmt w:val="decimal"/>
      <w:lvlRestart w:val="0"/>
      <w:pStyle w:val="Numberedheading2"/>
      <w:lvlText w:val="%1.%2."/>
      <w:lvlJc w:val="left"/>
      <w:pPr>
        <w:tabs>
          <w:tab w:val="num" w:pos="357"/>
        </w:tabs>
        <w:ind w:left="357" w:hanging="357"/>
      </w:pPr>
      <w:rPr>
        <w:rFonts w:hint="default"/>
      </w:rPr>
    </w:lvl>
    <w:lvl w:ilvl="2">
      <w:start w:val="1"/>
      <w:numFmt w:val="decimal"/>
      <w:lvlRestart w:val="0"/>
      <w:pStyle w:val="Numberedheading3"/>
      <w:lvlText w:val="%1.%2.%3."/>
      <w:lvlJc w:val="left"/>
      <w:pPr>
        <w:tabs>
          <w:tab w:val="num" w:pos="357"/>
        </w:tabs>
        <w:ind w:left="357" w:hanging="357"/>
      </w:pPr>
      <w:rPr>
        <w:rFonts w:hint="default"/>
      </w:rPr>
    </w:lvl>
    <w:lvl w:ilvl="3">
      <w:start w:val="1"/>
      <w:numFmt w:val="decimal"/>
      <w:lvlRestart w:val="0"/>
      <w:pStyle w:val="Numberedheading4"/>
      <w:lvlText w:val="%1.%2.%3.%4."/>
      <w:lvlJc w:val="left"/>
      <w:pPr>
        <w:tabs>
          <w:tab w:val="num" w:pos="357"/>
        </w:tabs>
        <w:ind w:left="357" w:hanging="357"/>
      </w:pPr>
      <w:rPr>
        <w:rFonts w:hint="default"/>
      </w:rPr>
    </w:lvl>
    <w:lvl w:ilvl="4">
      <w:start w:val="1"/>
      <w:numFmt w:val="decimal"/>
      <w:lvlText w:val="%1.%2.%3.%4.%5."/>
      <w:lvlJc w:val="left"/>
      <w:pPr>
        <w:tabs>
          <w:tab w:val="num" w:pos="357"/>
        </w:tabs>
        <w:ind w:left="357" w:hanging="357"/>
      </w:pPr>
      <w:rPr>
        <w:rFonts w:hint="default"/>
      </w:rPr>
    </w:lvl>
    <w:lvl w:ilvl="5">
      <w:start w:val="1"/>
      <w:numFmt w:val="decimal"/>
      <w:lvlText w:val="%1.%2.%3.%4.%5.%6."/>
      <w:lvlJc w:val="left"/>
      <w:pPr>
        <w:tabs>
          <w:tab w:val="num" w:pos="357"/>
        </w:tabs>
        <w:ind w:left="357" w:hanging="357"/>
      </w:pPr>
      <w:rPr>
        <w:rFonts w:hint="default"/>
      </w:rPr>
    </w:lvl>
    <w:lvl w:ilvl="6">
      <w:start w:val="1"/>
      <w:numFmt w:val="decimal"/>
      <w:lvlText w:val="%1.%2.%3.%4.%5.%6.%7."/>
      <w:lvlJc w:val="left"/>
      <w:pPr>
        <w:tabs>
          <w:tab w:val="num" w:pos="357"/>
        </w:tabs>
        <w:ind w:left="357" w:hanging="357"/>
      </w:pPr>
      <w:rPr>
        <w:rFonts w:hint="default"/>
      </w:rPr>
    </w:lvl>
    <w:lvl w:ilvl="7">
      <w:start w:val="1"/>
      <w:numFmt w:val="decimal"/>
      <w:lvlText w:val="%1.%2.%3.%4.%5.%6.%7.%8."/>
      <w:lvlJc w:val="left"/>
      <w:pPr>
        <w:tabs>
          <w:tab w:val="num" w:pos="357"/>
        </w:tabs>
        <w:ind w:left="357" w:hanging="357"/>
      </w:pPr>
      <w:rPr>
        <w:rFonts w:hint="default"/>
      </w:rPr>
    </w:lvl>
    <w:lvl w:ilvl="8">
      <w:start w:val="1"/>
      <w:numFmt w:val="decimal"/>
      <w:lvlText w:val="%1.%2.%3.%4.%5.%6.%7.%8.%9."/>
      <w:lvlJc w:val="left"/>
      <w:pPr>
        <w:tabs>
          <w:tab w:val="num" w:pos="357"/>
        </w:tabs>
        <w:ind w:left="357" w:hanging="357"/>
      </w:pPr>
      <w:rPr>
        <w:rFonts w:hint="default"/>
      </w:rPr>
    </w:lvl>
  </w:abstractNum>
  <w:abstractNum w:abstractNumId="2" w15:restartNumberingAfterBreak="0">
    <w:nsid w:val="1F9C6A9A"/>
    <w:multiLevelType w:val="hybridMultilevel"/>
    <w:tmpl w:val="E402B3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B0B4F32"/>
    <w:multiLevelType w:val="hybridMultilevel"/>
    <w:tmpl w:val="E15AB3BE"/>
    <w:lvl w:ilvl="0" w:tplc="02DAC26E">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4" w15:restartNumberingAfterBreak="0">
    <w:nsid w:val="52AC6606"/>
    <w:multiLevelType w:val="multilevel"/>
    <w:tmpl w:val="5E1E1522"/>
    <w:styleLink w:val="Style1"/>
    <w:lvl w:ilvl="0">
      <w:start w:val="1"/>
      <w:numFmt w:val="bullet"/>
      <w:pStyle w:val="ListParagraph"/>
      <w:lvlText w:val=""/>
      <w:lvlJc w:val="left"/>
      <w:pPr>
        <w:ind w:left="720" w:hanging="360"/>
      </w:pPr>
      <w:rPr>
        <w:rFonts w:ascii="Symbol" w:hAnsi="Symbol" w:hint="default"/>
        <w:color w:val="ACC32B"/>
      </w:rPr>
    </w:lvl>
    <w:lvl w:ilvl="1">
      <w:start w:val="1"/>
      <w:numFmt w:val="bullet"/>
      <w:lvlText w:val="o"/>
      <w:lvlJc w:val="left"/>
      <w:pPr>
        <w:ind w:left="1440" w:hanging="360"/>
      </w:pPr>
      <w:rPr>
        <w:rFonts w:ascii="Courier New" w:hAnsi="Courier New" w:cs="Courier New" w:hint="default"/>
        <w:color w:val="ACC32B"/>
      </w:rPr>
    </w:lvl>
    <w:lvl w:ilvl="2">
      <w:start w:val="1"/>
      <w:numFmt w:val="bullet"/>
      <w:lvlText w:val=""/>
      <w:lvlJc w:val="left"/>
      <w:pPr>
        <w:ind w:left="2160" w:hanging="360"/>
      </w:pPr>
      <w:rPr>
        <w:rFonts w:ascii="Wingdings" w:hAnsi="Wingdings" w:hint="default"/>
        <w:color w:val="ACC32B"/>
      </w:rPr>
    </w:lvl>
    <w:lvl w:ilvl="3">
      <w:start w:val="1"/>
      <w:numFmt w:val="bullet"/>
      <w:lvlText w:val=""/>
      <w:lvlJc w:val="left"/>
      <w:pPr>
        <w:ind w:left="2880" w:hanging="360"/>
      </w:pPr>
      <w:rPr>
        <w:rFonts w:ascii="Symbol" w:hAnsi="Symbol" w:hint="default"/>
        <w:color w:val="ACC32B"/>
      </w:rPr>
    </w:lvl>
    <w:lvl w:ilvl="4">
      <w:start w:val="1"/>
      <w:numFmt w:val="bullet"/>
      <w:lvlText w:val="o"/>
      <w:lvlJc w:val="left"/>
      <w:pPr>
        <w:ind w:left="3600" w:hanging="360"/>
      </w:pPr>
      <w:rPr>
        <w:rFonts w:ascii="Courier New" w:hAnsi="Courier New" w:cs="Courier New" w:hint="default"/>
        <w:color w:val="ACC32B"/>
      </w:rPr>
    </w:lvl>
    <w:lvl w:ilvl="5">
      <w:start w:val="1"/>
      <w:numFmt w:val="bullet"/>
      <w:lvlText w:val=""/>
      <w:lvlJc w:val="left"/>
      <w:pPr>
        <w:ind w:left="4320" w:hanging="360"/>
      </w:pPr>
      <w:rPr>
        <w:rFonts w:ascii="Wingdings" w:hAnsi="Wingdings" w:hint="default"/>
        <w:color w:val="ACC32B"/>
      </w:rPr>
    </w:lvl>
    <w:lvl w:ilvl="6">
      <w:start w:val="1"/>
      <w:numFmt w:val="bullet"/>
      <w:lvlText w:val=""/>
      <w:lvlJc w:val="left"/>
      <w:pPr>
        <w:ind w:left="5040" w:hanging="360"/>
      </w:pPr>
      <w:rPr>
        <w:rFonts w:ascii="Symbol" w:hAnsi="Symbol" w:hint="default"/>
        <w:color w:val="ACC32B"/>
      </w:rPr>
    </w:lvl>
    <w:lvl w:ilvl="7">
      <w:start w:val="1"/>
      <w:numFmt w:val="bullet"/>
      <w:lvlText w:val="o"/>
      <w:lvlJc w:val="left"/>
      <w:pPr>
        <w:ind w:left="5760" w:hanging="360"/>
      </w:pPr>
      <w:rPr>
        <w:rFonts w:ascii="Courier New" w:hAnsi="Courier New" w:cs="Courier New" w:hint="default"/>
        <w:color w:val="ACC32B"/>
      </w:rPr>
    </w:lvl>
    <w:lvl w:ilvl="8">
      <w:start w:val="1"/>
      <w:numFmt w:val="bullet"/>
      <w:lvlText w:val=""/>
      <w:lvlJc w:val="left"/>
      <w:pPr>
        <w:ind w:left="6480" w:hanging="360"/>
      </w:pPr>
      <w:rPr>
        <w:rFonts w:ascii="Wingdings" w:hAnsi="Wingdings" w:hint="default"/>
        <w:color w:val="ACC32B"/>
      </w:rPr>
    </w:lvl>
  </w:abstractNum>
  <w:abstractNum w:abstractNumId="5" w15:restartNumberingAfterBreak="0">
    <w:nsid w:val="5C376BF1"/>
    <w:multiLevelType w:val="hybridMultilevel"/>
    <w:tmpl w:val="5E1E1522"/>
    <w:lvl w:ilvl="0" w:tplc="3B520D9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619D07AA"/>
    <w:multiLevelType w:val="hybridMultilevel"/>
    <w:tmpl w:val="014E4A0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3"/>
  </w:num>
  <w:num w:numId="2">
    <w:abstractNumId w:val="5"/>
  </w:num>
  <w:num w:numId="3">
    <w:abstractNumId w:val="4"/>
  </w:num>
  <w:num w:numId="4">
    <w:abstractNumId w:val="0"/>
  </w:num>
  <w:num w:numId="5">
    <w:abstractNumId w:val="1"/>
  </w:num>
  <w:num w:numId="6">
    <w:abstractNumId w:val="2"/>
  </w:num>
  <w:num w:numId="7">
    <w:abstractNumId w:val="1"/>
  </w:num>
  <w:num w:numId="8">
    <w:abstractNumId w:val="1"/>
  </w:num>
  <w:num w:numId="9">
    <w:abstractNumId w:val="1"/>
  </w:num>
  <w:num w:numId="10">
    <w:abstractNumId w:val="1"/>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A54"/>
    <w:rsid w:val="0001178E"/>
    <w:rsid w:val="00022801"/>
    <w:rsid w:val="000245A4"/>
    <w:rsid w:val="00030B15"/>
    <w:rsid w:val="00031565"/>
    <w:rsid w:val="00033D52"/>
    <w:rsid w:val="00050421"/>
    <w:rsid w:val="00053617"/>
    <w:rsid w:val="00067D9C"/>
    <w:rsid w:val="000950B8"/>
    <w:rsid w:val="000A2D00"/>
    <w:rsid w:val="000C0359"/>
    <w:rsid w:val="000C7E1C"/>
    <w:rsid w:val="000E1511"/>
    <w:rsid w:val="000E55F5"/>
    <w:rsid w:val="000E753E"/>
    <w:rsid w:val="00101BAF"/>
    <w:rsid w:val="001166EA"/>
    <w:rsid w:val="00116852"/>
    <w:rsid w:val="00117780"/>
    <w:rsid w:val="00117DBF"/>
    <w:rsid w:val="00123B7A"/>
    <w:rsid w:val="0012479E"/>
    <w:rsid w:val="00124AD4"/>
    <w:rsid w:val="001410DA"/>
    <w:rsid w:val="00144C83"/>
    <w:rsid w:val="00161A22"/>
    <w:rsid w:val="00163D51"/>
    <w:rsid w:val="00164D46"/>
    <w:rsid w:val="00166E12"/>
    <w:rsid w:val="001706E6"/>
    <w:rsid w:val="001765F5"/>
    <w:rsid w:val="001950A8"/>
    <w:rsid w:val="001A2C19"/>
    <w:rsid w:val="001B2A69"/>
    <w:rsid w:val="001C44D1"/>
    <w:rsid w:val="001C7EF5"/>
    <w:rsid w:val="001D19CA"/>
    <w:rsid w:val="001E611B"/>
    <w:rsid w:val="001F1600"/>
    <w:rsid w:val="001F3A13"/>
    <w:rsid w:val="001F4B4A"/>
    <w:rsid w:val="002341BA"/>
    <w:rsid w:val="00236C8B"/>
    <w:rsid w:val="002527E3"/>
    <w:rsid w:val="002568D3"/>
    <w:rsid w:val="00261793"/>
    <w:rsid w:val="00261DE8"/>
    <w:rsid w:val="00264BEF"/>
    <w:rsid w:val="002715E7"/>
    <w:rsid w:val="00272FFF"/>
    <w:rsid w:val="0028315F"/>
    <w:rsid w:val="002923FB"/>
    <w:rsid w:val="002A246F"/>
    <w:rsid w:val="002A632B"/>
    <w:rsid w:val="002C2482"/>
    <w:rsid w:val="002C4E29"/>
    <w:rsid w:val="002D5D28"/>
    <w:rsid w:val="002E40A1"/>
    <w:rsid w:val="002E55C9"/>
    <w:rsid w:val="002E70D3"/>
    <w:rsid w:val="0030445B"/>
    <w:rsid w:val="003246C4"/>
    <w:rsid w:val="00336AEC"/>
    <w:rsid w:val="00351313"/>
    <w:rsid w:val="0035193A"/>
    <w:rsid w:val="0035379E"/>
    <w:rsid w:val="00357A0F"/>
    <w:rsid w:val="00360047"/>
    <w:rsid w:val="0037179F"/>
    <w:rsid w:val="00375182"/>
    <w:rsid w:val="00381A29"/>
    <w:rsid w:val="00385138"/>
    <w:rsid w:val="0038531A"/>
    <w:rsid w:val="003870EB"/>
    <w:rsid w:val="00393550"/>
    <w:rsid w:val="00393565"/>
    <w:rsid w:val="00394AAF"/>
    <w:rsid w:val="003957A5"/>
    <w:rsid w:val="00395F91"/>
    <w:rsid w:val="003966A6"/>
    <w:rsid w:val="003C1E24"/>
    <w:rsid w:val="003C2768"/>
    <w:rsid w:val="003D279E"/>
    <w:rsid w:val="003E015B"/>
    <w:rsid w:val="003E0D09"/>
    <w:rsid w:val="003F4445"/>
    <w:rsid w:val="003F6CD1"/>
    <w:rsid w:val="00405530"/>
    <w:rsid w:val="00423BDE"/>
    <w:rsid w:val="0043082F"/>
    <w:rsid w:val="0043307E"/>
    <w:rsid w:val="00440C67"/>
    <w:rsid w:val="0045527B"/>
    <w:rsid w:val="00462ED4"/>
    <w:rsid w:val="00465D6A"/>
    <w:rsid w:val="00466E05"/>
    <w:rsid w:val="00471836"/>
    <w:rsid w:val="004839A3"/>
    <w:rsid w:val="004868A7"/>
    <w:rsid w:val="00486CDC"/>
    <w:rsid w:val="00487178"/>
    <w:rsid w:val="00490FB0"/>
    <w:rsid w:val="004A2768"/>
    <w:rsid w:val="004A3F60"/>
    <w:rsid w:val="004A70C2"/>
    <w:rsid w:val="004C0B9A"/>
    <w:rsid w:val="004D1953"/>
    <w:rsid w:val="004D1A34"/>
    <w:rsid w:val="004D702B"/>
    <w:rsid w:val="004E5490"/>
    <w:rsid w:val="00505FF7"/>
    <w:rsid w:val="005134C2"/>
    <w:rsid w:val="005428F1"/>
    <w:rsid w:val="005562FB"/>
    <w:rsid w:val="00557B63"/>
    <w:rsid w:val="00557FCF"/>
    <w:rsid w:val="005615B8"/>
    <w:rsid w:val="00565082"/>
    <w:rsid w:val="00567724"/>
    <w:rsid w:val="0058723E"/>
    <w:rsid w:val="005A02E5"/>
    <w:rsid w:val="005A58E4"/>
    <w:rsid w:val="005B2383"/>
    <w:rsid w:val="005B7568"/>
    <w:rsid w:val="005E1820"/>
    <w:rsid w:val="005F6A32"/>
    <w:rsid w:val="00607967"/>
    <w:rsid w:val="00611A6A"/>
    <w:rsid w:val="00617781"/>
    <w:rsid w:val="00637874"/>
    <w:rsid w:val="00641B52"/>
    <w:rsid w:val="00642717"/>
    <w:rsid w:val="0065709C"/>
    <w:rsid w:val="006571D5"/>
    <w:rsid w:val="00663B2D"/>
    <w:rsid w:val="00676BB3"/>
    <w:rsid w:val="00686A34"/>
    <w:rsid w:val="006910C8"/>
    <w:rsid w:val="006A1D3D"/>
    <w:rsid w:val="006A6EAD"/>
    <w:rsid w:val="006B027B"/>
    <w:rsid w:val="006B3D93"/>
    <w:rsid w:val="006C5804"/>
    <w:rsid w:val="006D4799"/>
    <w:rsid w:val="006E707A"/>
    <w:rsid w:val="00706A7F"/>
    <w:rsid w:val="00714FA6"/>
    <w:rsid w:val="00743FCE"/>
    <w:rsid w:val="007458ED"/>
    <w:rsid w:val="00753146"/>
    <w:rsid w:val="00755694"/>
    <w:rsid w:val="007779AB"/>
    <w:rsid w:val="00795180"/>
    <w:rsid w:val="007979A0"/>
    <w:rsid w:val="007A0B84"/>
    <w:rsid w:val="007A39D3"/>
    <w:rsid w:val="007A3A54"/>
    <w:rsid w:val="007B3465"/>
    <w:rsid w:val="007B3F49"/>
    <w:rsid w:val="007C1C17"/>
    <w:rsid w:val="007C34D3"/>
    <w:rsid w:val="007D149F"/>
    <w:rsid w:val="007E648F"/>
    <w:rsid w:val="007F22CE"/>
    <w:rsid w:val="007F4B63"/>
    <w:rsid w:val="00812291"/>
    <w:rsid w:val="008154DB"/>
    <w:rsid w:val="0081720C"/>
    <w:rsid w:val="0082572A"/>
    <w:rsid w:val="008274F6"/>
    <w:rsid w:val="00831A79"/>
    <w:rsid w:val="00832812"/>
    <w:rsid w:val="00833A18"/>
    <w:rsid w:val="0083520D"/>
    <w:rsid w:val="00835BA0"/>
    <w:rsid w:val="00847D97"/>
    <w:rsid w:val="008611A5"/>
    <w:rsid w:val="0087080E"/>
    <w:rsid w:val="00882C76"/>
    <w:rsid w:val="008877B5"/>
    <w:rsid w:val="008C2B64"/>
    <w:rsid w:val="008D3E1E"/>
    <w:rsid w:val="008D47E1"/>
    <w:rsid w:val="008E1C70"/>
    <w:rsid w:val="008E1D3A"/>
    <w:rsid w:val="008E7357"/>
    <w:rsid w:val="008E7563"/>
    <w:rsid w:val="008F058F"/>
    <w:rsid w:val="008F777D"/>
    <w:rsid w:val="008F7A94"/>
    <w:rsid w:val="009051C5"/>
    <w:rsid w:val="0091709D"/>
    <w:rsid w:val="00921DC8"/>
    <w:rsid w:val="00927C21"/>
    <w:rsid w:val="00936B14"/>
    <w:rsid w:val="00936BBF"/>
    <w:rsid w:val="009530E1"/>
    <w:rsid w:val="00953731"/>
    <w:rsid w:val="0095474E"/>
    <w:rsid w:val="0096058F"/>
    <w:rsid w:val="00962CC1"/>
    <w:rsid w:val="009669A9"/>
    <w:rsid w:val="00967832"/>
    <w:rsid w:val="00973FDE"/>
    <w:rsid w:val="0098021E"/>
    <w:rsid w:val="00981680"/>
    <w:rsid w:val="00983C21"/>
    <w:rsid w:val="009A3C06"/>
    <w:rsid w:val="009B37DC"/>
    <w:rsid w:val="009C2C99"/>
    <w:rsid w:val="009C6229"/>
    <w:rsid w:val="009D5260"/>
    <w:rsid w:val="009D79B7"/>
    <w:rsid w:val="009E52C0"/>
    <w:rsid w:val="00A03D07"/>
    <w:rsid w:val="00A122DF"/>
    <w:rsid w:val="00A1481B"/>
    <w:rsid w:val="00A20F46"/>
    <w:rsid w:val="00A23B9C"/>
    <w:rsid w:val="00A304DE"/>
    <w:rsid w:val="00A35596"/>
    <w:rsid w:val="00A4058F"/>
    <w:rsid w:val="00A44F7E"/>
    <w:rsid w:val="00A54314"/>
    <w:rsid w:val="00A60791"/>
    <w:rsid w:val="00A651A8"/>
    <w:rsid w:val="00A6532B"/>
    <w:rsid w:val="00A66EF2"/>
    <w:rsid w:val="00A7455C"/>
    <w:rsid w:val="00A76705"/>
    <w:rsid w:val="00A7707B"/>
    <w:rsid w:val="00A9607E"/>
    <w:rsid w:val="00AC0970"/>
    <w:rsid w:val="00AC1750"/>
    <w:rsid w:val="00AC6257"/>
    <w:rsid w:val="00AC65D9"/>
    <w:rsid w:val="00AD22C8"/>
    <w:rsid w:val="00AD238F"/>
    <w:rsid w:val="00AD6FFE"/>
    <w:rsid w:val="00AE6DAA"/>
    <w:rsid w:val="00AE6F4F"/>
    <w:rsid w:val="00AF045F"/>
    <w:rsid w:val="00AF0DB7"/>
    <w:rsid w:val="00AF1847"/>
    <w:rsid w:val="00AF4027"/>
    <w:rsid w:val="00AF698E"/>
    <w:rsid w:val="00B12656"/>
    <w:rsid w:val="00B1662C"/>
    <w:rsid w:val="00B30E7F"/>
    <w:rsid w:val="00B30EF1"/>
    <w:rsid w:val="00B345BE"/>
    <w:rsid w:val="00B35D7F"/>
    <w:rsid w:val="00B419B8"/>
    <w:rsid w:val="00B45499"/>
    <w:rsid w:val="00B534AB"/>
    <w:rsid w:val="00B54FFD"/>
    <w:rsid w:val="00B57092"/>
    <w:rsid w:val="00B776FA"/>
    <w:rsid w:val="00B8689E"/>
    <w:rsid w:val="00B90397"/>
    <w:rsid w:val="00BA5A80"/>
    <w:rsid w:val="00BB0737"/>
    <w:rsid w:val="00BC47A1"/>
    <w:rsid w:val="00BC687D"/>
    <w:rsid w:val="00BD0CCA"/>
    <w:rsid w:val="00BD4B5E"/>
    <w:rsid w:val="00BE6D92"/>
    <w:rsid w:val="00C2356B"/>
    <w:rsid w:val="00C27A77"/>
    <w:rsid w:val="00C444EE"/>
    <w:rsid w:val="00C45AF6"/>
    <w:rsid w:val="00C5213B"/>
    <w:rsid w:val="00C567D8"/>
    <w:rsid w:val="00C603FC"/>
    <w:rsid w:val="00C611DF"/>
    <w:rsid w:val="00C62C9F"/>
    <w:rsid w:val="00C66802"/>
    <w:rsid w:val="00C70036"/>
    <w:rsid w:val="00C73D6E"/>
    <w:rsid w:val="00C7724A"/>
    <w:rsid w:val="00CA1D8D"/>
    <w:rsid w:val="00CB031D"/>
    <w:rsid w:val="00CB3B63"/>
    <w:rsid w:val="00CC1095"/>
    <w:rsid w:val="00CC2086"/>
    <w:rsid w:val="00CC65A2"/>
    <w:rsid w:val="00CF5C33"/>
    <w:rsid w:val="00D14E1D"/>
    <w:rsid w:val="00D1746D"/>
    <w:rsid w:val="00D200AC"/>
    <w:rsid w:val="00D24006"/>
    <w:rsid w:val="00D35E8C"/>
    <w:rsid w:val="00D41C5C"/>
    <w:rsid w:val="00D44457"/>
    <w:rsid w:val="00D828F4"/>
    <w:rsid w:val="00DB5AEB"/>
    <w:rsid w:val="00DC138D"/>
    <w:rsid w:val="00DC6362"/>
    <w:rsid w:val="00DD2A2A"/>
    <w:rsid w:val="00DD4F05"/>
    <w:rsid w:val="00DF1949"/>
    <w:rsid w:val="00DF261E"/>
    <w:rsid w:val="00DF4EB1"/>
    <w:rsid w:val="00E0478A"/>
    <w:rsid w:val="00E10740"/>
    <w:rsid w:val="00E14D21"/>
    <w:rsid w:val="00E21904"/>
    <w:rsid w:val="00E33A3C"/>
    <w:rsid w:val="00E576CF"/>
    <w:rsid w:val="00E65416"/>
    <w:rsid w:val="00E75E6A"/>
    <w:rsid w:val="00E90CC4"/>
    <w:rsid w:val="00E95112"/>
    <w:rsid w:val="00E979B4"/>
    <w:rsid w:val="00EA27E4"/>
    <w:rsid w:val="00EC0569"/>
    <w:rsid w:val="00EC1947"/>
    <w:rsid w:val="00EC2441"/>
    <w:rsid w:val="00ED031B"/>
    <w:rsid w:val="00EE29B3"/>
    <w:rsid w:val="00EE5633"/>
    <w:rsid w:val="00EF25FC"/>
    <w:rsid w:val="00EF5210"/>
    <w:rsid w:val="00F00E42"/>
    <w:rsid w:val="00F12B61"/>
    <w:rsid w:val="00F36809"/>
    <w:rsid w:val="00F45C27"/>
    <w:rsid w:val="00F7046D"/>
    <w:rsid w:val="00F74F2D"/>
    <w:rsid w:val="00FA6634"/>
    <w:rsid w:val="00FB0622"/>
    <w:rsid w:val="00FB23A0"/>
    <w:rsid w:val="00FB6493"/>
    <w:rsid w:val="00FB6FA4"/>
    <w:rsid w:val="00FC1E34"/>
    <w:rsid w:val="00FC2121"/>
    <w:rsid w:val="00FC4EAF"/>
    <w:rsid w:val="00FC6963"/>
    <w:rsid w:val="00FC70DD"/>
    <w:rsid w:val="00FE520C"/>
    <w:rsid w:val="00FF79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2061DB1"/>
  <w15:chartTrackingRefBased/>
  <w15:docId w15:val="{49E0D71E-7FAC-49F6-8E1A-C07FB07C4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1E24"/>
    <w:pPr>
      <w:spacing w:line="271" w:lineRule="auto"/>
    </w:pPr>
  </w:style>
  <w:style w:type="paragraph" w:styleId="Heading1">
    <w:name w:val="heading 1"/>
    <w:basedOn w:val="Normal"/>
    <w:next w:val="Normal"/>
    <w:link w:val="Heading1Char"/>
    <w:uiPriority w:val="9"/>
    <w:qFormat/>
    <w:rsid w:val="00394AAF"/>
    <w:pPr>
      <w:keepNext/>
      <w:keepLines/>
      <w:spacing w:before="240" w:after="240" w:line="240" w:lineRule="auto"/>
      <w:outlineLvl w:val="0"/>
    </w:pPr>
    <w:rPr>
      <w:rFonts w:eastAsiaTheme="majorEastAsia" w:cstheme="majorBidi"/>
      <w:b/>
      <w:color w:val="ACC32B"/>
      <w:sz w:val="60"/>
      <w:szCs w:val="32"/>
    </w:rPr>
  </w:style>
  <w:style w:type="paragraph" w:styleId="Heading2">
    <w:name w:val="heading 2"/>
    <w:basedOn w:val="Normal"/>
    <w:next w:val="Normal"/>
    <w:link w:val="Heading2Char"/>
    <w:uiPriority w:val="9"/>
    <w:qFormat/>
    <w:rsid w:val="00394AAF"/>
    <w:pPr>
      <w:keepNext/>
      <w:keepLines/>
      <w:spacing w:before="240" w:after="240" w:line="240" w:lineRule="auto"/>
      <w:outlineLvl w:val="1"/>
    </w:pPr>
    <w:rPr>
      <w:rFonts w:eastAsiaTheme="majorEastAsia" w:cstheme="majorBidi"/>
      <w:b/>
      <w:color w:val="ACC32B"/>
      <w:sz w:val="36"/>
      <w:szCs w:val="26"/>
    </w:rPr>
  </w:style>
  <w:style w:type="paragraph" w:styleId="Heading3">
    <w:name w:val="heading 3"/>
    <w:basedOn w:val="Normal"/>
    <w:next w:val="Normal"/>
    <w:link w:val="Heading3Char"/>
    <w:uiPriority w:val="9"/>
    <w:qFormat/>
    <w:rsid w:val="00394AAF"/>
    <w:pPr>
      <w:keepNext/>
      <w:keepLines/>
      <w:spacing w:line="240" w:lineRule="auto"/>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4-Accent6">
    <w:name w:val="List Table 4 Accent 6"/>
    <w:basedOn w:val="TableNormal"/>
    <w:uiPriority w:val="49"/>
    <w:rsid w:val="003C1E24"/>
    <w:pPr>
      <w:spacing w:after="0" w:line="240" w:lineRule="auto"/>
    </w:pPr>
    <w:tblPr>
      <w:tblStyleRowBandSize w:val="1"/>
      <w:tblStyleColBandSize w:val="1"/>
      <w:tblBorders>
        <w:top w:val="single" w:sz="4" w:space="0" w:color="ACC32B"/>
        <w:left w:val="single" w:sz="4" w:space="0" w:color="ACC32B"/>
        <w:bottom w:val="single" w:sz="4" w:space="0" w:color="ACC32B"/>
        <w:right w:val="single" w:sz="4" w:space="0" w:color="ACC32B"/>
        <w:insideH w:val="single" w:sz="4" w:space="0" w:color="ACC32B"/>
      </w:tblBorders>
    </w:tblPr>
    <w:tblStylePr w:type="firstRow">
      <w:rPr>
        <w:b/>
        <w:bCs/>
        <w:color w:val="FFFFFF" w:themeColor="background1"/>
      </w:rPr>
      <w:tblPr/>
      <w:tcPr>
        <w:shd w:val="clear" w:color="auto" w:fill="ACC32B"/>
      </w:tcPr>
    </w:tblStylePr>
    <w:tblStylePr w:type="lastRow">
      <w:rPr>
        <w:b/>
        <w:bCs/>
      </w:rPr>
      <w:tblPr/>
      <w:tcPr>
        <w:tcBorders>
          <w:top w:val="double" w:sz="4" w:space="0" w:color="A8D08D" w:themeColor="accent6" w:themeTint="99"/>
        </w:tcBorders>
      </w:tcPr>
    </w:tblStylePr>
    <w:tblStylePr w:type="firstCol">
      <w:rPr>
        <w:b w:val="0"/>
        <w:bCs/>
      </w:rPr>
    </w:tblStylePr>
    <w:tblStylePr w:type="lastCol">
      <w:rPr>
        <w:b w:val="0"/>
        <w:bCs/>
      </w:rPr>
    </w:tblStylePr>
    <w:tblStylePr w:type="band1Horz">
      <w:tblPr/>
      <w:tcPr>
        <w:shd w:val="clear" w:color="auto" w:fill="E8EECA"/>
      </w:tcPr>
    </w:tblStylePr>
  </w:style>
  <w:style w:type="paragraph" w:styleId="Header">
    <w:name w:val="header"/>
    <w:basedOn w:val="Normal"/>
    <w:link w:val="HeaderChar"/>
    <w:uiPriority w:val="99"/>
    <w:unhideWhenUsed/>
    <w:rsid w:val="006D4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799"/>
  </w:style>
  <w:style w:type="paragraph" w:styleId="Footer">
    <w:name w:val="footer"/>
    <w:basedOn w:val="Normal"/>
    <w:link w:val="FooterChar"/>
    <w:uiPriority w:val="99"/>
    <w:unhideWhenUsed/>
    <w:rsid w:val="006D4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799"/>
  </w:style>
  <w:style w:type="character" w:customStyle="1" w:styleId="Heading1Char">
    <w:name w:val="Heading 1 Char"/>
    <w:basedOn w:val="DefaultParagraphFont"/>
    <w:link w:val="Heading1"/>
    <w:uiPriority w:val="9"/>
    <w:rsid w:val="00394AAF"/>
    <w:rPr>
      <w:rFonts w:eastAsiaTheme="majorEastAsia" w:cstheme="majorBidi"/>
      <w:b/>
      <w:color w:val="ACC32B"/>
      <w:sz w:val="60"/>
      <w:szCs w:val="32"/>
    </w:rPr>
  </w:style>
  <w:style w:type="character" w:customStyle="1" w:styleId="Heading2Char">
    <w:name w:val="Heading 2 Char"/>
    <w:basedOn w:val="DefaultParagraphFont"/>
    <w:link w:val="Heading2"/>
    <w:uiPriority w:val="9"/>
    <w:rsid w:val="00394AAF"/>
    <w:rPr>
      <w:rFonts w:eastAsiaTheme="majorEastAsia" w:cstheme="majorBidi"/>
      <w:b/>
      <w:color w:val="ACC32B"/>
      <w:sz w:val="36"/>
      <w:szCs w:val="26"/>
    </w:rPr>
  </w:style>
  <w:style w:type="character" w:customStyle="1" w:styleId="Heading3Char">
    <w:name w:val="Heading 3 Char"/>
    <w:basedOn w:val="DefaultParagraphFont"/>
    <w:link w:val="Heading3"/>
    <w:uiPriority w:val="9"/>
    <w:rsid w:val="00394AAF"/>
    <w:rPr>
      <w:rFonts w:eastAsiaTheme="majorEastAsia" w:cstheme="majorBidi"/>
      <w:b/>
      <w:color w:val="000000" w:themeColor="text1"/>
      <w:szCs w:val="24"/>
    </w:rPr>
  </w:style>
  <w:style w:type="paragraph" w:styleId="Title">
    <w:name w:val="Title"/>
    <w:basedOn w:val="Normal"/>
    <w:next w:val="Normal"/>
    <w:link w:val="TitleChar"/>
    <w:uiPriority w:val="10"/>
    <w:qFormat/>
    <w:rsid w:val="00394AAF"/>
    <w:pPr>
      <w:spacing w:before="240" w:after="240" w:line="240" w:lineRule="auto"/>
      <w:contextualSpacing/>
    </w:pPr>
    <w:rPr>
      <w:rFonts w:eastAsiaTheme="majorEastAsia" w:cstheme="majorBidi"/>
      <w:b/>
      <w:caps/>
      <w:color w:val="ACC32B"/>
      <w:spacing w:val="5"/>
      <w:kern w:val="28"/>
      <w:sz w:val="96"/>
      <w:szCs w:val="56"/>
    </w:rPr>
  </w:style>
  <w:style w:type="character" w:customStyle="1" w:styleId="TitleChar">
    <w:name w:val="Title Char"/>
    <w:basedOn w:val="DefaultParagraphFont"/>
    <w:link w:val="Title"/>
    <w:uiPriority w:val="10"/>
    <w:rsid w:val="00394AAF"/>
    <w:rPr>
      <w:rFonts w:eastAsiaTheme="majorEastAsia" w:cstheme="majorBidi"/>
      <w:b/>
      <w:caps/>
      <w:color w:val="ACC32B"/>
      <w:spacing w:val="5"/>
      <w:kern w:val="28"/>
      <w:sz w:val="96"/>
      <w:szCs w:val="56"/>
    </w:rPr>
  </w:style>
  <w:style w:type="paragraph" w:styleId="Subtitle">
    <w:name w:val="Subtitle"/>
    <w:basedOn w:val="Normal"/>
    <w:next w:val="Normal"/>
    <w:link w:val="SubtitleChar"/>
    <w:uiPriority w:val="11"/>
    <w:qFormat/>
    <w:rsid w:val="00812291"/>
    <w:pPr>
      <w:numPr>
        <w:ilvl w:val="1"/>
      </w:numPr>
      <w:spacing w:before="240" w:after="240" w:line="240" w:lineRule="auto"/>
    </w:pPr>
    <w:rPr>
      <w:rFonts w:eastAsiaTheme="minorEastAsia"/>
      <w:color w:val="404040" w:themeColor="text1" w:themeTint="BF"/>
      <w:sz w:val="36"/>
    </w:rPr>
  </w:style>
  <w:style w:type="character" w:customStyle="1" w:styleId="SubtitleChar">
    <w:name w:val="Subtitle Char"/>
    <w:basedOn w:val="DefaultParagraphFont"/>
    <w:link w:val="Subtitle"/>
    <w:uiPriority w:val="11"/>
    <w:rsid w:val="00812291"/>
    <w:rPr>
      <w:rFonts w:eastAsiaTheme="minorEastAsia"/>
      <w:color w:val="404040" w:themeColor="text1" w:themeTint="BF"/>
      <w:sz w:val="36"/>
    </w:rPr>
  </w:style>
  <w:style w:type="paragraph" w:styleId="Quote">
    <w:name w:val="Quote"/>
    <w:basedOn w:val="Normal"/>
    <w:next w:val="Normal"/>
    <w:link w:val="QuoteChar"/>
    <w:uiPriority w:val="29"/>
    <w:qFormat/>
    <w:rsid w:val="003C1E24"/>
    <w:pPr>
      <w:ind w:left="958"/>
    </w:pPr>
    <w:rPr>
      <w:i/>
      <w:iCs/>
      <w:color w:val="404040" w:themeColor="text1" w:themeTint="BF"/>
    </w:rPr>
  </w:style>
  <w:style w:type="character" w:customStyle="1" w:styleId="QuoteChar">
    <w:name w:val="Quote Char"/>
    <w:basedOn w:val="DefaultParagraphFont"/>
    <w:link w:val="Quote"/>
    <w:uiPriority w:val="29"/>
    <w:rsid w:val="003C1E24"/>
    <w:rPr>
      <w:i/>
      <w:iCs/>
      <w:color w:val="404040" w:themeColor="text1" w:themeTint="BF"/>
    </w:rPr>
  </w:style>
  <w:style w:type="numbering" w:customStyle="1" w:styleId="Style1">
    <w:name w:val="Style1"/>
    <w:uiPriority w:val="99"/>
    <w:rsid w:val="00030B15"/>
    <w:pPr>
      <w:numPr>
        <w:numId w:val="3"/>
      </w:numPr>
    </w:pPr>
  </w:style>
  <w:style w:type="paragraph" w:styleId="ListParagraph">
    <w:name w:val="List Paragraph"/>
    <w:aliases w:val="Bullets"/>
    <w:basedOn w:val="Normal"/>
    <w:uiPriority w:val="34"/>
    <w:qFormat/>
    <w:rsid w:val="00812291"/>
    <w:pPr>
      <w:numPr>
        <w:numId w:val="4"/>
      </w:numPr>
      <w:contextualSpacing/>
    </w:pPr>
  </w:style>
  <w:style w:type="character" w:styleId="PlaceholderText">
    <w:name w:val="Placeholder Text"/>
    <w:basedOn w:val="DefaultParagraphFont"/>
    <w:uiPriority w:val="99"/>
    <w:semiHidden/>
    <w:rsid w:val="00A20F46"/>
    <w:rPr>
      <w:color w:val="808080"/>
    </w:rPr>
  </w:style>
  <w:style w:type="paragraph" w:customStyle="1" w:styleId="Numberedheading1">
    <w:name w:val="Numbered heading 1"/>
    <w:basedOn w:val="Heading1"/>
    <w:next w:val="Normal"/>
    <w:link w:val="Numberedheading1Char"/>
    <w:qFormat/>
    <w:rsid w:val="003C2768"/>
    <w:pPr>
      <w:numPr>
        <w:numId w:val="5"/>
      </w:numPr>
    </w:pPr>
  </w:style>
  <w:style w:type="paragraph" w:customStyle="1" w:styleId="Numberedheading2">
    <w:name w:val="Numbered heading 2"/>
    <w:basedOn w:val="Heading2"/>
    <w:next w:val="Normal"/>
    <w:link w:val="Numberedheading2Char"/>
    <w:qFormat/>
    <w:rsid w:val="003C2768"/>
    <w:pPr>
      <w:numPr>
        <w:ilvl w:val="1"/>
        <w:numId w:val="5"/>
      </w:numPr>
    </w:pPr>
  </w:style>
  <w:style w:type="character" w:customStyle="1" w:styleId="Numberedheading1Char">
    <w:name w:val="Numbered heading 1 Char"/>
    <w:basedOn w:val="DefaultParagraphFont"/>
    <w:link w:val="Numberedheading1"/>
    <w:rsid w:val="003C2768"/>
    <w:rPr>
      <w:rFonts w:eastAsiaTheme="majorEastAsia" w:cstheme="majorBidi"/>
      <w:b/>
      <w:color w:val="ACC32B"/>
      <w:sz w:val="60"/>
      <w:szCs w:val="32"/>
    </w:rPr>
  </w:style>
  <w:style w:type="paragraph" w:customStyle="1" w:styleId="Numberedheading3">
    <w:name w:val="Numbered heading 3"/>
    <w:basedOn w:val="Heading3"/>
    <w:next w:val="Normal"/>
    <w:link w:val="Numberedheading3Char"/>
    <w:qFormat/>
    <w:rsid w:val="00394AAF"/>
    <w:pPr>
      <w:numPr>
        <w:ilvl w:val="2"/>
        <w:numId w:val="5"/>
      </w:numPr>
    </w:pPr>
  </w:style>
  <w:style w:type="character" w:customStyle="1" w:styleId="Numberedheading2Char">
    <w:name w:val="Numbered heading 2 Char"/>
    <w:basedOn w:val="Heading2Char"/>
    <w:link w:val="Numberedheading2"/>
    <w:rsid w:val="003C2768"/>
    <w:rPr>
      <w:rFonts w:eastAsiaTheme="majorEastAsia" w:cstheme="majorBidi"/>
      <w:b/>
      <w:color w:val="ACC32B"/>
      <w:sz w:val="36"/>
      <w:szCs w:val="26"/>
    </w:rPr>
  </w:style>
  <w:style w:type="paragraph" w:customStyle="1" w:styleId="Numberedheading4">
    <w:name w:val="Numbered heading 4"/>
    <w:basedOn w:val="Numberedheading3"/>
    <w:next w:val="Normal"/>
    <w:link w:val="Numberedheading4Char"/>
    <w:qFormat/>
    <w:rsid w:val="00394AAF"/>
    <w:pPr>
      <w:numPr>
        <w:ilvl w:val="3"/>
      </w:numPr>
    </w:pPr>
  </w:style>
  <w:style w:type="character" w:customStyle="1" w:styleId="Numberedheading3Char">
    <w:name w:val="Numbered heading 3 Char"/>
    <w:basedOn w:val="Numberedheading2Char"/>
    <w:link w:val="Numberedheading3"/>
    <w:rsid w:val="00394AAF"/>
    <w:rPr>
      <w:rFonts w:eastAsiaTheme="majorEastAsia" w:cstheme="majorBidi"/>
      <w:b/>
      <w:color w:val="000000" w:themeColor="text1"/>
      <w:sz w:val="36"/>
      <w:szCs w:val="24"/>
    </w:rPr>
  </w:style>
  <w:style w:type="character" w:customStyle="1" w:styleId="Numberedheading4Char">
    <w:name w:val="Numbered heading 4 Char"/>
    <w:basedOn w:val="Numberedheading3Char"/>
    <w:link w:val="Numberedheading4"/>
    <w:rsid w:val="00394AAF"/>
    <w:rPr>
      <w:rFonts w:eastAsiaTheme="majorEastAsia" w:cstheme="majorBidi"/>
      <w:b/>
      <w:color w:val="000000" w:themeColor="text1"/>
      <w:sz w:val="36"/>
      <w:szCs w:val="24"/>
    </w:rPr>
  </w:style>
  <w:style w:type="table" w:styleId="ListTable2-Accent6">
    <w:name w:val="List Table 2 Accent 6"/>
    <w:basedOn w:val="TableNormal"/>
    <w:uiPriority w:val="47"/>
    <w:rsid w:val="003C1E24"/>
    <w:pPr>
      <w:spacing w:after="0" w:line="240" w:lineRule="auto"/>
    </w:pPr>
    <w:tblPr>
      <w:tblStyleRowBandSize w:val="1"/>
      <w:tblStyleColBandSize w:val="1"/>
      <w:tblBorders>
        <w:top w:val="single" w:sz="4" w:space="0" w:color="ACC32B"/>
        <w:left w:val="single" w:sz="4" w:space="0" w:color="ACC32B"/>
        <w:bottom w:val="single" w:sz="4" w:space="0" w:color="ACC32B"/>
        <w:right w:val="single" w:sz="4" w:space="0" w:color="ACC32B"/>
        <w:insideH w:val="single" w:sz="4" w:space="0" w:color="ACC32B"/>
      </w:tblBorders>
    </w:tblPr>
    <w:tblStylePr w:type="firstRow">
      <w:rPr>
        <w:b/>
        <w:bCs/>
      </w:rPr>
    </w:tblStylePr>
    <w:tblStylePr w:type="lastRow">
      <w:rPr>
        <w:b/>
        <w:bCs/>
      </w:rPr>
    </w:tblStylePr>
    <w:tblStylePr w:type="firstCol">
      <w:rPr>
        <w:b w:val="0"/>
        <w:bCs/>
      </w:rPr>
    </w:tblStylePr>
    <w:tblStylePr w:type="lastCol">
      <w:rPr>
        <w:b/>
        <w:bCs/>
      </w:rPr>
    </w:tblStylePr>
    <w:tblStylePr w:type="band1Horz">
      <w:tblPr/>
      <w:tcPr>
        <w:shd w:val="clear" w:color="auto" w:fill="E8EECA"/>
      </w:tcPr>
    </w:tblStylePr>
  </w:style>
  <w:style w:type="table" w:styleId="ListTable6Colorful-Accent6">
    <w:name w:val="List Table 6 Colorful Accent 6"/>
    <w:basedOn w:val="TableNormal"/>
    <w:uiPriority w:val="51"/>
    <w:rsid w:val="009E52C0"/>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DefaultParagraphFont"/>
    <w:uiPriority w:val="99"/>
    <w:unhideWhenUsed/>
    <w:rsid w:val="008E1C70"/>
    <w:rPr>
      <w:color w:val="0563C1" w:themeColor="hyperlink"/>
      <w:u w:val="single"/>
    </w:rPr>
  </w:style>
  <w:style w:type="paragraph" w:customStyle="1" w:styleId="Default">
    <w:name w:val="Default"/>
    <w:rsid w:val="00101BAF"/>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6A1D3D"/>
    <w:rPr>
      <w:sz w:val="16"/>
      <w:szCs w:val="16"/>
    </w:rPr>
  </w:style>
  <w:style w:type="paragraph" w:styleId="CommentText">
    <w:name w:val="annotation text"/>
    <w:basedOn w:val="Normal"/>
    <w:link w:val="CommentTextChar"/>
    <w:uiPriority w:val="99"/>
    <w:semiHidden/>
    <w:unhideWhenUsed/>
    <w:rsid w:val="006A1D3D"/>
    <w:pPr>
      <w:spacing w:line="240" w:lineRule="auto"/>
    </w:pPr>
    <w:rPr>
      <w:sz w:val="20"/>
      <w:szCs w:val="20"/>
    </w:rPr>
  </w:style>
  <w:style w:type="character" w:customStyle="1" w:styleId="CommentTextChar">
    <w:name w:val="Comment Text Char"/>
    <w:basedOn w:val="DefaultParagraphFont"/>
    <w:link w:val="CommentText"/>
    <w:uiPriority w:val="99"/>
    <w:semiHidden/>
    <w:rsid w:val="006A1D3D"/>
    <w:rPr>
      <w:sz w:val="20"/>
      <w:szCs w:val="20"/>
    </w:rPr>
  </w:style>
  <w:style w:type="paragraph" w:styleId="CommentSubject">
    <w:name w:val="annotation subject"/>
    <w:basedOn w:val="CommentText"/>
    <w:next w:val="CommentText"/>
    <w:link w:val="CommentSubjectChar"/>
    <w:uiPriority w:val="99"/>
    <w:semiHidden/>
    <w:unhideWhenUsed/>
    <w:rsid w:val="006A1D3D"/>
    <w:rPr>
      <w:b/>
      <w:bCs/>
    </w:rPr>
  </w:style>
  <w:style w:type="character" w:customStyle="1" w:styleId="CommentSubjectChar">
    <w:name w:val="Comment Subject Char"/>
    <w:basedOn w:val="CommentTextChar"/>
    <w:link w:val="CommentSubject"/>
    <w:uiPriority w:val="99"/>
    <w:semiHidden/>
    <w:rsid w:val="006A1D3D"/>
    <w:rPr>
      <w:b/>
      <w:bCs/>
      <w:sz w:val="20"/>
      <w:szCs w:val="20"/>
    </w:rPr>
  </w:style>
  <w:style w:type="paragraph" w:styleId="BalloonText">
    <w:name w:val="Balloon Text"/>
    <w:basedOn w:val="Normal"/>
    <w:link w:val="BalloonTextChar"/>
    <w:uiPriority w:val="99"/>
    <w:semiHidden/>
    <w:unhideWhenUsed/>
    <w:rsid w:val="006A1D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1D3D"/>
    <w:rPr>
      <w:rFonts w:ascii="Segoe UI" w:hAnsi="Segoe UI" w:cs="Segoe UI"/>
      <w:sz w:val="18"/>
      <w:szCs w:val="18"/>
    </w:rPr>
  </w:style>
  <w:style w:type="paragraph" w:styleId="FootnoteText">
    <w:name w:val="footnote text"/>
    <w:basedOn w:val="Normal"/>
    <w:link w:val="FootnoteTextChar"/>
    <w:uiPriority w:val="99"/>
    <w:semiHidden/>
    <w:unhideWhenUsed/>
    <w:rsid w:val="000504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0421"/>
    <w:rPr>
      <w:sz w:val="20"/>
      <w:szCs w:val="20"/>
    </w:rPr>
  </w:style>
  <w:style w:type="character" w:styleId="FootnoteReference">
    <w:name w:val="footnote reference"/>
    <w:basedOn w:val="DefaultParagraphFont"/>
    <w:uiPriority w:val="99"/>
    <w:semiHidden/>
    <w:unhideWhenUsed/>
    <w:rsid w:val="00050421"/>
    <w:rPr>
      <w:vertAlign w:val="superscript"/>
    </w:rPr>
  </w:style>
  <w:style w:type="paragraph" w:customStyle="1" w:styleId="AHPRAbody">
    <w:name w:val="AHPRA body"/>
    <w:basedOn w:val="Normal"/>
    <w:link w:val="AHPRAbodyChar"/>
    <w:qFormat/>
    <w:rsid w:val="00E14D21"/>
    <w:pPr>
      <w:spacing w:after="200" w:line="240" w:lineRule="auto"/>
    </w:pPr>
    <w:rPr>
      <w:rFonts w:ascii="Arial" w:eastAsia="Cambria" w:hAnsi="Arial" w:cs="Arial"/>
      <w:sz w:val="20"/>
      <w:szCs w:val="24"/>
    </w:rPr>
  </w:style>
  <w:style w:type="character" w:customStyle="1" w:styleId="AHPRAbodyChar">
    <w:name w:val="AHPRA body Char"/>
    <w:basedOn w:val="DefaultParagraphFont"/>
    <w:link w:val="AHPRAbody"/>
    <w:rsid w:val="00E14D21"/>
    <w:rPr>
      <w:rFonts w:ascii="Arial" w:eastAsia="Cambria" w:hAnsi="Arial" w:cs="Arial"/>
      <w:sz w:val="20"/>
      <w:szCs w:val="24"/>
    </w:rPr>
  </w:style>
  <w:style w:type="character" w:styleId="FollowedHyperlink">
    <w:name w:val="FollowedHyperlink"/>
    <w:basedOn w:val="DefaultParagraphFont"/>
    <w:uiPriority w:val="99"/>
    <w:semiHidden/>
    <w:unhideWhenUsed/>
    <w:rsid w:val="000C03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698295">
      <w:bodyDiv w:val="1"/>
      <w:marLeft w:val="0"/>
      <w:marRight w:val="0"/>
      <w:marTop w:val="0"/>
      <w:marBottom w:val="0"/>
      <w:divBdr>
        <w:top w:val="none" w:sz="0" w:space="0" w:color="auto"/>
        <w:left w:val="none" w:sz="0" w:space="0" w:color="auto"/>
        <w:bottom w:val="none" w:sz="0" w:space="0" w:color="auto"/>
        <w:right w:val="none" w:sz="0" w:space="0" w:color="auto"/>
      </w:divBdr>
    </w:div>
    <w:div w:id="689842043">
      <w:bodyDiv w:val="1"/>
      <w:marLeft w:val="0"/>
      <w:marRight w:val="0"/>
      <w:marTop w:val="0"/>
      <w:marBottom w:val="0"/>
      <w:divBdr>
        <w:top w:val="none" w:sz="0" w:space="0" w:color="auto"/>
        <w:left w:val="none" w:sz="0" w:space="0" w:color="auto"/>
        <w:bottom w:val="none" w:sz="0" w:space="0" w:color="auto"/>
        <w:right w:val="none" w:sz="0" w:space="0" w:color="auto"/>
      </w:divBdr>
    </w:div>
    <w:div w:id="193154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un.org/development/desa/disabilities/resources/handbook-for-parliamentarians-on-the-convention-on-the-rights-of-persons-with-disabilities/chapter-six-from-provisions-to-practice-implementing-the-convention-5.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8E6874692741F187B989689A81FC8E"/>
        <w:category>
          <w:name w:val="General"/>
          <w:gallery w:val="placeholder"/>
        </w:category>
        <w:types>
          <w:type w:val="bbPlcHdr"/>
        </w:types>
        <w:behaviors>
          <w:behavior w:val="content"/>
        </w:behaviors>
        <w:guid w:val="{E3DFCF09-90F3-4D1B-ABAD-CC9C9A76604D}"/>
      </w:docPartPr>
      <w:docPartBody>
        <w:p w:rsidR="00245E93" w:rsidRDefault="00245E93">
          <w:pPr>
            <w:pStyle w:val="708E6874692741F187B989689A81FC8E"/>
          </w:pPr>
          <w:r w:rsidRPr="001547C5">
            <w:rPr>
              <w:rStyle w:val="PlaceholderText"/>
            </w:rPr>
            <w:t>[Title]</w:t>
          </w:r>
        </w:p>
      </w:docPartBody>
    </w:docPart>
    <w:docPart>
      <w:docPartPr>
        <w:name w:val="254844EE66194FB587CBBBB4D384613C"/>
        <w:category>
          <w:name w:val="General"/>
          <w:gallery w:val="placeholder"/>
        </w:category>
        <w:types>
          <w:type w:val="bbPlcHdr"/>
        </w:types>
        <w:behaviors>
          <w:behavior w:val="content"/>
        </w:behaviors>
        <w:guid w:val="{A6779E65-8CB2-4FE0-B7E8-7E09CCBDBBA8}"/>
      </w:docPartPr>
      <w:docPartBody>
        <w:p w:rsidR="00016AC2" w:rsidRDefault="00243197" w:rsidP="00243197">
          <w:pPr>
            <w:pStyle w:val="254844EE66194FB587CBBBB4D384613C"/>
          </w:pPr>
          <w:r w:rsidRPr="001547C5">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MTSt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E93"/>
    <w:rsid w:val="00016AC2"/>
    <w:rsid w:val="00243197"/>
    <w:rsid w:val="00245E93"/>
    <w:rsid w:val="00A22279"/>
    <w:rsid w:val="00B15CAF"/>
    <w:rsid w:val="00D520C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3197"/>
    <w:rPr>
      <w:color w:val="808080"/>
    </w:rPr>
  </w:style>
  <w:style w:type="paragraph" w:customStyle="1" w:styleId="708E6874692741F187B989689A81FC8E">
    <w:name w:val="708E6874692741F187B989689A81FC8E"/>
  </w:style>
  <w:style w:type="paragraph" w:customStyle="1" w:styleId="7DBAFEE85E2E4310864C9BF139EE489E">
    <w:name w:val="7DBAFEE85E2E4310864C9BF139EE489E"/>
  </w:style>
  <w:style w:type="paragraph" w:customStyle="1" w:styleId="351FF4920AC148DE9DB1BBA2F561A1A0">
    <w:name w:val="351FF4920AC148DE9DB1BBA2F561A1A0"/>
    <w:rsid w:val="00B15CAF"/>
  </w:style>
  <w:style w:type="paragraph" w:customStyle="1" w:styleId="BDEDC7AF29F5413B94A43FFC5138C221">
    <w:name w:val="BDEDC7AF29F5413B94A43FFC5138C221"/>
    <w:rsid w:val="00243197"/>
  </w:style>
  <w:style w:type="paragraph" w:customStyle="1" w:styleId="254844EE66194FB587CBBBB4D384613C">
    <w:name w:val="254844EE66194FB587CBBBB4D384613C"/>
    <w:rsid w:val="002431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5D606468557747834AEA9DABA85D3C" ma:contentTypeVersion="0" ma:contentTypeDescription="Create a new document." ma:contentTypeScope="" ma:versionID="4538f0bc5ae9d660900fcecdabc58f9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87B04-617F-443A-9C8A-E961E28E1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75814C6-757C-4C8A-84DE-1D7F190293B2}">
  <ds:schemaRefs>
    <ds:schemaRef ds:uri="http://schemas.microsoft.com/office/2006/metadata/properties"/>
    <ds:schemaRef ds:uri="http://schemas.microsoft.com/office/infopath/2007/PartnerControls"/>
    <ds:schemaRef ds:uri="http://purl.org/dc/dcmitype/"/>
    <ds:schemaRef ds:uri="http://purl.org/dc/elements/1.1/"/>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0FA28C6-B8C1-46CA-B135-B81141A5F1C1}">
  <ds:schemaRefs>
    <ds:schemaRef ds:uri="http://schemas.microsoft.com/sharepoint/v3/contenttype/forms"/>
  </ds:schemaRefs>
</ds:datastoreItem>
</file>

<file path=customXml/itemProps4.xml><?xml version="1.0" encoding="utf-8"?>
<ds:datastoreItem xmlns:ds="http://schemas.openxmlformats.org/officeDocument/2006/customXml" ds:itemID="{13FD2A8F-3D06-4D08-8427-47223D2E6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1000</Words>
  <Characters>5323</Characters>
  <Application>Microsoft Office Word</Application>
  <DocSecurity>0</DocSecurity>
  <Lines>110</Lines>
  <Paragraphs>45</Paragraphs>
  <ScaleCrop>false</ScaleCrop>
  <HeadingPairs>
    <vt:vector size="2" baseType="variant">
      <vt:variant>
        <vt:lpstr>Title</vt:lpstr>
      </vt:variant>
      <vt:variant>
        <vt:i4>1</vt:i4>
      </vt:variant>
    </vt:vector>
  </HeadingPairs>
  <TitlesOfParts>
    <vt:vector size="1" baseType="lpstr">
      <vt:lpstr>ACN Submission to THE</vt:lpstr>
    </vt:vector>
  </TitlesOfParts>
  <Company>Australian College of Nursing</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ACN Submission to THE</dc:title>
  <dc:subject/>
  <dc:creator>Genevieve Gerrett</dc:creator>
  <cp:keywords/>
  <dc:description/>
  <cp:lastModifiedBy>Brett Cremer</cp:lastModifiedBy>
  <cp:revision>2</cp:revision>
  <dcterms:created xsi:type="dcterms:W3CDTF">2019-10-31T22:47:00Z</dcterms:created>
  <dcterms:modified xsi:type="dcterms:W3CDTF">2019-10-31T22:47:00Z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February 2019</vt:lpwstr>
  </property>
  <property fmtid="{D5CDD505-2E9C-101B-9397-08002B2CF9AE}" pid="3" name="ContentTypeId">
    <vt:lpwstr>0x010100225D606468557747834AEA9DABA85D3C</vt:lpwstr>
  </property>
</Properties>
</file>