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7B38E" w14:textId="77777777" w:rsidR="003439FB" w:rsidRDefault="003439FB" w:rsidP="003439FB">
      <w:pPr>
        <w:pStyle w:val="AHPRADocumenttitle"/>
        <w:ind w:left="-1418" w:right="5765" w:firstLine="1418"/>
        <w:rPr>
          <w:sz w:val="28"/>
        </w:rPr>
      </w:pPr>
      <w:bookmarkStart w:id="0" w:name="_GoBack"/>
      <w:bookmarkEnd w:id="0"/>
    </w:p>
    <w:p w14:paraId="6C2BAB03" w14:textId="5E9FFE17" w:rsidR="00C35DE1" w:rsidRPr="00565612" w:rsidRDefault="00F22948" w:rsidP="003439FB">
      <w:pPr>
        <w:pStyle w:val="AHPRADocumenttitle"/>
        <w:pBdr>
          <w:bottom w:val="single" w:sz="4" w:space="1" w:color="auto"/>
        </w:pBdr>
        <w:ind w:left="-1418" w:right="6474" w:firstLine="1418"/>
        <w:rPr>
          <w:sz w:val="28"/>
        </w:rPr>
      </w:pPr>
      <w:r>
        <w:rPr>
          <w:sz w:val="28"/>
        </w:rPr>
        <w:t>P</w:t>
      </w:r>
      <w:r w:rsidR="00904901">
        <w:rPr>
          <w:sz w:val="28"/>
        </w:rPr>
        <w:t>ublic</w:t>
      </w:r>
      <w:r w:rsidR="00246D8C" w:rsidRPr="00565612">
        <w:rPr>
          <w:sz w:val="28"/>
        </w:rPr>
        <w:t xml:space="preserve"> consultation</w:t>
      </w:r>
    </w:p>
    <w:p w14:paraId="45E58BFB" w14:textId="77777777" w:rsidR="000F731E" w:rsidRDefault="000F731E" w:rsidP="003439FB">
      <w:pPr>
        <w:pStyle w:val="AHPRAbodytext"/>
      </w:pPr>
    </w:p>
    <w:p w14:paraId="624C7717" w14:textId="6190A3D9" w:rsidR="00C35DE1" w:rsidRPr="00C2396E" w:rsidRDefault="00DF4731" w:rsidP="003439FB">
      <w:pPr>
        <w:pStyle w:val="AHPRAbodytext"/>
      </w:pPr>
      <w:r>
        <w:t>5</w:t>
      </w:r>
      <w:r w:rsidR="00AC27E9">
        <w:t xml:space="preserve"> September 2019</w:t>
      </w:r>
    </w:p>
    <w:p w14:paraId="2A81A7DD" w14:textId="0E894DD1" w:rsidR="00310F25" w:rsidRDefault="00904901" w:rsidP="003439FB">
      <w:pPr>
        <w:pStyle w:val="AHPRADocumentsubheading"/>
        <w:spacing w:after="240"/>
      </w:pPr>
      <w:r>
        <w:t>Public c</w:t>
      </w:r>
      <w:r w:rsidR="007C0799">
        <w:t>onsultation o</w:t>
      </w:r>
      <w:r>
        <w:t>n</w:t>
      </w:r>
      <w:r w:rsidR="007C0799">
        <w:t xml:space="preserve"> d</w:t>
      </w:r>
      <w:r w:rsidR="00C37A7C">
        <w:t xml:space="preserve">raft </w:t>
      </w:r>
      <w:r w:rsidR="006445EB">
        <w:t xml:space="preserve">guidelines for registered </w:t>
      </w:r>
      <w:r w:rsidR="000B7279">
        <w:t>dental, medical, nursing and midwifery, paramedic and podiatric</w:t>
      </w:r>
      <w:r w:rsidR="006445EB">
        <w:t xml:space="preserve"> practitioners and students in relation to blood-borne viruses </w:t>
      </w:r>
    </w:p>
    <w:p w14:paraId="7E91F575" w14:textId="447B1076" w:rsidR="00565612" w:rsidRDefault="00EA2E12" w:rsidP="003439FB">
      <w:pPr>
        <w:pStyle w:val="Default"/>
        <w:spacing w:before="200" w:after="200"/>
        <w:rPr>
          <w:iCs/>
          <w:sz w:val="20"/>
          <w:szCs w:val="20"/>
        </w:rPr>
      </w:pPr>
      <w:r>
        <w:rPr>
          <w:sz w:val="20"/>
          <w:szCs w:val="20"/>
        </w:rPr>
        <w:t xml:space="preserve">This </w:t>
      </w:r>
      <w:r w:rsidR="00FA1E5A" w:rsidRPr="00FA1E5A">
        <w:rPr>
          <w:sz w:val="20"/>
          <w:szCs w:val="20"/>
        </w:rPr>
        <w:t>consul</w:t>
      </w:r>
      <w:r w:rsidR="00816EDF">
        <w:rPr>
          <w:sz w:val="20"/>
          <w:szCs w:val="20"/>
        </w:rPr>
        <w:t xml:space="preserve">tation paper </w:t>
      </w:r>
      <w:r>
        <w:rPr>
          <w:sz w:val="20"/>
          <w:szCs w:val="20"/>
        </w:rPr>
        <w:t xml:space="preserve">released by the </w:t>
      </w:r>
      <w:r w:rsidR="007C0799" w:rsidRPr="00565612">
        <w:rPr>
          <w:sz w:val="20"/>
          <w:szCs w:val="20"/>
        </w:rPr>
        <w:t>Dental, Medical, Nursing and Midwifery, Paramedic</w:t>
      </w:r>
      <w:r w:rsidR="00901BEE">
        <w:rPr>
          <w:sz w:val="20"/>
          <w:szCs w:val="20"/>
        </w:rPr>
        <w:t>ine</w:t>
      </w:r>
      <w:r w:rsidR="00565612">
        <w:rPr>
          <w:sz w:val="20"/>
          <w:szCs w:val="20"/>
        </w:rPr>
        <w:t xml:space="preserve"> and</w:t>
      </w:r>
      <w:r w:rsidR="007C0799" w:rsidRPr="00565612">
        <w:rPr>
          <w:sz w:val="20"/>
          <w:szCs w:val="20"/>
        </w:rPr>
        <w:t xml:space="preserve"> Podiatry</w:t>
      </w:r>
      <w:r w:rsidR="006445EB">
        <w:rPr>
          <w:sz w:val="20"/>
          <w:szCs w:val="20"/>
        </w:rPr>
        <w:t xml:space="preserve"> </w:t>
      </w:r>
      <w:r>
        <w:rPr>
          <w:sz w:val="20"/>
          <w:szCs w:val="20"/>
        </w:rPr>
        <w:t>Board</w:t>
      </w:r>
      <w:r w:rsidR="00565612">
        <w:rPr>
          <w:sz w:val="20"/>
          <w:szCs w:val="20"/>
        </w:rPr>
        <w:t>s</w:t>
      </w:r>
      <w:r>
        <w:rPr>
          <w:sz w:val="20"/>
          <w:szCs w:val="20"/>
        </w:rPr>
        <w:t xml:space="preserve"> of Australia </w:t>
      </w:r>
      <w:r w:rsidR="00816EDF">
        <w:rPr>
          <w:sz w:val="20"/>
          <w:szCs w:val="20"/>
        </w:rPr>
        <w:t>seek</w:t>
      </w:r>
      <w:r w:rsidR="000B7279">
        <w:rPr>
          <w:sz w:val="20"/>
          <w:szCs w:val="20"/>
        </w:rPr>
        <w:t>s</w:t>
      </w:r>
      <w:r w:rsidR="00816EDF">
        <w:rPr>
          <w:sz w:val="20"/>
          <w:szCs w:val="20"/>
        </w:rPr>
        <w:t xml:space="preserve"> feedback on </w:t>
      </w:r>
      <w:r w:rsidR="00FA1E5A" w:rsidRPr="003211E4">
        <w:rPr>
          <w:sz w:val="20"/>
          <w:szCs w:val="20"/>
        </w:rPr>
        <w:t xml:space="preserve">draft </w:t>
      </w:r>
      <w:r w:rsidR="005A3F35" w:rsidRPr="000B2F6E">
        <w:rPr>
          <w:i/>
          <w:iCs/>
          <w:sz w:val="20"/>
          <w:szCs w:val="20"/>
        </w:rPr>
        <w:t>G</w:t>
      </w:r>
      <w:r w:rsidR="0030335E" w:rsidRPr="000B2F6E">
        <w:rPr>
          <w:i/>
          <w:iCs/>
          <w:sz w:val="20"/>
          <w:szCs w:val="20"/>
        </w:rPr>
        <w:t>uidelines</w:t>
      </w:r>
      <w:r w:rsidR="006445EB" w:rsidRPr="000B2F6E">
        <w:rPr>
          <w:i/>
          <w:iCs/>
          <w:sz w:val="20"/>
          <w:szCs w:val="20"/>
        </w:rPr>
        <w:t xml:space="preserve"> for registered health practitioners and students in relation to blood-borne viruses</w:t>
      </w:r>
      <w:r w:rsidR="005A3F35">
        <w:rPr>
          <w:i/>
          <w:iCs/>
          <w:sz w:val="20"/>
          <w:szCs w:val="20"/>
        </w:rPr>
        <w:t xml:space="preserve"> </w:t>
      </w:r>
      <w:r w:rsidR="005A3F35" w:rsidRPr="000B2F6E">
        <w:rPr>
          <w:iCs/>
          <w:sz w:val="20"/>
          <w:szCs w:val="20"/>
        </w:rPr>
        <w:t>(the draft guidelines)</w:t>
      </w:r>
      <w:r w:rsidR="006445EB">
        <w:rPr>
          <w:iCs/>
          <w:sz w:val="20"/>
          <w:szCs w:val="20"/>
        </w:rPr>
        <w:t xml:space="preserve">. </w:t>
      </w:r>
    </w:p>
    <w:p w14:paraId="531CE008" w14:textId="30340767" w:rsidR="001023A8" w:rsidRDefault="001023A8" w:rsidP="003439FB">
      <w:pPr>
        <w:pStyle w:val="Default"/>
        <w:spacing w:before="200" w:after="200"/>
        <w:rPr>
          <w:iCs/>
          <w:sz w:val="20"/>
          <w:szCs w:val="20"/>
        </w:rPr>
      </w:pPr>
      <w:r>
        <w:rPr>
          <w:iCs/>
          <w:sz w:val="20"/>
          <w:szCs w:val="20"/>
        </w:rPr>
        <w:t xml:space="preserve">The draft guidelines are intended to support practitioners in these professions to comply with the </w:t>
      </w:r>
      <w:r w:rsidRPr="00A448EE">
        <w:rPr>
          <w:sz w:val="20"/>
          <w:szCs w:val="20"/>
        </w:rPr>
        <w:t>C</w:t>
      </w:r>
      <w:r>
        <w:rPr>
          <w:sz w:val="20"/>
          <w:szCs w:val="20"/>
        </w:rPr>
        <w:t xml:space="preserve">ommunicable </w:t>
      </w:r>
      <w:r w:rsidRPr="00A448EE">
        <w:rPr>
          <w:sz w:val="20"/>
          <w:szCs w:val="20"/>
        </w:rPr>
        <w:t>D</w:t>
      </w:r>
      <w:r>
        <w:rPr>
          <w:sz w:val="20"/>
          <w:szCs w:val="20"/>
        </w:rPr>
        <w:t xml:space="preserve">iseases </w:t>
      </w:r>
      <w:r w:rsidRPr="00A448EE">
        <w:rPr>
          <w:sz w:val="20"/>
          <w:szCs w:val="20"/>
        </w:rPr>
        <w:t>N</w:t>
      </w:r>
      <w:r>
        <w:rPr>
          <w:sz w:val="20"/>
          <w:szCs w:val="20"/>
        </w:rPr>
        <w:t xml:space="preserve">etwork </w:t>
      </w:r>
      <w:r w:rsidRPr="00A448EE">
        <w:rPr>
          <w:sz w:val="20"/>
          <w:szCs w:val="20"/>
        </w:rPr>
        <w:t>A</w:t>
      </w:r>
      <w:r>
        <w:rPr>
          <w:sz w:val="20"/>
          <w:szCs w:val="20"/>
        </w:rPr>
        <w:t xml:space="preserve">ustralia </w:t>
      </w:r>
      <w:r w:rsidRPr="00712C32">
        <w:rPr>
          <w:i/>
          <w:sz w:val="20"/>
          <w:szCs w:val="20"/>
        </w:rPr>
        <w:t>Australian national guidelines for the management of healthcare workers living with blood borne viruses and healthcare workers who perform exposure prone procedures at risk of exposure to blood borne viruses</w:t>
      </w:r>
      <w:r>
        <w:rPr>
          <w:i/>
          <w:sz w:val="20"/>
          <w:szCs w:val="20"/>
        </w:rPr>
        <w:t xml:space="preserve"> </w:t>
      </w:r>
      <w:r>
        <w:rPr>
          <w:sz w:val="20"/>
          <w:szCs w:val="20"/>
        </w:rPr>
        <w:t>(</w:t>
      </w:r>
      <w:r w:rsidR="00353F6F">
        <w:rPr>
          <w:sz w:val="20"/>
          <w:szCs w:val="20"/>
        </w:rPr>
        <w:t xml:space="preserve">the </w:t>
      </w:r>
      <w:r>
        <w:rPr>
          <w:sz w:val="20"/>
          <w:szCs w:val="20"/>
        </w:rPr>
        <w:t>CDNA guidelines).</w:t>
      </w:r>
    </w:p>
    <w:p w14:paraId="6AA79966" w14:textId="77777777" w:rsidR="00565612" w:rsidRPr="00565612" w:rsidRDefault="00565612" w:rsidP="003439FB">
      <w:pPr>
        <w:pStyle w:val="Default"/>
        <w:spacing w:before="200" w:after="200"/>
        <w:rPr>
          <w:iCs/>
          <w:sz w:val="20"/>
          <w:szCs w:val="20"/>
        </w:rPr>
      </w:pPr>
      <w:r>
        <w:rPr>
          <w:iCs/>
          <w:sz w:val="20"/>
          <w:szCs w:val="20"/>
        </w:rPr>
        <w:t>The Boards participating in this consultation all regulate practitioners whose scope of practice may include exposure-prone procedures.</w:t>
      </w:r>
    </w:p>
    <w:p w14:paraId="44A31F79" w14:textId="77777777" w:rsidR="00FA1E5A" w:rsidRDefault="00FA1E5A" w:rsidP="003439FB">
      <w:pPr>
        <w:pStyle w:val="Default"/>
        <w:spacing w:before="200" w:after="200"/>
        <w:rPr>
          <w:sz w:val="20"/>
          <w:szCs w:val="20"/>
        </w:rPr>
      </w:pPr>
      <w:r>
        <w:rPr>
          <w:sz w:val="20"/>
          <w:szCs w:val="20"/>
        </w:rPr>
        <w:t xml:space="preserve">The </w:t>
      </w:r>
      <w:r w:rsidR="00C37A7C">
        <w:rPr>
          <w:sz w:val="20"/>
          <w:szCs w:val="20"/>
        </w:rPr>
        <w:t xml:space="preserve">National </w:t>
      </w:r>
      <w:r>
        <w:rPr>
          <w:sz w:val="20"/>
          <w:szCs w:val="20"/>
        </w:rPr>
        <w:t>Law</w:t>
      </w:r>
      <w:r w:rsidR="00C37A7C">
        <w:rPr>
          <w:rStyle w:val="FootnoteReference"/>
          <w:sz w:val="20"/>
          <w:szCs w:val="20"/>
        </w:rPr>
        <w:footnoteReference w:id="2"/>
      </w:r>
      <w:r>
        <w:rPr>
          <w:sz w:val="20"/>
          <w:szCs w:val="20"/>
        </w:rPr>
        <w:t xml:space="preserve">, empowers the National Boards to develop </w:t>
      </w:r>
      <w:r w:rsidR="0013456F">
        <w:rPr>
          <w:sz w:val="20"/>
          <w:szCs w:val="20"/>
        </w:rPr>
        <w:t>a</w:t>
      </w:r>
      <w:r w:rsidR="00B170C7">
        <w:rPr>
          <w:sz w:val="20"/>
          <w:szCs w:val="20"/>
        </w:rPr>
        <w:t>nd approve codes and guidelines</w:t>
      </w:r>
      <w:r w:rsidR="00816EDF">
        <w:rPr>
          <w:sz w:val="20"/>
          <w:szCs w:val="20"/>
        </w:rPr>
        <w:t xml:space="preserve"> </w:t>
      </w:r>
      <w:r w:rsidR="0013456F">
        <w:rPr>
          <w:sz w:val="20"/>
          <w:szCs w:val="20"/>
        </w:rPr>
        <w:t xml:space="preserve">to </w:t>
      </w:r>
      <w:r w:rsidR="009C09E8">
        <w:rPr>
          <w:sz w:val="20"/>
          <w:szCs w:val="20"/>
        </w:rPr>
        <w:t>provide guidance to health practitioners</w:t>
      </w:r>
      <w:r w:rsidR="00816EDF">
        <w:rPr>
          <w:sz w:val="20"/>
          <w:szCs w:val="20"/>
        </w:rPr>
        <w:t xml:space="preserve">. </w:t>
      </w:r>
      <w:r w:rsidRPr="00816EDF">
        <w:rPr>
          <w:sz w:val="20"/>
          <w:szCs w:val="20"/>
        </w:rPr>
        <w:t xml:space="preserve">The National Law requires </w:t>
      </w:r>
      <w:r w:rsidR="0013456F" w:rsidRPr="00816EDF">
        <w:rPr>
          <w:sz w:val="20"/>
          <w:szCs w:val="20"/>
        </w:rPr>
        <w:t xml:space="preserve">National </w:t>
      </w:r>
      <w:r w:rsidRPr="00816EDF">
        <w:rPr>
          <w:sz w:val="20"/>
          <w:szCs w:val="20"/>
        </w:rPr>
        <w:t>Boards to ensure there is wide-ranging consultation on the content of any proposed registration standard, code or guideline.</w:t>
      </w:r>
    </w:p>
    <w:p w14:paraId="002C5ABA" w14:textId="00A42B41" w:rsidR="00EA2E12" w:rsidRDefault="00816EDF" w:rsidP="003439FB">
      <w:pPr>
        <w:pStyle w:val="Default"/>
        <w:spacing w:before="200" w:after="200"/>
        <w:rPr>
          <w:sz w:val="20"/>
          <w:szCs w:val="20"/>
        </w:rPr>
      </w:pPr>
      <w:r>
        <w:rPr>
          <w:sz w:val="20"/>
          <w:szCs w:val="20"/>
        </w:rPr>
        <w:t xml:space="preserve">The </w:t>
      </w:r>
      <w:r w:rsidR="007C0799" w:rsidRPr="00565612">
        <w:rPr>
          <w:sz w:val="20"/>
          <w:szCs w:val="20"/>
        </w:rPr>
        <w:t>Dental, Medical, Nursing and Midwifery, Paramedic</w:t>
      </w:r>
      <w:r w:rsidR="00901BEE">
        <w:rPr>
          <w:sz w:val="20"/>
          <w:szCs w:val="20"/>
        </w:rPr>
        <w:t>ine and</w:t>
      </w:r>
      <w:r w:rsidR="007C0799" w:rsidRPr="00565612">
        <w:rPr>
          <w:sz w:val="20"/>
          <w:szCs w:val="20"/>
        </w:rPr>
        <w:t xml:space="preserve"> Podiatry</w:t>
      </w:r>
      <w:r>
        <w:rPr>
          <w:sz w:val="20"/>
          <w:szCs w:val="20"/>
        </w:rPr>
        <w:t xml:space="preserve"> Board</w:t>
      </w:r>
      <w:r w:rsidR="00565612">
        <w:rPr>
          <w:sz w:val="20"/>
          <w:szCs w:val="20"/>
        </w:rPr>
        <w:t>s</w:t>
      </w:r>
      <w:r>
        <w:rPr>
          <w:sz w:val="20"/>
          <w:szCs w:val="20"/>
        </w:rPr>
        <w:t xml:space="preserve"> of Australia</w:t>
      </w:r>
      <w:r w:rsidR="00565612">
        <w:rPr>
          <w:sz w:val="20"/>
          <w:szCs w:val="20"/>
        </w:rPr>
        <w:t xml:space="preserve"> are</w:t>
      </w:r>
      <w:r>
        <w:rPr>
          <w:sz w:val="20"/>
          <w:szCs w:val="20"/>
        </w:rPr>
        <w:t xml:space="preserve"> inviting general comments on </w:t>
      </w:r>
      <w:r w:rsidR="001023A8">
        <w:rPr>
          <w:sz w:val="20"/>
          <w:szCs w:val="20"/>
        </w:rPr>
        <w:t xml:space="preserve">the </w:t>
      </w:r>
      <w:r>
        <w:rPr>
          <w:sz w:val="20"/>
          <w:szCs w:val="20"/>
        </w:rPr>
        <w:t>draft guideline</w:t>
      </w:r>
      <w:r w:rsidR="00737946">
        <w:rPr>
          <w:sz w:val="20"/>
          <w:szCs w:val="20"/>
        </w:rPr>
        <w:t>s</w:t>
      </w:r>
      <w:r w:rsidR="00EA2E12">
        <w:rPr>
          <w:sz w:val="20"/>
          <w:szCs w:val="20"/>
        </w:rPr>
        <w:t xml:space="preserve"> </w:t>
      </w:r>
      <w:r w:rsidR="006445EB">
        <w:rPr>
          <w:sz w:val="20"/>
          <w:szCs w:val="20"/>
        </w:rPr>
        <w:t xml:space="preserve">for </w:t>
      </w:r>
      <w:r w:rsidR="00565612">
        <w:rPr>
          <w:sz w:val="20"/>
          <w:szCs w:val="20"/>
        </w:rPr>
        <w:t xml:space="preserve">the </w:t>
      </w:r>
      <w:r w:rsidR="006445EB" w:rsidRPr="00730E52">
        <w:rPr>
          <w:sz w:val="20"/>
          <w:szCs w:val="20"/>
        </w:rPr>
        <w:t>health</w:t>
      </w:r>
      <w:r w:rsidR="006445EB">
        <w:rPr>
          <w:sz w:val="20"/>
          <w:szCs w:val="20"/>
        </w:rPr>
        <w:t xml:space="preserve"> practitioners </w:t>
      </w:r>
      <w:r w:rsidR="00565612">
        <w:rPr>
          <w:sz w:val="20"/>
          <w:szCs w:val="20"/>
        </w:rPr>
        <w:t xml:space="preserve">that they register, </w:t>
      </w:r>
      <w:r w:rsidR="006445EB">
        <w:rPr>
          <w:sz w:val="20"/>
          <w:szCs w:val="20"/>
        </w:rPr>
        <w:t xml:space="preserve">in relation to blood-borne viruses. </w:t>
      </w:r>
      <w:r>
        <w:rPr>
          <w:sz w:val="20"/>
          <w:szCs w:val="20"/>
        </w:rPr>
        <w:t>The</w:t>
      </w:r>
      <w:r w:rsidR="0030335E">
        <w:rPr>
          <w:sz w:val="20"/>
          <w:szCs w:val="20"/>
        </w:rPr>
        <w:t xml:space="preserve">re are also specific questions </w:t>
      </w:r>
      <w:r>
        <w:rPr>
          <w:sz w:val="20"/>
          <w:szCs w:val="20"/>
        </w:rPr>
        <w:t>which you may w</w:t>
      </w:r>
      <w:r w:rsidR="00A448EE">
        <w:rPr>
          <w:sz w:val="20"/>
          <w:szCs w:val="20"/>
        </w:rPr>
        <w:t>ish to address in your response:</w:t>
      </w:r>
    </w:p>
    <w:p w14:paraId="063BCB07" w14:textId="3693173F" w:rsidR="00A448EE" w:rsidRDefault="001023A8" w:rsidP="002F1BC7">
      <w:pPr>
        <w:pStyle w:val="ListParagraph"/>
        <w:numPr>
          <w:ilvl w:val="0"/>
          <w:numId w:val="19"/>
        </w:numPr>
        <w:autoSpaceDE w:val="0"/>
        <w:autoSpaceDN w:val="0"/>
        <w:adjustRightInd w:val="0"/>
        <w:spacing w:before="200"/>
        <w:rPr>
          <w:rFonts w:cs="Arial"/>
          <w:color w:val="000000"/>
          <w:sz w:val="20"/>
          <w:szCs w:val="20"/>
        </w:rPr>
      </w:pPr>
      <w:r>
        <w:rPr>
          <w:rFonts w:cs="Arial"/>
          <w:color w:val="000000"/>
          <w:sz w:val="20"/>
          <w:szCs w:val="20"/>
        </w:rPr>
        <w:t>Are the</w:t>
      </w:r>
      <w:r w:rsidR="00A448EE" w:rsidRPr="00A448EE">
        <w:rPr>
          <w:rFonts w:cs="Arial"/>
          <w:color w:val="000000"/>
          <w:sz w:val="20"/>
          <w:szCs w:val="20"/>
        </w:rPr>
        <w:t xml:space="preserve"> </w:t>
      </w:r>
      <w:r w:rsidR="005A3F35">
        <w:rPr>
          <w:rFonts w:cs="Arial"/>
          <w:color w:val="000000"/>
          <w:sz w:val="20"/>
          <w:szCs w:val="20"/>
        </w:rPr>
        <w:t>draft</w:t>
      </w:r>
      <w:r>
        <w:rPr>
          <w:rFonts w:cs="Arial"/>
          <w:color w:val="000000"/>
          <w:sz w:val="20"/>
          <w:szCs w:val="20"/>
        </w:rPr>
        <w:t xml:space="preserve"> </w:t>
      </w:r>
      <w:r w:rsidR="00A448EE" w:rsidRPr="00A448EE">
        <w:rPr>
          <w:rFonts w:cs="Arial"/>
          <w:color w:val="000000"/>
          <w:sz w:val="20"/>
          <w:szCs w:val="20"/>
        </w:rPr>
        <w:t>guideline</w:t>
      </w:r>
      <w:r>
        <w:rPr>
          <w:rFonts w:cs="Arial"/>
          <w:color w:val="000000"/>
          <w:sz w:val="20"/>
          <w:szCs w:val="20"/>
        </w:rPr>
        <w:t>s</w:t>
      </w:r>
      <w:r w:rsidR="00A448EE" w:rsidRPr="00A448EE">
        <w:rPr>
          <w:rFonts w:cs="Arial"/>
          <w:color w:val="000000"/>
          <w:sz w:val="20"/>
          <w:szCs w:val="20"/>
        </w:rPr>
        <w:t xml:space="preserve"> necessary? </w:t>
      </w:r>
    </w:p>
    <w:p w14:paraId="43EFA966" w14:textId="77777777" w:rsidR="00C522E0" w:rsidRPr="00A448EE" w:rsidRDefault="00C522E0" w:rsidP="003439FB">
      <w:pPr>
        <w:pStyle w:val="ListParagraph"/>
        <w:autoSpaceDE w:val="0"/>
        <w:autoSpaceDN w:val="0"/>
        <w:adjustRightInd w:val="0"/>
        <w:spacing w:before="200"/>
        <w:ind w:left="360"/>
        <w:rPr>
          <w:rFonts w:cs="Arial"/>
          <w:color w:val="000000"/>
          <w:sz w:val="20"/>
          <w:szCs w:val="20"/>
        </w:rPr>
      </w:pPr>
    </w:p>
    <w:p w14:paraId="788E9249" w14:textId="5C427BE7" w:rsidR="00A448EE" w:rsidRDefault="00A448EE" w:rsidP="002F1BC7">
      <w:pPr>
        <w:pStyle w:val="ListParagraph"/>
        <w:numPr>
          <w:ilvl w:val="0"/>
          <w:numId w:val="19"/>
        </w:numPr>
        <w:autoSpaceDE w:val="0"/>
        <w:autoSpaceDN w:val="0"/>
        <w:adjustRightInd w:val="0"/>
        <w:spacing w:before="200"/>
        <w:rPr>
          <w:rFonts w:cs="Arial"/>
          <w:color w:val="000000"/>
          <w:sz w:val="20"/>
          <w:szCs w:val="20"/>
        </w:rPr>
      </w:pPr>
      <w:r w:rsidRPr="00A448EE">
        <w:rPr>
          <w:rFonts w:cs="Arial"/>
          <w:color w:val="000000"/>
          <w:sz w:val="20"/>
          <w:szCs w:val="20"/>
        </w:rPr>
        <w:t xml:space="preserve">Is the content of the </w:t>
      </w:r>
      <w:r w:rsidR="005A3F35">
        <w:rPr>
          <w:rFonts w:cs="Arial"/>
          <w:color w:val="000000"/>
          <w:sz w:val="20"/>
          <w:szCs w:val="20"/>
        </w:rPr>
        <w:t>draft</w:t>
      </w:r>
      <w:r w:rsidR="001023A8">
        <w:rPr>
          <w:rFonts w:cs="Arial"/>
          <w:color w:val="000000"/>
          <w:sz w:val="20"/>
          <w:szCs w:val="20"/>
        </w:rPr>
        <w:t xml:space="preserve"> </w:t>
      </w:r>
      <w:r w:rsidRPr="00A448EE">
        <w:rPr>
          <w:rFonts w:cs="Arial"/>
          <w:color w:val="000000"/>
          <w:sz w:val="20"/>
          <w:szCs w:val="20"/>
        </w:rPr>
        <w:t>guideline</w:t>
      </w:r>
      <w:r w:rsidR="001023A8">
        <w:rPr>
          <w:rFonts w:cs="Arial"/>
          <w:color w:val="000000"/>
          <w:sz w:val="20"/>
          <w:szCs w:val="20"/>
        </w:rPr>
        <w:t>s</w:t>
      </w:r>
      <w:r w:rsidRPr="00A448EE">
        <w:rPr>
          <w:rFonts w:cs="Arial"/>
          <w:color w:val="000000"/>
          <w:sz w:val="20"/>
          <w:szCs w:val="20"/>
        </w:rPr>
        <w:t xml:space="preserve"> helpful, clear and relevant? </w:t>
      </w:r>
    </w:p>
    <w:p w14:paraId="553E222B" w14:textId="77777777" w:rsidR="00C522E0" w:rsidRPr="00C522E0" w:rsidRDefault="00C522E0" w:rsidP="003439FB">
      <w:pPr>
        <w:pStyle w:val="ListParagraph"/>
        <w:rPr>
          <w:rFonts w:cs="Arial"/>
          <w:color w:val="000000"/>
          <w:sz w:val="20"/>
          <w:szCs w:val="20"/>
        </w:rPr>
      </w:pPr>
    </w:p>
    <w:p w14:paraId="5923F24B" w14:textId="0F7C4A13" w:rsidR="00A448EE" w:rsidRDefault="00A448EE" w:rsidP="002F1BC7">
      <w:pPr>
        <w:pStyle w:val="ListParagraph"/>
        <w:numPr>
          <w:ilvl w:val="0"/>
          <w:numId w:val="19"/>
        </w:numPr>
        <w:autoSpaceDE w:val="0"/>
        <w:autoSpaceDN w:val="0"/>
        <w:adjustRightInd w:val="0"/>
        <w:spacing w:before="200"/>
        <w:rPr>
          <w:rFonts w:cs="Arial"/>
          <w:color w:val="000000"/>
          <w:sz w:val="20"/>
          <w:szCs w:val="20"/>
        </w:rPr>
      </w:pPr>
      <w:r w:rsidRPr="00A448EE">
        <w:rPr>
          <w:rFonts w:cs="Arial"/>
          <w:color w:val="000000"/>
          <w:sz w:val="20"/>
          <w:szCs w:val="20"/>
        </w:rPr>
        <w:t>Is there any content that needs to be changed, added or deleted in the</w:t>
      </w:r>
      <w:r w:rsidR="00353F6F">
        <w:rPr>
          <w:rFonts w:cs="Arial"/>
          <w:color w:val="000000"/>
          <w:sz w:val="20"/>
          <w:szCs w:val="20"/>
        </w:rPr>
        <w:t xml:space="preserve"> draft</w:t>
      </w:r>
      <w:r w:rsidRPr="00A448EE">
        <w:rPr>
          <w:rFonts w:cs="Arial"/>
          <w:color w:val="000000"/>
          <w:sz w:val="20"/>
          <w:szCs w:val="20"/>
        </w:rPr>
        <w:t xml:space="preserve"> guideline</w:t>
      </w:r>
      <w:r w:rsidR="001023A8">
        <w:rPr>
          <w:rFonts w:cs="Arial"/>
          <w:color w:val="000000"/>
          <w:sz w:val="20"/>
          <w:szCs w:val="20"/>
        </w:rPr>
        <w:t>s</w:t>
      </w:r>
      <w:r w:rsidRPr="00A448EE">
        <w:rPr>
          <w:rFonts w:cs="Arial"/>
          <w:color w:val="000000"/>
          <w:sz w:val="20"/>
          <w:szCs w:val="20"/>
        </w:rPr>
        <w:t xml:space="preserve">? </w:t>
      </w:r>
    </w:p>
    <w:p w14:paraId="61DAD8B9" w14:textId="77777777" w:rsidR="00C522E0" w:rsidRPr="00C522E0" w:rsidRDefault="00C522E0" w:rsidP="003439FB">
      <w:pPr>
        <w:pStyle w:val="ListParagraph"/>
        <w:rPr>
          <w:rFonts w:cs="Arial"/>
          <w:color w:val="000000"/>
          <w:sz w:val="20"/>
          <w:szCs w:val="20"/>
        </w:rPr>
      </w:pPr>
    </w:p>
    <w:p w14:paraId="1D9E7DD4" w14:textId="0CBF9012" w:rsidR="00A448EE" w:rsidRDefault="00A448EE" w:rsidP="002F1BC7">
      <w:pPr>
        <w:pStyle w:val="ListParagraph"/>
        <w:numPr>
          <w:ilvl w:val="0"/>
          <w:numId w:val="19"/>
        </w:numPr>
        <w:autoSpaceDE w:val="0"/>
        <w:autoSpaceDN w:val="0"/>
        <w:adjustRightInd w:val="0"/>
        <w:spacing w:before="200"/>
        <w:rPr>
          <w:rFonts w:cs="Arial"/>
          <w:color w:val="000000"/>
          <w:sz w:val="20"/>
          <w:szCs w:val="20"/>
        </w:rPr>
      </w:pPr>
      <w:r w:rsidRPr="00A448EE">
        <w:rPr>
          <w:rFonts w:cs="Arial"/>
          <w:color w:val="000000"/>
          <w:sz w:val="20"/>
          <w:szCs w:val="20"/>
        </w:rPr>
        <w:t>Do you agree with the proposal that</w:t>
      </w:r>
      <w:r>
        <w:rPr>
          <w:rFonts w:cs="Arial"/>
          <w:color w:val="000000"/>
          <w:sz w:val="20"/>
          <w:szCs w:val="20"/>
        </w:rPr>
        <w:t xml:space="preserve"> the</w:t>
      </w:r>
      <w:r w:rsidRPr="00A448EE">
        <w:rPr>
          <w:rFonts w:cs="Arial"/>
          <w:color w:val="000000"/>
          <w:sz w:val="20"/>
          <w:szCs w:val="20"/>
        </w:rPr>
        <w:t xml:space="preserve"> Board</w:t>
      </w:r>
      <w:r w:rsidR="00E451C7">
        <w:rPr>
          <w:rFonts w:cs="Arial"/>
          <w:color w:val="000000"/>
          <w:sz w:val="20"/>
          <w:szCs w:val="20"/>
        </w:rPr>
        <w:t>s</w:t>
      </w:r>
      <w:r w:rsidRPr="00A448EE">
        <w:rPr>
          <w:rFonts w:cs="Arial"/>
          <w:color w:val="000000"/>
          <w:sz w:val="20"/>
          <w:szCs w:val="20"/>
        </w:rPr>
        <w:t xml:space="preserve"> expect registered health practitioners </w:t>
      </w:r>
      <w:r>
        <w:rPr>
          <w:rFonts w:cs="Arial"/>
          <w:color w:val="000000"/>
          <w:sz w:val="20"/>
          <w:szCs w:val="20"/>
        </w:rPr>
        <w:t xml:space="preserve">and students </w:t>
      </w:r>
      <w:r w:rsidRPr="00A448EE">
        <w:rPr>
          <w:rFonts w:cs="Arial"/>
          <w:color w:val="000000"/>
          <w:sz w:val="20"/>
          <w:szCs w:val="20"/>
        </w:rPr>
        <w:t>to comply with CDNA</w:t>
      </w:r>
      <w:r>
        <w:rPr>
          <w:rFonts w:cs="Arial"/>
          <w:color w:val="000000"/>
          <w:sz w:val="20"/>
          <w:szCs w:val="20"/>
        </w:rPr>
        <w:t xml:space="preserve"> </w:t>
      </w:r>
      <w:r w:rsidR="005A3F35" w:rsidRPr="000B2F6E">
        <w:rPr>
          <w:rFonts w:cs="Arial"/>
          <w:color w:val="000000"/>
          <w:sz w:val="20"/>
          <w:szCs w:val="20"/>
        </w:rPr>
        <w:t>guidelines</w:t>
      </w:r>
      <w:r w:rsidRPr="000B2F6E">
        <w:rPr>
          <w:rFonts w:cs="Arial"/>
          <w:color w:val="000000"/>
          <w:sz w:val="20"/>
          <w:szCs w:val="20"/>
        </w:rPr>
        <w:t>?</w:t>
      </w:r>
      <w:r w:rsidR="00712C32">
        <w:rPr>
          <w:rFonts w:cs="Arial"/>
          <w:color w:val="000000"/>
          <w:sz w:val="20"/>
          <w:szCs w:val="20"/>
        </w:rPr>
        <w:t xml:space="preserve"> That includes testing requirements set in the </w:t>
      </w:r>
      <w:r w:rsidR="001023A8">
        <w:rPr>
          <w:rFonts w:cs="Arial"/>
          <w:color w:val="000000"/>
          <w:sz w:val="20"/>
          <w:szCs w:val="20"/>
        </w:rPr>
        <w:t xml:space="preserve">CDNA </w:t>
      </w:r>
      <w:r w:rsidR="00712C32">
        <w:rPr>
          <w:rFonts w:cs="Arial"/>
          <w:color w:val="000000"/>
          <w:sz w:val="20"/>
          <w:szCs w:val="20"/>
        </w:rPr>
        <w:t>guidelines.</w:t>
      </w:r>
      <w:r>
        <w:rPr>
          <w:rFonts w:cs="Arial"/>
          <w:color w:val="000000"/>
          <w:sz w:val="20"/>
          <w:szCs w:val="20"/>
        </w:rPr>
        <w:t xml:space="preserve"> </w:t>
      </w:r>
    </w:p>
    <w:p w14:paraId="192E015E" w14:textId="77777777" w:rsidR="00C522E0" w:rsidRPr="00C522E0" w:rsidRDefault="00C522E0" w:rsidP="003439FB">
      <w:pPr>
        <w:pStyle w:val="ListParagraph"/>
        <w:rPr>
          <w:rFonts w:cs="Arial"/>
          <w:color w:val="000000"/>
          <w:sz w:val="20"/>
          <w:szCs w:val="20"/>
        </w:rPr>
      </w:pPr>
    </w:p>
    <w:p w14:paraId="1B014E40" w14:textId="20E48857" w:rsidR="00A448EE" w:rsidRPr="00A448EE" w:rsidRDefault="00A448EE" w:rsidP="002F1BC7">
      <w:pPr>
        <w:pStyle w:val="ListParagraph"/>
        <w:numPr>
          <w:ilvl w:val="0"/>
          <w:numId w:val="19"/>
        </w:numPr>
        <w:autoSpaceDE w:val="0"/>
        <w:autoSpaceDN w:val="0"/>
        <w:adjustRightInd w:val="0"/>
        <w:spacing w:before="200"/>
        <w:rPr>
          <w:rFonts w:cs="Arial"/>
          <w:color w:val="000000"/>
          <w:sz w:val="20"/>
          <w:szCs w:val="20"/>
        </w:rPr>
      </w:pPr>
      <w:r w:rsidRPr="00A448EE">
        <w:rPr>
          <w:rFonts w:cs="Arial"/>
          <w:color w:val="000000"/>
          <w:sz w:val="20"/>
          <w:szCs w:val="20"/>
        </w:rPr>
        <w:t xml:space="preserve">Do you have any other comments on the </w:t>
      </w:r>
      <w:r w:rsidR="005A3F35">
        <w:rPr>
          <w:rFonts w:cs="Arial"/>
          <w:color w:val="000000"/>
          <w:sz w:val="20"/>
          <w:szCs w:val="20"/>
        </w:rPr>
        <w:t xml:space="preserve">draft </w:t>
      </w:r>
      <w:r w:rsidRPr="00A448EE">
        <w:rPr>
          <w:rFonts w:cs="Arial"/>
          <w:color w:val="000000"/>
          <w:sz w:val="20"/>
          <w:szCs w:val="20"/>
        </w:rPr>
        <w:t>guideline</w:t>
      </w:r>
      <w:r w:rsidR="001023A8">
        <w:rPr>
          <w:rFonts w:cs="Arial"/>
          <w:color w:val="000000"/>
          <w:sz w:val="20"/>
          <w:szCs w:val="20"/>
        </w:rPr>
        <w:t>s</w:t>
      </w:r>
      <w:r w:rsidRPr="00A448EE">
        <w:rPr>
          <w:rFonts w:cs="Arial"/>
          <w:color w:val="000000"/>
          <w:sz w:val="20"/>
          <w:szCs w:val="20"/>
        </w:rPr>
        <w:t xml:space="preserve">? </w:t>
      </w:r>
    </w:p>
    <w:p w14:paraId="757FFF05" w14:textId="77777777" w:rsidR="003439FB" w:rsidRDefault="003439FB" w:rsidP="003439FB">
      <w:pPr>
        <w:autoSpaceDE w:val="0"/>
        <w:autoSpaceDN w:val="0"/>
        <w:adjustRightInd w:val="0"/>
        <w:spacing w:before="200"/>
        <w:rPr>
          <w:rFonts w:ascii="Arial" w:hAnsi="Arial" w:cs="Arial"/>
          <w:b/>
          <w:bCs/>
          <w:color w:val="0090C5"/>
          <w:sz w:val="20"/>
          <w:szCs w:val="20"/>
          <w:lang w:val="en-AU"/>
        </w:rPr>
      </w:pPr>
    </w:p>
    <w:p w14:paraId="795D3F02" w14:textId="77777777" w:rsidR="003439FB" w:rsidRDefault="003439FB" w:rsidP="003439FB">
      <w:pPr>
        <w:autoSpaceDE w:val="0"/>
        <w:autoSpaceDN w:val="0"/>
        <w:adjustRightInd w:val="0"/>
        <w:spacing w:before="200"/>
        <w:rPr>
          <w:rFonts w:ascii="Arial" w:hAnsi="Arial" w:cs="Arial"/>
          <w:b/>
          <w:bCs/>
          <w:color w:val="0090C5"/>
          <w:sz w:val="20"/>
          <w:szCs w:val="20"/>
          <w:lang w:val="en-AU"/>
        </w:rPr>
      </w:pPr>
    </w:p>
    <w:p w14:paraId="082A80C5" w14:textId="4A67560E" w:rsidR="00904901" w:rsidRPr="00C522E0" w:rsidRDefault="00904901" w:rsidP="003439FB">
      <w:pPr>
        <w:autoSpaceDE w:val="0"/>
        <w:autoSpaceDN w:val="0"/>
        <w:adjustRightInd w:val="0"/>
        <w:spacing w:before="200"/>
        <w:rPr>
          <w:rFonts w:ascii="Arial" w:hAnsi="Arial" w:cs="Arial"/>
          <w:b/>
          <w:bCs/>
          <w:color w:val="0090C5"/>
          <w:sz w:val="20"/>
          <w:szCs w:val="20"/>
          <w:lang w:val="en-AU"/>
        </w:rPr>
      </w:pPr>
      <w:r w:rsidRPr="00C522E0">
        <w:rPr>
          <w:rFonts w:ascii="Arial" w:hAnsi="Arial" w:cs="Arial"/>
          <w:b/>
          <w:bCs/>
          <w:color w:val="0090C5"/>
          <w:sz w:val="20"/>
          <w:szCs w:val="20"/>
          <w:lang w:val="en-AU"/>
        </w:rPr>
        <w:lastRenderedPageBreak/>
        <w:t>Making a submission</w:t>
      </w:r>
    </w:p>
    <w:p w14:paraId="593E5734" w14:textId="626F1C3A" w:rsidR="00904901" w:rsidRPr="00C522E0" w:rsidRDefault="00904901" w:rsidP="003439FB">
      <w:pPr>
        <w:autoSpaceDE w:val="0"/>
        <w:autoSpaceDN w:val="0"/>
        <w:adjustRightInd w:val="0"/>
        <w:spacing w:before="200"/>
        <w:rPr>
          <w:rFonts w:ascii="Arial" w:hAnsi="Arial" w:cs="Arial"/>
          <w:b/>
          <w:bCs/>
          <w:color w:val="000000"/>
          <w:sz w:val="20"/>
          <w:szCs w:val="20"/>
          <w:lang w:val="en-AU"/>
        </w:rPr>
      </w:pPr>
      <w:r w:rsidRPr="00C522E0">
        <w:rPr>
          <w:rFonts w:ascii="Arial" w:hAnsi="Arial" w:cs="Arial"/>
          <w:color w:val="000000"/>
          <w:sz w:val="20"/>
          <w:szCs w:val="20"/>
          <w:lang w:val="en-AU"/>
        </w:rPr>
        <w:t xml:space="preserve">Please provide written submissions by email to </w:t>
      </w:r>
      <w:hyperlink r:id="rId8" w:history="1">
        <w:r w:rsidRPr="00C522E0">
          <w:rPr>
            <w:rStyle w:val="Hyperlink"/>
            <w:rFonts w:ascii="Arial" w:hAnsi="Arial" w:cs="Arial"/>
            <w:sz w:val="20"/>
            <w:szCs w:val="20"/>
            <w:lang w:val="en-AU"/>
          </w:rPr>
          <w:t>bbvguidelines@ahpra.gov.au</w:t>
        </w:r>
      </w:hyperlink>
      <w:r w:rsidRPr="00C522E0">
        <w:rPr>
          <w:rFonts w:ascii="Arial" w:hAnsi="Arial" w:cs="Arial"/>
          <w:color w:val="0000FF"/>
          <w:sz w:val="20"/>
          <w:szCs w:val="20"/>
          <w:lang w:val="en-AU"/>
        </w:rPr>
        <w:t xml:space="preserve"> </w:t>
      </w:r>
      <w:r w:rsidRPr="00C522E0">
        <w:rPr>
          <w:rFonts w:ascii="Arial" w:hAnsi="Arial" w:cs="Arial"/>
          <w:color w:val="000000"/>
          <w:sz w:val="20"/>
          <w:szCs w:val="20"/>
          <w:lang w:val="en-AU"/>
        </w:rPr>
        <w:t>by close of business on</w:t>
      </w:r>
      <w:r w:rsidR="00C522E0" w:rsidRPr="00C522E0">
        <w:rPr>
          <w:rFonts w:ascii="Arial" w:hAnsi="Arial" w:cs="Arial"/>
          <w:color w:val="000000"/>
          <w:sz w:val="20"/>
          <w:szCs w:val="20"/>
          <w:lang w:val="en-AU"/>
        </w:rPr>
        <w:t xml:space="preserve"> </w:t>
      </w:r>
      <w:r w:rsidR="00AC27E9" w:rsidRPr="00C522E0">
        <w:rPr>
          <w:rFonts w:ascii="Arial" w:hAnsi="Arial" w:cs="Arial"/>
          <w:b/>
          <w:bCs/>
          <w:color w:val="000000"/>
          <w:sz w:val="20"/>
          <w:szCs w:val="20"/>
          <w:lang w:val="en-AU"/>
        </w:rPr>
        <w:t>1 November 2019</w:t>
      </w:r>
    </w:p>
    <w:p w14:paraId="5848945B" w14:textId="77777777" w:rsidR="00C522E0" w:rsidRPr="00C522E0" w:rsidRDefault="00904901" w:rsidP="003439FB">
      <w:pPr>
        <w:autoSpaceDE w:val="0"/>
        <w:autoSpaceDN w:val="0"/>
        <w:adjustRightInd w:val="0"/>
        <w:spacing w:before="200"/>
        <w:rPr>
          <w:rFonts w:ascii="Arial" w:hAnsi="Arial" w:cs="Arial"/>
          <w:color w:val="000000"/>
          <w:sz w:val="20"/>
          <w:szCs w:val="20"/>
          <w:lang w:val="en-AU"/>
        </w:rPr>
      </w:pPr>
      <w:r w:rsidRPr="00C522E0">
        <w:rPr>
          <w:rFonts w:ascii="Arial" w:hAnsi="Arial" w:cs="Arial"/>
          <w:color w:val="000000"/>
          <w:sz w:val="20"/>
          <w:szCs w:val="20"/>
          <w:lang w:val="en-AU"/>
        </w:rPr>
        <w:t>Submissions for publication on our website/s should be sent in Word format or equivalent.</w:t>
      </w:r>
      <w:r w:rsidRPr="00C522E0">
        <w:rPr>
          <w:rStyle w:val="FootnoteReference"/>
          <w:rFonts w:ascii="Arial" w:hAnsi="Arial" w:cs="Arial"/>
          <w:color w:val="000000"/>
          <w:sz w:val="20"/>
          <w:szCs w:val="20"/>
          <w:lang w:val="en-AU"/>
        </w:rPr>
        <w:footnoteReference w:id="3"/>
      </w:r>
      <w:r w:rsidR="00C522E0" w:rsidRPr="00C522E0">
        <w:rPr>
          <w:rFonts w:ascii="Arial" w:hAnsi="Arial" w:cs="Arial"/>
          <w:color w:val="000000"/>
          <w:sz w:val="20"/>
          <w:szCs w:val="20"/>
          <w:lang w:val="en-AU"/>
        </w:rPr>
        <w:t xml:space="preserve"> </w:t>
      </w:r>
    </w:p>
    <w:p w14:paraId="1B74A91B" w14:textId="5A10F9B6" w:rsidR="00904901" w:rsidRPr="00C522E0" w:rsidRDefault="00901BEE" w:rsidP="003439FB">
      <w:pPr>
        <w:autoSpaceDE w:val="0"/>
        <w:autoSpaceDN w:val="0"/>
        <w:adjustRightInd w:val="0"/>
        <w:spacing w:before="200"/>
        <w:rPr>
          <w:rFonts w:ascii="Arial" w:hAnsi="Arial" w:cs="Arial"/>
          <w:color w:val="000000"/>
          <w:sz w:val="20"/>
          <w:szCs w:val="20"/>
          <w:lang w:val="en-AU"/>
        </w:rPr>
      </w:pPr>
      <w:r w:rsidRPr="00C522E0">
        <w:rPr>
          <w:rFonts w:ascii="Arial" w:hAnsi="Arial" w:cs="Arial"/>
          <w:color w:val="000000"/>
          <w:sz w:val="20"/>
          <w:szCs w:val="20"/>
          <w:lang w:val="en-AU"/>
        </w:rPr>
        <w:t>Please address any s</w:t>
      </w:r>
      <w:r w:rsidR="00904901" w:rsidRPr="00C522E0">
        <w:rPr>
          <w:rFonts w:ascii="Arial" w:hAnsi="Arial" w:cs="Arial"/>
          <w:color w:val="000000"/>
          <w:sz w:val="20"/>
          <w:szCs w:val="20"/>
          <w:lang w:val="en-AU"/>
        </w:rPr>
        <w:t>ubmissions by post to the Executive Officer, Medical, AHPRA, GPO Box 9958,</w:t>
      </w:r>
      <w:r w:rsidR="00C522E0" w:rsidRPr="00C522E0">
        <w:rPr>
          <w:rFonts w:ascii="Arial" w:hAnsi="Arial" w:cs="Arial"/>
          <w:color w:val="000000"/>
          <w:sz w:val="20"/>
          <w:szCs w:val="20"/>
          <w:lang w:val="en-AU"/>
        </w:rPr>
        <w:t xml:space="preserve"> </w:t>
      </w:r>
      <w:r w:rsidR="00904901" w:rsidRPr="00C522E0">
        <w:rPr>
          <w:rFonts w:ascii="Arial" w:hAnsi="Arial" w:cs="Arial"/>
          <w:color w:val="000000"/>
          <w:sz w:val="20"/>
          <w:szCs w:val="20"/>
          <w:lang w:val="en-AU"/>
        </w:rPr>
        <w:t>Melbourne 3001.</w:t>
      </w:r>
    </w:p>
    <w:p w14:paraId="658829D4" w14:textId="7B6C1BB7" w:rsidR="00904901" w:rsidRPr="00C522E0" w:rsidRDefault="00904901" w:rsidP="003439FB">
      <w:pPr>
        <w:autoSpaceDE w:val="0"/>
        <w:autoSpaceDN w:val="0"/>
        <w:adjustRightInd w:val="0"/>
        <w:spacing w:before="200"/>
        <w:rPr>
          <w:rFonts w:ascii="Arial" w:hAnsi="Arial" w:cs="Arial"/>
          <w:b/>
          <w:bCs/>
          <w:color w:val="0090C5"/>
          <w:sz w:val="20"/>
          <w:szCs w:val="20"/>
          <w:lang w:val="en-AU"/>
        </w:rPr>
      </w:pPr>
      <w:r w:rsidRPr="00C522E0">
        <w:rPr>
          <w:rFonts w:ascii="Arial" w:hAnsi="Arial" w:cs="Arial"/>
          <w:b/>
          <w:bCs/>
          <w:color w:val="0090C5"/>
          <w:sz w:val="20"/>
          <w:szCs w:val="20"/>
          <w:lang w:val="en-AU"/>
        </w:rPr>
        <w:t>Publication of submissions</w:t>
      </w:r>
    </w:p>
    <w:p w14:paraId="76692807" w14:textId="1D28EC3E" w:rsidR="00904901" w:rsidRPr="00C522E0" w:rsidRDefault="00904901" w:rsidP="003439FB">
      <w:pPr>
        <w:autoSpaceDE w:val="0"/>
        <w:autoSpaceDN w:val="0"/>
        <w:adjustRightInd w:val="0"/>
        <w:spacing w:before="200"/>
        <w:rPr>
          <w:rFonts w:ascii="Arial" w:hAnsi="Arial" w:cs="Arial"/>
          <w:color w:val="000000"/>
          <w:sz w:val="20"/>
          <w:szCs w:val="20"/>
          <w:lang w:val="en-AU"/>
        </w:rPr>
      </w:pPr>
      <w:r w:rsidRPr="00C522E0">
        <w:rPr>
          <w:rFonts w:ascii="Arial" w:hAnsi="Arial" w:cs="Arial"/>
          <w:color w:val="000000"/>
          <w:sz w:val="20"/>
          <w:szCs w:val="20"/>
          <w:lang w:val="en-AU"/>
        </w:rPr>
        <w:t>The Boards publish submissions at their discretion. The Boards generally publish submissions on their</w:t>
      </w:r>
      <w:r w:rsidR="009F0A8D">
        <w:rPr>
          <w:rFonts w:ascii="Arial" w:hAnsi="Arial" w:cs="Arial"/>
          <w:color w:val="000000"/>
          <w:sz w:val="20"/>
          <w:szCs w:val="20"/>
          <w:lang w:val="en-AU"/>
        </w:rPr>
        <w:t xml:space="preserve"> </w:t>
      </w:r>
      <w:r w:rsidRPr="00C522E0">
        <w:rPr>
          <w:rFonts w:ascii="Arial" w:hAnsi="Arial" w:cs="Arial"/>
          <w:color w:val="000000"/>
          <w:sz w:val="20"/>
          <w:szCs w:val="20"/>
          <w:lang w:val="en-AU"/>
        </w:rPr>
        <w:t>websites to encourage discussion and inform the community and stakeholders. Please let us know if you do not want us to publish your submission, or want us to treat all or part of it as confidential.</w:t>
      </w:r>
    </w:p>
    <w:p w14:paraId="773E3F7A" w14:textId="6B840AD6" w:rsidR="00904901" w:rsidRPr="00C522E0" w:rsidRDefault="00904901" w:rsidP="003439FB">
      <w:pPr>
        <w:autoSpaceDE w:val="0"/>
        <w:autoSpaceDN w:val="0"/>
        <w:adjustRightInd w:val="0"/>
        <w:spacing w:before="200"/>
        <w:rPr>
          <w:rFonts w:ascii="Arial" w:hAnsi="Arial" w:cs="Arial"/>
          <w:color w:val="000000"/>
          <w:sz w:val="20"/>
          <w:szCs w:val="20"/>
          <w:lang w:val="en-AU"/>
        </w:rPr>
      </w:pPr>
      <w:r w:rsidRPr="00C522E0">
        <w:rPr>
          <w:rFonts w:ascii="Arial" w:hAnsi="Arial" w:cs="Arial"/>
          <w:color w:val="000000"/>
          <w:sz w:val="20"/>
          <w:szCs w:val="20"/>
          <w:lang w:val="en-AU"/>
        </w:rPr>
        <w:t>We will not place on our website, or make available to the public, submissions that contain offensive or</w:t>
      </w:r>
      <w:r w:rsidR="00C522E0" w:rsidRPr="00C522E0">
        <w:rPr>
          <w:rFonts w:ascii="Arial" w:hAnsi="Arial" w:cs="Arial"/>
          <w:color w:val="000000"/>
          <w:sz w:val="20"/>
          <w:szCs w:val="20"/>
          <w:lang w:val="en-AU"/>
        </w:rPr>
        <w:t xml:space="preserve"> </w:t>
      </w:r>
      <w:r w:rsidRPr="00C522E0">
        <w:rPr>
          <w:rFonts w:ascii="Arial" w:hAnsi="Arial" w:cs="Arial"/>
          <w:color w:val="000000"/>
          <w:sz w:val="20"/>
          <w:szCs w:val="20"/>
          <w:lang w:val="en-AU"/>
        </w:rPr>
        <w:t>defamatory comments or which are outside the scope of the subject of the consultation.</w:t>
      </w:r>
    </w:p>
    <w:p w14:paraId="2E34B527" w14:textId="69668EAB" w:rsidR="00904901" w:rsidRPr="00C522E0" w:rsidRDefault="00904901" w:rsidP="003439FB">
      <w:pPr>
        <w:autoSpaceDE w:val="0"/>
        <w:autoSpaceDN w:val="0"/>
        <w:adjustRightInd w:val="0"/>
        <w:spacing w:before="200"/>
        <w:rPr>
          <w:rFonts w:ascii="Arial" w:hAnsi="Arial" w:cs="Arial"/>
          <w:color w:val="000000"/>
          <w:sz w:val="20"/>
          <w:szCs w:val="20"/>
          <w:lang w:val="en-AU"/>
        </w:rPr>
      </w:pPr>
      <w:r w:rsidRPr="00C522E0">
        <w:rPr>
          <w:rFonts w:ascii="Arial" w:hAnsi="Arial" w:cs="Arial"/>
          <w:color w:val="000000"/>
          <w:sz w:val="20"/>
          <w:szCs w:val="20"/>
          <w:lang w:val="en-AU"/>
        </w:rPr>
        <w:t>Before publication, we may remove personally-identifying information from submissions, including contact</w:t>
      </w:r>
      <w:r w:rsidR="009F0A8D">
        <w:rPr>
          <w:rFonts w:ascii="Arial" w:hAnsi="Arial" w:cs="Arial"/>
          <w:color w:val="000000"/>
          <w:sz w:val="20"/>
          <w:szCs w:val="20"/>
          <w:lang w:val="en-AU"/>
        </w:rPr>
        <w:t xml:space="preserve"> </w:t>
      </w:r>
      <w:r w:rsidRPr="00C522E0">
        <w:rPr>
          <w:rFonts w:ascii="Arial" w:hAnsi="Arial" w:cs="Arial"/>
          <w:color w:val="000000"/>
          <w:sz w:val="20"/>
          <w:szCs w:val="20"/>
          <w:lang w:val="en-AU"/>
        </w:rPr>
        <w:t>details.</w:t>
      </w:r>
    </w:p>
    <w:p w14:paraId="0D0DDE02" w14:textId="08FF715D" w:rsidR="00904901" w:rsidRPr="00C522E0" w:rsidRDefault="00904901" w:rsidP="003439FB">
      <w:pPr>
        <w:autoSpaceDE w:val="0"/>
        <w:autoSpaceDN w:val="0"/>
        <w:adjustRightInd w:val="0"/>
        <w:spacing w:before="200"/>
        <w:rPr>
          <w:rFonts w:ascii="Arial" w:hAnsi="Arial" w:cs="Arial"/>
          <w:color w:val="000000"/>
          <w:sz w:val="20"/>
          <w:szCs w:val="20"/>
          <w:lang w:val="en-AU"/>
        </w:rPr>
      </w:pPr>
      <w:r w:rsidRPr="00C522E0">
        <w:rPr>
          <w:rFonts w:ascii="Arial" w:hAnsi="Arial" w:cs="Arial"/>
          <w:color w:val="000000"/>
          <w:sz w:val="20"/>
          <w:szCs w:val="20"/>
          <w:lang w:val="en-AU"/>
        </w:rPr>
        <w:t xml:space="preserve">The views expressed in the submissions are those of the individuals or organisations who submit </w:t>
      </w:r>
      <w:r w:rsidR="003439FB">
        <w:rPr>
          <w:rFonts w:ascii="Arial" w:hAnsi="Arial" w:cs="Arial"/>
          <w:color w:val="000000"/>
          <w:sz w:val="20"/>
          <w:szCs w:val="20"/>
          <w:lang w:val="en-AU"/>
        </w:rPr>
        <w:t>t</w:t>
      </w:r>
      <w:r w:rsidRPr="00C522E0">
        <w:rPr>
          <w:rFonts w:ascii="Arial" w:hAnsi="Arial" w:cs="Arial"/>
          <w:color w:val="000000"/>
          <w:sz w:val="20"/>
          <w:szCs w:val="20"/>
          <w:lang w:val="en-AU"/>
        </w:rPr>
        <w:t>hem and</w:t>
      </w:r>
      <w:r w:rsidR="00C522E0" w:rsidRPr="00C522E0">
        <w:rPr>
          <w:rFonts w:ascii="Arial" w:hAnsi="Arial" w:cs="Arial"/>
          <w:color w:val="000000"/>
          <w:sz w:val="20"/>
          <w:szCs w:val="20"/>
          <w:lang w:val="en-AU"/>
        </w:rPr>
        <w:t xml:space="preserve"> </w:t>
      </w:r>
      <w:r w:rsidRPr="00C522E0">
        <w:rPr>
          <w:rFonts w:ascii="Arial" w:hAnsi="Arial" w:cs="Arial"/>
          <w:color w:val="000000"/>
          <w:sz w:val="20"/>
          <w:szCs w:val="20"/>
          <w:lang w:val="en-AU"/>
        </w:rPr>
        <w:t>their publication does not imply any acceptance of, or agreement with, these views by the Board</w:t>
      </w:r>
      <w:r w:rsidR="00932367" w:rsidRPr="00C522E0">
        <w:rPr>
          <w:rFonts w:ascii="Arial" w:hAnsi="Arial" w:cs="Arial"/>
          <w:color w:val="000000"/>
          <w:sz w:val="20"/>
          <w:szCs w:val="20"/>
          <w:lang w:val="en-AU"/>
        </w:rPr>
        <w:t>s</w:t>
      </w:r>
      <w:r w:rsidRPr="00C522E0">
        <w:rPr>
          <w:rFonts w:ascii="Arial" w:hAnsi="Arial" w:cs="Arial"/>
          <w:color w:val="000000"/>
          <w:sz w:val="20"/>
          <w:szCs w:val="20"/>
          <w:lang w:val="en-AU"/>
        </w:rPr>
        <w:t>.</w:t>
      </w:r>
    </w:p>
    <w:p w14:paraId="5971C389" w14:textId="55FE6005" w:rsidR="00904901" w:rsidRPr="00C522E0" w:rsidRDefault="00904901" w:rsidP="003439FB">
      <w:pPr>
        <w:autoSpaceDE w:val="0"/>
        <w:autoSpaceDN w:val="0"/>
        <w:adjustRightInd w:val="0"/>
        <w:spacing w:before="200"/>
        <w:rPr>
          <w:rFonts w:ascii="Arial" w:hAnsi="Arial" w:cs="Arial"/>
          <w:color w:val="000000"/>
          <w:sz w:val="20"/>
          <w:szCs w:val="20"/>
          <w:lang w:val="en-AU"/>
        </w:rPr>
      </w:pPr>
      <w:r w:rsidRPr="00C522E0">
        <w:rPr>
          <w:rFonts w:ascii="Arial" w:hAnsi="Arial" w:cs="Arial"/>
          <w:color w:val="000000"/>
          <w:sz w:val="20"/>
          <w:szCs w:val="20"/>
          <w:lang w:val="en-AU"/>
        </w:rPr>
        <w:t>The Board</w:t>
      </w:r>
      <w:r w:rsidR="00932367" w:rsidRPr="00C522E0">
        <w:rPr>
          <w:rFonts w:ascii="Arial" w:hAnsi="Arial" w:cs="Arial"/>
          <w:color w:val="000000"/>
          <w:sz w:val="20"/>
          <w:szCs w:val="20"/>
          <w:lang w:val="en-AU"/>
        </w:rPr>
        <w:t>s</w:t>
      </w:r>
      <w:r w:rsidRPr="00C522E0">
        <w:rPr>
          <w:rFonts w:ascii="Arial" w:hAnsi="Arial" w:cs="Arial"/>
          <w:color w:val="000000"/>
          <w:sz w:val="20"/>
          <w:szCs w:val="20"/>
          <w:lang w:val="en-AU"/>
        </w:rPr>
        <w:t xml:space="preserve"> accept submissions made in confidence. These submissions will not be published on the</w:t>
      </w:r>
      <w:r w:rsidR="00C522E0" w:rsidRPr="00C522E0">
        <w:rPr>
          <w:rFonts w:ascii="Arial" w:hAnsi="Arial" w:cs="Arial"/>
          <w:color w:val="000000"/>
          <w:sz w:val="20"/>
          <w:szCs w:val="20"/>
          <w:lang w:val="en-AU"/>
        </w:rPr>
        <w:t xml:space="preserve"> </w:t>
      </w:r>
      <w:r w:rsidRPr="00C522E0">
        <w:rPr>
          <w:rFonts w:ascii="Arial" w:hAnsi="Arial" w:cs="Arial"/>
          <w:color w:val="000000"/>
          <w:sz w:val="20"/>
          <w:szCs w:val="20"/>
          <w:lang w:val="en-AU"/>
        </w:rPr>
        <w:t>website or elsewhere. Submissions may be confidential because they include personal experiences or</w:t>
      </w:r>
      <w:r w:rsidR="00C522E0" w:rsidRPr="00C522E0">
        <w:rPr>
          <w:rFonts w:ascii="Arial" w:hAnsi="Arial" w:cs="Arial"/>
          <w:color w:val="000000"/>
          <w:sz w:val="20"/>
          <w:szCs w:val="20"/>
          <w:lang w:val="en-AU"/>
        </w:rPr>
        <w:t xml:space="preserve"> </w:t>
      </w:r>
      <w:r w:rsidRPr="00C522E0">
        <w:rPr>
          <w:rFonts w:ascii="Arial" w:hAnsi="Arial" w:cs="Arial"/>
          <w:color w:val="000000"/>
          <w:sz w:val="20"/>
          <w:szCs w:val="20"/>
          <w:lang w:val="en-AU"/>
        </w:rPr>
        <w:t>other sensitive information. Any request for access to a confidential submission will be determined in</w:t>
      </w:r>
      <w:r w:rsidR="00C522E0" w:rsidRPr="00C522E0">
        <w:rPr>
          <w:rFonts w:ascii="Arial" w:hAnsi="Arial" w:cs="Arial"/>
          <w:color w:val="000000"/>
          <w:sz w:val="20"/>
          <w:szCs w:val="20"/>
          <w:lang w:val="en-AU"/>
        </w:rPr>
        <w:t xml:space="preserve"> </w:t>
      </w:r>
      <w:r w:rsidRPr="00C522E0">
        <w:rPr>
          <w:rFonts w:ascii="Arial" w:hAnsi="Arial" w:cs="Arial"/>
          <w:color w:val="000000"/>
          <w:sz w:val="20"/>
          <w:szCs w:val="20"/>
          <w:lang w:val="en-AU"/>
        </w:rPr>
        <w:t xml:space="preserve">accordance with the </w:t>
      </w:r>
      <w:r w:rsidRPr="00C522E0">
        <w:rPr>
          <w:rFonts w:ascii="Arial" w:hAnsi="Arial" w:cs="Arial"/>
          <w:i/>
          <w:iCs/>
          <w:color w:val="000000"/>
          <w:sz w:val="20"/>
          <w:szCs w:val="20"/>
          <w:lang w:val="en-AU"/>
        </w:rPr>
        <w:t xml:space="preserve">Freedom of Information Act 1982 </w:t>
      </w:r>
      <w:r w:rsidRPr="00C522E0">
        <w:rPr>
          <w:rFonts w:ascii="Arial" w:hAnsi="Arial" w:cs="Arial"/>
          <w:color w:val="000000"/>
          <w:sz w:val="20"/>
          <w:szCs w:val="20"/>
          <w:lang w:val="en-AU"/>
        </w:rPr>
        <w:t>(Cth), which has provisions designed to protect</w:t>
      </w:r>
      <w:r w:rsidR="00C522E0" w:rsidRPr="00C522E0">
        <w:rPr>
          <w:rFonts w:ascii="Arial" w:hAnsi="Arial" w:cs="Arial"/>
          <w:color w:val="000000"/>
          <w:sz w:val="20"/>
          <w:szCs w:val="20"/>
          <w:lang w:val="en-AU"/>
        </w:rPr>
        <w:t xml:space="preserve"> </w:t>
      </w:r>
      <w:r w:rsidRPr="00C522E0">
        <w:rPr>
          <w:rFonts w:ascii="Arial" w:hAnsi="Arial" w:cs="Arial"/>
          <w:color w:val="000000"/>
          <w:sz w:val="20"/>
          <w:szCs w:val="20"/>
          <w:lang w:val="en-AU"/>
        </w:rPr>
        <w:t>personal information and information given in confidence.</w:t>
      </w:r>
    </w:p>
    <w:p w14:paraId="227AADB4" w14:textId="66296AE8" w:rsidR="00904901" w:rsidRPr="00C522E0" w:rsidRDefault="00904901" w:rsidP="003439FB">
      <w:pPr>
        <w:autoSpaceDE w:val="0"/>
        <w:autoSpaceDN w:val="0"/>
        <w:adjustRightInd w:val="0"/>
        <w:spacing w:before="200"/>
        <w:rPr>
          <w:rFonts w:ascii="Arial" w:hAnsi="Arial" w:cs="Arial"/>
          <w:b/>
          <w:bCs/>
          <w:sz w:val="20"/>
          <w:szCs w:val="20"/>
        </w:rPr>
      </w:pPr>
      <w:r w:rsidRPr="00C522E0">
        <w:rPr>
          <w:rFonts w:ascii="Arial" w:hAnsi="Arial" w:cs="Arial"/>
          <w:b/>
          <w:bCs/>
          <w:color w:val="000000"/>
          <w:sz w:val="20"/>
          <w:szCs w:val="20"/>
          <w:lang w:val="en-AU"/>
        </w:rPr>
        <w:t>Published submissions will include the names of the individuals and/or the organisations that</w:t>
      </w:r>
      <w:r w:rsidR="00C522E0" w:rsidRPr="00C522E0">
        <w:rPr>
          <w:rFonts w:ascii="Arial" w:hAnsi="Arial" w:cs="Arial"/>
          <w:b/>
          <w:bCs/>
          <w:color w:val="000000"/>
          <w:sz w:val="20"/>
          <w:szCs w:val="20"/>
          <w:lang w:val="en-AU"/>
        </w:rPr>
        <w:t xml:space="preserve"> </w:t>
      </w:r>
      <w:r w:rsidRPr="00C522E0">
        <w:rPr>
          <w:rFonts w:ascii="Arial" w:hAnsi="Arial" w:cs="Arial"/>
          <w:b/>
          <w:bCs/>
          <w:sz w:val="20"/>
          <w:szCs w:val="20"/>
        </w:rPr>
        <w:t>made them, unless confidentiality is requested.</w:t>
      </w:r>
    </w:p>
    <w:p w14:paraId="09D174B1" w14:textId="77777777" w:rsidR="00932367" w:rsidRPr="00C522E0" w:rsidRDefault="00932367" w:rsidP="00C522E0">
      <w:pPr>
        <w:pStyle w:val="Default"/>
        <w:spacing w:before="200" w:after="200"/>
        <w:rPr>
          <w:b/>
          <w:bCs/>
          <w:sz w:val="20"/>
          <w:szCs w:val="20"/>
        </w:rPr>
      </w:pPr>
    </w:p>
    <w:p w14:paraId="64938BFB" w14:textId="77777777" w:rsidR="00654C5F" w:rsidRDefault="00654C5F" w:rsidP="00C522E0">
      <w:pPr>
        <w:pStyle w:val="Default"/>
        <w:spacing w:before="200" w:after="200"/>
        <w:rPr>
          <w:b/>
          <w:bCs/>
          <w:sz w:val="20"/>
          <w:szCs w:val="20"/>
        </w:rPr>
      </w:pPr>
    </w:p>
    <w:p w14:paraId="0B6DFEB8" w14:textId="77777777" w:rsidR="009E6641" w:rsidRDefault="009E6641" w:rsidP="00C522E0">
      <w:pPr>
        <w:spacing w:before="200"/>
        <w:rPr>
          <w:rFonts w:ascii="Arial" w:hAnsi="Arial" w:cs="Arial"/>
          <w:b/>
          <w:color w:val="008EC4"/>
          <w:sz w:val="20"/>
          <w:szCs w:val="20"/>
        </w:rPr>
      </w:pPr>
      <w:r>
        <w:rPr>
          <w:rFonts w:cs="Arial"/>
          <w:b/>
          <w:sz w:val="20"/>
          <w:szCs w:val="20"/>
        </w:rPr>
        <w:br w:type="page"/>
      </w:r>
    </w:p>
    <w:p w14:paraId="15D186DA" w14:textId="77777777" w:rsidR="00BB3678" w:rsidRPr="00BB3678" w:rsidRDefault="00BB3678" w:rsidP="00C522E0">
      <w:pPr>
        <w:pStyle w:val="AHPRAHeadline"/>
        <w:spacing w:before="200"/>
        <w:rPr>
          <w:rFonts w:cs="Arial"/>
          <w:b/>
          <w:sz w:val="20"/>
          <w:szCs w:val="20"/>
        </w:rPr>
      </w:pPr>
      <w:r w:rsidRPr="00BB3678">
        <w:rPr>
          <w:rFonts w:cs="Arial"/>
          <w:b/>
          <w:sz w:val="20"/>
          <w:szCs w:val="20"/>
        </w:rPr>
        <w:lastRenderedPageBreak/>
        <w:t>Background</w:t>
      </w:r>
    </w:p>
    <w:p w14:paraId="222F20E7" w14:textId="77777777" w:rsidR="00105E9D" w:rsidRDefault="00105E9D" w:rsidP="00C522E0">
      <w:pPr>
        <w:spacing w:before="200"/>
        <w:rPr>
          <w:rFonts w:ascii="Arial" w:hAnsi="Arial" w:cs="Arial"/>
          <w:bCs/>
          <w:sz w:val="20"/>
          <w:szCs w:val="20"/>
        </w:rPr>
      </w:pPr>
      <w:r>
        <w:rPr>
          <w:rFonts w:ascii="Arial" w:hAnsi="Arial" w:cs="Arial"/>
          <w:bCs/>
          <w:sz w:val="20"/>
          <w:szCs w:val="20"/>
        </w:rPr>
        <w:t>There is a risk of transmission of</w:t>
      </w:r>
      <w:r w:rsidR="009E6641">
        <w:rPr>
          <w:rFonts w:ascii="Arial" w:hAnsi="Arial" w:cs="Arial"/>
          <w:bCs/>
          <w:sz w:val="20"/>
          <w:szCs w:val="20"/>
        </w:rPr>
        <w:t xml:space="preserve"> a blood-borne</w:t>
      </w:r>
      <w:r>
        <w:rPr>
          <w:rFonts w:ascii="Arial" w:hAnsi="Arial" w:cs="Arial"/>
          <w:bCs/>
          <w:sz w:val="20"/>
          <w:szCs w:val="20"/>
        </w:rPr>
        <w:t xml:space="preserve"> virus from practitioner to patient when health practitioners who are living with a blood-borne virus perform a class of procedures called ‘exposure-prone procedures’.</w:t>
      </w:r>
      <w:r w:rsidR="009E6641">
        <w:rPr>
          <w:rFonts w:ascii="Arial" w:hAnsi="Arial" w:cs="Arial"/>
          <w:bCs/>
          <w:sz w:val="20"/>
          <w:szCs w:val="20"/>
        </w:rPr>
        <w:t xml:space="preserve"> </w:t>
      </w:r>
    </w:p>
    <w:p w14:paraId="050E113E" w14:textId="77777777" w:rsidR="00105E9D" w:rsidRDefault="00105E9D" w:rsidP="00C522E0">
      <w:pPr>
        <w:pStyle w:val="AHPRANumberedlistlevel1"/>
        <w:numPr>
          <w:ilvl w:val="0"/>
          <w:numId w:val="0"/>
        </w:numPr>
        <w:spacing w:before="200" w:after="200"/>
      </w:pPr>
      <w:r>
        <w:t>When referring to blood-borne viruses, we mean hepatitis B, hepatitis C and H</w:t>
      </w:r>
      <w:r w:rsidR="00D06702">
        <w:t>uman immunodeficiency virus (H</w:t>
      </w:r>
      <w:r>
        <w:t>IV</w:t>
      </w:r>
      <w:r w:rsidR="00D06702">
        <w:t>)</w:t>
      </w:r>
      <w:r>
        <w:t>.</w:t>
      </w:r>
    </w:p>
    <w:p w14:paraId="07B82A67" w14:textId="73E92098" w:rsidR="00105E9D" w:rsidRDefault="00105E9D" w:rsidP="00C522E0">
      <w:pPr>
        <w:pStyle w:val="AHPRANumberedlistlevel1"/>
        <w:numPr>
          <w:ilvl w:val="0"/>
          <w:numId w:val="0"/>
        </w:numPr>
        <w:spacing w:before="200" w:after="200"/>
      </w:pPr>
      <w:r w:rsidRPr="00901BEE">
        <w:rPr>
          <w:b/>
        </w:rPr>
        <w:t>Exposure-prone procedures are defined</w:t>
      </w:r>
      <w:r>
        <w:t xml:space="preserve"> as </w:t>
      </w:r>
      <w:r w:rsidRPr="00876DC8">
        <w:rPr>
          <w:i/>
        </w:rPr>
        <w:t>procedures where there is a risk of injury to the</w:t>
      </w:r>
      <w:r w:rsidR="00901BEE">
        <w:rPr>
          <w:i/>
        </w:rPr>
        <w:t xml:space="preserve"> healthcare worker</w:t>
      </w:r>
      <w:r w:rsidRPr="00E224E5">
        <w:rPr>
          <w:i/>
          <w:vertAlign w:val="superscript"/>
        </w:rPr>
        <w:t xml:space="preserve"> </w:t>
      </w:r>
      <w:r w:rsidR="00D06702">
        <w:rPr>
          <w:rStyle w:val="FootnoteReference"/>
          <w:i/>
        </w:rPr>
        <w:footnoteReference w:id="4"/>
      </w:r>
      <w:r w:rsidR="00C60422">
        <w:rPr>
          <w:i/>
          <w:vertAlign w:val="superscript"/>
        </w:rPr>
        <w:t xml:space="preserve"> </w:t>
      </w:r>
      <w:r w:rsidRPr="00876DC8">
        <w:rPr>
          <w:i/>
        </w:rPr>
        <w:t xml:space="preserve">resulting in exposure of the patient’s open tissues to the blood of the </w:t>
      </w:r>
      <w:r w:rsidR="00901BEE">
        <w:rPr>
          <w:i/>
        </w:rPr>
        <w:t>healthcare worker</w:t>
      </w:r>
      <w:r w:rsidRPr="00876DC8">
        <w:rPr>
          <w:i/>
        </w:rPr>
        <w:t xml:space="preserve">. These procedures include those where the </w:t>
      </w:r>
      <w:r w:rsidR="00901BEE">
        <w:rPr>
          <w:i/>
        </w:rPr>
        <w:t>healthcare worker</w:t>
      </w:r>
      <w:r w:rsidRPr="00876DC8">
        <w:rPr>
          <w:i/>
        </w:rPr>
        <w:t>’s hands (whether gloved or not) may be in contact with sharp instruments, needle tips or sharp tissues (spicules of bone or teeth) inside a patient’s open body cavity, wound or confined anatomical space where the hands or fingertips may not be completely visible at all times</w:t>
      </w:r>
      <w:r>
        <w:rPr>
          <w:i/>
        </w:rPr>
        <w:t>.</w:t>
      </w:r>
      <w:r>
        <w:rPr>
          <w:rStyle w:val="FootnoteReference"/>
          <w:i/>
        </w:rPr>
        <w:footnoteReference w:id="5"/>
      </w:r>
    </w:p>
    <w:p w14:paraId="3F3F71B5" w14:textId="77777777" w:rsidR="00105E9D" w:rsidRDefault="00105E9D" w:rsidP="00C522E0">
      <w:pPr>
        <w:pStyle w:val="AHPRANumberedlistlevel1"/>
        <w:numPr>
          <w:ilvl w:val="0"/>
          <w:numId w:val="0"/>
        </w:numPr>
        <w:spacing w:before="200" w:after="200"/>
      </w:pPr>
      <w:r>
        <w:t xml:space="preserve">Exposure-prone procedures are generally limited to the practice of dental practitioners, medical practitioners (particularly surgeons, obstetricians and gynaecologists and emergency physicians), nurses (operating room and emergency) and midwives, podiatric surgeons and paramedics. </w:t>
      </w:r>
    </w:p>
    <w:p w14:paraId="7FFA00BF" w14:textId="77777777" w:rsidR="00105E9D" w:rsidRDefault="00105E9D" w:rsidP="00C522E0">
      <w:pPr>
        <w:pStyle w:val="AHPRANumberedlistlevel1"/>
        <w:numPr>
          <w:ilvl w:val="0"/>
          <w:numId w:val="0"/>
        </w:numPr>
        <w:spacing w:before="200" w:after="200"/>
      </w:pPr>
      <w:r>
        <w:t>Acupuncture, venepuncture, excision of skin lesions and other procedures where the hands are visible at all times and outside of the body are not exposure-prone procedures.</w:t>
      </w:r>
    </w:p>
    <w:p w14:paraId="34FB90FB" w14:textId="77777777" w:rsidR="00105E9D" w:rsidRPr="00E14B90" w:rsidRDefault="00105E9D" w:rsidP="00C522E0">
      <w:pPr>
        <w:pStyle w:val="AHPRANumberedlistlevel1"/>
        <w:numPr>
          <w:ilvl w:val="0"/>
          <w:numId w:val="0"/>
        </w:numPr>
        <w:spacing w:before="200" w:after="200"/>
      </w:pPr>
      <w:r>
        <w:t>Some of the Boards have received feedback</w:t>
      </w:r>
      <w:r w:rsidR="001A5142">
        <w:t xml:space="preserve"> that further guidance for practitioners in relation to blood-borne viruses is necessary. </w:t>
      </w:r>
    </w:p>
    <w:p w14:paraId="31F5AEBF" w14:textId="77777777" w:rsidR="00105E9D" w:rsidRDefault="001A5142" w:rsidP="00C522E0">
      <w:pPr>
        <w:pStyle w:val="AHPRAHeadline"/>
        <w:spacing w:before="200"/>
        <w:rPr>
          <w:rFonts w:cs="Arial"/>
          <w:b/>
          <w:sz w:val="20"/>
          <w:szCs w:val="20"/>
        </w:rPr>
      </w:pPr>
      <w:r>
        <w:rPr>
          <w:rFonts w:cs="Arial"/>
          <w:b/>
          <w:sz w:val="20"/>
          <w:szCs w:val="20"/>
        </w:rPr>
        <w:t>2014 consultation</w:t>
      </w:r>
    </w:p>
    <w:p w14:paraId="393DACC1" w14:textId="77777777" w:rsidR="001F6598" w:rsidRDefault="00565612" w:rsidP="00C522E0">
      <w:pPr>
        <w:spacing w:before="200"/>
        <w:rPr>
          <w:rFonts w:ascii="Arial" w:hAnsi="Arial" w:cs="Arial"/>
          <w:bCs/>
          <w:sz w:val="20"/>
          <w:szCs w:val="20"/>
        </w:rPr>
      </w:pPr>
      <w:r>
        <w:rPr>
          <w:rFonts w:ascii="Arial" w:hAnsi="Arial" w:cs="Arial"/>
          <w:bCs/>
          <w:sz w:val="20"/>
          <w:szCs w:val="20"/>
        </w:rPr>
        <w:t>You may recall that t</w:t>
      </w:r>
      <w:r w:rsidR="003908B6">
        <w:rPr>
          <w:rFonts w:ascii="Arial" w:hAnsi="Arial" w:cs="Arial"/>
          <w:bCs/>
          <w:sz w:val="20"/>
          <w:szCs w:val="20"/>
        </w:rPr>
        <w:t>he Board</w:t>
      </w:r>
      <w:r w:rsidR="00E451C7">
        <w:rPr>
          <w:rFonts w:ascii="Arial" w:hAnsi="Arial" w:cs="Arial"/>
          <w:bCs/>
          <w:sz w:val="20"/>
          <w:szCs w:val="20"/>
        </w:rPr>
        <w:t>s</w:t>
      </w:r>
      <w:r w:rsidR="006445EB">
        <w:rPr>
          <w:rFonts w:ascii="Arial" w:hAnsi="Arial" w:cs="Arial"/>
          <w:bCs/>
          <w:sz w:val="20"/>
          <w:szCs w:val="20"/>
        </w:rPr>
        <w:t xml:space="preserve"> previously consulted on </w:t>
      </w:r>
      <w:r w:rsidR="006445EB" w:rsidRPr="006445EB">
        <w:rPr>
          <w:rFonts w:ascii="Arial" w:hAnsi="Arial" w:cs="Arial"/>
          <w:bCs/>
          <w:i/>
          <w:sz w:val="20"/>
          <w:szCs w:val="20"/>
        </w:rPr>
        <w:t>Guidelines for the regulatory management of registered health practitioners and students infected with blood-borne viruses</w:t>
      </w:r>
      <w:r w:rsidR="006445EB">
        <w:rPr>
          <w:rFonts w:ascii="Arial" w:hAnsi="Arial" w:cs="Arial"/>
          <w:bCs/>
          <w:i/>
          <w:sz w:val="20"/>
          <w:szCs w:val="20"/>
        </w:rPr>
        <w:t xml:space="preserve"> </w:t>
      </w:r>
      <w:r w:rsidR="006445EB">
        <w:rPr>
          <w:rFonts w:ascii="Arial" w:hAnsi="Arial" w:cs="Arial"/>
          <w:bCs/>
          <w:sz w:val="20"/>
          <w:szCs w:val="20"/>
        </w:rPr>
        <w:t xml:space="preserve">in 2014 (the 2014 Guidelines). </w:t>
      </w:r>
    </w:p>
    <w:p w14:paraId="0E193A03" w14:textId="77777777" w:rsidR="006445EB" w:rsidRDefault="001F6598" w:rsidP="00C522E0">
      <w:pPr>
        <w:spacing w:before="200"/>
        <w:rPr>
          <w:rFonts w:ascii="Arial" w:hAnsi="Arial" w:cs="Arial"/>
          <w:bCs/>
          <w:sz w:val="20"/>
          <w:szCs w:val="20"/>
        </w:rPr>
      </w:pPr>
      <w:r>
        <w:rPr>
          <w:rFonts w:ascii="Arial" w:hAnsi="Arial" w:cs="Arial"/>
          <w:bCs/>
          <w:sz w:val="20"/>
          <w:szCs w:val="20"/>
        </w:rPr>
        <w:t xml:space="preserve">The 2014 Guidelines required all registered practitioners and students to comply with the </w:t>
      </w:r>
      <w:r w:rsidR="00A448EE">
        <w:rPr>
          <w:rFonts w:ascii="Arial" w:hAnsi="Arial" w:cs="Arial"/>
          <w:bCs/>
          <w:sz w:val="20"/>
          <w:szCs w:val="20"/>
        </w:rPr>
        <w:t>CDNA guidelines for health practitioners infected with a blood-borne virus.</w:t>
      </w:r>
    </w:p>
    <w:p w14:paraId="78D34D05" w14:textId="77777777" w:rsidR="00004BFF" w:rsidRDefault="001F6598" w:rsidP="00C522E0">
      <w:pPr>
        <w:spacing w:before="200"/>
        <w:rPr>
          <w:rFonts w:ascii="Arial" w:hAnsi="Arial" w:cs="Arial"/>
          <w:bCs/>
          <w:sz w:val="20"/>
          <w:szCs w:val="20"/>
        </w:rPr>
      </w:pPr>
      <w:r>
        <w:rPr>
          <w:rFonts w:ascii="Arial" w:hAnsi="Arial" w:cs="Arial"/>
          <w:bCs/>
          <w:sz w:val="20"/>
          <w:szCs w:val="20"/>
        </w:rPr>
        <w:t xml:space="preserve">There was general support for the notion that the Board guidelines align with the CDNA guidelines. However, there was </w:t>
      </w:r>
      <w:r w:rsidR="0090122E">
        <w:rPr>
          <w:rFonts w:ascii="Arial" w:hAnsi="Arial" w:cs="Arial"/>
          <w:bCs/>
          <w:sz w:val="20"/>
          <w:szCs w:val="20"/>
        </w:rPr>
        <w:t>a great deal of feedback that the CDNA guidelines in place at the time were outdated</w:t>
      </w:r>
      <w:r w:rsidR="001A5142">
        <w:rPr>
          <w:rFonts w:ascii="Arial" w:hAnsi="Arial" w:cs="Arial"/>
          <w:bCs/>
          <w:sz w:val="20"/>
          <w:szCs w:val="20"/>
        </w:rPr>
        <w:t xml:space="preserve"> and not in line with</w:t>
      </w:r>
      <w:r w:rsidR="00712C32">
        <w:rPr>
          <w:rFonts w:ascii="Arial" w:hAnsi="Arial" w:cs="Arial"/>
          <w:bCs/>
          <w:sz w:val="20"/>
          <w:szCs w:val="20"/>
        </w:rPr>
        <w:t xml:space="preserve"> current evidence and</w:t>
      </w:r>
      <w:r w:rsidR="001A5142">
        <w:rPr>
          <w:rFonts w:ascii="Arial" w:hAnsi="Arial" w:cs="Arial"/>
          <w:bCs/>
          <w:sz w:val="20"/>
          <w:szCs w:val="20"/>
        </w:rPr>
        <w:t xml:space="preserve"> international practice</w:t>
      </w:r>
      <w:r w:rsidR="00004BFF">
        <w:rPr>
          <w:rFonts w:ascii="Arial" w:hAnsi="Arial" w:cs="Arial"/>
          <w:bCs/>
          <w:sz w:val="20"/>
          <w:szCs w:val="20"/>
        </w:rPr>
        <w:t>. Given the feedback about the CDNA guidelines, a decision was made to wait until the CDNA guidelines had been updated</w:t>
      </w:r>
      <w:r w:rsidR="00C7427D">
        <w:rPr>
          <w:rFonts w:ascii="Arial" w:hAnsi="Arial" w:cs="Arial"/>
          <w:bCs/>
          <w:sz w:val="20"/>
          <w:szCs w:val="20"/>
        </w:rPr>
        <w:t xml:space="preserve"> before proceeding with Board</w:t>
      </w:r>
      <w:r w:rsidR="00E451C7">
        <w:rPr>
          <w:rFonts w:ascii="Arial" w:hAnsi="Arial" w:cs="Arial"/>
          <w:bCs/>
          <w:sz w:val="20"/>
          <w:szCs w:val="20"/>
        </w:rPr>
        <w:t>s’</w:t>
      </w:r>
      <w:r w:rsidR="00C7427D">
        <w:rPr>
          <w:rFonts w:ascii="Arial" w:hAnsi="Arial" w:cs="Arial"/>
          <w:bCs/>
          <w:sz w:val="20"/>
          <w:szCs w:val="20"/>
        </w:rPr>
        <w:t xml:space="preserve"> guidelines</w:t>
      </w:r>
      <w:r w:rsidR="00004BFF">
        <w:rPr>
          <w:rFonts w:ascii="Arial" w:hAnsi="Arial" w:cs="Arial"/>
          <w:bCs/>
          <w:sz w:val="20"/>
          <w:szCs w:val="20"/>
        </w:rPr>
        <w:t>.</w:t>
      </w:r>
    </w:p>
    <w:p w14:paraId="5D3EA10A" w14:textId="77777777" w:rsidR="001A5142" w:rsidRDefault="001A5142" w:rsidP="00C522E0">
      <w:pPr>
        <w:pStyle w:val="AHPRASubhead"/>
        <w:spacing w:before="200"/>
      </w:pPr>
      <w:r>
        <w:t>CDNA guidelines</w:t>
      </w:r>
    </w:p>
    <w:p w14:paraId="46B4EFF3" w14:textId="4EB109EE" w:rsidR="00004BFF" w:rsidRDefault="00004BFF" w:rsidP="00C522E0">
      <w:pPr>
        <w:spacing w:before="200"/>
        <w:rPr>
          <w:rFonts w:ascii="Arial" w:hAnsi="Arial" w:cs="Arial"/>
          <w:bCs/>
          <w:sz w:val="20"/>
          <w:szCs w:val="20"/>
        </w:rPr>
      </w:pPr>
      <w:r>
        <w:rPr>
          <w:rFonts w:ascii="Arial" w:hAnsi="Arial" w:cs="Arial"/>
          <w:bCs/>
          <w:sz w:val="20"/>
          <w:szCs w:val="20"/>
        </w:rPr>
        <w:t>The Australian Health Ministers’ Advisory Council</w:t>
      </w:r>
      <w:r w:rsidR="00C7427D">
        <w:rPr>
          <w:rFonts w:ascii="Arial" w:hAnsi="Arial" w:cs="Arial"/>
          <w:bCs/>
          <w:sz w:val="20"/>
          <w:szCs w:val="20"/>
        </w:rPr>
        <w:t xml:space="preserve"> (AHMAC)</w:t>
      </w:r>
      <w:r w:rsidR="00901BEE">
        <w:rPr>
          <w:rFonts w:ascii="Arial" w:hAnsi="Arial" w:cs="Arial"/>
          <w:bCs/>
          <w:sz w:val="20"/>
          <w:szCs w:val="20"/>
        </w:rPr>
        <w:t xml:space="preserve"> have now</w:t>
      </w:r>
      <w:r w:rsidR="00C7427D">
        <w:rPr>
          <w:rFonts w:ascii="Arial" w:hAnsi="Arial" w:cs="Arial"/>
          <w:bCs/>
          <w:sz w:val="20"/>
          <w:szCs w:val="20"/>
        </w:rPr>
        <w:t xml:space="preserve"> </w:t>
      </w:r>
      <w:r>
        <w:rPr>
          <w:rFonts w:ascii="Arial" w:hAnsi="Arial" w:cs="Arial"/>
          <w:bCs/>
          <w:sz w:val="20"/>
          <w:szCs w:val="20"/>
        </w:rPr>
        <w:t>endorsed</w:t>
      </w:r>
      <w:r w:rsidR="001A5142">
        <w:rPr>
          <w:rFonts w:ascii="Arial" w:hAnsi="Arial" w:cs="Arial"/>
          <w:bCs/>
          <w:sz w:val="20"/>
          <w:szCs w:val="20"/>
        </w:rPr>
        <w:t xml:space="preserve"> the CDNA’s</w:t>
      </w:r>
      <w:r>
        <w:rPr>
          <w:rFonts w:ascii="Arial" w:hAnsi="Arial" w:cs="Arial"/>
          <w:bCs/>
          <w:sz w:val="20"/>
          <w:szCs w:val="20"/>
        </w:rPr>
        <w:t xml:space="preserve"> </w:t>
      </w:r>
      <w:r w:rsidRPr="00C7427D">
        <w:rPr>
          <w:rFonts w:ascii="Arial" w:hAnsi="Arial" w:cs="Arial"/>
          <w:bCs/>
          <w:i/>
          <w:sz w:val="20"/>
          <w:szCs w:val="20"/>
        </w:rPr>
        <w:t>Australian national guidelines for the management of healthcare workers living with blood borne viruses and healthcare workers who perform exposure pr</w:t>
      </w:r>
      <w:r w:rsidR="00C7427D">
        <w:rPr>
          <w:rFonts w:ascii="Arial" w:hAnsi="Arial" w:cs="Arial"/>
          <w:bCs/>
          <w:i/>
          <w:sz w:val="20"/>
          <w:szCs w:val="20"/>
        </w:rPr>
        <w:t>o</w:t>
      </w:r>
      <w:r w:rsidRPr="00C7427D">
        <w:rPr>
          <w:rFonts w:ascii="Arial" w:hAnsi="Arial" w:cs="Arial"/>
          <w:bCs/>
          <w:i/>
          <w:sz w:val="20"/>
          <w:szCs w:val="20"/>
        </w:rPr>
        <w:t>ne proced</w:t>
      </w:r>
      <w:r w:rsidR="00C7427D">
        <w:rPr>
          <w:rFonts w:ascii="Arial" w:hAnsi="Arial" w:cs="Arial"/>
          <w:bCs/>
          <w:i/>
          <w:sz w:val="20"/>
          <w:szCs w:val="20"/>
        </w:rPr>
        <w:t>u</w:t>
      </w:r>
      <w:r w:rsidRPr="00C7427D">
        <w:rPr>
          <w:rFonts w:ascii="Arial" w:hAnsi="Arial" w:cs="Arial"/>
          <w:bCs/>
          <w:i/>
          <w:sz w:val="20"/>
          <w:szCs w:val="20"/>
        </w:rPr>
        <w:t>res at risk of exposure to blood borne viruses</w:t>
      </w:r>
      <w:r w:rsidR="009E6641">
        <w:rPr>
          <w:rFonts w:ascii="Arial" w:hAnsi="Arial" w:cs="Arial"/>
          <w:bCs/>
          <w:i/>
          <w:sz w:val="20"/>
          <w:szCs w:val="20"/>
        </w:rPr>
        <w:t>.</w:t>
      </w:r>
      <w:r w:rsidR="00D06702">
        <w:rPr>
          <w:rFonts w:ascii="Arial" w:hAnsi="Arial" w:cs="Arial"/>
          <w:bCs/>
          <w:sz w:val="20"/>
          <w:szCs w:val="20"/>
        </w:rPr>
        <w:t xml:space="preserve"> </w:t>
      </w:r>
    </w:p>
    <w:p w14:paraId="266605A9" w14:textId="42463409" w:rsidR="001A5142" w:rsidRDefault="001A5142" w:rsidP="00C522E0">
      <w:pPr>
        <w:spacing w:before="200"/>
        <w:rPr>
          <w:rFonts w:ascii="Arial" w:hAnsi="Arial" w:cs="Arial"/>
          <w:bCs/>
          <w:sz w:val="20"/>
          <w:szCs w:val="20"/>
        </w:rPr>
      </w:pPr>
      <w:r>
        <w:rPr>
          <w:rFonts w:ascii="Arial" w:hAnsi="Arial" w:cs="Arial"/>
          <w:bCs/>
          <w:sz w:val="20"/>
          <w:szCs w:val="20"/>
        </w:rPr>
        <w:t>The revised CDNA guidelines provide information and recommendations for all healthcare workers (HCWs)</w:t>
      </w:r>
      <w:r w:rsidR="00901BEE">
        <w:rPr>
          <w:rFonts w:ascii="Arial" w:hAnsi="Arial" w:cs="Arial"/>
          <w:bCs/>
          <w:sz w:val="20"/>
          <w:szCs w:val="20"/>
        </w:rPr>
        <w:t xml:space="preserve"> but they are</w:t>
      </w:r>
      <w:r>
        <w:rPr>
          <w:rFonts w:ascii="Arial" w:hAnsi="Arial" w:cs="Arial"/>
          <w:bCs/>
          <w:sz w:val="20"/>
          <w:szCs w:val="20"/>
        </w:rPr>
        <w:t xml:space="preserve"> particular</w:t>
      </w:r>
      <w:r w:rsidR="00901BEE">
        <w:rPr>
          <w:rFonts w:ascii="Arial" w:hAnsi="Arial" w:cs="Arial"/>
          <w:bCs/>
          <w:sz w:val="20"/>
          <w:szCs w:val="20"/>
        </w:rPr>
        <w:t>ly relevant to</w:t>
      </w:r>
      <w:r>
        <w:rPr>
          <w:rFonts w:ascii="Arial" w:hAnsi="Arial" w:cs="Arial"/>
          <w:bCs/>
          <w:sz w:val="20"/>
          <w:szCs w:val="20"/>
        </w:rPr>
        <w:t>:</w:t>
      </w:r>
    </w:p>
    <w:p w14:paraId="32F3E9B4" w14:textId="79C20439" w:rsidR="001A5142" w:rsidRDefault="00901BEE" w:rsidP="002F1BC7">
      <w:pPr>
        <w:pStyle w:val="ListParagraph"/>
        <w:numPr>
          <w:ilvl w:val="0"/>
          <w:numId w:val="22"/>
        </w:numPr>
        <w:spacing w:before="200"/>
        <w:rPr>
          <w:rFonts w:cs="Arial"/>
          <w:bCs/>
          <w:sz w:val="20"/>
          <w:szCs w:val="20"/>
        </w:rPr>
      </w:pPr>
      <w:r w:rsidRPr="00901BEE">
        <w:rPr>
          <w:rFonts w:cs="Arial"/>
          <w:bCs/>
          <w:sz w:val="20"/>
          <w:szCs w:val="20"/>
        </w:rPr>
        <w:t>healthcare worker</w:t>
      </w:r>
      <w:r w:rsidR="001A5142">
        <w:rPr>
          <w:rFonts w:cs="Arial"/>
          <w:bCs/>
          <w:sz w:val="20"/>
          <w:szCs w:val="20"/>
        </w:rPr>
        <w:t>s who perform exposure prone procedures</w:t>
      </w:r>
    </w:p>
    <w:p w14:paraId="525978E7" w14:textId="48649B03" w:rsidR="001A5142" w:rsidRDefault="00901BEE" w:rsidP="002F1BC7">
      <w:pPr>
        <w:pStyle w:val="ListParagraph"/>
        <w:numPr>
          <w:ilvl w:val="0"/>
          <w:numId w:val="22"/>
        </w:numPr>
        <w:spacing w:before="200"/>
        <w:rPr>
          <w:rFonts w:cs="Arial"/>
          <w:bCs/>
          <w:sz w:val="20"/>
          <w:szCs w:val="20"/>
        </w:rPr>
      </w:pPr>
      <w:r w:rsidRPr="00901BEE">
        <w:rPr>
          <w:rFonts w:cs="Arial"/>
          <w:bCs/>
          <w:sz w:val="20"/>
          <w:szCs w:val="20"/>
        </w:rPr>
        <w:t>healthcare worker</w:t>
      </w:r>
      <w:r>
        <w:rPr>
          <w:rFonts w:cs="Arial"/>
          <w:bCs/>
          <w:sz w:val="20"/>
          <w:szCs w:val="20"/>
        </w:rPr>
        <w:t>s</w:t>
      </w:r>
      <w:r w:rsidR="001A5142">
        <w:rPr>
          <w:rFonts w:cs="Arial"/>
          <w:bCs/>
          <w:sz w:val="20"/>
          <w:szCs w:val="20"/>
        </w:rPr>
        <w:t xml:space="preserve"> living with a blood-borne virus and</w:t>
      </w:r>
    </w:p>
    <w:p w14:paraId="4D801FF1" w14:textId="383685DE" w:rsidR="001A5142" w:rsidRDefault="00901BEE" w:rsidP="002F1BC7">
      <w:pPr>
        <w:pStyle w:val="ListParagraph"/>
        <w:numPr>
          <w:ilvl w:val="0"/>
          <w:numId w:val="22"/>
        </w:numPr>
        <w:spacing w:before="200"/>
        <w:rPr>
          <w:rFonts w:cs="Arial"/>
          <w:bCs/>
          <w:sz w:val="20"/>
          <w:szCs w:val="20"/>
        </w:rPr>
      </w:pPr>
      <w:r>
        <w:rPr>
          <w:rFonts w:cs="Arial"/>
          <w:bCs/>
          <w:sz w:val="20"/>
          <w:szCs w:val="20"/>
        </w:rPr>
        <w:t>d</w:t>
      </w:r>
      <w:r w:rsidR="001A5142">
        <w:rPr>
          <w:rFonts w:cs="Arial"/>
          <w:bCs/>
          <w:sz w:val="20"/>
          <w:szCs w:val="20"/>
        </w:rPr>
        <w:t xml:space="preserve">octors treating </w:t>
      </w:r>
      <w:r w:rsidRPr="00901BEE">
        <w:rPr>
          <w:rFonts w:cs="Arial"/>
          <w:bCs/>
          <w:sz w:val="20"/>
          <w:szCs w:val="20"/>
        </w:rPr>
        <w:t>healthcare worker</w:t>
      </w:r>
      <w:r>
        <w:rPr>
          <w:rFonts w:cs="Arial"/>
          <w:bCs/>
          <w:sz w:val="20"/>
          <w:szCs w:val="20"/>
        </w:rPr>
        <w:t>s</w:t>
      </w:r>
      <w:r w:rsidR="001A5142">
        <w:rPr>
          <w:rFonts w:cs="Arial"/>
          <w:bCs/>
          <w:sz w:val="20"/>
          <w:szCs w:val="20"/>
        </w:rPr>
        <w:t xml:space="preserve"> with a blood-borne virus</w:t>
      </w:r>
    </w:p>
    <w:p w14:paraId="47563B37" w14:textId="77777777" w:rsidR="001A5142" w:rsidRPr="001A5142" w:rsidRDefault="001A5142" w:rsidP="00C522E0">
      <w:pPr>
        <w:spacing w:before="200"/>
        <w:rPr>
          <w:rFonts w:ascii="Arial" w:hAnsi="Arial" w:cs="Arial"/>
          <w:bCs/>
          <w:sz w:val="20"/>
          <w:szCs w:val="20"/>
        </w:rPr>
      </w:pPr>
      <w:r w:rsidRPr="001A5142">
        <w:rPr>
          <w:rFonts w:ascii="Arial" w:hAnsi="Arial" w:cs="Arial"/>
          <w:bCs/>
          <w:sz w:val="20"/>
          <w:szCs w:val="20"/>
        </w:rPr>
        <w:t>The CDNA also provide information and recommendations for public health authorities.</w:t>
      </w:r>
    </w:p>
    <w:p w14:paraId="522A7E94" w14:textId="77777777" w:rsidR="001A5142" w:rsidRDefault="00712C32" w:rsidP="00C522E0">
      <w:pPr>
        <w:spacing w:before="200"/>
        <w:rPr>
          <w:rFonts w:ascii="Arial" w:hAnsi="Arial" w:cs="Arial"/>
          <w:bCs/>
          <w:sz w:val="20"/>
          <w:szCs w:val="20"/>
        </w:rPr>
      </w:pPr>
      <w:r>
        <w:rPr>
          <w:rFonts w:ascii="Arial" w:hAnsi="Arial" w:cs="Arial"/>
          <w:bCs/>
          <w:sz w:val="20"/>
          <w:szCs w:val="20"/>
        </w:rPr>
        <w:lastRenderedPageBreak/>
        <w:t xml:space="preserve">The CDNA </w:t>
      </w:r>
      <w:r w:rsidR="001A5142">
        <w:rPr>
          <w:rFonts w:ascii="Arial" w:hAnsi="Arial" w:cs="Arial"/>
          <w:bCs/>
          <w:sz w:val="20"/>
          <w:szCs w:val="20"/>
        </w:rPr>
        <w:t>guidelines provide guidance on testing for blood-borne viruses and the circumstances when practitioners living with a blood-borne virus can resume performing exposure-prone procedures. This is based on current evidence and international practice.</w:t>
      </w:r>
    </w:p>
    <w:p w14:paraId="4346C630" w14:textId="77777777" w:rsidR="001A5142" w:rsidRPr="001A5142" w:rsidRDefault="001A5142" w:rsidP="00C522E0">
      <w:pPr>
        <w:pStyle w:val="AHPRASubhead"/>
        <w:spacing w:before="200"/>
      </w:pPr>
      <w:r w:rsidRPr="001A5142">
        <w:t>The Board</w:t>
      </w:r>
      <w:r w:rsidR="00E451C7">
        <w:t>s’</w:t>
      </w:r>
      <w:r w:rsidRPr="001A5142">
        <w:t xml:space="preserve"> guidelines</w:t>
      </w:r>
    </w:p>
    <w:p w14:paraId="0D2DF1CA" w14:textId="77777777" w:rsidR="00565612" w:rsidRPr="00CA47B3" w:rsidRDefault="00C7427D" w:rsidP="00C522E0">
      <w:pPr>
        <w:spacing w:before="200"/>
      </w:pPr>
      <w:r w:rsidRPr="00E451C7">
        <w:rPr>
          <w:rFonts w:ascii="Arial" w:hAnsi="Arial" w:cs="Arial"/>
          <w:bCs/>
          <w:sz w:val="20"/>
          <w:szCs w:val="20"/>
        </w:rPr>
        <w:t>The</w:t>
      </w:r>
      <w:r w:rsidR="00E451C7" w:rsidRPr="00E451C7">
        <w:rPr>
          <w:rFonts w:ascii="Arial" w:hAnsi="Arial" w:cs="Arial"/>
          <w:bCs/>
          <w:sz w:val="20"/>
          <w:szCs w:val="20"/>
        </w:rPr>
        <w:t xml:space="preserve"> </w:t>
      </w:r>
      <w:r w:rsidR="00E451C7" w:rsidRPr="00E451C7">
        <w:rPr>
          <w:rFonts w:ascii="Arial" w:hAnsi="Arial" w:cs="Arial"/>
          <w:sz w:val="20"/>
          <w:szCs w:val="20"/>
        </w:rPr>
        <w:t>Dental, Medical, Nursing and Midwifery, Paramedic and Podiatry Boards</w:t>
      </w:r>
      <w:r w:rsidR="00565612" w:rsidRPr="00E451C7">
        <w:rPr>
          <w:rFonts w:ascii="Arial" w:hAnsi="Arial" w:cs="Arial"/>
          <w:bCs/>
          <w:sz w:val="20"/>
          <w:szCs w:val="20"/>
        </w:rPr>
        <w:t xml:space="preserve"> </w:t>
      </w:r>
      <w:r w:rsidR="00E451C7" w:rsidRPr="00E451C7">
        <w:rPr>
          <w:rFonts w:ascii="Arial" w:hAnsi="Arial" w:cs="Arial"/>
          <w:bCs/>
          <w:sz w:val="20"/>
          <w:szCs w:val="20"/>
        </w:rPr>
        <w:t>are</w:t>
      </w:r>
      <w:r w:rsidR="00565612">
        <w:rPr>
          <w:rFonts w:ascii="Arial" w:hAnsi="Arial" w:cs="Arial"/>
          <w:bCs/>
          <w:sz w:val="20"/>
          <w:szCs w:val="20"/>
        </w:rPr>
        <w:t xml:space="preserve"> now proposing </w:t>
      </w:r>
      <w:r>
        <w:rPr>
          <w:rFonts w:ascii="Arial" w:hAnsi="Arial" w:cs="Arial"/>
          <w:bCs/>
          <w:sz w:val="20"/>
          <w:szCs w:val="20"/>
        </w:rPr>
        <w:t>guidelines</w:t>
      </w:r>
      <w:r w:rsidR="00565612">
        <w:rPr>
          <w:rFonts w:ascii="Arial" w:hAnsi="Arial" w:cs="Arial"/>
          <w:bCs/>
          <w:sz w:val="20"/>
          <w:szCs w:val="20"/>
        </w:rPr>
        <w:t xml:space="preserve"> that are complementary to the CDNA guidelines. The guidelines:</w:t>
      </w:r>
    </w:p>
    <w:p w14:paraId="36A17766" w14:textId="2D570873" w:rsidR="00C7427D" w:rsidRDefault="00C7427D" w:rsidP="002F1BC7">
      <w:pPr>
        <w:pStyle w:val="AHPRANumberedlistlevel2"/>
        <w:numPr>
          <w:ilvl w:val="0"/>
          <w:numId w:val="20"/>
        </w:numPr>
        <w:spacing w:before="200" w:after="200"/>
        <w:ind w:left="360"/>
      </w:pPr>
      <w:r>
        <w:t xml:space="preserve">inform all practitioners </w:t>
      </w:r>
      <w:r w:rsidR="00B37A5B">
        <w:t xml:space="preserve">registered by the </w:t>
      </w:r>
      <w:r w:rsidR="00B37A5B" w:rsidRPr="00565612">
        <w:rPr>
          <w:szCs w:val="20"/>
        </w:rPr>
        <w:t>Dental, Medical, Nursing and Midwifery, Paramedic</w:t>
      </w:r>
      <w:r w:rsidR="00B37A5B">
        <w:rPr>
          <w:szCs w:val="20"/>
        </w:rPr>
        <w:t xml:space="preserve"> and</w:t>
      </w:r>
      <w:r w:rsidR="00B37A5B" w:rsidRPr="00565612">
        <w:rPr>
          <w:szCs w:val="20"/>
        </w:rPr>
        <w:t xml:space="preserve"> Podiatry</w:t>
      </w:r>
      <w:r w:rsidR="00B37A5B">
        <w:rPr>
          <w:szCs w:val="20"/>
        </w:rPr>
        <w:t xml:space="preserve"> Boards of Australia </w:t>
      </w:r>
      <w:r>
        <w:t>that they must comply with the CDNA</w:t>
      </w:r>
      <w:r w:rsidR="00353F6F">
        <w:t xml:space="preserve"> guidelines</w:t>
      </w:r>
      <w:r w:rsidR="00932367">
        <w:rPr>
          <w:i/>
        </w:rPr>
        <w:t>,</w:t>
      </w:r>
      <w:r>
        <w:t xml:space="preserve"> </w:t>
      </w:r>
      <w:r w:rsidRPr="00894562">
        <w:t>as current</w:t>
      </w:r>
      <w:r w:rsidRPr="00152836">
        <w:t xml:space="preserve"> and as revised in the future</w:t>
      </w:r>
      <w:r w:rsidR="00D06702">
        <w:t>. That includes testing for blood-borne viruses</w:t>
      </w:r>
    </w:p>
    <w:p w14:paraId="6B6E538D" w14:textId="6030F468" w:rsidR="00C7427D" w:rsidRPr="00816C55" w:rsidRDefault="00C7427D" w:rsidP="002F1BC7">
      <w:pPr>
        <w:pStyle w:val="AHPRAnumberedbulletpoint"/>
        <w:numPr>
          <w:ilvl w:val="0"/>
          <w:numId w:val="20"/>
        </w:numPr>
        <w:spacing w:before="200" w:after="200"/>
        <w:ind w:left="360"/>
      </w:pPr>
      <w:r w:rsidRPr="00816C55">
        <w:t xml:space="preserve">explain the circumstances </w:t>
      </w:r>
      <w:r>
        <w:t>in which</w:t>
      </w:r>
      <w:r w:rsidRPr="00816C55">
        <w:t xml:space="preserve"> a practitioner treating a registered health practitioner or student may have a responsibility to notify </w:t>
      </w:r>
      <w:r>
        <w:t>AHPRA</w:t>
      </w:r>
      <w:r w:rsidRPr="00816C55">
        <w:t xml:space="preserve"> </w:t>
      </w:r>
      <w:r>
        <w:t xml:space="preserve">that their </w:t>
      </w:r>
      <w:r w:rsidRPr="00816C55">
        <w:t>patient</w:t>
      </w:r>
      <w:r>
        <w:t xml:space="preserve"> is living with a</w:t>
      </w:r>
      <w:r w:rsidR="00932367">
        <w:t xml:space="preserve"> blood-borne virus</w:t>
      </w:r>
      <w:r>
        <w:t>, and</w:t>
      </w:r>
    </w:p>
    <w:p w14:paraId="1E8D89AF" w14:textId="77777777" w:rsidR="00932367" w:rsidRPr="00816C55" w:rsidRDefault="00C7427D" w:rsidP="002F1BC7">
      <w:pPr>
        <w:pStyle w:val="AHPRAnumberedbulletpoint"/>
        <w:numPr>
          <w:ilvl w:val="0"/>
          <w:numId w:val="25"/>
        </w:numPr>
        <w:spacing w:before="200" w:after="200"/>
        <w:ind w:left="360"/>
      </w:pPr>
      <w:r w:rsidRPr="00816C55">
        <w:t>provide information on the range of actions that a Board may take if it receives a notification that a registered health practitioner or student is infected with a blood-borne virus</w:t>
      </w:r>
      <w:r w:rsidR="00932367">
        <w:t xml:space="preserve"> and may be impaired or otherwise poses a risk to the public</w:t>
      </w:r>
      <w:r w:rsidR="00932367" w:rsidRPr="00816C55">
        <w:t>.</w:t>
      </w:r>
    </w:p>
    <w:p w14:paraId="3FB441C3" w14:textId="77777777" w:rsidR="00BB3678" w:rsidRPr="00C2396E" w:rsidRDefault="00BB1EA7" w:rsidP="00C522E0">
      <w:pPr>
        <w:pStyle w:val="Default"/>
        <w:spacing w:before="200" w:after="200"/>
        <w:rPr>
          <w:rFonts w:eastAsia="Times New Roman"/>
          <w:b/>
          <w:color w:val="008EC4"/>
          <w:sz w:val="20"/>
          <w:szCs w:val="20"/>
          <w:lang w:val="en-US"/>
        </w:rPr>
      </w:pPr>
      <w:r>
        <w:rPr>
          <w:rFonts w:eastAsia="Times New Roman"/>
          <w:b/>
          <w:color w:val="008EC4"/>
          <w:sz w:val="20"/>
          <w:szCs w:val="20"/>
          <w:lang w:val="en-US"/>
        </w:rPr>
        <w:t>Options</w:t>
      </w:r>
    </w:p>
    <w:p w14:paraId="014BBD19" w14:textId="77777777" w:rsidR="00BB3678" w:rsidRPr="00732A46" w:rsidRDefault="00BB3678" w:rsidP="00C522E0">
      <w:pPr>
        <w:spacing w:before="200"/>
        <w:rPr>
          <w:rFonts w:ascii="Arial" w:hAnsi="Arial" w:cs="Arial"/>
          <w:sz w:val="20"/>
          <w:szCs w:val="20"/>
        </w:rPr>
      </w:pPr>
      <w:r w:rsidRPr="00732A46">
        <w:rPr>
          <w:rFonts w:ascii="Arial" w:hAnsi="Arial" w:cs="Arial"/>
          <w:sz w:val="20"/>
          <w:szCs w:val="20"/>
        </w:rPr>
        <w:t>The Board</w:t>
      </w:r>
      <w:r w:rsidR="00E451C7">
        <w:rPr>
          <w:rFonts w:ascii="Arial" w:hAnsi="Arial" w:cs="Arial"/>
          <w:sz w:val="20"/>
          <w:szCs w:val="20"/>
        </w:rPr>
        <w:t>s</w:t>
      </w:r>
      <w:r w:rsidRPr="00732A46">
        <w:rPr>
          <w:rFonts w:ascii="Arial" w:hAnsi="Arial" w:cs="Arial"/>
          <w:sz w:val="20"/>
          <w:szCs w:val="20"/>
        </w:rPr>
        <w:t xml:space="preserve"> ha</w:t>
      </w:r>
      <w:r w:rsidR="00E451C7">
        <w:rPr>
          <w:rFonts w:ascii="Arial" w:hAnsi="Arial" w:cs="Arial"/>
          <w:sz w:val="20"/>
          <w:szCs w:val="20"/>
        </w:rPr>
        <w:t>ve</w:t>
      </w:r>
      <w:r w:rsidRPr="00732A46">
        <w:rPr>
          <w:rFonts w:ascii="Arial" w:hAnsi="Arial" w:cs="Arial"/>
          <w:sz w:val="20"/>
          <w:szCs w:val="20"/>
        </w:rPr>
        <w:t xml:space="preserve"> considered the following options in developing this proposal.</w:t>
      </w:r>
    </w:p>
    <w:p w14:paraId="51A217BC" w14:textId="77777777" w:rsidR="00BB3678" w:rsidRPr="00C2396E" w:rsidRDefault="00BB3678" w:rsidP="00C522E0">
      <w:pPr>
        <w:spacing w:before="200"/>
        <w:rPr>
          <w:rFonts w:ascii="Arial" w:hAnsi="Arial" w:cs="Arial"/>
          <w:b/>
          <w:sz w:val="20"/>
          <w:szCs w:val="20"/>
        </w:rPr>
      </w:pPr>
      <w:r w:rsidRPr="00C2396E">
        <w:rPr>
          <w:rFonts w:ascii="Arial" w:hAnsi="Arial" w:cs="Arial"/>
          <w:b/>
          <w:sz w:val="20"/>
          <w:szCs w:val="20"/>
        </w:rPr>
        <w:t xml:space="preserve">Option 1 – </w:t>
      </w:r>
      <w:r w:rsidR="00A1556F">
        <w:rPr>
          <w:rFonts w:ascii="Arial" w:hAnsi="Arial" w:cs="Arial"/>
          <w:b/>
          <w:sz w:val="20"/>
          <w:szCs w:val="20"/>
        </w:rPr>
        <w:t>Maintain the s</w:t>
      </w:r>
      <w:r w:rsidRPr="00C2396E">
        <w:rPr>
          <w:rFonts w:ascii="Arial" w:hAnsi="Arial" w:cs="Arial"/>
          <w:b/>
          <w:sz w:val="20"/>
          <w:szCs w:val="20"/>
        </w:rPr>
        <w:t xml:space="preserve">tatus quo </w:t>
      </w:r>
    </w:p>
    <w:p w14:paraId="52757538" w14:textId="77777777" w:rsidR="00D01D5D" w:rsidRDefault="00BB3678" w:rsidP="00C522E0">
      <w:pPr>
        <w:autoSpaceDE w:val="0"/>
        <w:autoSpaceDN w:val="0"/>
        <w:adjustRightInd w:val="0"/>
        <w:spacing w:before="200"/>
        <w:rPr>
          <w:rFonts w:ascii="Arial" w:hAnsi="Arial" w:cs="Arial"/>
          <w:sz w:val="20"/>
          <w:szCs w:val="20"/>
        </w:rPr>
      </w:pPr>
      <w:r w:rsidRPr="00732A46">
        <w:rPr>
          <w:rFonts w:ascii="Arial" w:hAnsi="Arial" w:cs="Arial"/>
          <w:sz w:val="20"/>
          <w:szCs w:val="20"/>
        </w:rPr>
        <w:t xml:space="preserve">Option 1 </w:t>
      </w:r>
      <w:r w:rsidR="00461CDD">
        <w:rPr>
          <w:rFonts w:ascii="Arial" w:hAnsi="Arial" w:cs="Arial"/>
          <w:sz w:val="20"/>
          <w:szCs w:val="20"/>
        </w:rPr>
        <w:t>is</w:t>
      </w:r>
      <w:r w:rsidRPr="00732A46">
        <w:rPr>
          <w:rFonts w:ascii="Arial" w:hAnsi="Arial" w:cs="Arial"/>
          <w:sz w:val="20"/>
          <w:szCs w:val="20"/>
        </w:rPr>
        <w:t xml:space="preserve"> to </w:t>
      </w:r>
      <w:r w:rsidR="00C7427D">
        <w:rPr>
          <w:rFonts w:ascii="Arial" w:hAnsi="Arial" w:cs="Arial"/>
          <w:sz w:val="20"/>
          <w:szCs w:val="20"/>
        </w:rPr>
        <w:t xml:space="preserve">not publish guidelines. </w:t>
      </w:r>
    </w:p>
    <w:p w14:paraId="58404F44" w14:textId="77777777" w:rsidR="00BB3678" w:rsidRPr="00732A46" w:rsidRDefault="00D01D5D" w:rsidP="00C522E0">
      <w:pPr>
        <w:autoSpaceDE w:val="0"/>
        <w:autoSpaceDN w:val="0"/>
        <w:adjustRightInd w:val="0"/>
        <w:spacing w:before="200"/>
        <w:rPr>
          <w:rFonts w:ascii="Arial" w:hAnsi="Arial" w:cs="Arial"/>
          <w:sz w:val="20"/>
          <w:szCs w:val="20"/>
        </w:rPr>
      </w:pPr>
      <w:r>
        <w:rPr>
          <w:rFonts w:ascii="Arial" w:hAnsi="Arial" w:cs="Arial"/>
          <w:sz w:val="20"/>
          <w:szCs w:val="20"/>
        </w:rPr>
        <w:t>While Option 1 has been the approach</w:t>
      </w:r>
      <w:r w:rsidR="008D6516">
        <w:rPr>
          <w:rFonts w:ascii="Arial" w:hAnsi="Arial" w:cs="Arial"/>
          <w:sz w:val="20"/>
          <w:szCs w:val="20"/>
        </w:rPr>
        <w:t xml:space="preserve"> taken</w:t>
      </w:r>
      <w:r>
        <w:rPr>
          <w:rFonts w:ascii="Arial" w:hAnsi="Arial" w:cs="Arial"/>
          <w:sz w:val="20"/>
          <w:szCs w:val="20"/>
        </w:rPr>
        <w:t xml:space="preserve"> to date, practitioners, employers and internal decision-makers have provided feedback that additional guidance would be helpful</w:t>
      </w:r>
      <w:r w:rsidR="002D41CD">
        <w:rPr>
          <w:rFonts w:ascii="Arial" w:hAnsi="Arial" w:cs="Arial"/>
          <w:sz w:val="20"/>
          <w:szCs w:val="20"/>
        </w:rPr>
        <w:t>, particularly as the</w:t>
      </w:r>
      <w:r w:rsidR="00D06702">
        <w:rPr>
          <w:rFonts w:ascii="Arial" w:hAnsi="Arial" w:cs="Arial"/>
          <w:sz w:val="20"/>
          <w:szCs w:val="20"/>
        </w:rPr>
        <w:t xml:space="preserve"> CDNA</w:t>
      </w:r>
      <w:r w:rsidR="009971FF">
        <w:rPr>
          <w:rFonts w:ascii="Arial" w:hAnsi="Arial" w:cs="Arial"/>
          <w:sz w:val="20"/>
          <w:szCs w:val="20"/>
        </w:rPr>
        <w:t xml:space="preserve"> guidelines are explicit that practitioners living with a blood-borne virus can </w:t>
      </w:r>
      <w:r w:rsidR="008D6516">
        <w:rPr>
          <w:rFonts w:ascii="Arial" w:hAnsi="Arial" w:cs="Arial"/>
          <w:sz w:val="20"/>
          <w:szCs w:val="20"/>
        </w:rPr>
        <w:t>practi</w:t>
      </w:r>
      <w:r w:rsidR="00D06702">
        <w:rPr>
          <w:rFonts w:ascii="Arial" w:hAnsi="Arial" w:cs="Arial"/>
          <w:sz w:val="20"/>
          <w:szCs w:val="20"/>
        </w:rPr>
        <w:t>s</w:t>
      </w:r>
      <w:r w:rsidR="008D6516">
        <w:rPr>
          <w:rFonts w:ascii="Arial" w:hAnsi="Arial" w:cs="Arial"/>
          <w:sz w:val="20"/>
          <w:szCs w:val="20"/>
        </w:rPr>
        <w:t>e their profession in the circumstances described.</w:t>
      </w:r>
    </w:p>
    <w:p w14:paraId="1320D6EE" w14:textId="77777777" w:rsidR="00BB3678" w:rsidRPr="00C2396E" w:rsidRDefault="00BB3678" w:rsidP="00C522E0">
      <w:pPr>
        <w:spacing w:before="200"/>
        <w:rPr>
          <w:rFonts w:ascii="Arial" w:hAnsi="Arial" w:cs="Arial"/>
          <w:b/>
          <w:sz w:val="20"/>
          <w:szCs w:val="20"/>
        </w:rPr>
      </w:pPr>
      <w:r w:rsidRPr="00C2396E">
        <w:rPr>
          <w:rFonts w:ascii="Arial" w:hAnsi="Arial" w:cs="Arial"/>
          <w:b/>
          <w:sz w:val="20"/>
          <w:szCs w:val="20"/>
        </w:rPr>
        <w:t xml:space="preserve">Option 2 – Proposed </w:t>
      </w:r>
      <w:r w:rsidR="001068ED">
        <w:rPr>
          <w:rFonts w:ascii="Arial" w:hAnsi="Arial" w:cs="Arial"/>
          <w:b/>
          <w:sz w:val="20"/>
          <w:szCs w:val="20"/>
        </w:rPr>
        <w:t>guideline</w:t>
      </w:r>
      <w:r w:rsidRPr="00C2396E">
        <w:rPr>
          <w:rFonts w:ascii="Arial" w:hAnsi="Arial" w:cs="Arial"/>
          <w:b/>
          <w:sz w:val="20"/>
          <w:szCs w:val="20"/>
        </w:rPr>
        <w:t xml:space="preserve"> </w:t>
      </w:r>
    </w:p>
    <w:p w14:paraId="6DE22C91" w14:textId="77777777" w:rsidR="00D01D5D" w:rsidRDefault="00BB3678" w:rsidP="00C522E0">
      <w:pPr>
        <w:autoSpaceDE w:val="0"/>
        <w:autoSpaceDN w:val="0"/>
        <w:adjustRightInd w:val="0"/>
        <w:spacing w:before="200"/>
        <w:rPr>
          <w:rFonts w:ascii="Arial" w:hAnsi="Arial" w:cs="Arial"/>
          <w:sz w:val="20"/>
          <w:szCs w:val="20"/>
        </w:rPr>
      </w:pPr>
      <w:r w:rsidRPr="00732A46">
        <w:rPr>
          <w:rFonts w:ascii="Arial" w:hAnsi="Arial" w:cs="Arial"/>
          <w:sz w:val="20"/>
          <w:szCs w:val="20"/>
        </w:rPr>
        <w:t xml:space="preserve">Option 2 </w:t>
      </w:r>
      <w:r w:rsidR="00461CDD">
        <w:rPr>
          <w:rFonts w:ascii="Arial" w:hAnsi="Arial" w:cs="Arial"/>
          <w:sz w:val="20"/>
          <w:szCs w:val="20"/>
        </w:rPr>
        <w:t xml:space="preserve">is </w:t>
      </w:r>
      <w:r w:rsidR="00A93C5F">
        <w:rPr>
          <w:rFonts w:ascii="Arial" w:hAnsi="Arial" w:cs="Arial"/>
          <w:sz w:val="20"/>
          <w:szCs w:val="20"/>
        </w:rPr>
        <w:t>to consult on proposed</w:t>
      </w:r>
      <w:r w:rsidR="00B36CF8">
        <w:rPr>
          <w:rFonts w:ascii="Arial" w:hAnsi="Arial" w:cs="Arial"/>
          <w:sz w:val="20"/>
          <w:szCs w:val="20"/>
        </w:rPr>
        <w:t xml:space="preserve"> </w:t>
      </w:r>
      <w:r w:rsidR="00C7427D">
        <w:rPr>
          <w:rFonts w:ascii="Arial" w:hAnsi="Arial" w:cs="Arial"/>
          <w:sz w:val="20"/>
          <w:szCs w:val="20"/>
        </w:rPr>
        <w:t xml:space="preserve">guidelines that require practitioners to comply with the AHMAC endorsed CDNA guidelines. </w:t>
      </w:r>
      <w:r w:rsidR="00D01D5D">
        <w:rPr>
          <w:rFonts w:ascii="Arial" w:hAnsi="Arial" w:cs="Arial"/>
          <w:sz w:val="20"/>
          <w:szCs w:val="20"/>
        </w:rPr>
        <w:t>The guidelines contain general guidance for all practitioners and provide additional guidance for practitioners who are treating a practitioner or student with a blood-borne virus</w:t>
      </w:r>
      <w:r w:rsidR="00712C32">
        <w:rPr>
          <w:rFonts w:ascii="Arial" w:hAnsi="Arial" w:cs="Arial"/>
          <w:sz w:val="20"/>
          <w:szCs w:val="20"/>
        </w:rPr>
        <w:t>.</w:t>
      </w:r>
    </w:p>
    <w:p w14:paraId="341C800A" w14:textId="77777777" w:rsidR="00BB3678" w:rsidRPr="009971FF" w:rsidRDefault="00D01D5D" w:rsidP="00C522E0">
      <w:pPr>
        <w:autoSpaceDE w:val="0"/>
        <w:autoSpaceDN w:val="0"/>
        <w:adjustRightInd w:val="0"/>
        <w:spacing w:before="200"/>
        <w:rPr>
          <w:rFonts w:ascii="Arial" w:hAnsi="Arial" w:cs="Arial"/>
          <w:b/>
          <w:sz w:val="20"/>
          <w:szCs w:val="20"/>
          <w:lang w:val="en-AU"/>
        </w:rPr>
      </w:pPr>
      <w:r w:rsidRPr="009971FF">
        <w:rPr>
          <w:rFonts w:ascii="Arial" w:hAnsi="Arial" w:cs="Arial"/>
          <w:b/>
          <w:sz w:val="20"/>
          <w:szCs w:val="20"/>
          <w:lang w:val="en-AU"/>
        </w:rPr>
        <w:t xml:space="preserve">Option 3 – Develop </w:t>
      </w:r>
      <w:r w:rsidR="009971FF" w:rsidRPr="009971FF">
        <w:rPr>
          <w:rFonts w:ascii="Arial" w:hAnsi="Arial" w:cs="Arial"/>
          <w:b/>
          <w:sz w:val="20"/>
          <w:szCs w:val="20"/>
          <w:lang w:val="en-AU"/>
        </w:rPr>
        <w:t xml:space="preserve">clinical </w:t>
      </w:r>
      <w:r w:rsidRPr="009971FF">
        <w:rPr>
          <w:rFonts w:ascii="Arial" w:hAnsi="Arial" w:cs="Arial"/>
          <w:b/>
          <w:sz w:val="20"/>
          <w:szCs w:val="20"/>
          <w:lang w:val="en-AU"/>
        </w:rPr>
        <w:t>guidelines that reproduce elements of the CDNA guidelines</w:t>
      </w:r>
    </w:p>
    <w:p w14:paraId="04A5718E" w14:textId="58C70964" w:rsidR="00D01D5D" w:rsidRDefault="009971FF" w:rsidP="00C522E0">
      <w:pPr>
        <w:autoSpaceDE w:val="0"/>
        <w:autoSpaceDN w:val="0"/>
        <w:adjustRightInd w:val="0"/>
        <w:spacing w:before="200"/>
        <w:rPr>
          <w:rFonts w:ascii="Arial" w:hAnsi="Arial" w:cs="Arial"/>
          <w:sz w:val="20"/>
          <w:szCs w:val="20"/>
          <w:lang w:val="en-AU"/>
        </w:rPr>
      </w:pPr>
      <w:r>
        <w:rPr>
          <w:rFonts w:ascii="Arial" w:hAnsi="Arial" w:cs="Arial"/>
          <w:sz w:val="20"/>
          <w:szCs w:val="20"/>
          <w:lang w:val="en-AU"/>
        </w:rPr>
        <w:t>Option 3 is to develop more detailed guidelines that include clinical elements</w:t>
      </w:r>
      <w:r w:rsidR="00B170E9">
        <w:rPr>
          <w:rFonts w:ascii="Arial" w:hAnsi="Arial" w:cs="Arial"/>
          <w:sz w:val="20"/>
          <w:szCs w:val="20"/>
          <w:lang w:val="en-AU"/>
        </w:rPr>
        <w:t>,</w:t>
      </w:r>
      <w:r>
        <w:rPr>
          <w:rFonts w:ascii="Arial" w:hAnsi="Arial" w:cs="Arial"/>
          <w:sz w:val="20"/>
          <w:szCs w:val="20"/>
          <w:lang w:val="en-AU"/>
        </w:rPr>
        <w:t xml:space="preserve"> includ</w:t>
      </w:r>
      <w:r w:rsidR="00B170E9">
        <w:rPr>
          <w:rFonts w:ascii="Arial" w:hAnsi="Arial" w:cs="Arial"/>
          <w:sz w:val="20"/>
          <w:szCs w:val="20"/>
          <w:lang w:val="en-AU"/>
        </w:rPr>
        <w:t>ing aspects</w:t>
      </w:r>
      <w:r>
        <w:rPr>
          <w:rFonts w:ascii="Arial" w:hAnsi="Arial" w:cs="Arial"/>
          <w:sz w:val="20"/>
          <w:szCs w:val="20"/>
          <w:lang w:val="en-AU"/>
        </w:rPr>
        <w:t xml:space="preserve"> that are already contained in the CDNA guidelines.</w:t>
      </w:r>
    </w:p>
    <w:p w14:paraId="1D4964FA" w14:textId="77777777" w:rsidR="00712C32" w:rsidRDefault="00D06702" w:rsidP="00C522E0">
      <w:pPr>
        <w:spacing w:before="200"/>
        <w:rPr>
          <w:rFonts w:ascii="Arial" w:hAnsi="Arial" w:cs="Arial"/>
          <w:bCs/>
          <w:color w:val="000000"/>
          <w:sz w:val="20"/>
          <w:szCs w:val="20"/>
          <w:lang w:eastAsia="en-AU"/>
        </w:rPr>
      </w:pPr>
      <w:r>
        <w:rPr>
          <w:rFonts w:ascii="Arial" w:hAnsi="Arial" w:cs="Arial"/>
          <w:bCs/>
          <w:color w:val="000000"/>
          <w:sz w:val="20"/>
          <w:szCs w:val="20"/>
          <w:lang w:eastAsia="en-AU"/>
        </w:rPr>
        <w:t>Option 3 introduces a risk that the CDN</w:t>
      </w:r>
      <w:r w:rsidR="00712C32">
        <w:rPr>
          <w:rFonts w:ascii="Arial" w:hAnsi="Arial" w:cs="Arial"/>
          <w:bCs/>
          <w:color w:val="000000"/>
          <w:sz w:val="20"/>
          <w:szCs w:val="20"/>
          <w:lang w:eastAsia="en-AU"/>
        </w:rPr>
        <w:t>A</w:t>
      </w:r>
      <w:r>
        <w:rPr>
          <w:rFonts w:ascii="Arial" w:hAnsi="Arial" w:cs="Arial"/>
          <w:bCs/>
          <w:color w:val="000000"/>
          <w:sz w:val="20"/>
          <w:szCs w:val="20"/>
          <w:lang w:eastAsia="en-AU"/>
        </w:rPr>
        <w:t xml:space="preserve"> and Board guidelines may not be completely aligned resulting in confusion and additional and unnecessary complexity for practitioners.</w:t>
      </w:r>
      <w:r w:rsidR="00712C32">
        <w:rPr>
          <w:rFonts w:ascii="Arial" w:hAnsi="Arial" w:cs="Arial"/>
          <w:bCs/>
          <w:color w:val="000000"/>
          <w:sz w:val="20"/>
          <w:szCs w:val="20"/>
          <w:lang w:eastAsia="en-AU"/>
        </w:rPr>
        <w:t xml:space="preserve"> </w:t>
      </w:r>
    </w:p>
    <w:p w14:paraId="37D01D7B" w14:textId="77777777" w:rsidR="00D06702" w:rsidRDefault="00712C32" w:rsidP="00C522E0">
      <w:pPr>
        <w:spacing w:before="200"/>
        <w:rPr>
          <w:rFonts w:ascii="Arial" w:hAnsi="Arial" w:cs="Arial"/>
          <w:bCs/>
          <w:color w:val="000000"/>
          <w:sz w:val="20"/>
          <w:szCs w:val="20"/>
          <w:lang w:eastAsia="en-AU"/>
        </w:rPr>
      </w:pPr>
      <w:r>
        <w:rPr>
          <w:rFonts w:ascii="Arial" w:hAnsi="Arial" w:cs="Arial"/>
          <w:bCs/>
          <w:color w:val="000000"/>
          <w:sz w:val="20"/>
          <w:szCs w:val="20"/>
          <w:lang w:eastAsia="en-AU"/>
        </w:rPr>
        <w:t>If Option 3 is adopted, there will be a period of time (months) when the Board</w:t>
      </w:r>
      <w:r w:rsidR="00E451C7">
        <w:rPr>
          <w:rFonts w:ascii="Arial" w:hAnsi="Arial" w:cs="Arial"/>
          <w:bCs/>
          <w:color w:val="000000"/>
          <w:sz w:val="20"/>
          <w:szCs w:val="20"/>
          <w:lang w:eastAsia="en-AU"/>
        </w:rPr>
        <w:t>s’</w:t>
      </w:r>
      <w:r>
        <w:rPr>
          <w:rFonts w:ascii="Arial" w:hAnsi="Arial" w:cs="Arial"/>
          <w:bCs/>
          <w:color w:val="000000"/>
          <w:sz w:val="20"/>
          <w:szCs w:val="20"/>
          <w:lang w:eastAsia="en-AU"/>
        </w:rPr>
        <w:t xml:space="preserve"> guidelines will be out of date when the CDNA guidelines are updated, given the consultation requirements for Board guidelines.</w:t>
      </w:r>
    </w:p>
    <w:p w14:paraId="1C80B179" w14:textId="77777777" w:rsidR="00BB3678" w:rsidRPr="00C2396E" w:rsidRDefault="00BB3678" w:rsidP="00C522E0">
      <w:pPr>
        <w:spacing w:before="200"/>
        <w:rPr>
          <w:rFonts w:ascii="Arial" w:hAnsi="Arial" w:cs="Arial"/>
          <w:b/>
          <w:bCs/>
          <w:sz w:val="20"/>
          <w:szCs w:val="20"/>
        </w:rPr>
      </w:pPr>
      <w:r w:rsidRPr="00C2396E">
        <w:rPr>
          <w:rFonts w:ascii="Arial" w:hAnsi="Arial" w:cs="Arial"/>
          <w:b/>
          <w:bCs/>
          <w:sz w:val="20"/>
          <w:szCs w:val="20"/>
        </w:rPr>
        <w:t>Preferred option</w:t>
      </w:r>
    </w:p>
    <w:p w14:paraId="00135B0C" w14:textId="77777777" w:rsidR="00BB3678" w:rsidRDefault="00BB3678" w:rsidP="00C522E0">
      <w:pPr>
        <w:spacing w:before="200"/>
        <w:rPr>
          <w:rFonts w:ascii="Arial" w:hAnsi="Arial" w:cs="Arial"/>
          <w:bCs/>
          <w:color w:val="000000"/>
          <w:sz w:val="20"/>
          <w:szCs w:val="20"/>
          <w:lang w:eastAsia="en-AU"/>
        </w:rPr>
      </w:pPr>
      <w:r w:rsidRPr="00BB1EA7">
        <w:rPr>
          <w:rFonts w:ascii="Arial" w:hAnsi="Arial" w:cs="Arial"/>
          <w:bCs/>
          <w:color w:val="000000"/>
          <w:sz w:val="20"/>
          <w:szCs w:val="20"/>
          <w:lang w:eastAsia="en-AU"/>
        </w:rPr>
        <w:t>The Board</w:t>
      </w:r>
      <w:r w:rsidR="0057210F">
        <w:rPr>
          <w:rFonts w:ascii="Arial" w:hAnsi="Arial" w:cs="Arial"/>
          <w:bCs/>
          <w:color w:val="000000"/>
          <w:sz w:val="20"/>
          <w:szCs w:val="20"/>
          <w:lang w:eastAsia="en-AU"/>
        </w:rPr>
        <w:t>s</w:t>
      </w:r>
      <w:r w:rsidRPr="00BB1EA7">
        <w:rPr>
          <w:rFonts w:ascii="Arial" w:hAnsi="Arial" w:cs="Arial"/>
          <w:bCs/>
          <w:color w:val="000000"/>
          <w:sz w:val="20"/>
          <w:szCs w:val="20"/>
          <w:lang w:eastAsia="en-AU"/>
        </w:rPr>
        <w:t xml:space="preserve"> prefer Option 2.</w:t>
      </w:r>
      <w:r w:rsidR="00EA0D7B">
        <w:rPr>
          <w:rFonts w:ascii="Arial" w:hAnsi="Arial" w:cs="Arial"/>
          <w:bCs/>
          <w:color w:val="000000"/>
          <w:sz w:val="20"/>
          <w:szCs w:val="20"/>
          <w:lang w:eastAsia="en-AU"/>
        </w:rPr>
        <w:t xml:space="preserve"> It achieves the outcome of providing guidance to practitioners w</w:t>
      </w:r>
      <w:r w:rsidR="00D06702">
        <w:rPr>
          <w:rFonts w:ascii="Arial" w:hAnsi="Arial" w:cs="Arial"/>
          <w:bCs/>
          <w:color w:val="000000"/>
          <w:sz w:val="20"/>
          <w:szCs w:val="20"/>
          <w:lang w:eastAsia="en-AU"/>
        </w:rPr>
        <w:t xml:space="preserve">ith </w:t>
      </w:r>
      <w:r w:rsidR="00EA0D7B">
        <w:rPr>
          <w:rFonts w:ascii="Arial" w:hAnsi="Arial" w:cs="Arial"/>
          <w:bCs/>
          <w:color w:val="000000"/>
          <w:sz w:val="20"/>
          <w:szCs w:val="20"/>
          <w:lang w:eastAsia="en-AU"/>
        </w:rPr>
        <w:t>the minimum regulatory burden.</w:t>
      </w:r>
    </w:p>
    <w:p w14:paraId="18A03629" w14:textId="77777777" w:rsidR="004F359D" w:rsidRDefault="004F359D" w:rsidP="00C522E0">
      <w:pPr>
        <w:pStyle w:val="AHPRASubhead"/>
        <w:spacing w:before="200"/>
        <w:rPr>
          <w:lang w:eastAsia="en-AU"/>
        </w:rPr>
      </w:pPr>
    </w:p>
    <w:p w14:paraId="28A85E46" w14:textId="77777777" w:rsidR="004F359D" w:rsidRDefault="004F359D" w:rsidP="00C522E0">
      <w:pPr>
        <w:pStyle w:val="AHPRASubhead"/>
        <w:spacing w:before="200"/>
        <w:rPr>
          <w:lang w:eastAsia="en-AU"/>
        </w:rPr>
      </w:pPr>
    </w:p>
    <w:p w14:paraId="443BFB70" w14:textId="77777777" w:rsidR="004F359D" w:rsidRDefault="004F359D" w:rsidP="00C522E0">
      <w:pPr>
        <w:pStyle w:val="AHPRASubhead"/>
        <w:spacing w:before="200"/>
        <w:rPr>
          <w:lang w:eastAsia="en-AU"/>
        </w:rPr>
      </w:pPr>
    </w:p>
    <w:p w14:paraId="606B995B" w14:textId="5E3577A6" w:rsidR="001B7E64" w:rsidRPr="001B7E64" w:rsidRDefault="001B7E64" w:rsidP="00C522E0">
      <w:pPr>
        <w:pStyle w:val="AHPRASubhead"/>
        <w:spacing w:before="200"/>
        <w:rPr>
          <w:lang w:eastAsia="en-AU"/>
        </w:rPr>
      </w:pPr>
      <w:r w:rsidRPr="001B7E64">
        <w:rPr>
          <w:lang w:eastAsia="en-AU"/>
        </w:rPr>
        <w:lastRenderedPageBreak/>
        <w:t>Questions for consideration</w:t>
      </w:r>
    </w:p>
    <w:p w14:paraId="1AE727DB" w14:textId="77777777" w:rsidR="001B7E64" w:rsidRPr="001B7E64" w:rsidRDefault="001B7E64" w:rsidP="00C522E0">
      <w:pPr>
        <w:pStyle w:val="AHPRASubhead"/>
        <w:spacing w:before="200"/>
        <w:rPr>
          <w:rFonts w:cs="Arial"/>
          <w:b w:val="0"/>
          <w:color w:val="auto"/>
          <w:szCs w:val="20"/>
        </w:rPr>
      </w:pPr>
      <w:r w:rsidRPr="001B7E64">
        <w:rPr>
          <w:rFonts w:cs="Arial"/>
          <w:b w:val="0"/>
          <w:color w:val="auto"/>
          <w:szCs w:val="20"/>
        </w:rPr>
        <w:t>The Board</w:t>
      </w:r>
      <w:r w:rsidR="0057210F">
        <w:rPr>
          <w:rFonts w:cs="Arial"/>
          <w:b w:val="0"/>
          <w:color w:val="auto"/>
          <w:szCs w:val="20"/>
        </w:rPr>
        <w:t>s</w:t>
      </w:r>
      <w:r w:rsidRPr="001B7E64">
        <w:rPr>
          <w:rFonts w:cs="Arial"/>
          <w:b w:val="0"/>
          <w:color w:val="auto"/>
          <w:szCs w:val="20"/>
        </w:rPr>
        <w:t xml:space="preserve"> </w:t>
      </w:r>
      <w:r w:rsidR="0057210F">
        <w:rPr>
          <w:rFonts w:cs="Arial"/>
          <w:b w:val="0"/>
          <w:color w:val="auto"/>
          <w:szCs w:val="20"/>
        </w:rPr>
        <w:t>are</w:t>
      </w:r>
      <w:r w:rsidRPr="001B7E64">
        <w:rPr>
          <w:rFonts w:cs="Arial"/>
          <w:b w:val="0"/>
          <w:color w:val="auto"/>
          <w:szCs w:val="20"/>
        </w:rPr>
        <w:t xml:space="preserve"> inviting general comments </w:t>
      </w:r>
      <w:r>
        <w:rPr>
          <w:rFonts w:cs="Arial"/>
          <w:b w:val="0"/>
          <w:color w:val="auto"/>
          <w:szCs w:val="20"/>
        </w:rPr>
        <w:t xml:space="preserve">on the draft revised </w:t>
      </w:r>
      <w:r w:rsidR="00D90FD5">
        <w:rPr>
          <w:rFonts w:cs="Arial"/>
          <w:b w:val="0"/>
          <w:color w:val="auto"/>
          <w:szCs w:val="20"/>
        </w:rPr>
        <w:t>guideline</w:t>
      </w:r>
      <w:r>
        <w:rPr>
          <w:rFonts w:cs="Arial"/>
          <w:b w:val="0"/>
          <w:color w:val="auto"/>
          <w:szCs w:val="20"/>
        </w:rPr>
        <w:t xml:space="preserve"> </w:t>
      </w:r>
      <w:r w:rsidRPr="001B7E64">
        <w:rPr>
          <w:rFonts w:cs="Arial"/>
          <w:b w:val="0"/>
          <w:color w:val="auto"/>
          <w:szCs w:val="20"/>
        </w:rPr>
        <w:t>as well as feedback on the following questions.</w:t>
      </w:r>
    </w:p>
    <w:p w14:paraId="30F0B056" w14:textId="04135DBE" w:rsidR="00415BD2" w:rsidRDefault="001023A8" w:rsidP="002F1BC7">
      <w:pPr>
        <w:pStyle w:val="ListParagraph"/>
        <w:numPr>
          <w:ilvl w:val="0"/>
          <w:numId w:val="23"/>
        </w:numPr>
        <w:autoSpaceDE w:val="0"/>
        <w:autoSpaceDN w:val="0"/>
        <w:adjustRightInd w:val="0"/>
        <w:spacing w:before="200"/>
        <w:rPr>
          <w:rFonts w:cs="Arial"/>
          <w:color w:val="000000"/>
          <w:sz w:val="20"/>
          <w:szCs w:val="20"/>
        </w:rPr>
      </w:pPr>
      <w:r>
        <w:rPr>
          <w:rFonts w:cs="Arial"/>
          <w:color w:val="000000"/>
          <w:sz w:val="20"/>
          <w:szCs w:val="20"/>
        </w:rPr>
        <w:t>Are the</w:t>
      </w:r>
      <w:r w:rsidR="00415BD2" w:rsidRPr="00A448EE">
        <w:rPr>
          <w:rFonts w:cs="Arial"/>
          <w:color w:val="000000"/>
          <w:sz w:val="20"/>
          <w:szCs w:val="20"/>
        </w:rPr>
        <w:t xml:space="preserve"> </w:t>
      </w:r>
      <w:r w:rsidR="00343C39">
        <w:rPr>
          <w:rFonts w:cs="Arial"/>
          <w:color w:val="000000"/>
          <w:sz w:val="20"/>
          <w:szCs w:val="20"/>
        </w:rPr>
        <w:t xml:space="preserve">draft </w:t>
      </w:r>
      <w:r w:rsidR="00415BD2" w:rsidRPr="00A448EE">
        <w:rPr>
          <w:rFonts w:cs="Arial"/>
          <w:color w:val="000000"/>
          <w:sz w:val="20"/>
          <w:szCs w:val="20"/>
        </w:rPr>
        <w:t>guideline</w:t>
      </w:r>
      <w:r>
        <w:rPr>
          <w:rFonts w:cs="Arial"/>
          <w:color w:val="000000"/>
          <w:sz w:val="20"/>
          <w:szCs w:val="20"/>
        </w:rPr>
        <w:t>s</w:t>
      </w:r>
      <w:r w:rsidR="00415BD2" w:rsidRPr="00A448EE">
        <w:rPr>
          <w:rFonts w:cs="Arial"/>
          <w:color w:val="000000"/>
          <w:sz w:val="20"/>
          <w:szCs w:val="20"/>
        </w:rPr>
        <w:t xml:space="preserve"> necessary? </w:t>
      </w:r>
    </w:p>
    <w:p w14:paraId="75FFF39F" w14:textId="77777777" w:rsidR="00C522E0" w:rsidRPr="00A448EE" w:rsidRDefault="00C522E0" w:rsidP="00C522E0">
      <w:pPr>
        <w:pStyle w:val="ListParagraph"/>
        <w:autoSpaceDE w:val="0"/>
        <w:autoSpaceDN w:val="0"/>
        <w:adjustRightInd w:val="0"/>
        <w:spacing w:before="200"/>
        <w:ind w:left="360"/>
        <w:rPr>
          <w:rFonts w:cs="Arial"/>
          <w:color w:val="000000"/>
          <w:sz w:val="20"/>
          <w:szCs w:val="20"/>
        </w:rPr>
      </w:pPr>
    </w:p>
    <w:p w14:paraId="31961081" w14:textId="77322467" w:rsidR="00415BD2" w:rsidRDefault="00415BD2" w:rsidP="002F1BC7">
      <w:pPr>
        <w:pStyle w:val="ListParagraph"/>
        <w:numPr>
          <w:ilvl w:val="0"/>
          <w:numId w:val="23"/>
        </w:numPr>
        <w:autoSpaceDE w:val="0"/>
        <w:autoSpaceDN w:val="0"/>
        <w:adjustRightInd w:val="0"/>
        <w:spacing w:before="200"/>
        <w:rPr>
          <w:rFonts w:cs="Arial"/>
          <w:color w:val="000000"/>
          <w:sz w:val="20"/>
          <w:szCs w:val="20"/>
        </w:rPr>
      </w:pPr>
      <w:r w:rsidRPr="00A448EE">
        <w:rPr>
          <w:rFonts w:cs="Arial"/>
          <w:color w:val="000000"/>
          <w:sz w:val="20"/>
          <w:szCs w:val="20"/>
        </w:rPr>
        <w:t xml:space="preserve">Is the content of the </w:t>
      </w:r>
      <w:r w:rsidR="00353F6F">
        <w:rPr>
          <w:rFonts w:cs="Arial"/>
          <w:color w:val="000000"/>
          <w:sz w:val="20"/>
          <w:szCs w:val="20"/>
        </w:rPr>
        <w:t xml:space="preserve">draft </w:t>
      </w:r>
      <w:r w:rsidRPr="00A448EE">
        <w:rPr>
          <w:rFonts w:cs="Arial"/>
          <w:color w:val="000000"/>
          <w:sz w:val="20"/>
          <w:szCs w:val="20"/>
        </w:rPr>
        <w:t>guideline</w:t>
      </w:r>
      <w:r w:rsidR="00353F6F">
        <w:rPr>
          <w:rFonts w:cs="Arial"/>
          <w:color w:val="000000"/>
          <w:sz w:val="20"/>
          <w:szCs w:val="20"/>
        </w:rPr>
        <w:t>s</w:t>
      </w:r>
      <w:r w:rsidRPr="00A448EE">
        <w:rPr>
          <w:rFonts w:cs="Arial"/>
          <w:color w:val="000000"/>
          <w:sz w:val="20"/>
          <w:szCs w:val="20"/>
        </w:rPr>
        <w:t xml:space="preserve"> helpful, clear and relevant? </w:t>
      </w:r>
    </w:p>
    <w:p w14:paraId="220811FB" w14:textId="77777777" w:rsidR="00C522E0" w:rsidRPr="00C522E0" w:rsidRDefault="00C522E0" w:rsidP="00C522E0">
      <w:pPr>
        <w:pStyle w:val="ListParagraph"/>
        <w:rPr>
          <w:rFonts w:cs="Arial"/>
          <w:color w:val="000000"/>
          <w:sz w:val="20"/>
          <w:szCs w:val="20"/>
        </w:rPr>
      </w:pPr>
    </w:p>
    <w:p w14:paraId="63CB0285" w14:textId="48BFA8BC" w:rsidR="00415BD2" w:rsidRDefault="00415BD2" w:rsidP="002F1BC7">
      <w:pPr>
        <w:pStyle w:val="ListParagraph"/>
        <w:numPr>
          <w:ilvl w:val="0"/>
          <w:numId w:val="23"/>
        </w:numPr>
        <w:autoSpaceDE w:val="0"/>
        <w:autoSpaceDN w:val="0"/>
        <w:adjustRightInd w:val="0"/>
        <w:spacing w:before="200"/>
        <w:rPr>
          <w:rFonts w:cs="Arial"/>
          <w:color w:val="000000"/>
          <w:sz w:val="20"/>
          <w:szCs w:val="20"/>
        </w:rPr>
      </w:pPr>
      <w:r w:rsidRPr="00A448EE">
        <w:rPr>
          <w:rFonts w:cs="Arial"/>
          <w:color w:val="000000"/>
          <w:sz w:val="20"/>
          <w:szCs w:val="20"/>
        </w:rPr>
        <w:t xml:space="preserve">Is there any content that needs to be changed, added or deleted in the </w:t>
      </w:r>
      <w:r w:rsidR="00353F6F">
        <w:rPr>
          <w:rFonts w:cs="Arial"/>
          <w:color w:val="000000"/>
          <w:sz w:val="20"/>
          <w:szCs w:val="20"/>
        </w:rPr>
        <w:t xml:space="preserve">draft </w:t>
      </w:r>
      <w:r w:rsidRPr="00A448EE">
        <w:rPr>
          <w:rFonts w:cs="Arial"/>
          <w:color w:val="000000"/>
          <w:sz w:val="20"/>
          <w:szCs w:val="20"/>
        </w:rPr>
        <w:t>guideline</w:t>
      </w:r>
      <w:r w:rsidR="00353F6F">
        <w:rPr>
          <w:rFonts w:cs="Arial"/>
          <w:color w:val="000000"/>
          <w:sz w:val="20"/>
          <w:szCs w:val="20"/>
        </w:rPr>
        <w:t>s</w:t>
      </w:r>
      <w:r w:rsidRPr="00A448EE">
        <w:rPr>
          <w:rFonts w:cs="Arial"/>
          <w:color w:val="000000"/>
          <w:sz w:val="20"/>
          <w:szCs w:val="20"/>
        </w:rPr>
        <w:t xml:space="preserve">? </w:t>
      </w:r>
    </w:p>
    <w:p w14:paraId="03D6581C" w14:textId="77777777" w:rsidR="004F359D" w:rsidRPr="004F359D" w:rsidRDefault="004F359D" w:rsidP="004F359D">
      <w:pPr>
        <w:pStyle w:val="ListParagraph"/>
        <w:rPr>
          <w:rFonts w:cs="Arial"/>
          <w:color w:val="000000"/>
          <w:sz w:val="20"/>
          <w:szCs w:val="20"/>
        </w:rPr>
      </w:pPr>
    </w:p>
    <w:p w14:paraId="0F5B89BF" w14:textId="380AA95E" w:rsidR="00415BD2" w:rsidRDefault="00415BD2" w:rsidP="002F1BC7">
      <w:pPr>
        <w:pStyle w:val="ListParagraph"/>
        <w:numPr>
          <w:ilvl w:val="0"/>
          <w:numId w:val="23"/>
        </w:numPr>
        <w:autoSpaceDE w:val="0"/>
        <w:autoSpaceDN w:val="0"/>
        <w:adjustRightInd w:val="0"/>
        <w:spacing w:before="200"/>
        <w:rPr>
          <w:rFonts w:cs="Arial"/>
          <w:color w:val="000000"/>
          <w:sz w:val="20"/>
          <w:szCs w:val="20"/>
        </w:rPr>
      </w:pPr>
      <w:r w:rsidRPr="00A448EE">
        <w:rPr>
          <w:rFonts w:cs="Arial"/>
          <w:color w:val="000000"/>
          <w:sz w:val="20"/>
          <w:szCs w:val="20"/>
        </w:rPr>
        <w:t>Do you agree with the proposal that</w:t>
      </w:r>
      <w:r>
        <w:rPr>
          <w:rFonts w:cs="Arial"/>
          <w:color w:val="000000"/>
          <w:sz w:val="20"/>
          <w:szCs w:val="20"/>
        </w:rPr>
        <w:t xml:space="preserve"> the</w:t>
      </w:r>
      <w:r w:rsidRPr="00A448EE">
        <w:rPr>
          <w:rFonts w:cs="Arial"/>
          <w:color w:val="000000"/>
          <w:sz w:val="20"/>
          <w:szCs w:val="20"/>
        </w:rPr>
        <w:t xml:space="preserve"> Board</w:t>
      </w:r>
      <w:r w:rsidR="00E451C7">
        <w:rPr>
          <w:rFonts w:cs="Arial"/>
          <w:color w:val="000000"/>
          <w:sz w:val="20"/>
          <w:szCs w:val="20"/>
        </w:rPr>
        <w:t>s</w:t>
      </w:r>
      <w:r w:rsidRPr="00A448EE">
        <w:rPr>
          <w:rFonts w:cs="Arial"/>
          <w:color w:val="000000"/>
          <w:sz w:val="20"/>
          <w:szCs w:val="20"/>
        </w:rPr>
        <w:t xml:space="preserve"> expect registered health practitioners </w:t>
      </w:r>
      <w:r>
        <w:rPr>
          <w:rFonts w:cs="Arial"/>
          <w:color w:val="000000"/>
          <w:sz w:val="20"/>
          <w:szCs w:val="20"/>
        </w:rPr>
        <w:t xml:space="preserve">and students </w:t>
      </w:r>
      <w:r w:rsidRPr="00A448EE">
        <w:rPr>
          <w:rFonts w:cs="Arial"/>
          <w:color w:val="000000"/>
          <w:sz w:val="20"/>
          <w:szCs w:val="20"/>
        </w:rPr>
        <w:t>to comply with CDNA</w:t>
      </w:r>
      <w:r>
        <w:rPr>
          <w:rFonts w:cs="Arial"/>
          <w:color w:val="000000"/>
          <w:sz w:val="20"/>
          <w:szCs w:val="20"/>
        </w:rPr>
        <w:t xml:space="preserve"> </w:t>
      </w:r>
      <w:r w:rsidRPr="00A448EE">
        <w:rPr>
          <w:rFonts w:cs="Arial"/>
          <w:color w:val="000000"/>
          <w:sz w:val="20"/>
          <w:szCs w:val="20"/>
        </w:rPr>
        <w:t>guidelines</w:t>
      </w:r>
      <w:r>
        <w:rPr>
          <w:rFonts w:cs="Arial"/>
          <w:color w:val="000000"/>
          <w:sz w:val="20"/>
          <w:szCs w:val="20"/>
        </w:rPr>
        <w:t xml:space="preserve">? </w:t>
      </w:r>
      <w:r w:rsidR="00712C32">
        <w:rPr>
          <w:rFonts w:cs="Arial"/>
          <w:color w:val="000000"/>
          <w:sz w:val="20"/>
          <w:szCs w:val="20"/>
        </w:rPr>
        <w:t>That includes testing requirements set in the</w:t>
      </w:r>
      <w:r w:rsidR="00353F6F">
        <w:rPr>
          <w:rFonts w:cs="Arial"/>
          <w:color w:val="000000"/>
          <w:sz w:val="20"/>
          <w:szCs w:val="20"/>
        </w:rPr>
        <w:t xml:space="preserve"> CDNA</w:t>
      </w:r>
      <w:r w:rsidR="00712C32">
        <w:rPr>
          <w:rFonts w:cs="Arial"/>
          <w:color w:val="000000"/>
          <w:sz w:val="20"/>
          <w:szCs w:val="20"/>
        </w:rPr>
        <w:t xml:space="preserve"> guidelines.</w:t>
      </w:r>
    </w:p>
    <w:p w14:paraId="6AEF5031" w14:textId="77777777" w:rsidR="00C522E0" w:rsidRPr="00C522E0" w:rsidRDefault="00C522E0" w:rsidP="00C522E0">
      <w:pPr>
        <w:pStyle w:val="ListParagraph"/>
        <w:rPr>
          <w:rFonts w:cs="Arial"/>
          <w:color w:val="000000"/>
          <w:sz w:val="20"/>
          <w:szCs w:val="20"/>
        </w:rPr>
      </w:pPr>
    </w:p>
    <w:p w14:paraId="75888925" w14:textId="518766BA" w:rsidR="00415BD2" w:rsidRPr="00A448EE" w:rsidRDefault="00415BD2" w:rsidP="002F1BC7">
      <w:pPr>
        <w:pStyle w:val="ListParagraph"/>
        <w:numPr>
          <w:ilvl w:val="0"/>
          <w:numId w:val="23"/>
        </w:numPr>
        <w:autoSpaceDE w:val="0"/>
        <w:autoSpaceDN w:val="0"/>
        <w:adjustRightInd w:val="0"/>
        <w:spacing w:before="200"/>
        <w:rPr>
          <w:rFonts w:cs="Arial"/>
          <w:color w:val="000000"/>
          <w:sz w:val="20"/>
          <w:szCs w:val="20"/>
        </w:rPr>
      </w:pPr>
      <w:r w:rsidRPr="00A448EE">
        <w:rPr>
          <w:rFonts w:cs="Arial"/>
          <w:color w:val="000000"/>
          <w:sz w:val="20"/>
          <w:szCs w:val="20"/>
        </w:rPr>
        <w:t xml:space="preserve">Do you have any other comments on the </w:t>
      </w:r>
      <w:r w:rsidR="00353F6F">
        <w:rPr>
          <w:rFonts w:cs="Arial"/>
          <w:color w:val="000000"/>
          <w:sz w:val="20"/>
          <w:szCs w:val="20"/>
        </w:rPr>
        <w:t xml:space="preserve">draft </w:t>
      </w:r>
      <w:r w:rsidRPr="00A448EE">
        <w:rPr>
          <w:rFonts w:cs="Arial"/>
          <w:color w:val="000000"/>
          <w:sz w:val="20"/>
          <w:szCs w:val="20"/>
        </w:rPr>
        <w:t>guideline</w:t>
      </w:r>
      <w:r w:rsidR="00353F6F">
        <w:rPr>
          <w:rFonts w:cs="Arial"/>
          <w:color w:val="000000"/>
          <w:sz w:val="20"/>
          <w:szCs w:val="20"/>
        </w:rPr>
        <w:t>s</w:t>
      </w:r>
      <w:r w:rsidRPr="00A448EE">
        <w:rPr>
          <w:rFonts w:cs="Arial"/>
          <w:color w:val="000000"/>
          <w:sz w:val="20"/>
          <w:szCs w:val="20"/>
        </w:rPr>
        <w:t xml:space="preserve">? </w:t>
      </w:r>
    </w:p>
    <w:p w14:paraId="7AE5BDD4" w14:textId="77777777" w:rsidR="00A272A6" w:rsidRDefault="00BB1EA7" w:rsidP="00C522E0">
      <w:pPr>
        <w:pStyle w:val="Default"/>
        <w:spacing w:before="200" w:after="200"/>
        <w:rPr>
          <w:b/>
          <w:bCs/>
          <w:color w:val="008EC4"/>
          <w:sz w:val="20"/>
          <w:szCs w:val="20"/>
        </w:rPr>
      </w:pPr>
      <w:r>
        <w:rPr>
          <w:b/>
          <w:bCs/>
          <w:color w:val="008EC4"/>
          <w:sz w:val="20"/>
          <w:szCs w:val="20"/>
        </w:rPr>
        <w:t xml:space="preserve">Attachments </w:t>
      </w:r>
    </w:p>
    <w:p w14:paraId="3ACC6B55" w14:textId="4C9CAAF4" w:rsidR="00BB1EA7" w:rsidRPr="00C522E0" w:rsidRDefault="00BB1EA7" w:rsidP="002F1BC7">
      <w:pPr>
        <w:pStyle w:val="ListParagraph"/>
        <w:numPr>
          <w:ilvl w:val="0"/>
          <w:numId w:val="18"/>
        </w:numPr>
        <w:spacing w:before="200"/>
        <w:rPr>
          <w:rFonts w:cs="Arial"/>
          <w:bCs/>
          <w:sz w:val="20"/>
          <w:szCs w:val="20"/>
        </w:rPr>
      </w:pPr>
      <w:r w:rsidRPr="00A272A6">
        <w:rPr>
          <w:rFonts w:cs="Arial"/>
          <w:sz w:val="20"/>
          <w:szCs w:val="20"/>
        </w:rPr>
        <w:t xml:space="preserve">Draft </w:t>
      </w:r>
      <w:r w:rsidR="00B170C7">
        <w:rPr>
          <w:rFonts w:cs="Arial"/>
          <w:i/>
          <w:iCs/>
          <w:sz w:val="20"/>
          <w:szCs w:val="20"/>
        </w:rPr>
        <w:t>Guidelines</w:t>
      </w:r>
      <w:r w:rsidR="00415BD2">
        <w:rPr>
          <w:rFonts w:cs="Arial"/>
          <w:i/>
          <w:iCs/>
          <w:sz w:val="20"/>
          <w:szCs w:val="20"/>
        </w:rPr>
        <w:t xml:space="preserve"> for registered health practitioners and students in relation to blood-borne viruses </w:t>
      </w:r>
    </w:p>
    <w:p w14:paraId="31572CA1" w14:textId="77777777" w:rsidR="00C522E0" w:rsidRPr="00A272A6" w:rsidRDefault="00C522E0" w:rsidP="00C522E0">
      <w:pPr>
        <w:pStyle w:val="ListParagraph"/>
        <w:spacing w:before="200"/>
        <w:ind w:left="360"/>
        <w:rPr>
          <w:rFonts w:cs="Arial"/>
          <w:bCs/>
          <w:sz w:val="20"/>
          <w:szCs w:val="20"/>
        </w:rPr>
      </w:pPr>
    </w:p>
    <w:p w14:paraId="4F3E7EEF" w14:textId="77777777" w:rsidR="00BB1EA7" w:rsidRPr="00F46C6C" w:rsidRDefault="00F46C6C" w:rsidP="002F1BC7">
      <w:pPr>
        <w:pStyle w:val="ListParagraph"/>
        <w:numPr>
          <w:ilvl w:val="0"/>
          <w:numId w:val="18"/>
        </w:numPr>
        <w:spacing w:before="200"/>
        <w:rPr>
          <w:rFonts w:cs="Arial"/>
          <w:bCs/>
          <w:sz w:val="20"/>
          <w:szCs w:val="20"/>
        </w:rPr>
      </w:pPr>
      <w:r>
        <w:rPr>
          <w:rFonts w:cs="Arial"/>
          <w:bCs/>
          <w:sz w:val="20"/>
          <w:szCs w:val="20"/>
        </w:rPr>
        <w:t>The Boards</w:t>
      </w:r>
      <w:r w:rsidR="00E451C7">
        <w:rPr>
          <w:rFonts w:cs="Arial"/>
          <w:bCs/>
          <w:sz w:val="20"/>
          <w:szCs w:val="20"/>
        </w:rPr>
        <w:t>’</w:t>
      </w:r>
      <w:r>
        <w:rPr>
          <w:rFonts w:cs="Arial"/>
          <w:bCs/>
          <w:sz w:val="20"/>
          <w:szCs w:val="20"/>
        </w:rPr>
        <w:t xml:space="preserve"> statement of assessment against </w:t>
      </w:r>
      <w:r w:rsidRPr="00F46C6C">
        <w:rPr>
          <w:rFonts w:cs="Arial"/>
          <w:bCs/>
          <w:sz w:val="20"/>
          <w:szCs w:val="20"/>
        </w:rPr>
        <w:t xml:space="preserve">AHPRA’s Procedures for the development of registration standards, codes and guidelines and </w:t>
      </w:r>
      <w:r w:rsidR="003F350F">
        <w:rPr>
          <w:rFonts w:cs="Arial"/>
          <w:bCs/>
          <w:sz w:val="20"/>
          <w:szCs w:val="20"/>
        </w:rPr>
        <w:t>Council of Australian Governments (COAG)</w:t>
      </w:r>
      <w:r w:rsidRPr="00F46C6C">
        <w:rPr>
          <w:rFonts w:cs="Arial"/>
          <w:bCs/>
          <w:sz w:val="20"/>
          <w:szCs w:val="20"/>
        </w:rPr>
        <w:t xml:space="preserve"> principles for best practice regulation</w:t>
      </w:r>
      <w:r w:rsidR="00F56B4A">
        <w:rPr>
          <w:rFonts w:cs="Arial"/>
          <w:bCs/>
          <w:sz w:val="20"/>
          <w:szCs w:val="20"/>
        </w:rPr>
        <w:t>.</w:t>
      </w:r>
    </w:p>
    <w:p w14:paraId="2B98759C" w14:textId="77777777" w:rsidR="002F3CD5" w:rsidRDefault="002F3CD5" w:rsidP="00C522E0">
      <w:pPr>
        <w:spacing w:before="200"/>
        <w:rPr>
          <w:rStyle w:val="Hyperlink"/>
          <w:rFonts w:ascii="Arial" w:hAnsi="Arial" w:cs="Arial"/>
          <w:sz w:val="20"/>
          <w:szCs w:val="20"/>
          <w:lang w:val="en-AU"/>
        </w:rPr>
      </w:pPr>
    </w:p>
    <w:p w14:paraId="12E4B2E6" w14:textId="77777777" w:rsidR="00D06702" w:rsidRDefault="00D06702" w:rsidP="00C522E0">
      <w:pPr>
        <w:spacing w:before="200"/>
        <w:rPr>
          <w:rStyle w:val="Hyperlink"/>
          <w:rFonts w:ascii="Arial" w:hAnsi="Arial" w:cs="Arial"/>
          <w:sz w:val="20"/>
          <w:szCs w:val="20"/>
          <w:lang w:val="en-AU"/>
        </w:rPr>
      </w:pPr>
    </w:p>
    <w:p w14:paraId="6AAFD122" w14:textId="17A2AC7B" w:rsidR="00D06702" w:rsidRDefault="00D06702" w:rsidP="00C522E0">
      <w:pPr>
        <w:spacing w:before="200"/>
        <w:rPr>
          <w:rStyle w:val="Hyperlink"/>
          <w:rFonts w:ascii="Arial" w:hAnsi="Arial" w:cs="Arial"/>
          <w:sz w:val="20"/>
          <w:szCs w:val="20"/>
          <w:lang w:val="en-AU"/>
        </w:rPr>
      </w:pPr>
    </w:p>
    <w:p w14:paraId="1DA8DC07" w14:textId="77777777" w:rsidR="00144204" w:rsidRDefault="00144204" w:rsidP="00C522E0">
      <w:pPr>
        <w:spacing w:before="200"/>
        <w:rPr>
          <w:rStyle w:val="Hyperlink"/>
          <w:rFonts w:ascii="Arial" w:hAnsi="Arial" w:cs="Arial"/>
          <w:sz w:val="20"/>
          <w:szCs w:val="20"/>
          <w:lang w:val="en-AU"/>
        </w:rPr>
        <w:sectPr w:rsidR="00144204" w:rsidSect="00E428F8">
          <w:headerReference w:type="default" r:id="rId9"/>
          <w:footerReference w:type="default" r:id="rId10"/>
          <w:headerReference w:type="first" r:id="rId11"/>
          <w:footerReference w:type="first" r:id="rId12"/>
          <w:pgSz w:w="11906" w:h="16838"/>
          <w:pgMar w:top="1134" w:right="1440" w:bottom="851" w:left="1440" w:header="709" w:footer="136" w:gutter="0"/>
          <w:cols w:space="708"/>
          <w:titlePg/>
          <w:docGrid w:linePitch="360"/>
        </w:sectPr>
      </w:pPr>
    </w:p>
    <w:p w14:paraId="64A4E12E" w14:textId="03A01270" w:rsidR="00144204" w:rsidRPr="00144204" w:rsidRDefault="00144204" w:rsidP="00144204">
      <w:pPr>
        <w:pStyle w:val="AHPRADocumenttitle"/>
        <w:pBdr>
          <w:bottom w:val="single" w:sz="4" w:space="1" w:color="auto"/>
        </w:pBdr>
        <w:ind w:left="-1418" w:right="6610" w:firstLine="1418"/>
        <w:rPr>
          <w:sz w:val="2"/>
        </w:rPr>
      </w:pPr>
    </w:p>
    <w:p w14:paraId="2EF00CE8" w14:textId="77777777" w:rsidR="00144204" w:rsidRPr="005318B0" w:rsidRDefault="00144204" w:rsidP="00144204">
      <w:pPr>
        <w:pStyle w:val="AHPRADocumenttitle"/>
        <w:pBdr>
          <w:bottom w:val="single" w:sz="4" w:space="1" w:color="auto"/>
        </w:pBdr>
        <w:ind w:left="-1418" w:right="6610" w:firstLine="1418"/>
        <w:rPr>
          <w:sz w:val="18"/>
        </w:rPr>
      </w:pPr>
    </w:p>
    <w:p w14:paraId="245F8777" w14:textId="77777777" w:rsidR="00144204" w:rsidRPr="00480B52" w:rsidRDefault="00144204" w:rsidP="00144204">
      <w:pPr>
        <w:pStyle w:val="AHPRADocumenttitle"/>
        <w:pBdr>
          <w:bottom w:val="single" w:sz="4" w:space="1" w:color="auto"/>
        </w:pBdr>
        <w:ind w:left="-1418" w:right="6610" w:firstLine="1418"/>
      </w:pPr>
      <w:r w:rsidRPr="00480B52">
        <w:t>Draft Guidelines</w:t>
      </w:r>
    </w:p>
    <w:p w14:paraId="7FDCAD54" w14:textId="77777777" w:rsidR="00144204" w:rsidRPr="00480B52" w:rsidRDefault="00144204" w:rsidP="00144204">
      <w:pPr>
        <w:pStyle w:val="AHPRAbodytext"/>
        <w:rPr>
          <w:sz w:val="2"/>
        </w:rPr>
      </w:pPr>
    </w:p>
    <w:p w14:paraId="4FF26C32" w14:textId="77777777" w:rsidR="00144204" w:rsidRPr="00480B52" w:rsidRDefault="00144204" w:rsidP="00144204">
      <w:pPr>
        <w:pStyle w:val="AHPRAbodytext"/>
      </w:pPr>
      <w:r>
        <w:t>September</w:t>
      </w:r>
      <w:r w:rsidRPr="00480B52">
        <w:t xml:space="preserve"> 2019</w:t>
      </w:r>
    </w:p>
    <w:p w14:paraId="222D9D99" w14:textId="77777777" w:rsidR="00144204" w:rsidRPr="00480B52" w:rsidRDefault="00144204" w:rsidP="00144204">
      <w:pPr>
        <w:pStyle w:val="AHPRADocumentsubheading"/>
      </w:pPr>
      <w:bookmarkStart w:id="2" w:name="_Hlk12973580"/>
      <w:r w:rsidRPr="00480B52">
        <w:t>Registered health practitioners and students in relation to blood-borne viruses</w:t>
      </w:r>
    </w:p>
    <w:bookmarkEnd w:id="2"/>
    <w:p w14:paraId="3C2C83AB" w14:textId="77777777" w:rsidR="005318B0" w:rsidRPr="00CD6C98" w:rsidRDefault="005318B0" w:rsidP="005318B0">
      <w:pPr>
        <w:pStyle w:val="AHPRASubheading"/>
        <w:numPr>
          <w:ilvl w:val="0"/>
          <w:numId w:val="27"/>
        </w:numPr>
        <w:rPr>
          <w:rFonts w:cs="Arial"/>
        </w:rPr>
      </w:pPr>
      <w:r w:rsidRPr="00CD6C98">
        <w:rPr>
          <w:rFonts w:cs="Arial"/>
        </w:rPr>
        <w:t>About the Nursing and Midwifery Board of Australia and AHPRA</w:t>
      </w:r>
    </w:p>
    <w:p w14:paraId="12C41C34" w14:textId="77777777" w:rsidR="005318B0" w:rsidRDefault="005318B0" w:rsidP="005318B0">
      <w:pPr>
        <w:autoSpaceDE w:val="0"/>
        <w:autoSpaceDN w:val="0"/>
        <w:adjustRightInd w:val="0"/>
        <w:spacing w:after="0"/>
        <w:rPr>
          <w:rFonts w:ascii="Arial" w:hAnsi="Arial" w:cs="Arial"/>
          <w:bCs/>
          <w:sz w:val="20"/>
        </w:rPr>
      </w:pPr>
      <w:r w:rsidRPr="000A3880">
        <w:rPr>
          <w:rFonts w:ascii="Arial" w:hAnsi="Arial" w:cs="Arial"/>
          <w:bCs/>
          <w:sz w:val="20"/>
        </w:rPr>
        <w:t>The</w:t>
      </w:r>
      <w:r>
        <w:rPr>
          <w:rFonts w:ascii="Arial" w:hAnsi="Arial" w:cs="Arial"/>
          <w:bCs/>
          <w:sz w:val="20"/>
        </w:rPr>
        <w:t xml:space="preserve"> Nursing and Midwifery Board of Australia</w:t>
      </w:r>
      <w:r w:rsidRPr="000A3880">
        <w:rPr>
          <w:rFonts w:ascii="Arial" w:hAnsi="Arial" w:cs="Arial"/>
          <w:bCs/>
          <w:sz w:val="20"/>
        </w:rPr>
        <w:t xml:space="preserve"> regulat</w:t>
      </w:r>
      <w:r>
        <w:rPr>
          <w:rFonts w:ascii="Arial" w:hAnsi="Arial" w:cs="Arial"/>
          <w:bCs/>
          <w:sz w:val="20"/>
        </w:rPr>
        <w:t>es</w:t>
      </w:r>
      <w:r w:rsidRPr="000A3880">
        <w:rPr>
          <w:rFonts w:ascii="Arial" w:hAnsi="Arial" w:cs="Arial"/>
          <w:bCs/>
          <w:sz w:val="20"/>
        </w:rPr>
        <w:t xml:space="preserve"> registered</w:t>
      </w:r>
      <w:r>
        <w:rPr>
          <w:rFonts w:ascii="Arial" w:hAnsi="Arial" w:cs="Arial"/>
          <w:bCs/>
          <w:sz w:val="20"/>
        </w:rPr>
        <w:t xml:space="preserve"> nurses and midwives in Australia. It is</w:t>
      </w:r>
      <w:r w:rsidRPr="000A3880">
        <w:rPr>
          <w:rFonts w:ascii="Arial" w:hAnsi="Arial" w:cs="Arial"/>
          <w:bCs/>
          <w:sz w:val="20"/>
        </w:rPr>
        <w:t xml:space="preserve"> responsible for registering</w:t>
      </w:r>
      <w:r>
        <w:rPr>
          <w:rFonts w:ascii="Arial" w:hAnsi="Arial" w:cs="Arial"/>
          <w:bCs/>
          <w:sz w:val="20"/>
        </w:rPr>
        <w:t xml:space="preserve"> nurses and midwives, and nursing and midwifery</w:t>
      </w:r>
      <w:r w:rsidRPr="000A3880">
        <w:rPr>
          <w:rFonts w:ascii="Arial" w:hAnsi="Arial" w:cs="Arial"/>
          <w:bCs/>
          <w:sz w:val="20"/>
        </w:rPr>
        <w:t xml:space="preserve"> students, setting the standards that practitioners must meet, and managing notifications (complaints) about the health, conduct or performance of </w:t>
      </w:r>
      <w:r>
        <w:rPr>
          <w:rFonts w:ascii="Arial" w:hAnsi="Arial" w:cs="Arial"/>
          <w:bCs/>
          <w:sz w:val="20"/>
        </w:rPr>
        <w:t>nurses and midwives</w:t>
      </w:r>
      <w:r w:rsidRPr="000A3880">
        <w:rPr>
          <w:rFonts w:ascii="Arial" w:hAnsi="Arial" w:cs="Arial"/>
          <w:bCs/>
          <w:sz w:val="20"/>
        </w:rPr>
        <w:t>.</w:t>
      </w:r>
    </w:p>
    <w:p w14:paraId="087AABA5" w14:textId="77777777" w:rsidR="005318B0" w:rsidRDefault="005318B0" w:rsidP="005318B0">
      <w:pPr>
        <w:autoSpaceDE w:val="0"/>
        <w:autoSpaceDN w:val="0"/>
        <w:adjustRightInd w:val="0"/>
        <w:spacing w:after="0"/>
        <w:rPr>
          <w:rFonts w:ascii="Arial" w:hAnsi="Arial" w:cs="Arial"/>
          <w:bCs/>
          <w:sz w:val="20"/>
        </w:rPr>
      </w:pPr>
    </w:p>
    <w:p w14:paraId="6517879F" w14:textId="77777777" w:rsidR="005318B0" w:rsidRDefault="005318B0" w:rsidP="005318B0">
      <w:pPr>
        <w:autoSpaceDE w:val="0"/>
        <w:autoSpaceDN w:val="0"/>
        <w:adjustRightInd w:val="0"/>
        <w:spacing w:after="0"/>
        <w:rPr>
          <w:rFonts w:ascii="Arial" w:hAnsi="Arial" w:cs="Arial"/>
          <w:bCs/>
          <w:sz w:val="20"/>
        </w:rPr>
      </w:pPr>
      <w:r w:rsidRPr="000A3880">
        <w:rPr>
          <w:rFonts w:ascii="Arial" w:hAnsi="Arial" w:cs="Arial"/>
          <w:bCs/>
          <w:sz w:val="20"/>
        </w:rPr>
        <w:t>The Australian Health Practitioner Regulation Agency (AHPRA) works in partnership with the National</w:t>
      </w:r>
      <w:r>
        <w:rPr>
          <w:rFonts w:ascii="Arial" w:hAnsi="Arial" w:cs="Arial"/>
          <w:bCs/>
          <w:sz w:val="20"/>
        </w:rPr>
        <w:t xml:space="preserve"> </w:t>
      </w:r>
      <w:r w:rsidRPr="000A3880">
        <w:rPr>
          <w:rFonts w:ascii="Arial" w:hAnsi="Arial" w:cs="Arial"/>
          <w:bCs/>
          <w:sz w:val="20"/>
        </w:rPr>
        <w:t>Boards to implement the National Registration and Accreditation Scheme, under the Health Practitioner Regulation National Law, as in force in each state and territory (the National Law).</w:t>
      </w:r>
    </w:p>
    <w:p w14:paraId="52BABED2" w14:textId="77777777" w:rsidR="005318B0" w:rsidRDefault="005318B0" w:rsidP="005318B0">
      <w:pPr>
        <w:autoSpaceDE w:val="0"/>
        <w:autoSpaceDN w:val="0"/>
        <w:adjustRightInd w:val="0"/>
        <w:spacing w:after="0"/>
        <w:rPr>
          <w:rFonts w:ascii="Arial" w:hAnsi="Arial" w:cs="Arial"/>
          <w:sz w:val="20"/>
          <w:szCs w:val="20"/>
        </w:rPr>
      </w:pPr>
    </w:p>
    <w:p w14:paraId="613752E2" w14:textId="77777777" w:rsidR="005318B0" w:rsidRDefault="005318B0" w:rsidP="005318B0">
      <w:pPr>
        <w:autoSpaceDE w:val="0"/>
        <w:autoSpaceDN w:val="0"/>
        <w:adjustRightInd w:val="0"/>
        <w:spacing w:after="0"/>
        <w:rPr>
          <w:rFonts w:ascii="Arial" w:hAnsi="Arial" w:cs="Arial"/>
          <w:sz w:val="20"/>
          <w:szCs w:val="20"/>
        </w:rPr>
      </w:pPr>
      <w:r w:rsidRPr="005D7B24">
        <w:rPr>
          <w:rFonts w:ascii="Arial" w:hAnsi="Arial" w:cs="Arial"/>
          <w:sz w:val="20"/>
          <w:szCs w:val="20"/>
        </w:rPr>
        <w:t>The core role of the</w:t>
      </w:r>
      <w:r>
        <w:rPr>
          <w:rFonts w:ascii="Arial" w:hAnsi="Arial" w:cs="Arial"/>
          <w:sz w:val="20"/>
          <w:szCs w:val="20"/>
        </w:rPr>
        <w:t xml:space="preserve"> Nursing and Midwifery</w:t>
      </w:r>
      <w:r w:rsidRPr="005D7B24">
        <w:rPr>
          <w:rFonts w:ascii="Arial" w:hAnsi="Arial" w:cs="Arial"/>
          <w:sz w:val="20"/>
          <w:szCs w:val="20"/>
        </w:rPr>
        <w:t xml:space="preserve"> Board</w:t>
      </w:r>
      <w:r>
        <w:rPr>
          <w:rFonts w:ascii="Arial" w:hAnsi="Arial" w:cs="Arial"/>
          <w:sz w:val="20"/>
          <w:szCs w:val="20"/>
        </w:rPr>
        <w:t xml:space="preserve"> of Australia</w:t>
      </w:r>
      <w:r w:rsidRPr="005D7B24">
        <w:rPr>
          <w:rFonts w:ascii="Arial" w:hAnsi="Arial" w:cs="Arial"/>
          <w:sz w:val="20"/>
          <w:szCs w:val="20"/>
        </w:rPr>
        <w:t xml:space="preserve"> and AHPRA is to protect the public.</w:t>
      </w:r>
    </w:p>
    <w:p w14:paraId="070E29F5" w14:textId="77777777" w:rsidR="00144204" w:rsidRPr="0037426D" w:rsidRDefault="00144204" w:rsidP="00144204">
      <w:pPr>
        <w:autoSpaceDE w:val="0"/>
        <w:autoSpaceDN w:val="0"/>
        <w:adjustRightInd w:val="0"/>
        <w:spacing w:after="0"/>
        <w:rPr>
          <w:rFonts w:ascii="Arial" w:hAnsi="Arial" w:cs="Arial"/>
          <w:sz w:val="20"/>
          <w:szCs w:val="20"/>
        </w:rPr>
      </w:pPr>
    </w:p>
    <w:p w14:paraId="456C601D" w14:textId="77777777" w:rsidR="00144204" w:rsidRPr="0037426D" w:rsidRDefault="00144204" w:rsidP="002F1BC7">
      <w:pPr>
        <w:pStyle w:val="AHPRASubhead"/>
        <w:numPr>
          <w:ilvl w:val="0"/>
          <w:numId w:val="27"/>
        </w:numPr>
        <w:ind w:left="426" w:hanging="426"/>
        <w:rPr>
          <w:rFonts w:cs="Arial"/>
          <w:szCs w:val="20"/>
        </w:rPr>
      </w:pPr>
      <w:r w:rsidRPr="0037426D">
        <w:rPr>
          <w:rFonts w:cs="Arial"/>
          <w:szCs w:val="20"/>
        </w:rPr>
        <w:t>About these guidelines</w:t>
      </w:r>
    </w:p>
    <w:p w14:paraId="69B016A5" w14:textId="77777777" w:rsidR="00144204" w:rsidRPr="0037426D" w:rsidRDefault="00144204" w:rsidP="00144204">
      <w:pPr>
        <w:pStyle w:val="AHPRAbody"/>
        <w:rPr>
          <w:szCs w:val="20"/>
        </w:rPr>
      </w:pPr>
      <w:r w:rsidRPr="0037426D">
        <w:rPr>
          <w:szCs w:val="20"/>
        </w:rPr>
        <w:t>These guidelines have been developed under section 39 of the National Law. They are aimed at:</w:t>
      </w:r>
    </w:p>
    <w:p w14:paraId="2361972D" w14:textId="77777777" w:rsidR="00144204" w:rsidRPr="0037426D" w:rsidRDefault="00144204" w:rsidP="002F1BC7">
      <w:pPr>
        <w:pStyle w:val="AHPRAbody"/>
        <w:numPr>
          <w:ilvl w:val="0"/>
          <w:numId w:val="26"/>
        </w:numPr>
        <w:rPr>
          <w:szCs w:val="20"/>
        </w:rPr>
      </w:pPr>
      <w:r w:rsidRPr="0037426D">
        <w:rPr>
          <w:szCs w:val="20"/>
        </w:rPr>
        <w:t>health practitioners registered under the National Law who perform exposure-prone procedures or are living with a blood-borne virus</w:t>
      </w:r>
    </w:p>
    <w:p w14:paraId="71F16E04" w14:textId="77777777" w:rsidR="00144204" w:rsidRPr="0037426D" w:rsidRDefault="00144204" w:rsidP="002F1BC7">
      <w:pPr>
        <w:pStyle w:val="AHPRAbody"/>
        <w:numPr>
          <w:ilvl w:val="0"/>
          <w:numId w:val="26"/>
        </w:numPr>
        <w:rPr>
          <w:szCs w:val="20"/>
        </w:rPr>
      </w:pPr>
      <w:r w:rsidRPr="0037426D">
        <w:rPr>
          <w:szCs w:val="20"/>
        </w:rPr>
        <w:t>students registered under the National Law who perform exposure-prone procedures or are living with a blood-borne virus and</w:t>
      </w:r>
    </w:p>
    <w:p w14:paraId="56167308" w14:textId="77777777" w:rsidR="00144204" w:rsidRPr="0037426D" w:rsidRDefault="00144204" w:rsidP="002F1BC7">
      <w:pPr>
        <w:pStyle w:val="AHPRAbody"/>
        <w:numPr>
          <w:ilvl w:val="0"/>
          <w:numId w:val="26"/>
        </w:numPr>
        <w:rPr>
          <w:szCs w:val="20"/>
        </w:rPr>
      </w:pPr>
      <w:r w:rsidRPr="0037426D">
        <w:rPr>
          <w:szCs w:val="20"/>
        </w:rPr>
        <w:t>registered health practitioners who are treating registered health practitioners or students who are living with a blood-borne virus.</w:t>
      </w:r>
    </w:p>
    <w:p w14:paraId="3647E32E" w14:textId="77777777" w:rsidR="00144204" w:rsidRPr="0037426D" w:rsidRDefault="00144204" w:rsidP="00144204">
      <w:pPr>
        <w:pStyle w:val="AHPRAbody"/>
        <w:rPr>
          <w:szCs w:val="20"/>
        </w:rPr>
      </w:pPr>
      <w:r w:rsidRPr="0037426D">
        <w:rPr>
          <w:szCs w:val="20"/>
        </w:rPr>
        <w:t xml:space="preserve">Education providers and employers of registered health practitioners may also bring these guidelines to the attention of their students and employees respectively. </w:t>
      </w:r>
    </w:p>
    <w:p w14:paraId="7EE33D6A" w14:textId="77777777" w:rsidR="00144204" w:rsidRPr="0037426D" w:rsidRDefault="00144204" w:rsidP="00144204">
      <w:pPr>
        <w:pStyle w:val="NormalWeb"/>
        <w:spacing w:before="2" w:after="2"/>
        <w:rPr>
          <w:rFonts w:ascii="Arial" w:hAnsi="Arial" w:cs="Arial"/>
          <w:sz w:val="20"/>
          <w:szCs w:val="20"/>
        </w:rPr>
      </w:pPr>
      <w:r w:rsidRPr="0037426D">
        <w:rPr>
          <w:rFonts w:ascii="Arial" w:hAnsi="Arial" w:cs="Arial"/>
          <w:sz w:val="20"/>
          <w:szCs w:val="20"/>
        </w:rPr>
        <w:t>In brief, these guidelines:</w:t>
      </w:r>
    </w:p>
    <w:p w14:paraId="6EB80650" w14:textId="77777777" w:rsidR="00144204" w:rsidRPr="0037426D" w:rsidRDefault="00144204" w:rsidP="002F1BC7">
      <w:pPr>
        <w:pStyle w:val="AHPRAnumberedbulletpoint"/>
        <w:numPr>
          <w:ilvl w:val="0"/>
          <w:numId w:val="28"/>
        </w:numPr>
        <w:spacing w:before="200" w:after="200"/>
        <w:rPr>
          <w:rFonts w:cs="Arial"/>
          <w:szCs w:val="20"/>
        </w:rPr>
      </w:pPr>
      <w:bookmarkStart w:id="3" w:name="_Hlk12977921"/>
      <w:r w:rsidRPr="0037426D">
        <w:rPr>
          <w:rFonts w:cs="Arial"/>
          <w:szCs w:val="20"/>
        </w:rPr>
        <w:t xml:space="preserve">inform all practitioners that they must comply with the Communicable Diseases Network Australia (CDNA) guidelines </w:t>
      </w:r>
      <w:r w:rsidRPr="0037426D">
        <w:rPr>
          <w:rFonts w:cs="Arial"/>
          <w:i/>
          <w:szCs w:val="20"/>
        </w:rPr>
        <w:t>Australian national guidelines for the management of healthcare workers living with blood-borne viruses and healthcare workers who perform exposure prone procedures at risk of exposure to blood borne viruses</w:t>
      </w:r>
      <w:r w:rsidRPr="0037426D">
        <w:rPr>
          <w:rFonts w:cs="Arial"/>
          <w:szCs w:val="20"/>
        </w:rPr>
        <w:t>, as current and as revised in the future. The current CDNA guidelines are attached to these guidelines</w:t>
      </w:r>
    </w:p>
    <w:p w14:paraId="24D7202D" w14:textId="77777777" w:rsidR="00144204" w:rsidRPr="0037426D" w:rsidRDefault="00144204" w:rsidP="002F1BC7">
      <w:pPr>
        <w:pStyle w:val="AHPRAnumberedbulletpoint"/>
        <w:numPr>
          <w:ilvl w:val="0"/>
          <w:numId w:val="28"/>
        </w:numPr>
        <w:spacing w:before="200" w:after="200"/>
        <w:rPr>
          <w:rFonts w:cs="Arial"/>
          <w:szCs w:val="20"/>
        </w:rPr>
      </w:pPr>
      <w:r w:rsidRPr="0037426D">
        <w:rPr>
          <w:rFonts w:cs="Arial"/>
          <w:szCs w:val="20"/>
        </w:rPr>
        <w:t>explain when a practitioner treating a registered health practitioner or student may have a responsibility to notify AHPRA that their patient is living with a blood-borne virus, and</w:t>
      </w:r>
    </w:p>
    <w:p w14:paraId="6BFA3496" w14:textId="77777777" w:rsidR="00144204" w:rsidRPr="0037426D" w:rsidRDefault="00144204" w:rsidP="002F1BC7">
      <w:pPr>
        <w:pStyle w:val="AHPRAnumberedbulletpoint"/>
        <w:numPr>
          <w:ilvl w:val="0"/>
          <w:numId w:val="28"/>
        </w:numPr>
        <w:spacing w:before="200" w:after="200"/>
        <w:rPr>
          <w:rFonts w:cs="Arial"/>
          <w:szCs w:val="20"/>
        </w:rPr>
      </w:pPr>
      <w:r w:rsidRPr="0037426D">
        <w:rPr>
          <w:rFonts w:cs="Arial"/>
          <w:szCs w:val="20"/>
        </w:rPr>
        <w:t>provide information on the range of actions that a Board may take if it receives a notification that a registered health practitioner or student is infected with a blood-borne virus and may be impaired or otherwise poses a risk to the public.</w:t>
      </w:r>
    </w:p>
    <w:bookmarkEnd w:id="3"/>
    <w:p w14:paraId="78C06150" w14:textId="77777777" w:rsidR="00144204" w:rsidRPr="0037426D" w:rsidRDefault="00144204" w:rsidP="002F1BC7">
      <w:pPr>
        <w:pStyle w:val="AHPRASubhead"/>
        <w:numPr>
          <w:ilvl w:val="0"/>
          <w:numId w:val="27"/>
        </w:numPr>
        <w:ind w:left="426" w:hanging="426"/>
        <w:rPr>
          <w:rFonts w:cs="Arial"/>
          <w:szCs w:val="20"/>
        </w:rPr>
      </w:pPr>
      <w:r w:rsidRPr="0037426D">
        <w:rPr>
          <w:rFonts w:cs="Arial"/>
          <w:szCs w:val="20"/>
        </w:rPr>
        <w:lastRenderedPageBreak/>
        <w:t>What is not covered in these guidelines?</w:t>
      </w:r>
    </w:p>
    <w:p w14:paraId="07623FF7"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 xml:space="preserve">These guidelines are about health practitioners and students in relation to blood-borne viruses. They do not include guidance for registered health practitioners and students in relation to other infectious diseases who should refer to, and comply with, relevant current infection control guidelines. </w:t>
      </w:r>
    </w:p>
    <w:p w14:paraId="5F3C8A9F" w14:textId="77777777" w:rsidR="00144204" w:rsidRPr="0037426D" w:rsidRDefault="00144204" w:rsidP="002F1BC7">
      <w:pPr>
        <w:pStyle w:val="AHPRASubhead"/>
        <w:numPr>
          <w:ilvl w:val="0"/>
          <w:numId w:val="27"/>
        </w:numPr>
        <w:ind w:left="426" w:hanging="426"/>
        <w:rPr>
          <w:rFonts w:cs="Arial"/>
          <w:szCs w:val="20"/>
        </w:rPr>
      </w:pPr>
      <w:r w:rsidRPr="0037426D">
        <w:rPr>
          <w:rFonts w:cs="Arial"/>
          <w:szCs w:val="20"/>
        </w:rPr>
        <w:t>General guidance for all registered health practitioners and students</w:t>
      </w:r>
    </w:p>
    <w:p w14:paraId="309ECFD4"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Registered health practitioners and students have a responsibility to prevent the transmission of blood-borne viruses from themselves to their patients and their co-workers.</w:t>
      </w:r>
    </w:p>
    <w:p w14:paraId="5797B83A"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Registered health practitioners and students have a right to protect themselves from transmission of blood-borne viruses.</w:t>
      </w:r>
    </w:p>
    <w:p w14:paraId="72837C75"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All registered health practitioners and students must comply with the CDNA guidelines. The guidelines are particularly relevant to health practitioners and students living with a blood-borne virus, health practitioners and students who perform exposure-prone procedures and medical practitioners treating healthcare workers and students with a blood-borne virus.</w:t>
      </w:r>
    </w:p>
    <w:p w14:paraId="394A8A38" w14:textId="77777777" w:rsidR="00144204" w:rsidRPr="0037426D" w:rsidRDefault="00144204" w:rsidP="002F1BC7">
      <w:pPr>
        <w:pStyle w:val="AHPRASubhead"/>
        <w:numPr>
          <w:ilvl w:val="0"/>
          <w:numId w:val="27"/>
        </w:numPr>
        <w:ind w:left="426" w:hanging="426"/>
        <w:rPr>
          <w:rFonts w:cs="Arial"/>
          <w:szCs w:val="20"/>
        </w:rPr>
      </w:pPr>
      <w:r w:rsidRPr="0037426D">
        <w:rPr>
          <w:rFonts w:cs="Arial"/>
          <w:szCs w:val="20"/>
        </w:rPr>
        <w:t>Guidance for registered health practitioners and students living with blood-borne viruses</w:t>
      </w:r>
    </w:p>
    <w:p w14:paraId="7BA5479A"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Registered health practitioners living with a blood-borne virus can continue to practise their profession if they comply with the CDNA guidelines.</w:t>
      </w:r>
    </w:p>
    <w:p w14:paraId="0EB8E72B"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Registered students living with a blood-borne virus can continue in their course of study if they comply with the CDNA guidelines.</w:t>
      </w:r>
    </w:p>
    <w:p w14:paraId="668918C9"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Registered health practitioners and students who are living with a blood-borne virus must remain under regular medical supervision. They must seek and accept their treating practitioner’s advice on the safe limits of practice.  If the practitioner or student who is living with a blood-borne virus does not comply with the treating practitioner’s advice, the treating practitioner may have to report their practitioner or student patient to AHPRA.</w:t>
      </w:r>
    </w:p>
    <w:p w14:paraId="3488D1C1"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 xml:space="preserve">Registered health practitioners and students living with blood-borne viruses do not need to notify AHPRA about their infection if they are following their treating practitioner’s advice and have complied with, and are continuing to comply with, the CDNA guidelines. </w:t>
      </w:r>
    </w:p>
    <w:p w14:paraId="7FE3A0D1" w14:textId="77777777" w:rsidR="00144204" w:rsidRPr="0037426D" w:rsidRDefault="00144204" w:rsidP="002F1BC7">
      <w:pPr>
        <w:pStyle w:val="AHPRASubhead"/>
        <w:numPr>
          <w:ilvl w:val="0"/>
          <w:numId w:val="27"/>
        </w:numPr>
        <w:ind w:left="426" w:hanging="426"/>
        <w:rPr>
          <w:rFonts w:cs="Arial"/>
          <w:szCs w:val="20"/>
        </w:rPr>
      </w:pPr>
      <w:r w:rsidRPr="0037426D">
        <w:rPr>
          <w:rFonts w:cs="Arial"/>
          <w:szCs w:val="20"/>
        </w:rPr>
        <w:t>Guidance for treating practitioners</w:t>
      </w:r>
    </w:p>
    <w:p w14:paraId="5A9D6B9C" w14:textId="77777777" w:rsidR="00144204" w:rsidRPr="0037426D" w:rsidRDefault="00144204" w:rsidP="00144204">
      <w:pPr>
        <w:pStyle w:val="AHPRAlastbulletpoint"/>
        <w:numPr>
          <w:ilvl w:val="0"/>
          <w:numId w:val="0"/>
        </w:numPr>
        <w:rPr>
          <w:rFonts w:cs="Arial"/>
          <w:szCs w:val="20"/>
        </w:rPr>
      </w:pPr>
      <w:r w:rsidRPr="0037426D">
        <w:rPr>
          <w:rFonts w:cs="Arial"/>
          <w:b/>
          <w:szCs w:val="20"/>
        </w:rPr>
        <w:t xml:space="preserve">Note: </w:t>
      </w:r>
      <w:r w:rsidRPr="0037426D">
        <w:rPr>
          <w:rFonts w:cs="Arial"/>
          <w:szCs w:val="20"/>
        </w:rPr>
        <w:t>In most instances, treating practitioners will be registered medical practitioners.</w:t>
      </w:r>
    </w:p>
    <w:p w14:paraId="643618E9"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 xml:space="preserve">Treating practitioners who are treating a registered health practitioner or student living with a blood-borne virus do not have an obligation to report their patient to AHPRA if the practitioner or student is complying with the CDNA guidelines.  </w:t>
      </w:r>
    </w:p>
    <w:p w14:paraId="0A66894D"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 xml:space="preserve">Treating practitioners can seek advice on individual health practitioners or students living with a blood-borne virus from their jurisdictional public health authority. </w:t>
      </w:r>
    </w:p>
    <w:p w14:paraId="1AADFC9B"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If a registered health practitioner or student living with a blood-borne virus is not complying with the CDNA guidelines, they may be putting the public at risk. Therefore, treating practitioners may have an obligation to notify AHPRA. Treating practitioners must inform AHPRA if their patient:</w:t>
      </w:r>
    </w:p>
    <w:p w14:paraId="1FC0918A" w14:textId="77777777" w:rsidR="00144204" w:rsidRPr="0037426D" w:rsidRDefault="00144204" w:rsidP="002F1BC7">
      <w:pPr>
        <w:pStyle w:val="NormalWeb"/>
        <w:numPr>
          <w:ilvl w:val="0"/>
          <w:numId w:val="29"/>
        </w:numPr>
        <w:spacing w:after="200" w:line="240" w:lineRule="auto"/>
        <w:ind w:left="851"/>
        <w:rPr>
          <w:rFonts w:ascii="Arial" w:hAnsi="Arial" w:cs="Arial"/>
          <w:sz w:val="20"/>
          <w:szCs w:val="20"/>
        </w:rPr>
      </w:pPr>
      <w:r w:rsidRPr="0037426D">
        <w:rPr>
          <w:rFonts w:ascii="Arial" w:hAnsi="Arial" w:cs="Arial"/>
          <w:sz w:val="20"/>
          <w:szCs w:val="20"/>
        </w:rPr>
        <w:t>does not attend their appointments or fails to be tested with the prescribed timeframe without prior notification and adequate justification to their doctor</w:t>
      </w:r>
    </w:p>
    <w:p w14:paraId="399C1CB2" w14:textId="77777777" w:rsidR="00144204" w:rsidRPr="0037426D" w:rsidRDefault="00144204" w:rsidP="002F1BC7">
      <w:pPr>
        <w:pStyle w:val="NormalWeb"/>
        <w:numPr>
          <w:ilvl w:val="0"/>
          <w:numId w:val="29"/>
        </w:numPr>
        <w:spacing w:after="200" w:line="240" w:lineRule="auto"/>
        <w:ind w:left="851"/>
        <w:rPr>
          <w:rFonts w:ascii="Arial" w:hAnsi="Arial" w:cs="Arial"/>
          <w:sz w:val="20"/>
          <w:szCs w:val="20"/>
        </w:rPr>
      </w:pPr>
      <w:r w:rsidRPr="0037426D">
        <w:rPr>
          <w:rFonts w:ascii="Arial" w:hAnsi="Arial" w:cs="Arial"/>
          <w:sz w:val="20"/>
          <w:szCs w:val="20"/>
        </w:rPr>
        <w:t>refuses to have their viral load tested, or</w:t>
      </w:r>
    </w:p>
    <w:p w14:paraId="3505B008" w14:textId="77777777" w:rsidR="00144204" w:rsidRPr="0037426D" w:rsidRDefault="00144204" w:rsidP="002F1BC7">
      <w:pPr>
        <w:pStyle w:val="NormalWeb"/>
        <w:numPr>
          <w:ilvl w:val="0"/>
          <w:numId w:val="29"/>
        </w:numPr>
        <w:spacing w:after="200" w:line="240" w:lineRule="auto"/>
        <w:ind w:left="851"/>
        <w:rPr>
          <w:rFonts w:ascii="Arial" w:hAnsi="Arial" w:cs="Arial"/>
          <w:sz w:val="20"/>
          <w:szCs w:val="20"/>
        </w:rPr>
      </w:pPr>
      <w:r w:rsidRPr="0037426D">
        <w:rPr>
          <w:rFonts w:ascii="Arial" w:hAnsi="Arial" w:cs="Arial"/>
          <w:sz w:val="20"/>
          <w:szCs w:val="20"/>
        </w:rPr>
        <w:t>continues to perform exposure-prone procedures when excluded by the CDNA guidelines.</w:t>
      </w:r>
    </w:p>
    <w:p w14:paraId="363EF4CE"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 xml:space="preserve">Treating practitioners who are treating a registered health practitioner or student with a blood-borne virus should refer to the National Law and the Boards’ guidelines on mandatory reporting notifications to help them decide whether it is necessary to make a mandatory notification. </w:t>
      </w:r>
    </w:p>
    <w:p w14:paraId="28424AC5" w14:textId="77777777" w:rsidR="00144204" w:rsidRPr="0037426D" w:rsidRDefault="00144204" w:rsidP="002F1BC7">
      <w:pPr>
        <w:pStyle w:val="AHPRASubhead"/>
        <w:numPr>
          <w:ilvl w:val="0"/>
          <w:numId w:val="27"/>
        </w:numPr>
        <w:ind w:left="426" w:hanging="426"/>
        <w:rPr>
          <w:rFonts w:cs="Arial"/>
          <w:szCs w:val="20"/>
        </w:rPr>
      </w:pPr>
      <w:r w:rsidRPr="0037426D">
        <w:rPr>
          <w:rFonts w:cs="Arial"/>
          <w:szCs w:val="20"/>
        </w:rPr>
        <w:lastRenderedPageBreak/>
        <w:t xml:space="preserve">The Board’s response to notifications involving a practitioner living with a blood-borne virus </w:t>
      </w:r>
    </w:p>
    <w:p w14:paraId="123B296E"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If the Board receives a notification about a registered health practitioner or student with a blood-borne virus, it will manage the notification in accordance with the provisions in the National Law</w:t>
      </w:r>
      <w:r w:rsidRPr="0037426D">
        <w:rPr>
          <w:rFonts w:cs="Arial"/>
          <w:szCs w:val="20"/>
          <w:vertAlign w:val="superscript"/>
        </w:rPr>
        <w:footnoteReference w:id="6"/>
      </w:r>
      <w:r w:rsidRPr="0037426D">
        <w:rPr>
          <w:rFonts w:cs="Arial"/>
          <w:szCs w:val="20"/>
        </w:rPr>
        <w:t>. The Board may obtain additional information to assess whether the practitioner’s practice or student’s participation in clinical training poses a risk to the public. While each notification is considered on its individual merits, the Board can decide whether to:</w:t>
      </w:r>
    </w:p>
    <w:p w14:paraId="02B12DD7" w14:textId="77777777" w:rsidR="00144204" w:rsidRPr="0037426D" w:rsidRDefault="00144204" w:rsidP="002F1BC7">
      <w:pPr>
        <w:pStyle w:val="NormalWeb"/>
        <w:numPr>
          <w:ilvl w:val="0"/>
          <w:numId w:val="29"/>
        </w:numPr>
        <w:spacing w:after="200" w:line="240" w:lineRule="auto"/>
        <w:ind w:left="851"/>
        <w:rPr>
          <w:rFonts w:ascii="Arial" w:hAnsi="Arial" w:cs="Arial"/>
          <w:sz w:val="20"/>
          <w:szCs w:val="20"/>
        </w:rPr>
      </w:pPr>
      <w:r w:rsidRPr="0037426D">
        <w:rPr>
          <w:rFonts w:ascii="Arial" w:hAnsi="Arial" w:cs="Arial"/>
          <w:sz w:val="20"/>
          <w:szCs w:val="20"/>
        </w:rPr>
        <w:t>request the practitioner or student to ask their treating medical practitioner to provide a report to the Board. The Board would seek information to help it assess whether the registered health practitioner or student poses a risk to the public, given their infective status and their scope of practice and/or</w:t>
      </w:r>
    </w:p>
    <w:p w14:paraId="62385284" w14:textId="77777777" w:rsidR="00144204" w:rsidRPr="0037426D" w:rsidRDefault="00144204" w:rsidP="002F1BC7">
      <w:pPr>
        <w:pStyle w:val="NormalWeb"/>
        <w:numPr>
          <w:ilvl w:val="0"/>
          <w:numId w:val="29"/>
        </w:numPr>
        <w:spacing w:after="200" w:line="240" w:lineRule="auto"/>
        <w:ind w:left="851"/>
        <w:rPr>
          <w:rFonts w:ascii="Arial" w:hAnsi="Arial" w:cs="Arial"/>
          <w:sz w:val="20"/>
          <w:szCs w:val="20"/>
        </w:rPr>
      </w:pPr>
      <w:r w:rsidRPr="0037426D">
        <w:rPr>
          <w:rFonts w:ascii="Arial" w:hAnsi="Arial" w:cs="Arial"/>
          <w:sz w:val="20"/>
          <w:szCs w:val="20"/>
        </w:rPr>
        <w:t>require the practitioner or student to undergo a health assessment with an independent practitioner who is a specialist in the treatment of blood-borne viruses, who will report to the Board.</w:t>
      </w:r>
    </w:p>
    <w:p w14:paraId="25C281C0"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After assessing the risk posed by the practitioner or student the Board:</w:t>
      </w:r>
    </w:p>
    <w:p w14:paraId="31F86D88" w14:textId="77777777" w:rsidR="00144204" w:rsidRPr="0037426D" w:rsidRDefault="00144204" w:rsidP="002F1BC7">
      <w:pPr>
        <w:pStyle w:val="NormalWeb"/>
        <w:numPr>
          <w:ilvl w:val="0"/>
          <w:numId w:val="29"/>
        </w:numPr>
        <w:spacing w:after="200" w:line="240" w:lineRule="auto"/>
        <w:ind w:left="851"/>
        <w:rPr>
          <w:rFonts w:ascii="Arial" w:hAnsi="Arial" w:cs="Arial"/>
          <w:sz w:val="20"/>
          <w:szCs w:val="20"/>
        </w:rPr>
      </w:pPr>
      <w:r w:rsidRPr="0037426D">
        <w:rPr>
          <w:rFonts w:ascii="Arial" w:hAnsi="Arial" w:cs="Arial"/>
          <w:sz w:val="20"/>
          <w:szCs w:val="20"/>
        </w:rPr>
        <w:t>will not take regulatory action if a registered health practitioner or student is complying with the CDNA guidelines and is therefore not placing the public at risk</w:t>
      </w:r>
    </w:p>
    <w:p w14:paraId="228EB886" w14:textId="77777777" w:rsidR="00144204" w:rsidRPr="0037426D" w:rsidRDefault="00144204" w:rsidP="002F1BC7">
      <w:pPr>
        <w:pStyle w:val="NormalWeb"/>
        <w:numPr>
          <w:ilvl w:val="0"/>
          <w:numId w:val="29"/>
        </w:numPr>
        <w:spacing w:after="200" w:line="240" w:lineRule="auto"/>
        <w:ind w:left="851"/>
        <w:rPr>
          <w:rFonts w:ascii="Arial" w:hAnsi="Arial" w:cs="Arial"/>
          <w:sz w:val="20"/>
          <w:szCs w:val="20"/>
        </w:rPr>
      </w:pPr>
      <w:r w:rsidRPr="0037426D">
        <w:rPr>
          <w:rFonts w:ascii="Arial" w:hAnsi="Arial" w:cs="Arial"/>
          <w:sz w:val="20"/>
          <w:szCs w:val="20"/>
        </w:rPr>
        <w:t>will take the necessary action under the National Law to protect the health and safety of the public if a registered health practitioner or student is not complying with the CDNA guidelines and is therefore placing the public at risk. This action could include taking immediate action (suspension, imposition of conditions or accepting undertakings), investigating further, referring to a panel hearing or referring to a tribunal.</w:t>
      </w:r>
    </w:p>
    <w:p w14:paraId="5849B668"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If the Board suspends a practitioner’s registration, imposes conditions or accepts undertakings, it will publish relevant information on the Register of practitioners, as required by the National Law.  The Board will not publish information on the Register of practitioners that states that a practitioner has a blood-borne virus. However, it will publish that the registration is subject to conditions which are not publicly available due to privacy obligations.</w:t>
      </w:r>
    </w:p>
    <w:p w14:paraId="1EE7A9CC"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The Board must inform the student’s education provider if it suspends a student’s registration, imposes conditions or accepts undertakings.</w:t>
      </w:r>
      <w:r w:rsidRPr="0037426D" w:rsidDel="00DF5144">
        <w:rPr>
          <w:rFonts w:cs="Arial"/>
          <w:szCs w:val="20"/>
        </w:rPr>
        <w:t xml:space="preserve"> </w:t>
      </w:r>
      <w:r w:rsidRPr="0037426D">
        <w:rPr>
          <w:rFonts w:cs="Arial"/>
          <w:szCs w:val="20"/>
        </w:rPr>
        <w:t>The education provider must as soon as practicable give notice to any entity with whom the person is undertaking training as part of the program of study that the Board has suspended the student’s registration, imposed conditions or accepted undertakings.</w:t>
      </w:r>
      <w:r w:rsidRPr="0037426D">
        <w:rPr>
          <w:rFonts w:cs="Arial"/>
          <w:szCs w:val="20"/>
          <w:vertAlign w:val="superscript"/>
        </w:rPr>
        <w:footnoteReference w:id="7"/>
      </w:r>
    </w:p>
    <w:p w14:paraId="3869ADCF"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As provided for in the National Law</w:t>
      </w:r>
      <w:r w:rsidRPr="0037426D">
        <w:rPr>
          <w:rFonts w:cs="Arial"/>
          <w:szCs w:val="20"/>
          <w:vertAlign w:val="superscript"/>
        </w:rPr>
        <w:footnoteReference w:id="8"/>
      </w:r>
      <w:r w:rsidRPr="0037426D">
        <w:rPr>
          <w:rFonts w:cs="Arial"/>
          <w:szCs w:val="20"/>
        </w:rPr>
        <w:t>, the Board may inform the relevant health department or other entity of the Commonwealth or a State or Territory, if a practitioner or student with a blood-borne virus has not complied with the CDNA guidelines to allow the department to decide whether further action is necessary.</w:t>
      </w:r>
    </w:p>
    <w:p w14:paraId="493DA89A" w14:textId="77777777" w:rsidR="00144204" w:rsidRPr="0037426D" w:rsidRDefault="00144204" w:rsidP="002F1BC7">
      <w:pPr>
        <w:pStyle w:val="AHPRASubhead"/>
        <w:numPr>
          <w:ilvl w:val="0"/>
          <w:numId w:val="27"/>
        </w:numPr>
        <w:ind w:left="426" w:hanging="426"/>
        <w:rPr>
          <w:rFonts w:cs="Arial"/>
          <w:szCs w:val="20"/>
        </w:rPr>
      </w:pPr>
      <w:r w:rsidRPr="0037426D">
        <w:rPr>
          <w:rFonts w:cs="Arial"/>
          <w:szCs w:val="20"/>
        </w:rPr>
        <w:t>Other relevant regulatory aspects</w:t>
      </w:r>
    </w:p>
    <w:p w14:paraId="5D7A03F2"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 xml:space="preserve">When applying for registration and for renewal of registration, all practitioners are required to declare that they do not have an impairment. A blood-borne virus in itself does not constitute an impairment. However, a registered health practitioner with a blood-borne virus who is not complying with the CDNA guidelines has an impairment because they have a condition that ‘detrimentally affects their capacity to practise the profession’. Therefore, they must declare that they are impaired. </w:t>
      </w:r>
    </w:p>
    <w:p w14:paraId="2CF63940"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lastRenderedPageBreak/>
        <w:t xml:space="preserve">The Board will assess positive declarations, initially by seeking additional information and will take necessary action under the National Law to protect the public. </w:t>
      </w:r>
    </w:p>
    <w:p w14:paraId="7CFF1A06"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The Board can take action under the National Law if a practitioner makes a false declaration.</w:t>
      </w:r>
    </w:p>
    <w:p w14:paraId="619646D9"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 xml:space="preserve">At </w:t>
      </w:r>
      <w:r w:rsidRPr="0037426D">
        <w:rPr>
          <w:rFonts w:cs="Arial"/>
          <w:b/>
          <w:szCs w:val="20"/>
        </w:rPr>
        <w:t>initial registration</w:t>
      </w:r>
      <w:r w:rsidRPr="0037426D">
        <w:rPr>
          <w:rFonts w:cs="Arial"/>
          <w:szCs w:val="20"/>
        </w:rPr>
        <w:t>, the Board will ask practitioners who may perform exposure-prone procedures to commit that they will comply with the CDNA guidelines, including the testing requirements.</w:t>
      </w:r>
    </w:p>
    <w:p w14:paraId="5D28D79C"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 xml:space="preserve">At </w:t>
      </w:r>
      <w:r w:rsidRPr="0037426D">
        <w:rPr>
          <w:rFonts w:cs="Arial"/>
          <w:b/>
          <w:szCs w:val="20"/>
        </w:rPr>
        <w:t>renewal of registration</w:t>
      </w:r>
      <w:r w:rsidRPr="0037426D">
        <w:rPr>
          <w:rFonts w:cs="Arial"/>
          <w:szCs w:val="20"/>
        </w:rPr>
        <w:t xml:space="preserve">, the Board will ask practitioners who perform exposure prone procedures to declare that have complied with the CDNA guidelines in the previous registration period and to commit that they will comply with the CDNA guidelines in the upcoming registration period. This includes testing requirements. </w:t>
      </w:r>
    </w:p>
    <w:p w14:paraId="02E46147" w14:textId="77777777" w:rsidR="00144204" w:rsidRPr="0037426D" w:rsidRDefault="00144204" w:rsidP="002F1BC7">
      <w:pPr>
        <w:pStyle w:val="AHPRAlastbulletpoint"/>
        <w:numPr>
          <w:ilvl w:val="1"/>
          <w:numId w:val="27"/>
        </w:numPr>
        <w:ind w:left="426" w:hanging="426"/>
        <w:rPr>
          <w:rFonts w:cs="Arial"/>
          <w:szCs w:val="20"/>
        </w:rPr>
      </w:pPr>
      <w:r w:rsidRPr="0037426D">
        <w:rPr>
          <w:rFonts w:cs="Arial"/>
          <w:szCs w:val="20"/>
        </w:rPr>
        <w:t>While practitioners are expected to have the testing prescribed in the CDNA guidelines, the Board will not ask for test results for the purpose of registration or renewal of registration processes.</w:t>
      </w:r>
    </w:p>
    <w:p w14:paraId="0E749FF6" w14:textId="77777777" w:rsidR="00144204" w:rsidRPr="0037426D" w:rsidRDefault="00144204" w:rsidP="00144204">
      <w:pPr>
        <w:pStyle w:val="AHPRASubheading"/>
        <w:rPr>
          <w:rFonts w:cs="Arial"/>
          <w:szCs w:val="20"/>
        </w:rPr>
      </w:pPr>
      <w:r w:rsidRPr="0037426D">
        <w:rPr>
          <w:rFonts w:cs="Arial"/>
          <w:szCs w:val="20"/>
        </w:rPr>
        <w:t>Definitions</w:t>
      </w:r>
    </w:p>
    <w:p w14:paraId="2B295891" w14:textId="77777777" w:rsidR="00144204" w:rsidRPr="0037426D" w:rsidRDefault="00144204" w:rsidP="00144204">
      <w:pPr>
        <w:pStyle w:val="AHPRAbody"/>
        <w:rPr>
          <w:szCs w:val="20"/>
        </w:rPr>
      </w:pPr>
      <w:r w:rsidRPr="0037426D">
        <w:rPr>
          <w:b/>
          <w:szCs w:val="20"/>
        </w:rPr>
        <w:t xml:space="preserve">Blood-borne viruses </w:t>
      </w:r>
      <w:r w:rsidRPr="0037426D">
        <w:rPr>
          <w:szCs w:val="20"/>
        </w:rPr>
        <w:t>for the purposes of this guideline</w:t>
      </w:r>
      <w:r w:rsidRPr="0037426D">
        <w:rPr>
          <w:b/>
          <w:szCs w:val="20"/>
        </w:rPr>
        <w:t xml:space="preserve"> </w:t>
      </w:r>
      <w:r w:rsidRPr="0037426D">
        <w:rPr>
          <w:szCs w:val="20"/>
        </w:rPr>
        <w:t xml:space="preserve">are HIV (Human immunodeficiency virus), HBV (hepatitis B virus) and HCV (hepatitis C virus) </w:t>
      </w:r>
    </w:p>
    <w:p w14:paraId="6C3785FE" w14:textId="77777777" w:rsidR="00144204" w:rsidRPr="0037426D" w:rsidRDefault="00144204" w:rsidP="00144204">
      <w:pPr>
        <w:pStyle w:val="AHPRAbody"/>
        <w:rPr>
          <w:szCs w:val="20"/>
        </w:rPr>
      </w:pPr>
      <w:r w:rsidRPr="0037426D">
        <w:rPr>
          <w:b/>
          <w:szCs w:val="20"/>
        </w:rPr>
        <w:t>CDNA</w:t>
      </w:r>
      <w:r w:rsidRPr="0037426D">
        <w:rPr>
          <w:szCs w:val="20"/>
        </w:rPr>
        <w:t xml:space="preserve"> is the Communicable Diseases Network Australia </w:t>
      </w:r>
    </w:p>
    <w:p w14:paraId="291C60E1" w14:textId="77777777" w:rsidR="00144204" w:rsidRPr="0037426D" w:rsidRDefault="00144204" w:rsidP="00144204">
      <w:pPr>
        <w:pStyle w:val="AHPRAbody"/>
        <w:rPr>
          <w:szCs w:val="20"/>
        </w:rPr>
      </w:pPr>
      <w:r w:rsidRPr="0037426D">
        <w:rPr>
          <w:b/>
          <w:szCs w:val="20"/>
        </w:rPr>
        <w:t>CDNA guidelines</w:t>
      </w:r>
      <w:r w:rsidRPr="0037426D">
        <w:rPr>
          <w:szCs w:val="20"/>
        </w:rPr>
        <w:t xml:space="preserve"> are the Australian national guidelines for the management of healthcare workers living with blood borne viruses and healthcare workers who perform exposure prone procedures at risk of exposure to blood borne viruses that are endorsed by AHMAC and published by the CDNA </w:t>
      </w:r>
    </w:p>
    <w:p w14:paraId="40BD581A" w14:textId="77777777" w:rsidR="00144204" w:rsidRPr="0037426D" w:rsidRDefault="00144204" w:rsidP="00144204">
      <w:pPr>
        <w:pStyle w:val="AHPRANumberedlistlevel1"/>
        <w:spacing w:after="200"/>
        <w:rPr>
          <w:rFonts w:cs="Arial"/>
          <w:szCs w:val="20"/>
        </w:rPr>
      </w:pPr>
      <w:r w:rsidRPr="0037426D">
        <w:rPr>
          <w:rFonts w:eastAsia="Calibri" w:cs="Arial"/>
          <w:b/>
          <w:szCs w:val="20"/>
        </w:rPr>
        <w:t>Exposure prone procedure</w:t>
      </w:r>
      <w:r w:rsidRPr="0037426D">
        <w:rPr>
          <w:rFonts w:cs="Arial"/>
          <w:szCs w:val="20"/>
        </w:rPr>
        <w:t xml:space="preserve"> - The definition in the CDNA guidelines is</w:t>
      </w:r>
      <w:r w:rsidRPr="0037426D">
        <w:rPr>
          <w:rFonts w:cs="Arial"/>
          <w:i/>
          <w:szCs w:val="20"/>
        </w:rPr>
        <w:t xml:space="preserve"> procedures where there is a risk of injury to the healthcare worker</w:t>
      </w:r>
      <w:r w:rsidRPr="0037426D">
        <w:rPr>
          <w:rFonts w:cs="Arial"/>
          <w:i/>
          <w:szCs w:val="20"/>
          <w:vertAlign w:val="superscript"/>
        </w:rPr>
        <w:t xml:space="preserve"> </w:t>
      </w:r>
      <w:r w:rsidRPr="0037426D">
        <w:rPr>
          <w:rFonts w:cs="Arial"/>
          <w:i/>
          <w:szCs w:val="20"/>
        </w:rPr>
        <w:t>resulting in exposure of the patient’s open tissues to the blood of the healthcare worker. These procedures include those where the healthcare worker’s hands (whether gloved or not) may be in contact with sharp instruments, needle tips or sharp tissues (spicules of bone or teeth) inside a patient’s open body cavity, wound or confined anatomical space where the hands or fingertips may not be completely visible at all times.</w:t>
      </w:r>
    </w:p>
    <w:p w14:paraId="3AE9B869" w14:textId="77777777" w:rsidR="00144204" w:rsidRPr="0037426D" w:rsidRDefault="00144204" w:rsidP="00144204">
      <w:pPr>
        <w:pStyle w:val="AHPRAbody"/>
        <w:rPr>
          <w:szCs w:val="20"/>
        </w:rPr>
      </w:pPr>
      <w:r w:rsidRPr="0037426D">
        <w:rPr>
          <w:b/>
          <w:szCs w:val="20"/>
        </w:rPr>
        <w:t>Health assessment</w:t>
      </w:r>
      <w:r w:rsidRPr="0037426D">
        <w:rPr>
          <w:szCs w:val="20"/>
        </w:rPr>
        <w:t xml:space="preserve"> means an assessment of a person to determine whether the person has an impairment and includes a medical, physical, psychiatric or psychological examination or test of the person.</w:t>
      </w:r>
    </w:p>
    <w:p w14:paraId="33545B41" w14:textId="77777777" w:rsidR="00144204" w:rsidRPr="0037426D" w:rsidRDefault="00144204" w:rsidP="00144204">
      <w:pPr>
        <w:pStyle w:val="AHPRAbody"/>
        <w:rPr>
          <w:szCs w:val="20"/>
        </w:rPr>
      </w:pPr>
      <w:r w:rsidRPr="0037426D">
        <w:rPr>
          <w:b/>
          <w:szCs w:val="20"/>
        </w:rPr>
        <w:t>Registered health practitioner</w:t>
      </w:r>
      <w:r w:rsidRPr="0037426D">
        <w:rPr>
          <w:szCs w:val="20"/>
        </w:rPr>
        <w:t xml:space="preserve"> means a person who is registered by one of the health practitioner boards under the Health Practitioner Regulation National Law, as in force in each state and territory.  In the case of this guideline, it also includes registered students.</w:t>
      </w:r>
    </w:p>
    <w:p w14:paraId="463D8E8D" w14:textId="77777777" w:rsidR="00144204" w:rsidRPr="0037426D" w:rsidRDefault="00144204" w:rsidP="00144204">
      <w:pPr>
        <w:rPr>
          <w:rFonts w:ascii="Arial" w:hAnsi="Arial" w:cs="Arial"/>
          <w:sz w:val="20"/>
          <w:szCs w:val="20"/>
        </w:rPr>
      </w:pPr>
      <w:r w:rsidRPr="0037426D">
        <w:rPr>
          <w:rFonts w:ascii="Arial" w:hAnsi="Arial" w:cs="Arial"/>
          <w:b/>
          <w:sz w:val="20"/>
          <w:szCs w:val="20"/>
        </w:rPr>
        <w:t>Impairment means</w:t>
      </w:r>
      <w:r w:rsidRPr="0037426D">
        <w:rPr>
          <w:rFonts w:ascii="Arial" w:hAnsi="Arial" w:cs="Arial"/>
          <w:sz w:val="20"/>
          <w:szCs w:val="20"/>
        </w:rPr>
        <w:t>:</w:t>
      </w:r>
    </w:p>
    <w:p w14:paraId="42928B11" w14:textId="77777777" w:rsidR="00144204" w:rsidRPr="0037426D" w:rsidRDefault="00144204" w:rsidP="00144204">
      <w:pPr>
        <w:pStyle w:val="AHPRAbody"/>
        <w:rPr>
          <w:szCs w:val="20"/>
        </w:rPr>
      </w:pPr>
      <w:r w:rsidRPr="0037426D">
        <w:rPr>
          <w:szCs w:val="20"/>
        </w:rPr>
        <w:t>in relation to a person, means the person has a physical or mental impairment, disability, condition or disorder (including substance abuse or dependence) that detrimentally affects or is likely to detrimentally affect—</w:t>
      </w:r>
    </w:p>
    <w:p w14:paraId="0AEDEED5" w14:textId="77777777" w:rsidR="00144204" w:rsidRPr="0037426D" w:rsidRDefault="00144204" w:rsidP="00144204">
      <w:pPr>
        <w:autoSpaceDE w:val="0"/>
        <w:autoSpaceDN w:val="0"/>
        <w:adjustRightInd w:val="0"/>
        <w:spacing w:after="0"/>
        <w:ind w:left="709" w:hanging="425"/>
        <w:rPr>
          <w:rFonts w:ascii="Arial" w:hAnsi="Arial" w:cs="Arial"/>
          <w:sz w:val="20"/>
          <w:szCs w:val="20"/>
        </w:rPr>
      </w:pPr>
      <w:r w:rsidRPr="0037426D">
        <w:rPr>
          <w:rFonts w:ascii="Arial" w:hAnsi="Arial" w:cs="Arial"/>
          <w:sz w:val="20"/>
          <w:szCs w:val="20"/>
        </w:rPr>
        <w:t xml:space="preserve">(a) </w:t>
      </w:r>
      <w:r w:rsidRPr="0037426D">
        <w:rPr>
          <w:rFonts w:ascii="Arial" w:hAnsi="Arial" w:cs="Arial"/>
          <w:sz w:val="20"/>
          <w:szCs w:val="20"/>
        </w:rPr>
        <w:tab/>
        <w:t>for a registered health practitioner or an applicant for registration in a health profession, the person’s capacity to practise the profession; or</w:t>
      </w:r>
    </w:p>
    <w:p w14:paraId="64F02B2E" w14:textId="77777777" w:rsidR="00144204" w:rsidRPr="0037426D" w:rsidRDefault="00144204" w:rsidP="00144204">
      <w:pPr>
        <w:autoSpaceDE w:val="0"/>
        <w:autoSpaceDN w:val="0"/>
        <w:adjustRightInd w:val="0"/>
        <w:spacing w:after="0"/>
        <w:ind w:left="284" w:hanging="1134"/>
        <w:rPr>
          <w:rFonts w:ascii="Arial" w:hAnsi="Arial" w:cs="Arial"/>
          <w:sz w:val="20"/>
          <w:szCs w:val="20"/>
        </w:rPr>
      </w:pPr>
      <w:r w:rsidRPr="0037426D">
        <w:rPr>
          <w:rFonts w:ascii="Arial" w:hAnsi="Arial" w:cs="Arial"/>
          <w:sz w:val="20"/>
          <w:szCs w:val="20"/>
        </w:rPr>
        <w:tab/>
        <w:t xml:space="preserve">(b) </w:t>
      </w:r>
      <w:r w:rsidRPr="0037426D">
        <w:rPr>
          <w:rFonts w:ascii="Arial" w:hAnsi="Arial" w:cs="Arial"/>
          <w:sz w:val="20"/>
          <w:szCs w:val="20"/>
        </w:rPr>
        <w:tab/>
        <w:t xml:space="preserve">for a student, the student’s capacity to undertake clinical </w:t>
      </w:r>
      <w:r w:rsidRPr="0037426D">
        <w:rPr>
          <w:rFonts w:ascii="Arial" w:hAnsi="Arial" w:cs="Arial"/>
          <w:sz w:val="20"/>
          <w:szCs w:val="20"/>
        </w:rPr>
        <w:tab/>
        <w:t>training—</w:t>
      </w:r>
    </w:p>
    <w:p w14:paraId="6CB580B0" w14:textId="77777777" w:rsidR="00144204" w:rsidRPr="0037426D" w:rsidRDefault="00144204" w:rsidP="00144204">
      <w:pPr>
        <w:autoSpaceDE w:val="0"/>
        <w:autoSpaceDN w:val="0"/>
        <w:adjustRightInd w:val="0"/>
        <w:spacing w:after="0"/>
        <w:rPr>
          <w:rFonts w:ascii="Arial" w:hAnsi="Arial" w:cs="Arial"/>
          <w:sz w:val="20"/>
          <w:szCs w:val="20"/>
        </w:rPr>
      </w:pPr>
      <w:r w:rsidRPr="0037426D">
        <w:rPr>
          <w:rFonts w:ascii="Arial" w:hAnsi="Arial" w:cs="Arial"/>
          <w:sz w:val="20"/>
          <w:szCs w:val="20"/>
        </w:rPr>
        <w:tab/>
        <w:t xml:space="preserve">(i) </w:t>
      </w:r>
      <w:r w:rsidRPr="0037426D">
        <w:rPr>
          <w:rFonts w:ascii="Arial" w:hAnsi="Arial" w:cs="Arial"/>
          <w:sz w:val="20"/>
          <w:szCs w:val="20"/>
        </w:rPr>
        <w:tab/>
        <w:t>as part of the approved program of study in which the student is enrolled; or</w:t>
      </w:r>
    </w:p>
    <w:p w14:paraId="0A16DF3F" w14:textId="77777777" w:rsidR="00144204" w:rsidRPr="0037426D" w:rsidRDefault="00144204" w:rsidP="00144204">
      <w:pPr>
        <w:pStyle w:val="NormalWeb"/>
        <w:spacing w:before="2" w:after="2"/>
        <w:rPr>
          <w:rFonts w:ascii="Arial" w:hAnsi="Arial" w:cs="Arial"/>
          <w:sz w:val="20"/>
          <w:szCs w:val="20"/>
        </w:rPr>
      </w:pPr>
      <w:r w:rsidRPr="0037426D">
        <w:rPr>
          <w:rFonts w:ascii="Arial" w:hAnsi="Arial" w:cs="Arial"/>
          <w:sz w:val="20"/>
          <w:szCs w:val="20"/>
        </w:rPr>
        <w:tab/>
        <w:t xml:space="preserve">(ii) </w:t>
      </w:r>
      <w:r w:rsidRPr="0037426D">
        <w:rPr>
          <w:rFonts w:ascii="Arial" w:hAnsi="Arial" w:cs="Arial"/>
          <w:sz w:val="20"/>
          <w:szCs w:val="20"/>
        </w:rPr>
        <w:tab/>
        <w:t>arranged by an education provider.</w:t>
      </w:r>
    </w:p>
    <w:p w14:paraId="2A7F1861" w14:textId="77777777" w:rsidR="00144204" w:rsidRPr="0037426D" w:rsidRDefault="00144204" w:rsidP="00144204">
      <w:pPr>
        <w:pStyle w:val="AHPRASubhead"/>
        <w:rPr>
          <w:szCs w:val="20"/>
        </w:rPr>
      </w:pPr>
      <w:r w:rsidRPr="0037426D">
        <w:rPr>
          <w:szCs w:val="20"/>
        </w:rPr>
        <w:br/>
        <w:t>Attachment</w:t>
      </w:r>
    </w:p>
    <w:p w14:paraId="0C9BEC1D" w14:textId="77777777" w:rsidR="002876CE" w:rsidRDefault="00144204" w:rsidP="00144204">
      <w:pPr>
        <w:pStyle w:val="AHPRASubhead"/>
        <w:rPr>
          <w:b w:val="0"/>
          <w:i/>
          <w:color w:val="auto"/>
          <w:szCs w:val="20"/>
        </w:rPr>
        <w:sectPr w:rsidR="002876CE" w:rsidSect="00144204">
          <w:footerReference w:type="default" r:id="rId13"/>
          <w:headerReference w:type="first" r:id="rId14"/>
          <w:footerReference w:type="first" r:id="rId15"/>
          <w:pgSz w:w="11900" w:h="16840"/>
          <w:pgMar w:top="1440" w:right="1440" w:bottom="1440" w:left="1440" w:header="284" w:footer="220" w:gutter="0"/>
          <w:cols w:space="708"/>
          <w:titlePg/>
          <w:docGrid w:linePitch="326"/>
        </w:sectPr>
      </w:pPr>
      <w:r w:rsidRPr="0037426D">
        <w:rPr>
          <w:b w:val="0"/>
          <w:color w:val="auto"/>
          <w:szCs w:val="20"/>
        </w:rPr>
        <w:t xml:space="preserve">Communicable Diseases Network Australia: </w:t>
      </w:r>
      <w:r w:rsidRPr="0037426D">
        <w:rPr>
          <w:b w:val="0"/>
          <w:i/>
          <w:color w:val="auto"/>
          <w:szCs w:val="20"/>
        </w:rPr>
        <w:t xml:space="preserve">Australian National Guidelines for the management of healthcare workers living with blood borne viruses and healthcare workers who perform exposure prone procedures at risk of exposure to blood borne viruses </w:t>
      </w:r>
    </w:p>
    <w:p w14:paraId="096CF941" w14:textId="77777777" w:rsidR="002F1BC7" w:rsidRPr="00033287" w:rsidRDefault="002F1BC7" w:rsidP="002F1BC7">
      <w:pPr>
        <w:spacing w:before="100"/>
        <w:jc w:val="center"/>
        <w:rPr>
          <w:sz w:val="20"/>
          <w:szCs w:val="20"/>
          <w:lang w:val="en-AU"/>
        </w:rPr>
      </w:pPr>
      <w:r>
        <w:rPr>
          <w:noProof/>
          <w:sz w:val="20"/>
          <w:szCs w:val="20"/>
          <w:lang w:val="en-AU" w:eastAsia="en-AU"/>
        </w:rPr>
        <w:lastRenderedPageBreak/>
        <w:drawing>
          <wp:inline distT="0" distB="0" distL="0" distR="0" wp14:anchorId="6FED9D44" wp14:editId="09B73A49">
            <wp:extent cx="1295400" cy="1666875"/>
            <wp:effectExtent l="0" t="0" r="0" b="0"/>
            <wp:docPr id="2" name="Picture 11" descr="CDN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NA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95400" cy="1666875"/>
                    </a:xfrm>
                    <a:prstGeom prst="rect">
                      <a:avLst/>
                    </a:prstGeom>
                    <a:noFill/>
                  </pic:spPr>
                </pic:pic>
              </a:graphicData>
            </a:graphic>
          </wp:inline>
        </w:drawing>
      </w:r>
    </w:p>
    <w:p w14:paraId="34A2E4E4" w14:textId="77777777" w:rsidR="002F1BC7" w:rsidRPr="00033287" w:rsidRDefault="002F1BC7" w:rsidP="002F1BC7">
      <w:pPr>
        <w:spacing w:line="200" w:lineRule="exact"/>
        <w:jc w:val="center"/>
        <w:rPr>
          <w:sz w:val="20"/>
          <w:szCs w:val="20"/>
          <w:lang w:val="en-AU"/>
        </w:rPr>
      </w:pPr>
    </w:p>
    <w:p w14:paraId="6833D418" w14:textId="77777777" w:rsidR="002F1BC7" w:rsidRPr="00033287" w:rsidRDefault="002F1BC7" w:rsidP="002F1BC7">
      <w:pPr>
        <w:spacing w:line="200" w:lineRule="exact"/>
        <w:jc w:val="center"/>
        <w:rPr>
          <w:sz w:val="20"/>
          <w:szCs w:val="20"/>
          <w:lang w:val="en-AU"/>
        </w:rPr>
      </w:pPr>
    </w:p>
    <w:p w14:paraId="5E0CF830" w14:textId="77777777" w:rsidR="002F1BC7" w:rsidRPr="009672B5" w:rsidRDefault="002F1BC7" w:rsidP="002F1BC7">
      <w:pPr>
        <w:spacing w:line="600" w:lineRule="atLeast"/>
        <w:jc w:val="center"/>
        <w:rPr>
          <w:rFonts w:eastAsia="Arial" w:cs="Arial"/>
          <w:b/>
          <w:bCs/>
          <w:sz w:val="52"/>
          <w:szCs w:val="38"/>
          <w:lang w:val="en-AU"/>
        </w:rPr>
      </w:pPr>
      <w:r w:rsidRPr="00DF1E0C">
        <w:rPr>
          <w:rFonts w:eastAsia="Arial" w:cs="Arial"/>
          <w:b/>
          <w:bCs/>
          <w:sz w:val="52"/>
          <w:szCs w:val="38"/>
          <w:lang w:val="en-AU"/>
        </w:rPr>
        <w:t>AUSTRALIAN NATIONAL GUIDELINES</w:t>
      </w:r>
      <w:r w:rsidRPr="00DF1E0C">
        <w:rPr>
          <w:rFonts w:eastAsia="Arial" w:cs="Arial"/>
          <w:b/>
          <w:bCs/>
          <w:sz w:val="52"/>
          <w:szCs w:val="38"/>
          <w:lang w:val="en-AU"/>
        </w:rPr>
        <w:br/>
        <w:t>FOR THE MANAGEMENT OF</w:t>
      </w:r>
      <w:r w:rsidRPr="00DF1E0C">
        <w:rPr>
          <w:rFonts w:eastAsia="Arial" w:cs="Arial"/>
          <w:b/>
          <w:bCs/>
          <w:sz w:val="52"/>
          <w:szCs w:val="38"/>
          <w:lang w:val="en-AU"/>
        </w:rPr>
        <w:br/>
      </w:r>
      <w:r>
        <w:rPr>
          <w:rFonts w:eastAsia="Arial" w:cs="Arial"/>
          <w:b/>
          <w:bCs/>
          <w:sz w:val="52"/>
          <w:szCs w:val="38"/>
          <w:lang w:val="en-AU"/>
        </w:rPr>
        <w:t>HEALTHCARE</w:t>
      </w:r>
      <w:r w:rsidRPr="00DF1E0C">
        <w:rPr>
          <w:rFonts w:eastAsia="Arial" w:cs="Arial"/>
          <w:b/>
          <w:bCs/>
          <w:sz w:val="52"/>
          <w:szCs w:val="38"/>
          <w:lang w:val="en-AU"/>
        </w:rPr>
        <w:t xml:space="preserve"> WORKERS </w:t>
      </w:r>
      <w:r w:rsidRPr="009672B5">
        <w:rPr>
          <w:rFonts w:eastAsia="Arial" w:cs="Arial"/>
          <w:b/>
          <w:bCs/>
          <w:sz w:val="52"/>
          <w:szCs w:val="38"/>
          <w:lang w:val="en-AU"/>
        </w:rPr>
        <w:t>LIVING WITH</w:t>
      </w:r>
      <w:r w:rsidRPr="009672B5">
        <w:rPr>
          <w:rFonts w:eastAsia="Arial" w:cs="Arial"/>
          <w:b/>
          <w:bCs/>
          <w:sz w:val="52"/>
          <w:szCs w:val="38"/>
          <w:lang w:val="en-AU"/>
        </w:rPr>
        <w:br/>
        <w:t xml:space="preserve">BLOOD BORNE VIRUSES AND HEALTHCARE WORKERS WHO PERFORM EXPOSURE PRONE PROCEDURES </w:t>
      </w:r>
    </w:p>
    <w:p w14:paraId="329A3F60" w14:textId="77777777" w:rsidR="002F1BC7" w:rsidRPr="006C24F3" w:rsidRDefault="002F1BC7" w:rsidP="002F1BC7">
      <w:pPr>
        <w:spacing w:line="600" w:lineRule="atLeast"/>
        <w:jc w:val="center"/>
        <w:rPr>
          <w:rFonts w:eastAsia="Arial" w:cs="Arial"/>
          <w:b/>
          <w:bCs/>
          <w:sz w:val="52"/>
          <w:szCs w:val="38"/>
          <w:lang w:val="en-AU"/>
        </w:rPr>
      </w:pPr>
      <w:r w:rsidRPr="009672B5">
        <w:rPr>
          <w:rFonts w:eastAsia="Arial" w:cs="Arial"/>
          <w:b/>
          <w:bCs/>
          <w:sz w:val="52"/>
          <w:szCs w:val="38"/>
          <w:lang w:val="en-AU"/>
        </w:rPr>
        <w:t>AT RISK OF</w:t>
      </w:r>
      <w:r w:rsidRPr="009672B5">
        <w:rPr>
          <w:rFonts w:eastAsia="Arial" w:cs="Arial"/>
          <w:b/>
          <w:bCs/>
          <w:sz w:val="52"/>
          <w:szCs w:val="38"/>
          <w:lang w:val="en-AU"/>
        </w:rPr>
        <w:br/>
        <w:t>EXPOSURE TO BLOOD BORNE VIRUSES</w:t>
      </w:r>
    </w:p>
    <w:p w14:paraId="627E1BF7" w14:textId="77777777" w:rsidR="002F1BC7" w:rsidRPr="00DF1E0C" w:rsidRDefault="002F1BC7" w:rsidP="002F1BC7">
      <w:pPr>
        <w:spacing w:line="200" w:lineRule="exact"/>
        <w:jc w:val="center"/>
        <w:rPr>
          <w:szCs w:val="20"/>
          <w:lang w:val="en-AU"/>
        </w:rPr>
      </w:pPr>
    </w:p>
    <w:p w14:paraId="1B03C79F" w14:textId="77777777" w:rsidR="002F1BC7" w:rsidRPr="00DF1E0C" w:rsidRDefault="002F1BC7" w:rsidP="002F1BC7">
      <w:pPr>
        <w:spacing w:line="200" w:lineRule="exact"/>
        <w:jc w:val="center"/>
        <w:rPr>
          <w:szCs w:val="20"/>
          <w:lang w:val="en-AU"/>
        </w:rPr>
      </w:pPr>
    </w:p>
    <w:p w14:paraId="7B0DE005" w14:textId="77777777" w:rsidR="002F1BC7" w:rsidRPr="00DF1E0C" w:rsidRDefault="002F1BC7" w:rsidP="002F1BC7">
      <w:pPr>
        <w:spacing w:line="200" w:lineRule="exact"/>
        <w:jc w:val="center"/>
        <w:rPr>
          <w:szCs w:val="20"/>
          <w:lang w:val="en-AU"/>
        </w:rPr>
      </w:pPr>
    </w:p>
    <w:p w14:paraId="5E582809" w14:textId="77777777" w:rsidR="002F1BC7" w:rsidRPr="00DF1E0C" w:rsidRDefault="002F1BC7" w:rsidP="002F1BC7">
      <w:pPr>
        <w:spacing w:line="200" w:lineRule="exact"/>
        <w:jc w:val="center"/>
        <w:rPr>
          <w:szCs w:val="20"/>
          <w:lang w:val="en-AU"/>
        </w:rPr>
      </w:pPr>
    </w:p>
    <w:p w14:paraId="7704C3CC" w14:textId="77777777" w:rsidR="002F1BC7" w:rsidRPr="00DF1E0C" w:rsidRDefault="002F1BC7" w:rsidP="002F1BC7">
      <w:pPr>
        <w:spacing w:line="200" w:lineRule="exact"/>
        <w:jc w:val="center"/>
        <w:rPr>
          <w:szCs w:val="20"/>
          <w:lang w:val="en-AU"/>
        </w:rPr>
      </w:pPr>
    </w:p>
    <w:p w14:paraId="241CAF7B" w14:textId="77777777" w:rsidR="002F1BC7" w:rsidRPr="00DF1E0C" w:rsidRDefault="002F1BC7" w:rsidP="00DA5E32">
      <w:pPr>
        <w:spacing w:line="200" w:lineRule="exact"/>
        <w:rPr>
          <w:szCs w:val="20"/>
          <w:lang w:val="en-AU"/>
        </w:rPr>
      </w:pPr>
    </w:p>
    <w:p w14:paraId="185A916A" w14:textId="77777777" w:rsidR="002F1BC7" w:rsidRPr="00DF1E0C" w:rsidRDefault="002F1BC7" w:rsidP="00DA5E32">
      <w:pPr>
        <w:rPr>
          <w:rFonts w:eastAsia="Times New Roman"/>
          <w:szCs w:val="20"/>
          <w:lang w:val="en-AU"/>
        </w:rPr>
        <w:sectPr w:rsidR="002F1BC7" w:rsidRPr="00DF1E0C" w:rsidSect="002F1BC7">
          <w:headerReference w:type="even" r:id="rId17"/>
          <w:headerReference w:type="default" r:id="rId18"/>
          <w:footerReference w:type="even" r:id="rId19"/>
          <w:footerReference w:type="default" r:id="rId20"/>
          <w:headerReference w:type="first" r:id="rId21"/>
          <w:footerReference w:type="first" r:id="rId22"/>
          <w:pgSz w:w="11905" w:h="16840" w:code="9"/>
          <w:pgMar w:top="1418" w:right="1418" w:bottom="1134" w:left="1701" w:header="720" w:footer="720" w:gutter="0"/>
          <w:pgNumType w:start="1"/>
          <w:cols w:space="720"/>
          <w:vAlign w:val="center"/>
          <w:docGrid w:linePitch="299"/>
        </w:sectPr>
      </w:pPr>
    </w:p>
    <w:p w14:paraId="6589448E" w14:textId="77777777" w:rsidR="002F1BC7" w:rsidRPr="003435C9" w:rsidRDefault="002F1BC7" w:rsidP="002F1BC7">
      <w:pPr>
        <w:pStyle w:val="BodyText"/>
        <w:widowControl/>
        <w:spacing w:after="0" w:line="240" w:lineRule="auto"/>
        <w:rPr>
          <w:rFonts w:ascii="Calibri" w:hAnsi="Calibri"/>
          <w:i/>
          <w:spacing w:val="0"/>
        </w:rPr>
      </w:pPr>
      <w:r w:rsidRPr="00F56043">
        <w:rPr>
          <w:rFonts w:ascii="Calibri" w:eastAsia="Calibri" w:hAnsi="Calibri" w:cs="Arial"/>
          <w:spacing w:val="0"/>
          <w:szCs w:val="22"/>
        </w:rPr>
        <w:lastRenderedPageBreak/>
        <w:t>These</w:t>
      </w:r>
      <w:r w:rsidRPr="006C24F3">
        <w:rPr>
          <w:rFonts w:cs="Arial"/>
        </w:rPr>
        <w:t xml:space="preserve"> </w:t>
      </w:r>
      <w:r w:rsidRPr="003435C9">
        <w:rPr>
          <w:rFonts w:ascii="Calibri" w:hAnsi="Calibri"/>
          <w:i/>
          <w:spacing w:val="0"/>
        </w:rPr>
        <w:t>Australian national guidelines for the management of healthcare workers living with</w:t>
      </w:r>
      <w:r>
        <w:rPr>
          <w:rFonts w:ascii="Calibri" w:hAnsi="Calibri"/>
          <w:i/>
          <w:spacing w:val="0"/>
        </w:rPr>
        <w:t xml:space="preserve"> </w:t>
      </w:r>
      <w:r w:rsidRPr="003435C9">
        <w:rPr>
          <w:rFonts w:ascii="Calibri" w:hAnsi="Calibri"/>
          <w:i/>
          <w:spacing w:val="0"/>
        </w:rPr>
        <w:t xml:space="preserve">blood borne viruses and healthcare workers who perform exposure prone procedures </w:t>
      </w:r>
    </w:p>
    <w:p w14:paraId="5E17EC80" w14:textId="77777777" w:rsidR="002F1BC7" w:rsidRPr="00C52290" w:rsidRDefault="002F1BC7" w:rsidP="002F1BC7">
      <w:pPr>
        <w:rPr>
          <w:rFonts w:cs="Arial"/>
        </w:rPr>
      </w:pPr>
      <w:r w:rsidRPr="003435C9">
        <w:rPr>
          <w:i/>
          <w:lang w:val="en-AU"/>
        </w:rPr>
        <w:t>at risk of exposure to blood borne viruses</w:t>
      </w:r>
      <w:r w:rsidRPr="006C24F3">
        <w:rPr>
          <w:rFonts w:cs="Arial"/>
        </w:rPr>
        <w:t xml:space="preserve">, endorsed by </w:t>
      </w:r>
      <w:r w:rsidRPr="009672B5">
        <w:rPr>
          <w:rFonts w:cs="Arial"/>
        </w:rPr>
        <w:t>the Australian Health Ministers’ Advisory Council (AHMAC)</w:t>
      </w:r>
      <w:r w:rsidRPr="006C24F3">
        <w:rPr>
          <w:rFonts w:cs="Arial"/>
        </w:rPr>
        <w:t xml:space="preserve"> on </w:t>
      </w:r>
      <w:r>
        <w:rPr>
          <w:rFonts w:cs="Arial"/>
        </w:rPr>
        <w:t>26 June 2018</w:t>
      </w:r>
      <w:r w:rsidRPr="009672B5">
        <w:rPr>
          <w:rFonts w:cs="Arial"/>
        </w:rPr>
        <w:t xml:space="preserve">, </w:t>
      </w:r>
      <w:r w:rsidRPr="006C24F3">
        <w:rPr>
          <w:rFonts w:cs="Arial"/>
        </w:rPr>
        <w:t>supersede the 2012 version of these Guidelines.</w:t>
      </w:r>
    </w:p>
    <w:p w14:paraId="56D8E070" w14:textId="77777777" w:rsidR="002F1BC7" w:rsidRPr="00DF1E0C" w:rsidRDefault="002F1BC7" w:rsidP="002F1BC7">
      <w:pPr>
        <w:rPr>
          <w:rFonts w:eastAsia="Arial"/>
          <w:b/>
          <w:bCs/>
          <w:spacing w:val="-1"/>
          <w:sz w:val="40"/>
          <w:szCs w:val="32"/>
          <w:lang w:val="en-AU"/>
        </w:rPr>
      </w:pPr>
      <w:r w:rsidRPr="00DF1E0C">
        <w:rPr>
          <w:sz w:val="28"/>
        </w:rPr>
        <w:br w:type="page"/>
      </w:r>
    </w:p>
    <w:p w14:paraId="5926FEC7" w14:textId="77777777" w:rsidR="002F1BC7" w:rsidRPr="00DF1E0C" w:rsidRDefault="002F1BC7" w:rsidP="002F1BC7">
      <w:pPr>
        <w:pStyle w:val="Heading1"/>
        <w:spacing w:after="240"/>
        <w:rPr>
          <w:rFonts w:ascii="Calibri" w:hAnsi="Calibri"/>
          <w:sz w:val="40"/>
        </w:rPr>
      </w:pPr>
      <w:bookmarkStart w:id="4" w:name="_Toc480558253"/>
      <w:r w:rsidRPr="00DF1E0C">
        <w:rPr>
          <w:rFonts w:ascii="Calibri" w:hAnsi="Calibri"/>
          <w:sz w:val="40"/>
        </w:rPr>
        <w:lastRenderedPageBreak/>
        <w:t>Acronyms</w:t>
      </w:r>
      <w:bookmarkEnd w:id="4"/>
    </w:p>
    <w:p w14:paraId="48090D2E"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ACEM</w:t>
      </w:r>
      <w:r w:rsidRPr="00DF1E0C">
        <w:rPr>
          <w:rFonts w:ascii="Calibri" w:hAnsi="Calibri"/>
          <w:spacing w:val="0"/>
          <w:sz w:val="24"/>
          <w:lang w:val="en-AU"/>
        </w:rPr>
        <w:tab/>
      </w:r>
      <w:r w:rsidRPr="00DF1E0C">
        <w:rPr>
          <w:rFonts w:ascii="Calibri" w:hAnsi="Calibri"/>
          <w:sz w:val="24"/>
        </w:rPr>
        <w:t>Australasian College for Emergency Medicine</w:t>
      </w:r>
    </w:p>
    <w:p w14:paraId="1E4B8557"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AHMAC</w:t>
      </w:r>
      <w:r w:rsidRPr="00DF1E0C">
        <w:rPr>
          <w:rFonts w:ascii="Calibri" w:hAnsi="Calibri"/>
          <w:spacing w:val="0"/>
          <w:sz w:val="24"/>
          <w:lang w:val="en-AU"/>
        </w:rPr>
        <w:tab/>
        <w:t>Australian Health Ministers' Advisory Council</w:t>
      </w:r>
    </w:p>
    <w:p w14:paraId="52471619"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AHPPC</w:t>
      </w:r>
      <w:r w:rsidRPr="00DF1E0C">
        <w:rPr>
          <w:rFonts w:ascii="Calibri" w:hAnsi="Calibri"/>
          <w:spacing w:val="0"/>
          <w:sz w:val="24"/>
          <w:lang w:val="en-AU"/>
        </w:rPr>
        <w:tab/>
        <w:t>Australian Health Protection Principal Committee</w:t>
      </w:r>
    </w:p>
    <w:p w14:paraId="0C279F77"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AHPRA</w:t>
      </w:r>
      <w:r w:rsidRPr="00DF1E0C">
        <w:rPr>
          <w:rFonts w:ascii="Calibri" w:hAnsi="Calibri"/>
          <w:spacing w:val="0"/>
          <w:sz w:val="24"/>
          <w:lang w:val="en-AU"/>
        </w:rPr>
        <w:tab/>
        <w:t>Australian Health Practitioner Regulation Agency</w:t>
      </w:r>
    </w:p>
    <w:p w14:paraId="671D5EA9" w14:textId="77777777" w:rsidR="002F1BC7" w:rsidRDefault="002F1BC7" w:rsidP="002F1BC7">
      <w:pPr>
        <w:pStyle w:val="Acronyms"/>
        <w:widowControl/>
        <w:rPr>
          <w:rFonts w:ascii="Calibri" w:hAnsi="Calibri"/>
          <w:spacing w:val="0"/>
          <w:sz w:val="24"/>
          <w:lang w:val="en-AU"/>
        </w:rPr>
      </w:pPr>
      <w:r w:rsidRPr="00DF1E0C">
        <w:rPr>
          <w:rFonts w:ascii="Calibri" w:hAnsi="Calibri"/>
          <w:spacing w:val="0"/>
          <w:sz w:val="24"/>
          <w:lang w:val="en-AU"/>
        </w:rPr>
        <w:t>ASHM</w:t>
      </w:r>
      <w:r w:rsidRPr="00DF1E0C">
        <w:rPr>
          <w:rFonts w:ascii="Calibri" w:hAnsi="Calibri"/>
          <w:spacing w:val="0"/>
          <w:sz w:val="24"/>
          <w:lang w:val="en-AU"/>
        </w:rPr>
        <w:tab/>
        <w:t>Australasian Society for HIV, Viral Hepatitis and Sexual Health Medicine</w:t>
      </w:r>
    </w:p>
    <w:p w14:paraId="6CC56FB4" w14:textId="77777777" w:rsidR="002F1BC7" w:rsidRPr="00DF1E0C" w:rsidRDefault="002F1BC7" w:rsidP="002F1BC7">
      <w:pPr>
        <w:pStyle w:val="Acronyms"/>
        <w:widowControl/>
        <w:rPr>
          <w:rFonts w:ascii="Calibri" w:hAnsi="Calibri"/>
          <w:spacing w:val="0"/>
          <w:sz w:val="24"/>
          <w:lang w:val="en-AU"/>
        </w:rPr>
      </w:pPr>
      <w:r>
        <w:rPr>
          <w:rFonts w:ascii="Calibri" w:hAnsi="Calibri"/>
          <w:spacing w:val="0"/>
          <w:sz w:val="24"/>
          <w:lang w:val="en-AU"/>
        </w:rPr>
        <w:t>ASID</w:t>
      </w:r>
      <w:r>
        <w:rPr>
          <w:rFonts w:ascii="Calibri" w:hAnsi="Calibri"/>
          <w:spacing w:val="0"/>
          <w:sz w:val="24"/>
          <w:lang w:val="en-AU"/>
        </w:rPr>
        <w:tab/>
      </w:r>
      <w:r w:rsidRPr="00F4079D">
        <w:rPr>
          <w:rFonts w:ascii="Calibri" w:hAnsi="Calibri"/>
          <w:spacing w:val="0"/>
          <w:sz w:val="24"/>
          <w:lang w:val="en-AU"/>
        </w:rPr>
        <w:t xml:space="preserve">Australian </w:t>
      </w:r>
      <w:r>
        <w:rPr>
          <w:rFonts w:ascii="Calibri" w:hAnsi="Calibri"/>
          <w:spacing w:val="0"/>
          <w:sz w:val="24"/>
          <w:lang w:val="en-AU"/>
        </w:rPr>
        <w:t>Society for Infectious Diseases</w:t>
      </w:r>
    </w:p>
    <w:p w14:paraId="6D5B4553" w14:textId="77777777" w:rsidR="002F1BC7" w:rsidRDefault="002F1BC7" w:rsidP="002F1BC7">
      <w:pPr>
        <w:pStyle w:val="Acronyms"/>
        <w:widowControl/>
        <w:rPr>
          <w:rFonts w:ascii="Calibri" w:hAnsi="Calibri"/>
          <w:spacing w:val="0"/>
          <w:sz w:val="24"/>
          <w:lang w:val="en-AU"/>
        </w:rPr>
      </w:pPr>
      <w:r w:rsidRPr="00DF1E0C">
        <w:rPr>
          <w:rFonts w:ascii="Calibri" w:hAnsi="Calibri"/>
          <w:spacing w:val="0"/>
          <w:sz w:val="24"/>
          <w:lang w:val="en-AU"/>
        </w:rPr>
        <w:t>BBV</w:t>
      </w:r>
      <w:r w:rsidRPr="00DF1E0C">
        <w:rPr>
          <w:rFonts w:ascii="Calibri" w:hAnsi="Calibri"/>
          <w:spacing w:val="0"/>
          <w:sz w:val="24"/>
          <w:lang w:val="en-AU"/>
        </w:rPr>
        <w:tab/>
        <w:t>Blood borne virus</w:t>
      </w:r>
    </w:p>
    <w:p w14:paraId="617F6195" w14:textId="77777777" w:rsidR="002F1BC7" w:rsidRPr="00DF1E0C" w:rsidRDefault="002F1BC7" w:rsidP="002F1BC7">
      <w:pPr>
        <w:pStyle w:val="Acronyms"/>
        <w:widowControl/>
        <w:rPr>
          <w:rFonts w:ascii="Calibri" w:hAnsi="Calibri"/>
          <w:spacing w:val="0"/>
          <w:sz w:val="24"/>
          <w:lang w:val="en-AU"/>
        </w:rPr>
      </w:pPr>
      <w:r>
        <w:rPr>
          <w:rFonts w:ascii="Calibri" w:hAnsi="Calibri"/>
          <w:spacing w:val="0"/>
          <w:sz w:val="24"/>
          <w:lang w:val="en-AU"/>
        </w:rPr>
        <w:t>BBVSS</w:t>
      </w:r>
      <w:r>
        <w:rPr>
          <w:rFonts w:ascii="Calibri" w:hAnsi="Calibri"/>
          <w:spacing w:val="0"/>
          <w:sz w:val="24"/>
          <w:lang w:val="en-AU"/>
        </w:rPr>
        <w:tab/>
        <w:t>Blood Borne Viruses and Sexually Transmissible Infection Subcommittee</w:t>
      </w:r>
    </w:p>
    <w:p w14:paraId="6ECF88A3"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cART</w:t>
      </w:r>
      <w:r w:rsidRPr="00DF1E0C">
        <w:rPr>
          <w:rFonts w:ascii="Calibri" w:hAnsi="Calibri"/>
          <w:spacing w:val="0"/>
          <w:sz w:val="24"/>
          <w:lang w:val="en-AU"/>
        </w:rPr>
        <w:tab/>
        <w:t>Combination antiretroviral therapy</w:t>
      </w:r>
    </w:p>
    <w:p w14:paraId="2AB9CA8E"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CDC</w:t>
      </w:r>
      <w:r w:rsidRPr="00DF1E0C">
        <w:rPr>
          <w:rFonts w:ascii="Calibri" w:hAnsi="Calibri"/>
          <w:spacing w:val="0"/>
          <w:sz w:val="24"/>
          <w:lang w:val="en-AU"/>
        </w:rPr>
        <w:tab/>
        <w:t>Centers for Disease Control and Prevention</w:t>
      </w:r>
    </w:p>
    <w:p w14:paraId="349C6E72"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CDNA</w:t>
      </w:r>
      <w:r w:rsidRPr="00DF1E0C">
        <w:rPr>
          <w:rFonts w:ascii="Calibri" w:hAnsi="Calibri"/>
          <w:spacing w:val="0"/>
          <w:sz w:val="24"/>
          <w:lang w:val="en-AU"/>
        </w:rPr>
        <w:tab/>
        <w:t xml:space="preserve">Communicable Diseases Network Australia </w:t>
      </w:r>
    </w:p>
    <w:p w14:paraId="7045E27A"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DAA</w:t>
      </w:r>
      <w:r w:rsidRPr="00DF1E0C">
        <w:rPr>
          <w:rFonts w:ascii="Calibri" w:hAnsi="Calibri"/>
          <w:spacing w:val="0"/>
          <w:sz w:val="24"/>
          <w:lang w:val="en-AU"/>
        </w:rPr>
        <w:tab/>
        <w:t>Direct Acting Antiviral</w:t>
      </w:r>
    </w:p>
    <w:p w14:paraId="440E6512"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DNA</w:t>
      </w:r>
      <w:r w:rsidRPr="00DF1E0C">
        <w:rPr>
          <w:rFonts w:ascii="Calibri" w:hAnsi="Calibri"/>
          <w:spacing w:val="0"/>
          <w:sz w:val="24"/>
          <w:lang w:val="en-AU"/>
        </w:rPr>
        <w:tab/>
        <w:t>Deoxyribonucleic acid</w:t>
      </w:r>
    </w:p>
    <w:p w14:paraId="77483C07"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EAC</w:t>
      </w:r>
      <w:r w:rsidRPr="00DF1E0C">
        <w:rPr>
          <w:rFonts w:ascii="Calibri" w:hAnsi="Calibri"/>
          <w:spacing w:val="0"/>
          <w:sz w:val="24"/>
          <w:lang w:val="en-AU"/>
        </w:rPr>
        <w:tab/>
        <w:t>Expert Advisory Committee</w:t>
      </w:r>
    </w:p>
    <w:p w14:paraId="2933C63D"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EPP</w:t>
      </w:r>
      <w:r w:rsidRPr="00DF1E0C">
        <w:rPr>
          <w:rFonts w:ascii="Calibri" w:hAnsi="Calibri"/>
          <w:spacing w:val="0"/>
          <w:sz w:val="24"/>
          <w:lang w:val="en-AU"/>
        </w:rPr>
        <w:tab/>
        <w:t xml:space="preserve">Exposure prone procedure </w:t>
      </w:r>
    </w:p>
    <w:p w14:paraId="4248E901"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GEQ</w:t>
      </w:r>
      <w:r w:rsidRPr="00DF1E0C">
        <w:rPr>
          <w:rFonts w:ascii="Calibri" w:hAnsi="Calibri"/>
          <w:spacing w:val="0"/>
          <w:sz w:val="24"/>
          <w:lang w:val="en-AU"/>
        </w:rPr>
        <w:tab/>
        <w:t>Genome equivalents</w:t>
      </w:r>
    </w:p>
    <w:p w14:paraId="021F92D9"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HBeAg</w:t>
      </w:r>
      <w:r w:rsidRPr="00DF1E0C">
        <w:rPr>
          <w:rFonts w:ascii="Calibri" w:hAnsi="Calibri"/>
          <w:spacing w:val="0"/>
          <w:sz w:val="24"/>
          <w:lang w:val="en-AU"/>
        </w:rPr>
        <w:tab/>
        <w:t xml:space="preserve">Hepatitis B e antigen </w:t>
      </w:r>
    </w:p>
    <w:p w14:paraId="10514D40"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HBsAg</w:t>
      </w:r>
      <w:r w:rsidRPr="00DF1E0C">
        <w:rPr>
          <w:rFonts w:ascii="Calibri" w:hAnsi="Calibri"/>
          <w:spacing w:val="0"/>
          <w:sz w:val="24"/>
          <w:lang w:val="en-AU"/>
        </w:rPr>
        <w:tab/>
        <w:t xml:space="preserve">Hepatitis B surface antigen </w:t>
      </w:r>
    </w:p>
    <w:p w14:paraId="1A0D4F7F"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HBV</w:t>
      </w:r>
      <w:r w:rsidRPr="00DF1E0C">
        <w:rPr>
          <w:rFonts w:ascii="Calibri" w:hAnsi="Calibri"/>
          <w:spacing w:val="0"/>
          <w:sz w:val="24"/>
          <w:lang w:val="en-AU"/>
        </w:rPr>
        <w:tab/>
        <w:t>Hepatitis B virus</w:t>
      </w:r>
    </w:p>
    <w:p w14:paraId="0BAF6AF2"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HCV</w:t>
      </w:r>
      <w:r w:rsidRPr="00DF1E0C">
        <w:rPr>
          <w:rFonts w:ascii="Calibri" w:hAnsi="Calibri"/>
          <w:spacing w:val="0"/>
          <w:sz w:val="24"/>
          <w:lang w:val="en-AU"/>
        </w:rPr>
        <w:tab/>
        <w:t>Hepatitis C virus</w:t>
      </w:r>
    </w:p>
    <w:p w14:paraId="63A6750B"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HCW</w:t>
      </w:r>
      <w:r w:rsidRPr="00DF1E0C">
        <w:rPr>
          <w:rFonts w:ascii="Calibri" w:hAnsi="Calibri"/>
          <w:spacing w:val="0"/>
          <w:sz w:val="24"/>
          <w:lang w:val="en-AU"/>
        </w:rPr>
        <w:tab/>
      </w:r>
      <w:r>
        <w:rPr>
          <w:rFonts w:ascii="Calibri" w:hAnsi="Calibri"/>
          <w:spacing w:val="0"/>
          <w:sz w:val="24"/>
          <w:lang w:val="en-AU"/>
        </w:rPr>
        <w:t>Healthcare</w:t>
      </w:r>
      <w:r w:rsidRPr="00DF1E0C">
        <w:rPr>
          <w:rFonts w:ascii="Calibri" w:hAnsi="Calibri"/>
          <w:spacing w:val="0"/>
          <w:sz w:val="24"/>
          <w:lang w:val="en-AU"/>
        </w:rPr>
        <w:t xml:space="preserve"> worker: persons, including students and voluntary workers who undertake procedures in public and/or private </w:t>
      </w:r>
      <w:r>
        <w:rPr>
          <w:rFonts w:ascii="Calibri" w:hAnsi="Calibri"/>
          <w:spacing w:val="0"/>
          <w:sz w:val="24"/>
          <w:lang w:val="en-AU"/>
        </w:rPr>
        <w:t>healthcare</w:t>
      </w:r>
      <w:r w:rsidRPr="00DF1E0C">
        <w:rPr>
          <w:rFonts w:ascii="Calibri" w:hAnsi="Calibri"/>
          <w:spacing w:val="0"/>
          <w:sz w:val="24"/>
          <w:lang w:val="en-AU"/>
        </w:rPr>
        <w:t xml:space="preserve"> settings, that normally involve patient care and/or contact with blood or other body fluids</w:t>
      </w:r>
    </w:p>
    <w:p w14:paraId="03E50A81"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HIV</w:t>
      </w:r>
      <w:r w:rsidRPr="00DF1E0C">
        <w:rPr>
          <w:rFonts w:ascii="Calibri" w:hAnsi="Calibri"/>
          <w:spacing w:val="0"/>
          <w:sz w:val="24"/>
          <w:lang w:val="en-AU"/>
        </w:rPr>
        <w:tab/>
        <w:t>Human immunodeficiency virus</w:t>
      </w:r>
    </w:p>
    <w:p w14:paraId="04D0B2BC"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IDU</w:t>
      </w:r>
      <w:r w:rsidRPr="00DF1E0C">
        <w:rPr>
          <w:rFonts w:ascii="Calibri" w:hAnsi="Calibri"/>
          <w:spacing w:val="0"/>
          <w:sz w:val="24"/>
          <w:lang w:val="en-AU"/>
        </w:rPr>
        <w:tab/>
        <w:t>Injecting drug user</w:t>
      </w:r>
    </w:p>
    <w:p w14:paraId="55658ECB"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IU</w:t>
      </w:r>
      <w:r w:rsidRPr="00DF1E0C">
        <w:rPr>
          <w:rFonts w:ascii="Calibri" w:hAnsi="Calibri"/>
          <w:spacing w:val="0"/>
          <w:sz w:val="24"/>
          <w:lang w:val="en-AU"/>
        </w:rPr>
        <w:tab/>
        <w:t>International units</w:t>
      </w:r>
    </w:p>
    <w:p w14:paraId="3423D9F0"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NATA</w:t>
      </w:r>
      <w:r w:rsidRPr="00DF1E0C">
        <w:rPr>
          <w:rFonts w:ascii="Calibri" w:hAnsi="Calibri"/>
          <w:spacing w:val="0"/>
          <w:sz w:val="24"/>
          <w:lang w:val="en-AU"/>
        </w:rPr>
        <w:tab/>
        <w:t>National Association of Testing Authorities, Australia</w:t>
      </w:r>
    </w:p>
    <w:p w14:paraId="5E6C9E02" w14:textId="77777777" w:rsidR="002F1BC7" w:rsidRPr="00DF1E0C" w:rsidRDefault="002F1BC7" w:rsidP="002F1BC7">
      <w:pPr>
        <w:pStyle w:val="Acronyms"/>
        <w:widowControl/>
        <w:rPr>
          <w:rFonts w:ascii="Calibri" w:hAnsi="Calibri"/>
          <w:spacing w:val="0"/>
          <w:sz w:val="24"/>
          <w:lang w:val="en-AU"/>
        </w:rPr>
      </w:pPr>
      <w:r>
        <w:rPr>
          <w:rFonts w:ascii="Calibri" w:hAnsi="Calibri"/>
          <w:spacing w:val="0"/>
          <w:sz w:val="24"/>
          <w:lang w:val="en-AU"/>
        </w:rPr>
        <w:t>NER</w:t>
      </w:r>
      <w:r w:rsidRPr="00DF1E0C">
        <w:rPr>
          <w:rFonts w:ascii="Calibri" w:hAnsi="Calibri"/>
          <w:spacing w:val="0"/>
          <w:sz w:val="24"/>
          <w:lang w:val="en-AU"/>
        </w:rPr>
        <w:t>P</w:t>
      </w:r>
      <w:r w:rsidRPr="00DF1E0C">
        <w:rPr>
          <w:rFonts w:ascii="Calibri" w:hAnsi="Calibri"/>
          <w:spacing w:val="0"/>
          <w:sz w:val="24"/>
          <w:lang w:val="en-AU"/>
        </w:rPr>
        <w:tab/>
        <w:t xml:space="preserve">National Expert </w:t>
      </w:r>
      <w:r>
        <w:rPr>
          <w:rFonts w:ascii="Calibri" w:hAnsi="Calibri"/>
          <w:spacing w:val="0"/>
          <w:sz w:val="24"/>
          <w:lang w:val="en-AU"/>
        </w:rPr>
        <w:t>Reference</w:t>
      </w:r>
      <w:r w:rsidRPr="00DF1E0C">
        <w:rPr>
          <w:rFonts w:ascii="Calibri" w:hAnsi="Calibri"/>
          <w:spacing w:val="0"/>
          <w:sz w:val="24"/>
          <w:lang w:val="en-AU"/>
        </w:rPr>
        <w:t xml:space="preserve"> Panel</w:t>
      </w:r>
    </w:p>
    <w:p w14:paraId="07F69A0E" w14:textId="77777777" w:rsidR="002F1BC7" w:rsidRPr="00DF1E0C" w:rsidRDefault="002F1BC7" w:rsidP="002F1BC7">
      <w:pPr>
        <w:pStyle w:val="Acronyms"/>
        <w:widowControl/>
        <w:rPr>
          <w:rFonts w:ascii="Calibri" w:hAnsi="Calibri"/>
          <w:spacing w:val="0"/>
          <w:sz w:val="24"/>
          <w:lang w:val="en-AU"/>
        </w:rPr>
      </w:pPr>
      <w:r>
        <w:rPr>
          <w:rFonts w:ascii="Calibri" w:hAnsi="Calibri"/>
          <w:spacing w:val="0"/>
          <w:sz w:val="24"/>
          <w:lang w:val="en-AU"/>
        </w:rPr>
        <w:t>NSI</w:t>
      </w:r>
      <w:r>
        <w:rPr>
          <w:rFonts w:ascii="Calibri" w:hAnsi="Calibri"/>
          <w:spacing w:val="0"/>
          <w:sz w:val="24"/>
          <w:lang w:val="en-AU"/>
        </w:rPr>
        <w:tab/>
        <w:t>Needle-</w:t>
      </w:r>
      <w:r w:rsidRPr="00DF1E0C">
        <w:rPr>
          <w:rFonts w:ascii="Calibri" w:hAnsi="Calibri"/>
          <w:spacing w:val="0"/>
          <w:sz w:val="24"/>
          <w:lang w:val="en-AU"/>
        </w:rPr>
        <w:t>stick injury</w:t>
      </w:r>
    </w:p>
    <w:p w14:paraId="1A80D112"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PBS</w:t>
      </w:r>
      <w:r w:rsidRPr="00DF1E0C">
        <w:rPr>
          <w:rFonts w:ascii="Calibri" w:hAnsi="Calibri"/>
          <w:spacing w:val="0"/>
          <w:sz w:val="24"/>
          <w:lang w:val="en-AU"/>
        </w:rPr>
        <w:tab/>
        <w:t>Pharmaceutical Benefits Scheme</w:t>
      </w:r>
    </w:p>
    <w:p w14:paraId="5AE16C0A"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PCR</w:t>
      </w:r>
      <w:r w:rsidRPr="00DF1E0C">
        <w:rPr>
          <w:rFonts w:ascii="Calibri" w:hAnsi="Calibri"/>
          <w:spacing w:val="0"/>
          <w:sz w:val="24"/>
          <w:lang w:val="en-AU"/>
        </w:rPr>
        <w:tab/>
        <w:t>Polymerase chain reaction</w:t>
      </w:r>
    </w:p>
    <w:p w14:paraId="14FAA6EF"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PHA</w:t>
      </w:r>
      <w:r w:rsidRPr="00DF1E0C">
        <w:rPr>
          <w:rFonts w:ascii="Calibri" w:hAnsi="Calibri"/>
          <w:spacing w:val="0"/>
          <w:sz w:val="24"/>
          <w:lang w:val="en-AU"/>
        </w:rPr>
        <w:tab/>
        <w:t>Public Health Authorities</w:t>
      </w:r>
    </w:p>
    <w:p w14:paraId="6EE2D67E"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RACDS</w:t>
      </w:r>
      <w:r w:rsidRPr="00DF1E0C">
        <w:rPr>
          <w:rFonts w:ascii="Calibri" w:hAnsi="Calibri"/>
          <w:spacing w:val="0"/>
          <w:sz w:val="24"/>
          <w:lang w:val="en-AU"/>
        </w:rPr>
        <w:tab/>
      </w:r>
      <w:r w:rsidRPr="00DF1E0C">
        <w:rPr>
          <w:rFonts w:ascii="Calibri" w:hAnsi="Calibri"/>
          <w:sz w:val="24"/>
        </w:rPr>
        <w:t>Royal Australasian College of Dental Surgeons</w:t>
      </w:r>
    </w:p>
    <w:p w14:paraId="0F4B9E68"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lastRenderedPageBreak/>
        <w:t>RACS</w:t>
      </w:r>
      <w:r w:rsidRPr="00DF1E0C">
        <w:rPr>
          <w:rFonts w:ascii="Calibri" w:hAnsi="Calibri"/>
          <w:spacing w:val="0"/>
          <w:sz w:val="24"/>
          <w:lang w:val="en-AU"/>
        </w:rPr>
        <w:tab/>
      </w:r>
      <w:r w:rsidRPr="00DF1E0C">
        <w:rPr>
          <w:rFonts w:ascii="Calibri" w:hAnsi="Calibri"/>
          <w:sz w:val="24"/>
        </w:rPr>
        <w:t>Royal Australasian College of Surgeons</w:t>
      </w:r>
    </w:p>
    <w:p w14:paraId="6308AE5B"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RANZCOG</w:t>
      </w:r>
      <w:r w:rsidRPr="00DF1E0C">
        <w:rPr>
          <w:rFonts w:ascii="Calibri" w:hAnsi="Calibri"/>
          <w:spacing w:val="0"/>
          <w:sz w:val="24"/>
          <w:lang w:val="en-AU"/>
        </w:rPr>
        <w:tab/>
      </w:r>
      <w:r w:rsidRPr="00DF1E0C">
        <w:rPr>
          <w:rFonts w:ascii="Calibri" w:hAnsi="Calibri"/>
          <w:sz w:val="24"/>
        </w:rPr>
        <w:t>Royal Australian and New Zealand College of Obstetricians and Gynaecologists</w:t>
      </w:r>
    </w:p>
    <w:p w14:paraId="5F15CA33"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RCPA</w:t>
      </w:r>
      <w:r w:rsidRPr="00DF1E0C">
        <w:rPr>
          <w:rFonts w:ascii="Calibri" w:hAnsi="Calibri"/>
          <w:spacing w:val="0"/>
          <w:sz w:val="24"/>
          <w:lang w:val="en-AU"/>
        </w:rPr>
        <w:tab/>
        <w:t>Royal College of Pathologists of Australasia</w:t>
      </w:r>
    </w:p>
    <w:p w14:paraId="61FAEB01"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RNA</w:t>
      </w:r>
      <w:r w:rsidRPr="00DF1E0C">
        <w:rPr>
          <w:rFonts w:ascii="Calibri" w:hAnsi="Calibri"/>
          <w:spacing w:val="0"/>
          <w:sz w:val="24"/>
          <w:lang w:val="en-AU"/>
        </w:rPr>
        <w:tab/>
        <w:t>Ribonucleic acid</w:t>
      </w:r>
    </w:p>
    <w:p w14:paraId="72167574"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SVR</w:t>
      </w:r>
      <w:r w:rsidRPr="00DF1E0C">
        <w:rPr>
          <w:rFonts w:ascii="Calibri" w:hAnsi="Calibri"/>
          <w:spacing w:val="0"/>
          <w:sz w:val="24"/>
          <w:lang w:val="en-AU"/>
        </w:rPr>
        <w:tab/>
        <w:t>Sustained virological response</w:t>
      </w:r>
    </w:p>
    <w:p w14:paraId="62A4D927" w14:textId="77777777" w:rsidR="002F1BC7" w:rsidRPr="00DF1E0C" w:rsidRDefault="002F1BC7" w:rsidP="002F1BC7">
      <w:pPr>
        <w:pStyle w:val="Acronyms"/>
        <w:widowControl/>
        <w:rPr>
          <w:rFonts w:ascii="Calibri" w:hAnsi="Calibri"/>
          <w:spacing w:val="0"/>
          <w:sz w:val="24"/>
          <w:lang w:val="en-AU"/>
        </w:rPr>
      </w:pPr>
      <w:r w:rsidRPr="00DF1E0C">
        <w:rPr>
          <w:rFonts w:ascii="Calibri" w:hAnsi="Calibri"/>
          <w:spacing w:val="0"/>
          <w:sz w:val="24"/>
          <w:lang w:val="en-AU"/>
        </w:rPr>
        <w:t>UK</w:t>
      </w:r>
      <w:r w:rsidRPr="00DF1E0C">
        <w:rPr>
          <w:rFonts w:ascii="Calibri" w:hAnsi="Calibri"/>
          <w:spacing w:val="0"/>
          <w:sz w:val="24"/>
          <w:lang w:val="en-AU"/>
        </w:rPr>
        <w:tab/>
        <w:t>United Kingdom</w:t>
      </w:r>
    </w:p>
    <w:p w14:paraId="692B8A4D" w14:textId="77777777" w:rsidR="002F1BC7" w:rsidRPr="00DF1E0C" w:rsidRDefault="002F1BC7" w:rsidP="002F1BC7">
      <w:pPr>
        <w:spacing w:before="58"/>
        <w:ind w:left="680"/>
        <w:rPr>
          <w:rFonts w:eastAsia="Arial" w:cs="Arial"/>
          <w:b/>
          <w:bCs/>
          <w:sz w:val="44"/>
          <w:szCs w:val="36"/>
          <w:lang w:val="en-AU"/>
        </w:rPr>
      </w:pPr>
    </w:p>
    <w:p w14:paraId="4665A3B5" w14:textId="77777777" w:rsidR="002F1BC7" w:rsidRPr="00DF1E0C" w:rsidRDefault="002F1BC7" w:rsidP="002F1BC7">
      <w:pPr>
        <w:spacing w:before="58"/>
        <w:ind w:left="680"/>
        <w:rPr>
          <w:rFonts w:eastAsia="Arial" w:cs="Arial"/>
          <w:b/>
          <w:bCs/>
          <w:sz w:val="44"/>
          <w:szCs w:val="36"/>
          <w:lang w:val="en-AU"/>
        </w:rPr>
        <w:sectPr w:rsidR="002F1BC7" w:rsidRPr="00DF1E0C" w:rsidSect="000B2E79">
          <w:pgSz w:w="11905" w:h="16840"/>
          <w:pgMar w:top="1418" w:right="1418" w:bottom="1418" w:left="1701" w:header="227" w:footer="510" w:gutter="0"/>
          <w:cols w:space="720"/>
          <w:docGrid w:linePitch="299"/>
        </w:sectPr>
      </w:pPr>
    </w:p>
    <w:p w14:paraId="44463AA2" w14:textId="77777777" w:rsidR="002F1BC7" w:rsidRPr="00DF1E0C" w:rsidRDefault="002F1BC7" w:rsidP="002F1BC7">
      <w:pPr>
        <w:pStyle w:val="Heading1"/>
        <w:spacing w:after="240"/>
        <w:rPr>
          <w:rFonts w:ascii="Calibri" w:hAnsi="Calibri"/>
          <w:sz w:val="40"/>
        </w:rPr>
      </w:pPr>
      <w:bookmarkStart w:id="5" w:name="_Toc480558254"/>
      <w:r w:rsidRPr="00DF1E0C">
        <w:rPr>
          <w:rFonts w:ascii="Calibri" w:hAnsi="Calibri"/>
          <w:sz w:val="40"/>
        </w:rPr>
        <w:lastRenderedPageBreak/>
        <w:t>Table of Contents</w:t>
      </w:r>
      <w:bookmarkEnd w:id="5"/>
    </w:p>
    <w:p w14:paraId="5544378F" w14:textId="77777777" w:rsidR="002F1BC7" w:rsidRPr="00DA5E32" w:rsidRDefault="002F1BC7" w:rsidP="002F1BC7">
      <w:pPr>
        <w:pStyle w:val="TOC1"/>
        <w:tabs>
          <w:tab w:val="right" w:leader="dot" w:pos="8776"/>
        </w:tabs>
        <w:rPr>
          <w:rFonts w:ascii="Calibri" w:eastAsia="MS Mincho" w:hAnsi="Calibri"/>
          <w:b w:val="0"/>
          <w:color w:val="auto"/>
          <w:sz w:val="22"/>
          <w:szCs w:val="22"/>
          <w:lang w:val="en-AU" w:eastAsia="en-AU"/>
        </w:rPr>
      </w:pPr>
      <w:r w:rsidRPr="00DA5E32">
        <w:rPr>
          <w:rFonts w:ascii="Calibri" w:hAnsi="Calibri"/>
          <w:b w:val="0"/>
          <w:color w:val="auto"/>
          <w:sz w:val="24"/>
          <w:lang w:val="en-AU"/>
        </w:rPr>
        <w:fldChar w:fldCharType="begin"/>
      </w:r>
      <w:r w:rsidRPr="00DA5E32">
        <w:rPr>
          <w:rFonts w:ascii="Calibri" w:hAnsi="Calibri"/>
          <w:b w:val="0"/>
          <w:color w:val="auto"/>
          <w:sz w:val="24"/>
          <w:lang w:val="en-AU"/>
        </w:rPr>
        <w:instrText xml:space="preserve"> TOC \o "1-1" \h \z \u </w:instrText>
      </w:r>
      <w:r w:rsidRPr="00DA5E32">
        <w:rPr>
          <w:rFonts w:ascii="Calibri" w:hAnsi="Calibri"/>
          <w:b w:val="0"/>
          <w:color w:val="auto"/>
          <w:sz w:val="24"/>
          <w:lang w:val="en-AU"/>
        </w:rPr>
        <w:fldChar w:fldCharType="separate"/>
      </w:r>
      <w:hyperlink w:anchor="_Toc480558253" w:history="1">
        <w:r w:rsidRPr="00DA5E32">
          <w:rPr>
            <w:rStyle w:val="Hyperlink"/>
            <w:b w:val="0"/>
            <w:color w:val="auto"/>
          </w:rPr>
          <w:t>Acronyms</w:t>
        </w:r>
        <w:r w:rsidRPr="00DA5E32">
          <w:rPr>
            <w:b w:val="0"/>
            <w:webHidden/>
            <w:color w:val="auto"/>
          </w:rPr>
          <w:tab/>
        </w:r>
        <w:r w:rsidRPr="00DA5E32">
          <w:rPr>
            <w:b w:val="0"/>
            <w:webHidden/>
            <w:color w:val="auto"/>
          </w:rPr>
          <w:fldChar w:fldCharType="begin"/>
        </w:r>
        <w:r w:rsidRPr="00DA5E32">
          <w:rPr>
            <w:b w:val="0"/>
            <w:webHidden/>
            <w:color w:val="auto"/>
          </w:rPr>
          <w:instrText xml:space="preserve"> PAGEREF _Toc480558253 \h </w:instrText>
        </w:r>
        <w:r w:rsidRPr="00DA5E32">
          <w:rPr>
            <w:b w:val="0"/>
            <w:webHidden/>
            <w:color w:val="auto"/>
          </w:rPr>
        </w:r>
        <w:r w:rsidRPr="00DA5E32">
          <w:rPr>
            <w:b w:val="0"/>
            <w:webHidden/>
            <w:color w:val="auto"/>
          </w:rPr>
          <w:fldChar w:fldCharType="separate"/>
        </w:r>
        <w:r w:rsidRPr="00DA5E32">
          <w:rPr>
            <w:b w:val="0"/>
            <w:webHidden/>
            <w:color w:val="auto"/>
          </w:rPr>
          <w:t>3</w:t>
        </w:r>
        <w:r w:rsidRPr="00DA5E32">
          <w:rPr>
            <w:b w:val="0"/>
            <w:webHidden/>
            <w:color w:val="auto"/>
          </w:rPr>
          <w:fldChar w:fldCharType="end"/>
        </w:r>
      </w:hyperlink>
    </w:p>
    <w:p w14:paraId="35145991"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54" w:history="1">
        <w:r w:rsidR="002F1BC7" w:rsidRPr="00DA5E32">
          <w:rPr>
            <w:rStyle w:val="Hyperlink"/>
            <w:b w:val="0"/>
            <w:color w:val="auto"/>
          </w:rPr>
          <w:t>Table of Contents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_Toc480558254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5</w:t>
        </w:r>
        <w:r w:rsidR="002F1BC7" w:rsidRPr="00DA5E32">
          <w:rPr>
            <w:b w:val="0"/>
            <w:webHidden/>
            <w:color w:val="auto"/>
          </w:rPr>
          <w:fldChar w:fldCharType="end"/>
        </w:r>
      </w:hyperlink>
    </w:p>
    <w:p w14:paraId="68BCE9BD"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55" w:history="1">
        <w:r w:rsidR="002F1BC7" w:rsidRPr="00DA5E32">
          <w:rPr>
            <w:rStyle w:val="Hyperlink"/>
            <w:b w:val="0"/>
            <w:color w:val="auto"/>
          </w:rPr>
          <w:t>Who are these Guidelines for?</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_Toc480558255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6</w:t>
        </w:r>
        <w:r w:rsidR="002F1BC7" w:rsidRPr="00DA5E32">
          <w:rPr>
            <w:b w:val="0"/>
            <w:webHidden/>
            <w:color w:val="auto"/>
          </w:rPr>
          <w:fldChar w:fldCharType="end"/>
        </w:r>
      </w:hyperlink>
    </w:p>
    <w:p w14:paraId="325FDE3D"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56" w:history="1">
        <w:r w:rsidR="002F1BC7" w:rsidRPr="00DA5E32">
          <w:rPr>
            <w:rStyle w:val="Hyperlink"/>
            <w:b w:val="0"/>
            <w:color w:val="auto"/>
          </w:rPr>
          <w:t>Executive Summary</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_Toc480558256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7</w:t>
        </w:r>
        <w:r w:rsidR="002F1BC7" w:rsidRPr="00DA5E32">
          <w:rPr>
            <w:b w:val="0"/>
            <w:webHidden/>
            <w:color w:val="auto"/>
          </w:rPr>
          <w:fldChar w:fldCharType="end"/>
        </w:r>
      </w:hyperlink>
    </w:p>
    <w:p w14:paraId="22DD9730"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57" w:history="1">
        <w:r w:rsidR="002F1BC7" w:rsidRPr="00DA5E32">
          <w:rPr>
            <w:rStyle w:val="Hyperlink"/>
            <w:b w:val="0"/>
            <w:color w:val="auto"/>
          </w:rPr>
          <w:t>Part A</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_Toc480558257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12</w:t>
        </w:r>
        <w:r w:rsidR="002F1BC7" w:rsidRPr="00DA5E32">
          <w:rPr>
            <w:b w:val="0"/>
            <w:webHidden/>
            <w:color w:val="auto"/>
          </w:rPr>
          <w:fldChar w:fldCharType="end"/>
        </w:r>
      </w:hyperlink>
    </w:p>
    <w:p w14:paraId="29FDDBCA"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58" w:history="1">
        <w:r w:rsidR="002F1BC7" w:rsidRPr="00DA5E32">
          <w:rPr>
            <w:rStyle w:val="Hyperlink"/>
            <w:b w:val="0"/>
            <w:color w:val="auto"/>
          </w:rPr>
          <w:t>Guidelines for Healthcare Workers and Treating Doctors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_Toc480558258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12</w:t>
        </w:r>
        <w:r w:rsidR="002F1BC7" w:rsidRPr="00DA5E32">
          <w:rPr>
            <w:b w:val="0"/>
            <w:webHidden/>
            <w:color w:val="auto"/>
          </w:rPr>
          <w:fldChar w:fldCharType="end"/>
        </w:r>
      </w:hyperlink>
    </w:p>
    <w:p w14:paraId="0AE59593"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59" w:history="1">
        <w:r w:rsidR="002F1BC7" w:rsidRPr="00DA5E32">
          <w:rPr>
            <w:rStyle w:val="Hyperlink"/>
            <w:b w:val="0"/>
            <w:color w:val="auto"/>
          </w:rPr>
          <w:t>1. Introduction</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_Toc480558259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13</w:t>
        </w:r>
        <w:r w:rsidR="002F1BC7" w:rsidRPr="00DA5E32">
          <w:rPr>
            <w:b w:val="0"/>
            <w:webHidden/>
            <w:color w:val="auto"/>
          </w:rPr>
          <w:fldChar w:fldCharType="end"/>
        </w:r>
      </w:hyperlink>
    </w:p>
    <w:p w14:paraId="24A7DCEE"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60" w:history="1">
        <w:r w:rsidR="002F1BC7" w:rsidRPr="00DA5E32">
          <w:rPr>
            <w:rStyle w:val="Hyperlink"/>
            <w:b w:val="0"/>
            <w:color w:val="auto"/>
          </w:rPr>
          <w:t>2. Guiding principles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_Toc480558260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13</w:t>
        </w:r>
        <w:r w:rsidR="002F1BC7" w:rsidRPr="00DA5E32">
          <w:rPr>
            <w:b w:val="0"/>
            <w:webHidden/>
            <w:color w:val="auto"/>
          </w:rPr>
          <w:fldChar w:fldCharType="end"/>
        </w:r>
      </w:hyperlink>
    </w:p>
    <w:p w14:paraId="56D35699"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61" w:history="1">
        <w:r w:rsidR="002F1BC7" w:rsidRPr="00DA5E32">
          <w:rPr>
            <w:rStyle w:val="Hyperlink"/>
            <w:b w:val="0"/>
            <w:color w:val="auto"/>
          </w:rPr>
          <w:t>3. Recommendations for all HCWs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_Toc480558261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14</w:t>
        </w:r>
        <w:r w:rsidR="002F1BC7" w:rsidRPr="00DA5E32">
          <w:rPr>
            <w:b w:val="0"/>
            <w:webHidden/>
            <w:color w:val="auto"/>
          </w:rPr>
          <w:fldChar w:fldCharType="end"/>
        </w:r>
      </w:hyperlink>
    </w:p>
    <w:p w14:paraId="04AE1802"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62" w:history="1">
        <w:r w:rsidR="002F1BC7" w:rsidRPr="00DA5E32">
          <w:rPr>
            <w:rStyle w:val="Hyperlink"/>
            <w:b w:val="0"/>
            <w:color w:val="auto"/>
          </w:rPr>
          <w:t>4. Recommendations for HCWs who perform EPPs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_Toc480558262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14</w:t>
        </w:r>
        <w:r w:rsidR="002F1BC7" w:rsidRPr="00DA5E32">
          <w:rPr>
            <w:b w:val="0"/>
            <w:webHidden/>
            <w:color w:val="auto"/>
          </w:rPr>
          <w:fldChar w:fldCharType="end"/>
        </w:r>
      </w:hyperlink>
    </w:p>
    <w:p w14:paraId="25DBB1D6"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63" w:history="1">
        <w:r w:rsidR="002F1BC7" w:rsidRPr="00DA5E32">
          <w:rPr>
            <w:rStyle w:val="Hyperlink"/>
            <w:b w:val="0"/>
            <w:color w:val="auto"/>
          </w:rPr>
          <w:t>5. Recommendations for the management of HCWs living with a BBV</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_Toc480558263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16</w:t>
        </w:r>
        <w:r w:rsidR="002F1BC7" w:rsidRPr="00DA5E32">
          <w:rPr>
            <w:b w:val="0"/>
            <w:webHidden/>
            <w:color w:val="auto"/>
          </w:rPr>
          <w:fldChar w:fldCharType="end"/>
        </w:r>
      </w:hyperlink>
    </w:p>
    <w:p w14:paraId="78421F8D"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64" w:history="1">
        <w:r w:rsidR="002F1BC7" w:rsidRPr="00DA5E32">
          <w:rPr>
            <w:rStyle w:val="Hyperlink"/>
            <w:b w:val="0"/>
            <w:color w:val="auto"/>
          </w:rPr>
          <w:t>6. HCWs and HBV</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_Toc480558264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20</w:t>
        </w:r>
        <w:r w:rsidR="002F1BC7" w:rsidRPr="00DA5E32">
          <w:rPr>
            <w:b w:val="0"/>
            <w:webHidden/>
            <w:color w:val="auto"/>
          </w:rPr>
          <w:fldChar w:fldCharType="end"/>
        </w:r>
      </w:hyperlink>
    </w:p>
    <w:p w14:paraId="1BC16900"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65" w:history="1">
        <w:r w:rsidR="002F1BC7" w:rsidRPr="00DA5E32">
          <w:rPr>
            <w:rStyle w:val="Hyperlink"/>
            <w:b w:val="0"/>
            <w:color w:val="auto"/>
          </w:rPr>
          <w:t>7. HCWs and HCV</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_Toc480558265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26</w:t>
        </w:r>
        <w:r w:rsidR="002F1BC7" w:rsidRPr="00DA5E32">
          <w:rPr>
            <w:b w:val="0"/>
            <w:webHidden/>
            <w:color w:val="auto"/>
          </w:rPr>
          <w:fldChar w:fldCharType="end"/>
        </w:r>
      </w:hyperlink>
    </w:p>
    <w:p w14:paraId="65E5D361"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66" w:history="1">
        <w:r w:rsidR="002F1BC7" w:rsidRPr="00DA5E32">
          <w:rPr>
            <w:rStyle w:val="Hyperlink"/>
            <w:b w:val="0"/>
            <w:color w:val="auto"/>
          </w:rPr>
          <w:t>8. HCWs and HIV</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_Toc480558266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29</w:t>
        </w:r>
        <w:r w:rsidR="002F1BC7" w:rsidRPr="00DA5E32">
          <w:rPr>
            <w:b w:val="0"/>
            <w:webHidden/>
            <w:color w:val="auto"/>
          </w:rPr>
          <w:fldChar w:fldCharType="end"/>
        </w:r>
      </w:hyperlink>
    </w:p>
    <w:p w14:paraId="3CEB1AC9"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67" w:history="1">
        <w:r w:rsidR="002F1BC7" w:rsidRPr="00DA5E32">
          <w:rPr>
            <w:rStyle w:val="Hyperlink"/>
            <w:b w:val="0"/>
            <w:color w:val="auto"/>
          </w:rPr>
          <w:t>Part B</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_Toc480558267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35</w:t>
        </w:r>
        <w:r w:rsidR="002F1BC7" w:rsidRPr="00DA5E32">
          <w:rPr>
            <w:b w:val="0"/>
            <w:webHidden/>
            <w:color w:val="auto"/>
          </w:rPr>
          <w:fldChar w:fldCharType="end"/>
        </w:r>
      </w:hyperlink>
    </w:p>
    <w:p w14:paraId="226F761A"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68" w:history="1">
        <w:r w:rsidR="002F1BC7" w:rsidRPr="00DA5E32">
          <w:rPr>
            <w:rStyle w:val="Hyperlink"/>
            <w:b w:val="0"/>
            <w:color w:val="auto"/>
          </w:rPr>
          <w:t>Guidelines for Public Health Authorities Managing Healthcare Workers Living with a Blood Borne Virus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_Toc480558268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35</w:t>
        </w:r>
        <w:r w:rsidR="002F1BC7" w:rsidRPr="00DA5E32">
          <w:rPr>
            <w:b w:val="0"/>
            <w:webHidden/>
            <w:color w:val="auto"/>
          </w:rPr>
          <w:fldChar w:fldCharType="end"/>
        </w:r>
      </w:hyperlink>
    </w:p>
    <w:p w14:paraId="29127832"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69" w:history="1">
        <w:r w:rsidR="002F1BC7" w:rsidRPr="00DA5E32">
          <w:rPr>
            <w:rStyle w:val="Hyperlink"/>
            <w:b w:val="0"/>
            <w:color w:val="auto"/>
          </w:rPr>
          <w:t>9. Introduction</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_Toc480558269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36</w:t>
        </w:r>
        <w:r w:rsidR="002F1BC7" w:rsidRPr="00DA5E32">
          <w:rPr>
            <w:b w:val="0"/>
            <w:webHidden/>
            <w:color w:val="auto"/>
          </w:rPr>
          <w:fldChar w:fldCharType="end"/>
        </w:r>
      </w:hyperlink>
    </w:p>
    <w:p w14:paraId="4499EB35"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70" w:history="1">
        <w:r w:rsidR="002F1BC7" w:rsidRPr="00DA5E32">
          <w:rPr>
            <w:rStyle w:val="Hyperlink"/>
            <w:b w:val="0"/>
            <w:color w:val="auto"/>
          </w:rPr>
          <w:t>10. Managing HCWs living with BBVs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_Toc480558270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36</w:t>
        </w:r>
        <w:r w:rsidR="002F1BC7" w:rsidRPr="00DA5E32">
          <w:rPr>
            <w:b w:val="0"/>
            <w:webHidden/>
            <w:color w:val="auto"/>
          </w:rPr>
          <w:fldChar w:fldCharType="end"/>
        </w:r>
      </w:hyperlink>
    </w:p>
    <w:p w14:paraId="5FE1304F"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71" w:history="1">
        <w:r w:rsidR="002F1BC7" w:rsidRPr="00DA5E32">
          <w:rPr>
            <w:rStyle w:val="Hyperlink"/>
            <w:b w:val="0"/>
            <w:color w:val="auto"/>
          </w:rPr>
          <w:t>11. Recommendations for responding to patient exposure (possible or realised) to the blood or bodily fluid of a HCW with a BBV</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_Toc480558271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37</w:t>
        </w:r>
        <w:r w:rsidR="002F1BC7" w:rsidRPr="00DA5E32">
          <w:rPr>
            <w:b w:val="0"/>
            <w:webHidden/>
            <w:color w:val="auto"/>
          </w:rPr>
          <w:fldChar w:fldCharType="end"/>
        </w:r>
      </w:hyperlink>
    </w:p>
    <w:p w14:paraId="5D0741A8"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72" w:history="1">
        <w:r w:rsidR="002F1BC7" w:rsidRPr="00DA5E32">
          <w:rPr>
            <w:rStyle w:val="Hyperlink"/>
            <w:b w:val="0"/>
            <w:color w:val="auto"/>
          </w:rPr>
          <w:t>Appendix 1: Definitions and examples of EPPs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_Toc480558272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40</w:t>
        </w:r>
        <w:r w:rsidR="002F1BC7" w:rsidRPr="00DA5E32">
          <w:rPr>
            <w:b w:val="0"/>
            <w:webHidden/>
            <w:color w:val="auto"/>
          </w:rPr>
          <w:fldChar w:fldCharType="end"/>
        </w:r>
      </w:hyperlink>
    </w:p>
    <w:p w14:paraId="7A6EA6A4"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73" w:history="1">
        <w:r w:rsidR="002F1BC7" w:rsidRPr="00DA5E32">
          <w:rPr>
            <w:rStyle w:val="Hyperlink"/>
            <w:b w:val="0"/>
            <w:color w:val="auto"/>
          </w:rPr>
          <w:t>Appendix 2: Roles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_Toc480558273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42</w:t>
        </w:r>
        <w:r w:rsidR="002F1BC7" w:rsidRPr="00DA5E32">
          <w:rPr>
            <w:b w:val="0"/>
            <w:webHidden/>
            <w:color w:val="auto"/>
          </w:rPr>
          <w:fldChar w:fldCharType="end"/>
        </w:r>
      </w:hyperlink>
    </w:p>
    <w:p w14:paraId="01FBCEE7"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74" w:history="1">
        <w:r w:rsidR="002F1BC7" w:rsidRPr="00DA5E32">
          <w:rPr>
            <w:rStyle w:val="Hyperlink"/>
            <w:b w:val="0"/>
            <w:color w:val="auto"/>
          </w:rPr>
          <w:t>Appendix 3: Results of published lookback investigations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_Toc480558274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46</w:t>
        </w:r>
        <w:r w:rsidR="002F1BC7" w:rsidRPr="00DA5E32">
          <w:rPr>
            <w:b w:val="0"/>
            <w:webHidden/>
            <w:color w:val="auto"/>
          </w:rPr>
          <w:fldChar w:fldCharType="end"/>
        </w:r>
      </w:hyperlink>
    </w:p>
    <w:p w14:paraId="343D27FF"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75" w:history="1">
        <w:r w:rsidR="002F1BC7" w:rsidRPr="00DA5E32">
          <w:rPr>
            <w:rStyle w:val="Hyperlink"/>
            <w:b w:val="0"/>
            <w:color w:val="auto"/>
          </w:rPr>
          <w:t>Appendix 4: Technical working group members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_Toc480558275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49</w:t>
        </w:r>
        <w:r w:rsidR="002F1BC7" w:rsidRPr="00DA5E32">
          <w:rPr>
            <w:b w:val="0"/>
            <w:webHidden/>
            <w:color w:val="auto"/>
          </w:rPr>
          <w:fldChar w:fldCharType="end"/>
        </w:r>
      </w:hyperlink>
    </w:p>
    <w:p w14:paraId="29341E55" w14:textId="77777777" w:rsidR="002F1BC7" w:rsidRPr="00DA5E32" w:rsidRDefault="00616FD1" w:rsidP="002F1BC7">
      <w:pPr>
        <w:pStyle w:val="TOC1"/>
        <w:tabs>
          <w:tab w:val="right" w:leader="dot" w:pos="8776"/>
        </w:tabs>
        <w:rPr>
          <w:rFonts w:ascii="Calibri" w:eastAsia="MS Mincho" w:hAnsi="Calibri"/>
          <w:b w:val="0"/>
          <w:color w:val="auto"/>
          <w:sz w:val="22"/>
          <w:szCs w:val="22"/>
          <w:lang w:val="en-AU" w:eastAsia="en-AU"/>
        </w:rPr>
      </w:pPr>
      <w:hyperlink w:anchor="_Toc480558276" w:history="1">
        <w:r w:rsidR="002F1BC7" w:rsidRPr="00DA5E32">
          <w:rPr>
            <w:rStyle w:val="Hyperlink"/>
            <w:b w:val="0"/>
            <w:color w:val="auto"/>
          </w:rPr>
          <w:t>References</w:t>
        </w:r>
        <w:r w:rsidR="002F1BC7" w:rsidRPr="00DA5E32">
          <w:rPr>
            <w:b w:val="0"/>
            <w:webHidden/>
            <w:color w:val="auto"/>
          </w:rPr>
          <w:tab/>
        </w:r>
        <w:r w:rsidR="002F1BC7" w:rsidRPr="00DA5E32">
          <w:rPr>
            <w:b w:val="0"/>
            <w:webHidden/>
            <w:color w:val="auto"/>
          </w:rPr>
          <w:fldChar w:fldCharType="begin"/>
        </w:r>
        <w:r w:rsidR="002F1BC7" w:rsidRPr="00DA5E32">
          <w:rPr>
            <w:b w:val="0"/>
            <w:webHidden/>
            <w:color w:val="auto"/>
          </w:rPr>
          <w:instrText xml:space="preserve"> PAGEREF _Toc480558276 \h </w:instrText>
        </w:r>
        <w:r w:rsidR="002F1BC7" w:rsidRPr="00DA5E32">
          <w:rPr>
            <w:b w:val="0"/>
            <w:webHidden/>
            <w:color w:val="auto"/>
          </w:rPr>
        </w:r>
        <w:r w:rsidR="002F1BC7" w:rsidRPr="00DA5E32">
          <w:rPr>
            <w:b w:val="0"/>
            <w:webHidden/>
            <w:color w:val="auto"/>
          </w:rPr>
          <w:fldChar w:fldCharType="separate"/>
        </w:r>
        <w:r w:rsidR="002F1BC7" w:rsidRPr="00DA5E32">
          <w:rPr>
            <w:b w:val="0"/>
            <w:webHidden/>
            <w:color w:val="auto"/>
          </w:rPr>
          <w:t>51</w:t>
        </w:r>
        <w:r w:rsidR="002F1BC7" w:rsidRPr="00DA5E32">
          <w:rPr>
            <w:b w:val="0"/>
            <w:webHidden/>
            <w:color w:val="auto"/>
          </w:rPr>
          <w:fldChar w:fldCharType="end"/>
        </w:r>
      </w:hyperlink>
    </w:p>
    <w:p w14:paraId="4F7C724D" w14:textId="77777777" w:rsidR="002F1BC7" w:rsidRPr="00DF1E0C" w:rsidRDefault="002F1BC7" w:rsidP="002F1BC7">
      <w:pPr>
        <w:pStyle w:val="TOC1"/>
        <w:tabs>
          <w:tab w:val="right" w:leader="dot" w:pos="8776"/>
        </w:tabs>
        <w:rPr>
          <w:rFonts w:ascii="Calibri" w:hAnsi="Calibri"/>
          <w:color w:val="0000FF"/>
          <w:sz w:val="24"/>
          <w:u w:val="single"/>
        </w:rPr>
      </w:pPr>
      <w:r w:rsidRPr="00DA5E32">
        <w:rPr>
          <w:rFonts w:ascii="Calibri" w:hAnsi="Calibri"/>
          <w:b w:val="0"/>
          <w:color w:val="auto"/>
          <w:sz w:val="24"/>
          <w:lang w:val="en-AU"/>
        </w:rPr>
        <w:fldChar w:fldCharType="end"/>
      </w:r>
    </w:p>
    <w:p w14:paraId="7439E27D" w14:textId="77777777" w:rsidR="002F1BC7" w:rsidRPr="00DF1E0C" w:rsidRDefault="002F1BC7" w:rsidP="002F1BC7">
      <w:pPr>
        <w:spacing w:before="3" w:line="150" w:lineRule="exact"/>
        <w:rPr>
          <w:sz w:val="18"/>
          <w:szCs w:val="15"/>
          <w:lang w:val="en-AU"/>
        </w:rPr>
      </w:pPr>
    </w:p>
    <w:p w14:paraId="6BB2D28A" w14:textId="77777777" w:rsidR="002F1BC7" w:rsidRPr="00DF1E0C" w:rsidRDefault="002F1BC7" w:rsidP="002F1BC7">
      <w:pPr>
        <w:rPr>
          <w:sz w:val="28"/>
          <w:lang w:val="en-AU"/>
        </w:rPr>
        <w:sectPr w:rsidR="002F1BC7" w:rsidRPr="00DF1E0C">
          <w:pgSz w:w="11905" w:h="16840"/>
          <w:pgMar w:top="1418" w:right="1418" w:bottom="1418" w:left="1701" w:header="0" w:footer="699" w:gutter="0"/>
          <w:cols w:space="720"/>
        </w:sectPr>
      </w:pPr>
    </w:p>
    <w:p w14:paraId="4643DF29" w14:textId="77777777" w:rsidR="002F1BC7" w:rsidRPr="00DF1E0C" w:rsidRDefault="002F1BC7" w:rsidP="002F1BC7">
      <w:pPr>
        <w:pStyle w:val="Heading1"/>
        <w:spacing w:after="240"/>
        <w:rPr>
          <w:rFonts w:ascii="Calibri" w:hAnsi="Calibri"/>
          <w:sz w:val="40"/>
        </w:rPr>
      </w:pPr>
      <w:bookmarkStart w:id="6" w:name="_bookmark0"/>
      <w:bookmarkStart w:id="7" w:name="_Toc480558255"/>
      <w:bookmarkEnd w:id="6"/>
      <w:r w:rsidRPr="00DF1E0C">
        <w:rPr>
          <w:rFonts w:ascii="Calibri" w:hAnsi="Calibri"/>
          <w:sz w:val="40"/>
        </w:rPr>
        <w:lastRenderedPageBreak/>
        <w:t>Who are these Guidelines</w:t>
      </w:r>
      <w:r w:rsidRPr="004F1E85">
        <w:rPr>
          <w:rStyle w:val="FootnoteReference"/>
          <w:rFonts w:ascii="Calibri" w:hAnsi="Calibri"/>
          <w:sz w:val="36"/>
          <w:szCs w:val="36"/>
        </w:rPr>
        <w:footnoteReference w:id="9"/>
      </w:r>
      <w:r w:rsidRPr="004F1E85">
        <w:rPr>
          <w:rFonts w:ascii="Calibri" w:hAnsi="Calibri"/>
          <w:sz w:val="36"/>
          <w:szCs w:val="36"/>
        </w:rPr>
        <w:t xml:space="preserve"> </w:t>
      </w:r>
      <w:r w:rsidRPr="00DF1E0C">
        <w:rPr>
          <w:rFonts w:ascii="Calibri" w:hAnsi="Calibri"/>
          <w:sz w:val="40"/>
        </w:rPr>
        <w:t>for?</w:t>
      </w:r>
      <w:bookmarkEnd w:id="7"/>
    </w:p>
    <w:p w14:paraId="34D4F872" w14:textId="77777777" w:rsidR="002F1BC7" w:rsidRPr="006C24F3" w:rsidRDefault="002F1BC7" w:rsidP="002F1BC7">
      <w:pPr>
        <w:pStyle w:val="BodyText"/>
        <w:widowControl/>
        <w:rPr>
          <w:rFonts w:ascii="Calibri" w:hAnsi="Calibri"/>
          <w:spacing w:val="0"/>
        </w:rPr>
      </w:pPr>
      <w:r w:rsidRPr="00DF1E0C">
        <w:rPr>
          <w:rFonts w:ascii="Calibri" w:hAnsi="Calibri"/>
          <w:spacing w:val="0"/>
        </w:rPr>
        <w:t xml:space="preserve">These </w:t>
      </w:r>
      <w:r w:rsidRPr="006C24F3">
        <w:rPr>
          <w:rFonts w:ascii="Calibri" w:hAnsi="Calibri"/>
          <w:spacing w:val="0"/>
        </w:rPr>
        <w:t>Guidelines are presented in two parts to provide succinct information for two different audiences:</w:t>
      </w:r>
    </w:p>
    <w:p w14:paraId="694BEB01" w14:textId="77777777" w:rsidR="002F1BC7" w:rsidRPr="006C24F3" w:rsidRDefault="002F1BC7" w:rsidP="002F1BC7">
      <w:pPr>
        <w:pStyle w:val="BodyText"/>
        <w:widowControl/>
        <w:numPr>
          <w:ilvl w:val="0"/>
          <w:numId w:val="46"/>
        </w:numPr>
        <w:tabs>
          <w:tab w:val="clear" w:pos="-720"/>
        </w:tabs>
        <w:suppressAutoHyphens w:val="0"/>
        <w:spacing w:after="120" w:line="280" w:lineRule="atLeast"/>
        <w:rPr>
          <w:rFonts w:ascii="Calibri" w:hAnsi="Calibri"/>
          <w:b/>
          <w:bCs/>
        </w:rPr>
      </w:pPr>
      <w:r w:rsidRPr="006C24F3">
        <w:rPr>
          <w:rFonts w:ascii="Calibri" w:hAnsi="Calibri"/>
        </w:rPr>
        <w:t>Part A provides information and recommendations for all healthcare workers (HCWs), in particular:</w:t>
      </w:r>
    </w:p>
    <w:p w14:paraId="20836B0B" w14:textId="77777777" w:rsidR="002F1BC7" w:rsidRPr="006C24F3" w:rsidRDefault="002F1BC7" w:rsidP="002F1BC7">
      <w:pPr>
        <w:pStyle w:val="BodyText"/>
        <w:widowControl/>
        <w:numPr>
          <w:ilvl w:val="1"/>
          <w:numId w:val="46"/>
        </w:numPr>
        <w:tabs>
          <w:tab w:val="clear" w:pos="-720"/>
        </w:tabs>
        <w:suppressAutoHyphens w:val="0"/>
        <w:spacing w:after="120" w:line="280" w:lineRule="atLeast"/>
        <w:rPr>
          <w:rFonts w:ascii="Calibri" w:hAnsi="Calibri"/>
          <w:b/>
          <w:bCs/>
        </w:rPr>
      </w:pPr>
      <w:r w:rsidRPr="006C24F3">
        <w:rPr>
          <w:rFonts w:ascii="Calibri" w:hAnsi="Calibri"/>
        </w:rPr>
        <w:t>HCWs who perform exposure prone procedures (EPPs)</w:t>
      </w:r>
    </w:p>
    <w:p w14:paraId="6CAE4B20" w14:textId="77777777" w:rsidR="002F1BC7" w:rsidRPr="006C24F3" w:rsidRDefault="002F1BC7" w:rsidP="002F1BC7">
      <w:pPr>
        <w:pStyle w:val="BodyText"/>
        <w:widowControl/>
        <w:numPr>
          <w:ilvl w:val="1"/>
          <w:numId w:val="46"/>
        </w:numPr>
        <w:tabs>
          <w:tab w:val="clear" w:pos="-720"/>
        </w:tabs>
        <w:suppressAutoHyphens w:val="0"/>
        <w:spacing w:after="120" w:line="280" w:lineRule="atLeast"/>
        <w:rPr>
          <w:rFonts w:ascii="Calibri" w:hAnsi="Calibri"/>
          <w:b/>
          <w:bCs/>
        </w:rPr>
      </w:pPr>
      <w:r w:rsidRPr="006C24F3">
        <w:rPr>
          <w:rFonts w:ascii="Calibri" w:hAnsi="Calibri"/>
        </w:rPr>
        <w:t>HCWs living with a blood borne virus (BBV)</w:t>
      </w:r>
      <w:r w:rsidRPr="009672B5">
        <w:rPr>
          <w:rStyle w:val="FootnoteReference"/>
          <w:rFonts w:ascii="Calibri" w:eastAsiaTheme="majorEastAsia" w:hAnsi="Calibri"/>
        </w:rPr>
        <w:footnoteReference w:id="10"/>
      </w:r>
      <w:r w:rsidRPr="006C24F3">
        <w:rPr>
          <w:rFonts w:ascii="Calibri" w:hAnsi="Calibri"/>
        </w:rPr>
        <w:t>, and</w:t>
      </w:r>
    </w:p>
    <w:p w14:paraId="75850B6C" w14:textId="77777777" w:rsidR="002F1BC7" w:rsidRPr="006C24F3" w:rsidRDefault="002F1BC7" w:rsidP="002F1BC7">
      <w:pPr>
        <w:pStyle w:val="BodyText"/>
        <w:widowControl/>
        <w:numPr>
          <w:ilvl w:val="1"/>
          <w:numId w:val="46"/>
        </w:numPr>
        <w:tabs>
          <w:tab w:val="clear" w:pos="-720"/>
        </w:tabs>
        <w:suppressAutoHyphens w:val="0"/>
        <w:spacing w:after="120" w:line="280" w:lineRule="atLeast"/>
        <w:rPr>
          <w:rFonts w:ascii="Calibri" w:hAnsi="Calibri"/>
          <w:b/>
          <w:bCs/>
        </w:rPr>
      </w:pPr>
      <w:r w:rsidRPr="006C24F3">
        <w:rPr>
          <w:rFonts w:ascii="Calibri" w:hAnsi="Calibri"/>
        </w:rPr>
        <w:t>doctors treating HCWs with a BBV.</w:t>
      </w:r>
    </w:p>
    <w:p w14:paraId="0C1437BB" w14:textId="77777777" w:rsidR="002F1BC7" w:rsidRPr="00DF1E0C" w:rsidRDefault="002F1BC7" w:rsidP="002F1BC7">
      <w:pPr>
        <w:pStyle w:val="BodyText"/>
        <w:widowControl/>
        <w:numPr>
          <w:ilvl w:val="0"/>
          <w:numId w:val="46"/>
        </w:numPr>
        <w:tabs>
          <w:tab w:val="clear" w:pos="-720"/>
        </w:tabs>
        <w:suppressAutoHyphens w:val="0"/>
        <w:spacing w:after="120" w:line="280" w:lineRule="atLeast"/>
        <w:rPr>
          <w:rFonts w:ascii="Calibri" w:hAnsi="Calibri"/>
        </w:rPr>
      </w:pPr>
      <w:r w:rsidRPr="006C24F3">
        <w:rPr>
          <w:rFonts w:ascii="Calibri" w:hAnsi="Calibri"/>
        </w:rPr>
        <w:t>Part B provides information and recommendations for public health authorities including, but not limited to, hospitals and jurisdictional health departments, when managing or investigating a situation where a HCW with a BBV was not compliant with these Guidelines and/or may have placed</w:t>
      </w:r>
      <w:r w:rsidRPr="00DF1E0C">
        <w:rPr>
          <w:rFonts w:ascii="Calibri" w:hAnsi="Calibri"/>
        </w:rPr>
        <w:t xml:space="preserve"> a patient(s) at risk of infection. </w:t>
      </w:r>
    </w:p>
    <w:p w14:paraId="7EAAC065" w14:textId="77777777" w:rsidR="002F1BC7" w:rsidRPr="00DF1E0C" w:rsidRDefault="002F1BC7" w:rsidP="002F1BC7">
      <w:pPr>
        <w:rPr>
          <w:rFonts w:eastAsia="Arial"/>
          <w:b/>
          <w:bCs/>
          <w:sz w:val="40"/>
          <w:szCs w:val="32"/>
          <w:lang w:val="en-AU"/>
        </w:rPr>
      </w:pPr>
      <w:r w:rsidRPr="00DF1E0C">
        <w:rPr>
          <w:sz w:val="28"/>
        </w:rPr>
        <w:br w:type="page"/>
      </w:r>
    </w:p>
    <w:p w14:paraId="77A3DD1F" w14:textId="77777777" w:rsidR="002F1BC7" w:rsidRPr="00DF1E0C" w:rsidRDefault="002F1BC7" w:rsidP="002F1BC7">
      <w:pPr>
        <w:pStyle w:val="Heading1"/>
        <w:spacing w:after="240"/>
        <w:rPr>
          <w:rFonts w:ascii="Calibri" w:hAnsi="Calibri"/>
          <w:sz w:val="40"/>
        </w:rPr>
      </w:pPr>
      <w:bookmarkStart w:id="8" w:name="_Toc480558256"/>
      <w:r w:rsidRPr="00DF1E0C">
        <w:rPr>
          <w:rFonts w:ascii="Calibri" w:hAnsi="Calibri"/>
          <w:sz w:val="40"/>
        </w:rPr>
        <w:lastRenderedPageBreak/>
        <w:t>Executive Summary</w:t>
      </w:r>
      <w:bookmarkEnd w:id="8"/>
    </w:p>
    <w:p w14:paraId="6466E6F8" w14:textId="77777777" w:rsidR="002F1BC7" w:rsidRPr="006C24F3" w:rsidRDefault="002F1BC7" w:rsidP="002F1BC7">
      <w:pPr>
        <w:pStyle w:val="BodyText"/>
        <w:widowControl/>
        <w:rPr>
          <w:rFonts w:ascii="Calibri" w:hAnsi="Calibri"/>
          <w:spacing w:val="0"/>
        </w:rPr>
      </w:pPr>
      <w:r w:rsidRPr="006C24F3">
        <w:rPr>
          <w:rFonts w:ascii="Calibri" w:hAnsi="Calibri"/>
          <w:spacing w:val="0"/>
        </w:rPr>
        <w:t>These national Guidelines articulate the current expert consensus on the evidence in relation to healthcare workers (HCWs)</w:t>
      </w:r>
      <w:r w:rsidRPr="006C24F3">
        <w:rPr>
          <w:rStyle w:val="FootnoteReference"/>
          <w:rFonts w:ascii="Calibri" w:eastAsiaTheme="majorEastAsia" w:hAnsi="Calibri"/>
          <w:spacing w:val="0"/>
        </w:rPr>
        <w:footnoteReference w:id="11"/>
      </w:r>
      <w:r w:rsidRPr="006C24F3">
        <w:rPr>
          <w:rFonts w:ascii="Calibri" w:hAnsi="Calibri"/>
          <w:spacing w:val="0"/>
        </w:rPr>
        <w:t xml:space="preserve"> and their blood borne virus (BBV) status. The recommendations in these Guidelines include measures related to the prevention of transmission from, and the management and treatment of HCWs with hepatitis B virus (HBV), hepatitis C virus (HCV) and/or human immunodeficiency virus (HIV). The foundations of these Guidelines rest upon the </w:t>
      </w:r>
      <w:r w:rsidRPr="006C24F3">
        <w:rPr>
          <w:rFonts w:ascii="Calibri" w:hAnsi="Calibri"/>
          <w:i/>
          <w:spacing w:val="0"/>
        </w:rPr>
        <w:t xml:space="preserve">primum non nocere </w:t>
      </w:r>
      <w:r w:rsidRPr="006C24F3">
        <w:rPr>
          <w:rFonts w:ascii="Calibri" w:hAnsi="Calibri"/>
          <w:spacing w:val="0"/>
        </w:rPr>
        <w:t xml:space="preserve">(first, do no harm) principle and that the HCW has a professional and ethical responsibility to take reasonable steps to know their BBV status. </w:t>
      </w:r>
    </w:p>
    <w:p w14:paraId="5AB7A9E9" w14:textId="77777777" w:rsidR="002F1BC7" w:rsidRPr="00EA36AA" w:rsidRDefault="002F1BC7" w:rsidP="002F1BC7">
      <w:pPr>
        <w:pStyle w:val="BodyText"/>
        <w:widowControl/>
        <w:rPr>
          <w:rFonts w:ascii="Calibri" w:hAnsi="Calibri"/>
        </w:rPr>
      </w:pPr>
      <w:r w:rsidRPr="006C24F3">
        <w:rPr>
          <w:rFonts w:ascii="Calibri" w:hAnsi="Calibri"/>
          <w:spacing w:val="0"/>
        </w:rPr>
        <w:t>There is a very low, but real, risk of transmission from a HCW with a BBV to a patient, despite best practice infection control practices, in Australian healthcare settings. There</w:t>
      </w:r>
      <w:r w:rsidRPr="00DF1E0C">
        <w:rPr>
          <w:rFonts w:ascii="Calibri" w:hAnsi="Calibri"/>
          <w:spacing w:val="0"/>
        </w:rPr>
        <w:t xml:space="preserve"> are certain types of procedures, </w:t>
      </w:r>
      <w:r>
        <w:rPr>
          <w:rFonts w:ascii="Calibri" w:hAnsi="Calibri"/>
          <w:spacing w:val="0"/>
        </w:rPr>
        <w:t>known as exposure prone procedures (</w:t>
      </w:r>
      <w:r w:rsidRPr="00DF1E0C">
        <w:rPr>
          <w:rFonts w:ascii="Calibri" w:hAnsi="Calibri"/>
          <w:spacing w:val="0"/>
        </w:rPr>
        <w:t>EPPs</w:t>
      </w:r>
      <w:r>
        <w:rPr>
          <w:rFonts w:ascii="Calibri" w:hAnsi="Calibri"/>
          <w:spacing w:val="0"/>
        </w:rPr>
        <w:t>)</w:t>
      </w:r>
      <w:r w:rsidRPr="00DF1E0C">
        <w:rPr>
          <w:rFonts w:ascii="Calibri" w:hAnsi="Calibri"/>
          <w:spacing w:val="0"/>
        </w:rPr>
        <w:t xml:space="preserve">, where it is possible that injury to the HCW could result in the worker’s blood coming into contact with the patient’s open tissues. Therefore, there is an increased risk of BBV transmission from either the HCW or the patient during EPPs. </w:t>
      </w:r>
      <w:r w:rsidRPr="00DF1E0C">
        <w:rPr>
          <w:rFonts w:ascii="Calibri" w:hAnsi="Calibri"/>
        </w:rPr>
        <w:t xml:space="preserve">The published evidence to date of </w:t>
      </w:r>
      <w:r w:rsidRPr="001516CF">
        <w:rPr>
          <w:rFonts w:ascii="Calibri" w:hAnsi="Calibri"/>
        </w:rPr>
        <w:t>infected HCW</w:t>
      </w:r>
      <w:r w:rsidRPr="00DF1E0C">
        <w:rPr>
          <w:rFonts w:ascii="Calibri" w:hAnsi="Calibri"/>
        </w:rPr>
        <w:t xml:space="preserve"> to patient and infected patient to HCW risk of BBV transmission has been reviewed, and is presented in </w:t>
      </w:r>
      <w:r w:rsidRPr="00EA36AA">
        <w:rPr>
          <w:rFonts w:ascii="Calibri" w:hAnsi="Calibri"/>
        </w:rPr>
        <w:fldChar w:fldCharType="begin"/>
      </w:r>
      <w:r w:rsidRPr="00EA36AA">
        <w:rPr>
          <w:rFonts w:ascii="Calibri" w:hAnsi="Calibri"/>
        </w:rPr>
        <w:instrText xml:space="preserve"> REF _Ref455653912 \h  \* MERGEFORMAT </w:instrText>
      </w:r>
      <w:r w:rsidRPr="00EA36AA">
        <w:rPr>
          <w:rFonts w:ascii="Calibri" w:hAnsi="Calibri"/>
        </w:rPr>
      </w:r>
      <w:r w:rsidRPr="00EA36AA">
        <w:rPr>
          <w:rFonts w:ascii="Calibri" w:hAnsi="Calibri"/>
        </w:rPr>
        <w:fldChar w:fldCharType="separate"/>
      </w:r>
      <w:r w:rsidRPr="00013F35">
        <w:rPr>
          <w:rFonts w:ascii="Calibri" w:hAnsi="Calibri" w:cs="Arial"/>
        </w:rPr>
        <w:t xml:space="preserve">Table </w:t>
      </w:r>
      <w:r w:rsidRPr="00013F35">
        <w:rPr>
          <w:rFonts w:ascii="Calibri" w:hAnsi="Calibri" w:cs="Arial"/>
          <w:noProof/>
        </w:rPr>
        <w:t>1</w:t>
      </w:r>
      <w:r w:rsidRPr="00EA36AA">
        <w:rPr>
          <w:rFonts w:ascii="Calibri" w:hAnsi="Calibri"/>
        </w:rPr>
        <w:fldChar w:fldCharType="end"/>
      </w:r>
      <w:r w:rsidRPr="00EA36AA">
        <w:rPr>
          <w:rFonts w:ascii="Calibri" w:hAnsi="Calibri"/>
        </w:rPr>
        <w:t>.</w:t>
      </w:r>
    </w:p>
    <w:p w14:paraId="52FE261C" w14:textId="77777777" w:rsidR="002F1BC7" w:rsidRPr="00DF1E0C" w:rsidRDefault="002F1BC7" w:rsidP="002F1BC7">
      <w:pPr>
        <w:pStyle w:val="Caption"/>
        <w:keepNext/>
        <w:rPr>
          <w:rFonts w:ascii="Calibri" w:hAnsi="Calibri" w:cs="Arial"/>
          <w:b w:val="0"/>
          <w:sz w:val="24"/>
        </w:rPr>
      </w:pPr>
      <w:bookmarkStart w:id="9" w:name="_Ref455653912"/>
      <w:r w:rsidRPr="00EA36AA">
        <w:rPr>
          <w:rFonts w:ascii="Calibri" w:hAnsi="Calibri" w:cs="Arial"/>
          <w:b w:val="0"/>
          <w:i/>
          <w:sz w:val="24"/>
        </w:rPr>
        <w:t xml:space="preserve">Table </w:t>
      </w:r>
      <w:r w:rsidRPr="00EA36AA">
        <w:rPr>
          <w:rFonts w:ascii="Calibri" w:hAnsi="Calibri" w:cs="Arial"/>
          <w:b w:val="0"/>
          <w:i/>
          <w:sz w:val="24"/>
        </w:rPr>
        <w:fldChar w:fldCharType="begin"/>
      </w:r>
      <w:r w:rsidRPr="00EA36AA">
        <w:rPr>
          <w:rFonts w:ascii="Calibri" w:hAnsi="Calibri" w:cs="Arial"/>
          <w:b w:val="0"/>
          <w:i/>
          <w:sz w:val="24"/>
        </w:rPr>
        <w:instrText xml:space="preserve"> SEQ Table \* ARABIC </w:instrText>
      </w:r>
      <w:r w:rsidRPr="00EA36AA">
        <w:rPr>
          <w:rFonts w:ascii="Calibri" w:hAnsi="Calibri" w:cs="Arial"/>
          <w:b w:val="0"/>
          <w:i/>
          <w:sz w:val="24"/>
        </w:rPr>
        <w:fldChar w:fldCharType="separate"/>
      </w:r>
      <w:r>
        <w:rPr>
          <w:rFonts w:ascii="Calibri" w:hAnsi="Calibri" w:cs="Arial"/>
          <w:b w:val="0"/>
          <w:i/>
          <w:noProof/>
          <w:sz w:val="24"/>
        </w:rPr>
        <w:t>1</w:t>
      </w:r>
      <w:r w:rsidRPr="00EA36AA">
        <w:rPr>
          <w:rFonts w:ascii="Calibri" w:hAnsi="Calibri" w:cs="Arial"/>
          <w:b w:val="0"/>
          <w:i/>
          <w:sz w:val="24"/>
        </w:rPr>
        <w:fldChar w:fldCharType="end"/>
      </w:r>
      <w:bookmarkEnd w:id="9"/>
      <w:r w:rsidRPr="00DF1E0C">
        <w:rPr>
          <w:rFonts w:ascii="Calibri" w:hAnsi="Calibri" w:cs="Arial"/>
          <w:b w:val="0"/>
          <w:i/>
          <w:sz w:val="24"/>
        </w:rPr>
        <w:t>:</w:t>
      </w:r>
      <w:r w:rsidRPr="00DF1E0C">
        <w:rPr>
          <w:rFonts w:ascii="Calibri" w:hAnsi="Calibri" w:cs="Arial"/>
          <w:b w:val="0"/>
          <w:sz w:val="24"/>
        </w:rPr>
        <w:t xml:space="preserve"> </w:t>
      </w:r>
      <w:r w:rsidRPr="00DF1E0C">
        <w:rPr>
          <w:rFonts w:ascii="Calibri" w:hAnsi="Calibri" w:cs="Arial"/>
          <w:b w:val="0"/>
          <w:i/>
          <w:sz w:val="24"/>
        </w:rPr>
        <w:t xml:space="preserve">Risk of BBV transmission per exposure episode from untreated </w:t>
      </w:r>
      <w:r w:rsidRPr="001516CF">
        <w:rPr>
          <w:rFonts w:ascii="Calibri" w:hAnsi="Calibri" w:cs="Arial"/>
          <w:b w:val="0"/>
          <w:i/>
          <w:sz w:val="24"/>
        </w:rPr>
        <w:t>infected HCW</w:t>
      </w:r>
      <w:r w:rsidRPr="00DF1E0C">
        <w:rPr>
          <w:rFonts w:ascii="Calibri" w:hAnsi="Calibri" w:cs="Arial"/>
          <w:b w:val="0"/>
          <w:i/>
          <w:sz w:val="24"/>
        </w:rPr>
        <w:t xml:space="preserve"> to patient and</w:t>
      </w:r>
      <w:r>
        <w:rPr>
          <w:rFonts w:ascii="Calibri" w:hAnsi="Calibri" w:cs="Arial"/>
          <w:b w:val="0"/>
          <w:i/>
          <w:sz w:val="24"/>
        </w:rPr>
        <w:t xml:space="preserve"> untreated</w:t>
      </w:r>
      <w:r w:rsidRPr="00DF1E0C">
        <w:rPr>
          <w:rFonts w:ascii="Calibri" w:hAnsi="Calibri" w:cs="Arial"/>
          <w:b w:val="0"/>
          <w:i/>
          <w:sz w:val="24"/>
        </w:rPr>
        <w:t xml:space="preserve"> infected patient to HCW</w:t>
      </w:r>
      <w:r>
        <w:rPr>
          <w:rFonts w:ascii="Calibri" w:hAnsi="Calibri" w:cs="Arial"/>
          <w:b w:val="0"/>
          <w:i/>
          <w:sz w:val="24"/>
        </w:rPr>
        <w:t xml:space="preserve"> (in the absence of additional risk management)</w:t>
      </w:r>
      <w:r w:rsidRPr="00DF1E0C">
        <w:rPr>
          <w:rFonts w:ascii="Calibri" w:hAnsi="Calibri" w:cs="Arial"/>
          <w:b w:val="0"/>
          <w:i/>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2841"/>
        <w:gridCol w:w="2841"/>
      </w:tblGrid>
      <w:tr w:rsidR="002F1BC7" w:rsidRPr="003049C5" w14:paraId="07BF3555" w14:textId="77777777" w:rsidTr="00FF0ED0">
        <w:trPr>
          <w:trHeight w:val="460"/>
        </w:trPr>
        <w:tc>
          <w:tcPr>
            <w:tcW w:w="2840" w:type="dxa"/>
          </w:tcPr>
          <w:p w14:paraId="7B08F189" w14:textId="77777777" w:rsidR="002F1BC7" w:rsidRPr="003049C5" w:rsidRDefault="002F1BC7" w:rsidP="00FF0ED0">
            <w:pPr>
              <w:rPr>
                <w:rStyle w:val="IntenseReference"/>
                <w:rFonts w:ascii="Times New Roman" w:hAnsi="Times New Roman"/>
                <w:b w:val="0"/>
                <w:bCs w:val="0"/>
                <w:sz w:val="18"/>
                <w:szCs w:val="18"/>
                <w:lang w:val="en-AU"/>
              </w:rPr>
            </w:pPr>
            <w:r w:rsidRPr="003049C5">
              <w:rPr>
                <w:rStyle w:val="IntenseReference"/>
                <w:rFonts w:cs="Arial"/>
                <w:color w:val="auto"/>
                <w:szCs w:val="20"/>
              </w:rPr>
              <w:t>Blood Borne Virus</w:t>
            </w:r>
          </w:p>
        </w:tc>
        <w:tc>
          <w:tcPr>
            <w:tcW w:w="2841" w:type="dxa"/>
          </w:tcPr>
          <w:p w14:paraId="21270E28" w14:textId="77777777" w:rsidR="002F1BC7" w:rsidRPr="003049C5" w:rsidRDefault="002F1BC7" w:rsidP="00FF0ED0">
            <w:pPr>
              <w:rPr>
                <w:rStyle w:val="IntenseReference"/>
              </w:rPr>
            </w:pPr>
            <w:r w:rsidRPr="003049C5">
              <w:rPr>
                <w:rStyle w:val="IntenseReference"/>
                <w:rFonts w:cs="Arial"/>
                <w:color w:val="auto"/>
                <w:szCs w:val="20"/>
              </w:rPr>
              <w:t>Risk of infected HCW to patient transmission</w:t>
            </w:r>
          </w:p>
        </w:tc>
        <w:tc>
          <w:tcPr>
            <w:tcW w:w="2841" w:type="dxa"/>
          </w:tcPr>
          <w:p w14:paraId="7256D1E5" w14:textId="77777777" w:rsidR="002F1BC7" w:rsidRPr="003049C5" w:rsidRDefault="002F1BC7" w:rsidP="00FF0ED0">
            <w:pPr>
              <w:rPr>
                <w:rStyle w:val="IntenseReference"/>
              </w:rPr>
            </w:pPr>
            <w:r w:rsidRPr="003049C5">
              <w:rPr>
                <w:rStyle w:val="IntenseReference"/>
                <w:rFonts w:cs="Arial"/>
                <w:color w:val="auto"/>
                <w:szCs w:val="20"/>
              </w:rPr>
              <w:t>Risk of infected patient to HCW transmission</w:t>
            </w:r>
          </w:p>
        </w:tc>
      </w:tr>
      <w:tr w:rsidR="002F1BC7" w:rsidRPr="003049C5" w14:paraId="4143B6EA" w14:textId="77777777" w:rsidTr="00FF0ED0">
        <w:trPr>
          <w:trHeight w:val="460"/>
        </w:trPr>
        <w:tc>
          <w:tcPr>
            <w:tcW w:w="2840" w:type="dxa"/>
          </w:tcPr>
          <w:p w14:paraId="4D6DAA29" w14:textId="77777777" w:rsidR="002F1BC7" w:rsidRPr="003049C5" w:rsidRDefault="002F1BC7" w:rsidP="00FF0ED0">
            <w:pPr>
              <w:rPr>
                <w:rStyle w:val="IntenseReference"/>
              </w:rPr>
            </w:pPr>
            <w:r w:rsidRPr="003049C5">
              <w:rPr>
                <w:rStyle w:val="IntenseReference"/>
                <w:rFonts w:cs="Arial"/>
                <w:color w:val="auto"/>
                <w:szCs w:val="20"/>
              </w:rPr>
              <w:t>Hepatitis B virus</w:t>
            </w:r>
          </w:p>
        </w:tc>
        <w:tc>
          <w:tcPr>
            <w:tcW w:w="2841" w:type="dxa"/>
          </w:tcPr>
          <w:p w14:paraId="0325CE26" w14:textId="77777777" w:rsidR="002F1BC7" w:rsidRPr="003049C5" w:rsidRDefault="002F1BC7" w:rsidP="00FF0ED0">
            <w:pPr>
              <w:rPr>
                <w:rStyle w:val="IntenseReference"/>
              </w:rPr>
            </w:pPr>
            <w:r w:rsidRPr="003049C5">
              <w:rPr>
                <w:rStyle w:val="IntenseReference"/>
                <w:rFonts w:cs="Arial"/>
                <w:color w:val="auto"/>
                <w:szCs w:val="20"/>
              </w:rPr>
              <w:t>0.2% - 13.19%</w:t>
            </w:r>
          </w:p>
        </w:tc>
        <w:tc>
          <w:tcPr>
            <w:tcW w:w="2841" w:type="dxa"/>
          </w:tcPr>
          <w:p w14:paraId="5C6246D1" w14:textId="77777777" w:rsidR="002F1BC7" w:rsidRPr="003049C5" w:rsidRDefault="002F1BC7" w:rsidP="00FF0ED0">
            <w:pPr>
              <w:rPr>
                <w:rStyle w:val="IntenseReference"/>
              </w:rPr>
            </w:pPr>
            <w:r w:rsidRPr="003049C5">
              <w:rPr>
                <w:rStyle w:val="IntenseReference"/>
                <w:rFonts w:cs="Arial"/>
                <w:color w:val="auto"/>
                <w:szCs w:val="20"/>
              </w:rPr>
              <w:t>1% - 62%*</w:t>
            </w:r>
          </w:p>
        </w:tc>
      </w:tr>
      <w:tr w:rsidR="002F1BC7" w:rsidRPr="003049C5" w14:paraId="1CCE2481" w14:textId="77777777" w:rsidTr="00FF0ED0">
        <w:trPr>
          <w:trHeight w:val="460"/>
        </w:trPr>
        <w:tc>
          <w:tcPr>
            <w:tcW w:w="2840" w:type="dxa"/>
          </w:tcPr>
          <w:p w14:paraId="5DCD0A92" w14:textId="77777777" w:rsidR="002F1BC7" w:rsidRPr="003049C5" w:rsidRDefault="002F1BC7" w:rsidP="00FF0ED0">
            <w:pPr>
              <w:rPr>
                <w:rStyle w:val="IntenseReference"/>
              </w:rPr>
            </w:pPr>
            <w:r w:rsidRPr="003049C5">
              <w:rPr>
                <w:rStyle w:val="IntenseReference"/>
                <w:rFonts w:cs="Arial"/>
                <w:color w:val="auto"/>
                <w:szCs w:val="20"/>
              </w:rPr>
              <w:t>Hepatitis C virus</w:t>
            </w:r>
          </w:p>
        </w:tc>
        <w:tc>
          <w:tcPr>
            <w:tcW w:w="2841" w:type="dxa"/>
          </w:tcPr>
          <w:p w14:paraId="1E1B5B88" w14:textId="77777777" w:rsidR="002F1BC7" w:rsidRPr="003049C5" w:rsidRDefault="002F1BC7" w:rsidP="00FF0ED0">
            <w:pPr>
              <w:rPr>
                <w:rStyle w:val="IntenseReference"/>
              </w:rPr>
            </w:pPr>
            <w:r w:rsidRPr="003049C5">
              <w:rPr>
                <w:rStyle w:val="IntenseReference"/>
                <w:rFonts w:cs="Arial"/>
                <w:color w:val="auto"/>
                <w:szCs w:val="20"/>
              </w:rPr>
              <w:t>0.04% - 4.35%</w:t>
            </w:r>
          </w:p>
        </w:tc>
        <w:tc>
          <w:tcPr>
            <w:tcW w:w="2841" w:type="dxa"/>
          </w:tcPr>
          <w:p w14:paraId="1A9337BE" w14:textId="77777777" w:rsidR="002F1BC7" w:rsidRPr="003049C5" w:rsidRDefault="002F1BC7" w:rsidP="00FF0ED0">
            <w:pPr>
              <w:rPr>
                <w:rStyle w:val="IntenseReference"/>
              </w:rPr>
            </w:pPr>
            <w:r w:rsidRPr="003049C5">
              <w:rPr>
                <w:rStyle w:val="IntenseReference"/>
                <w:rFonts w:cs="Arial"/>
                <w:color w:val="auto"/>
                <w:szCs w:val="20"/>
              </w:rPr>
              <w:t>0% - 7%</w:t>
            </w:r>
          </w:p>
        </w:tc>
      </w:tr>
      <w:tr w:rsidR="002F1BC7" w:rsidRPr="003049C5" w14:paraId="3D656770" w14:textId="77777777" w:rsidTr="00FF0ED0">
        <w:trPr>
          <w:trHeight w:val="460"/>
        </w:trPr>
        <w:tc>
          <w:tcPr>
            <w:tcW w:w="2840" w:type="dxa"/>
          </w:tcPr>
          <w:p w14:paraId="2B5B3059" w14:textId="77777777" w:rsidR="002F1BC7" w:rsidRPr="003049C5" w:rsidRDefault="002F1BC7" w:rsidP="00FF0ED0">
            <w:pPr>
              <w:rPr>
                <w:rStyle w:val="IntenseReference"/>
              </w:rPr>
            </w:pPr>
            <w:r w:rsidRPr="003049C5">
              <w:rPr>
                <w:lang w:val="en-AU"/>
              </w:rPr>
              <w:t>Human immunodeficiency virus</w:t>
            </w:r>
          </w:p>
        </w:tc>
        <w:tc>
          <w:tcPr>
            <w:tcW w:w="2841" w:type="dxa"/>
          </w:tcPr>
          <w:p w14:paraId="645A84BF" w14:textId="77777777" w:rsidR="002F1BC7" w:rsidRPr="003049C5" w:rsidRDefault="002F1BC7" w:rsidP="00FF0ED0">
            <w:pPr>
              <w:rPr>
                <w:rStyle w:val="IntenseReference"/>
              </w:rPr>
            </w:pPr>
            <w:r w:rsidRPr="003049C5">
              <w:rPr>
                <w:rStyle w:val="IntenseReference"/>
                <w:rFonts w:cs="Arial"/>
                <w:color w:val="auto"/>
                <w:szCs w:val="20"/>
              </w:rPr>
              <w:t>0.0000024% - 0.000024%</w:t>
            </w:r>
          </w:p>
        </w:tc>
        <w:tc>
          <w:tcPr>
            <w:tcW w:w="2841" w:type="dxa"/>
          </w:tcPr>
          <w:p w14:paraId="7FA378FC" w14:textId="77777777" w:rsidR="002F1BC7" w:rsidRPr="003049C5" w:rsidRDefault="002F1BC7" w:rsidP="00FF0ED0">
            <w:pPr>
              <w:rPr>
                <w:rStyle w:val="IntenseReference"/>
              </w:rPr>
            </w:pPr>
            <w:r w:rsidRPr="003049C5">
              <w:rPr>
                <w:rStyle w:val="IntenseReference"/>
                <w:rFonts w:cs="Arial"/>
                <w:color w:val="auto"/>
                <w:szCs w:val="20"/>
              </w:rPr>
              <w:t>0.3%</w:t>
            </w:r>
          </w:p>
        </w:tc>
      </w:tr>
    </w:tbl>
    <w:p w14:paraId="763E1252" w14:textId="77777777" w:rsidR="002F1BC7" w:rsidRPr="00DF1E0C" w:rsidRDefault="002F1BC7" w:rsidP="002F1BC7">
      <w:pPr>
        <w:rPr>
          <w:rStyle w:val="IntenseReference"/>
        </w:rPr>
      </w:pPr>
      <w:r w:rsidRPr="00DF1E0C">
        <w:rPr>
          <w:rStyle w:val="IntenseReference"/>
          <w:rFonts w:cs="Arial"/>
          <w:color w:val="auto"/>
          <w:sz w:val="20"/>
          <w:szCs w:val="20"/>
        </w:rPr>
        <w:t>* There is a wide variability in infectiousness of people with hepatitis B reported in the literature and this depends on their hepatitis B e-antigen status.</w:t>
      </w:r>
    </w:p>
    <w:p w14:paraId="4651BD70" w14:textId="77777777" w:rsidR="002F1BC7" w:rsidRPr="00EE6A88" w:rsidRDefault="002F1BC7" w:rsidP="002F1BC7">
      <w:pPr>
        <w:pStyle w:val="BodyText"/>
        <w:widowControl/>
        <w:spacing w:before="120"/>
        <w:rPr>
          <w:rFonts w:ascii="Calibri" w:hAnsi="Calibri"/>
          <w:spacing w:val="0"/>
        </w:rPr>
      </w:pPr>
      <w:r w:rsidRPr="00EE6A88">
        <w:rPr>
          <w:rFonts w:ascii="Calibri" w:hAnsi="Calibri"/>
          <w:spacing w:val="0"/>
        </w:rPr>
        <w:t>To mitigate this risk, HCWs with a BBV must not perform EPPs unless complying with these Guidelines.</w:t>
      </w:r>
      <w:r w:rsidRPr="00EE6A88">
        <w:rPr>
          <w:rFonts w:ascii="Calibri" w:hAnsi="Calibri"/>
        </w:rPr>
        <w:t xml:space="preserve"> </w:t>
      </w:r>
      <w:r w:rsidRPr="00EE6A88">
        <w:rPr>
          <w:rFonts w:ascii="Calibri" w:hAnsi="Calibri"/>
          <w:spacing w:val="0"/>
        </w:rPr>
        <w:t>In addition, all HCWs who undertake EPPs must take reasonable steps to know their BBV status and should be tested</w:t>
      </w:r>
      <w:r w:rsidRPr="00EE6A88">
        <w:rPr>
          <w:rFonts w:ascii="Calibri" w:hAnsi="Calibri"/>
          <w:vertAlign w:val="superscript"/>
        </w:rPr>
        <w:footnoteReference w:id="12"/>
      </w:r>
      <w:r w:rsidRPr="00EE6A88">
        <w:rPr>
          <w:rFonts w:ascii="Calibri" w:hAnsi="Calibri"/>
          <w:spacing w:val="0"/>
        </w:rPr>
        <w:t xml:space="preserve"> for BBVs at least once every three years</w:t>
      </w:r>
      <w:r>
        <w:rPr>
          <w:rFonts w:ascii="Calibri" w:hAnsi="Calibri"/>
          <w:spacing w:val="0"/>
        </w:rPr>
        <w:t>.</w:t>
      </w:r>
      <w:r w:rsidRPr="00EE6A88">
        <w:rPr>
          <w:rFonts w:ascii="Calibri" w:hAnsi="Calibri"/>
          <w:spacing w:val="0"/>
        </w:rPr>
        <w:t xml:space="preserve"> HCWs must also be tested for BBVs after the occurrence of any potential occupational exposure incident.</w:t>
      </w:r>
      <w:r w:rsidRPr="00DF1E0C">
        <w:rPr>
          <w:rFonts w:ascii="Calibri" w:hAnsi="Calibri"/>
          <w:spacing w:val="0"/>
        </w:rPr>
        <w:t xml:space="preserve"> In addition, H</w:t>
      </w:r>
      <w:r w:rsidRPr="00DF1E0C">
        <w:rPr>
          <w:rFonts w:ascii="Calibri" w:hAnsi="Calibri"/>
        </w:rPr>
        <w:t xml:space="preserve">CWs </w:t>
      </w:r>
      <w:r w:rsidRPr="00F27224">
        <w:rPr>
          <w:rFonts w:ascii="Calibri" w:hAnsi="Calibri"/>
        </w:rPr>
        <w:t xml:space="preserve">who are exposed to risks for BBV transmission in non-occupational settings should be aware of national recommendations for testing frequencies that sit outside of these Guidelines. </w:t>
      </w:r>
      <w:r w:rsidRPr="00F27224">
        <w:rPr>
          <w:rFonts w:ascii="Calibri" w:hAnsi="Calibri"/>
          <w:spacing w:val="0"/>
        </w:rPr>
        <w:t>All registered HCWs who perform EPPs must confirm when applying for renewal of registration that they comply with these Guidelines.</w:t>
      </w:r>
    </w:p>
    <w:p w14:paraId="48DD5006" w14:textId="77777777" w:rsidR="002F1BC7" w:rsidRPr="00DF1E0C" w:rsidRDefault="002F1BC7" w:rsidP="002F1BC7">
      <w:pPr>
        <w:pStyle w:val="BodyText"/>
        <w:widowControl/>
        <w:rPr>
          <w:rFonts w:ascii="Calibri" w:hAnsi="Calibri"/>
          <w:spacing w:val="0"/>
        </w:rPr>
      </w:pPr>
      <w:r w:rsidRPr="00F27224">
        <w:rPr>
          <w:rFonts w:ascii="Calibri" w:hAnsi="Calibri"/>
          <w:b/>
          <w:spacing w:val="0"/>
        </w:rPr>
        <w:lastRenderedPageBreak/>
        <w:fldChar w:fldCharType="begin"/>
      </w:r>
      <w:r w:rsidRPr="00F27224">
        <w:rPr>
          <w:rFonts w:ascii="Calibri" w:hAnsi="Calibri"/>
          <w:b/>
          <w:spacing w:val="0"/>
        </w:rPr>
        <w:instrText xml:space="preserve"> REF _Ref455738702 \h  \* MERGEFORMAT </w:instrText>
      </w:r>
      <w:r w:rsidRPr="00F27224">
        <w:rPr>
          <w:rFonts w:ascii="Calibri" w:hAnsi="Calibri"/>
          <w:b/>
          <w:spacing w:val="0"/>
        </w:rPr>
      </w:r>
      <w:r w:rsidRPr="00F27224">
        <w:rPr>
          <w:rFonts w:ascii="Calibri" w:hAnsi="Calibri"/>
          <w:b/>
          <w:spacing w:val="0"/>
        </w:rPr>
        <w:fldChar w:fldCharType="separate"/>
      </w:r>
      <w:r w:rsidRPr="00013F35">
        <w:rPr>
          <w:rFonts w:ascii="Calibri" w:hAnsi="Calibri"/>
          <w:b/>
          <w:spacing w:val="0"/>
        </w:rPr>
        <w:t>Part A</w:t>
      </w:r>
      <w:r w:rsidRPr="00F27224">
        <w:rPr>
          <w:rFonts w:ascii="Calibri" w:hAnsi="Calibri"/>
          <w:b/>
          <w:spacing w:val="0"/>
        </w:rPr>
        <w:fldChar w:fldCharType="end"/>
      </w:r>
      <w:r w:rsidRPr="00EE6A88">
        <w:rPr>
          <w:rFonts w:ascii="Calibri" w:hAnsi="Calibri"/>
          <w:spacing w:val="0"/>
        </w:rPr>
        <w:t xml:space="preserve"> of these Guidelines provides key recommendations for all HCWs, particularly those who perform EPPs. Information and recommendations for the management of HCWs living with a specific BBV can</w:t>
      </w:r>
      <w:r w:rsidRPr="00DF1E0C">
        <w:rPr>
          <w:rFonts w:ascii="Calibri" w:hAnsi="Calibri"/>
          <w:spacing w:val="0"/>
        </w:rPr>
        <w:t xml:space="preserve"> be found in separate sections within Part A of these </w:t>
      </w:r>
      <w:r>
        <w:rPr>
          <w:rFonts w:ascii="Calibri" w:hAnsi="Calibri"/>
          <w:spacing w:val="0"/>
        </w:rPr>
        <w:t>Guidelines</w:t>
      </w:r>
      <w:r w:rsidRPr="00DF1E0C">
        <w:rPr>
          <w:rFonts w:ascii="Calibri" w:hAnsi="Calibri"/>
          <w:spacing w:val="0"/>
        </w:rPr>
        <w:t>, which must be read in conjunction with the remainder of Part A. These recommendations operate on the understanding that HCWs diagnosed with a BBV follow their professional obligation to seek advice about personal care and work practices.</w:t>
      </w:r>
    </w:p>
    <w:p w14:paraId="6D53C3F4" w14:textId="77777777" w:rsidR="002F1BC7" w:rsidRPr="00DF1E0C" w:rsidRDefault="002F1BC7" w:rsidP="002F1BC7">
      <w:pPr>
        <w:pStyle w:val="BodyText"/>
        <w:widowControl/>
        <w:rPr>
          <w:rFonts w:ascii="Calibri" w:hAnsi="Calibri"/>
          <w:spacing w:val="0"/>
        </w:rPr>
      </w:pPr>
      <w:r w:rsidRPr="00F27224">
        <w:rPr>
          <w:rFonts w:ascii="Calibri" w:hAnsi="Calibri"/>
          <w:b/>
          <w:spacing w:val="0"/>
        </w:rPr>
        <w:t>Part B</w:t>
      </w:r>
      <w:r w:rsidRPr="00EE6A88">
        <w:rPr>
          <w:rFonts w:ascii="Calibri" w:hAnsi="Calibri"/>
          <w:spacing w:val="0"/>
        </w:rPr>
        <w:t xml:space="preserve"> of these Guidelines provides recommendations for public health authorities about the management of patients following exposure to the blood and/or bodily fluid of a HCW with a BBV. Indications for when a lookback is required are detailed for potential iatrogenic transmission of a BBV, and for when a HCW who performs EPPs is newly diagnosed with a BBV. All states and territories should have implementation procedures that are consistent with these Guidelines.</w:t>
      </w:r>
      <w:r w:rsidRPr="00DF1E0C">
        <w:rPr>
          <w:rFonts w:ascii="Calibri" w:hAnsi="Calibri"/>
          <w:spacing w:val="0"/>
        </w:rPr>
        <w:t xml:space="preserve"> </w:t>
      </w:r>
    </w:p>
    <w:p w14:paraId="4191564F" w14:textId="77777777" w:rsidR="002F1BC7" w:rsidRDefault="002F1BC7" w:rsidP="002F1BC7">
      <w:pPr>
        <w:rPr>
          <w:rFonts w:eastAsia="Arial"/>
          <w:szCs w:val="20"/>
          <w:lang w:val="en-AU"/>
        </w:rPr>
      </w:pPr>
      <w:r>
        <w:rPr>
          <w:lang w:val="en-AU"/>
        </w:rPr>
        <w:br w:type="page"/>
      </w:r>
    </w:p>
    <w:p w14:paraId="7FA8F979" w14:textId="77777777" w:rsidR="002F1BC7" w:rsidRPr="00C51B9F" w:rsidRDefault="002F1BC7" w:rsidP="002F1BC7">
      <w:pPr>
        <w:pStyle w:val="BodyText"/>
        <w:widowControl/>
        <w:spacing w:before="120"/>
        <w:rPr>
          <w:rFonts w:ascii="Calibri" w:hAnsi="Calibri"/>
          <w:b/>
          <w:spacing w:val="0"/>
        </w:rPr>
      </w:pPr>
      <w:r w:rsidRPr="00C51B9F">
        <w:rPr>
          <w:rFonts w:ascii="Calibri" w:hAnsi="Calibri"/>
          <w:b/>
          <w:spacing w:val="0"/>
        </w:rPr>
        <w:lastRenderedPageBreak/>
        <w:t>Key recommendations for all HCWs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2F1BC7" w:rsidRPr="003049C5" w14:paraId="58B21D43" w14:textId="77777777" w:rsidTr="00FF0ED0">
        <w:tc>
          <w:tcPr>
            <w:tcW w:w="8522" w:type="dxa"/>
          </w:tcPr>
          <w:p w14:paraId="1077A2ED" w14:textId="77777777" w:rsidR="002F1BC7" w:rsidRPr="003049C5" w:rsidRDefault="002F1BC7" w:rsidP="00FF0ED0">
            <w:pPr>
              <w:pStyle w:val="BodyText"/>
              <w:widowControl/>
              <w:spacing w:before="120"/>
              <w:rPr>
                <w:rFonts w:ascii="Calibri" w:hAnsi="Calibri"/>
                <w:spacing w:val="0"/>
              </w:rPr>
            </w:pPr>
            <w:r w:rsidRPr="003049C5">
              <w:rPr>
                <w:rFonts w:ascii="Calibri" w:hAnsi="Calibri"/>
                <w:spacing w:val="0"/>
              </w:rPr>
              <w:t>All HCWs should be encouraged to undertake regular testing for BBVs.</w:t>
            </w:r>
          </w:p>
        </w:tc>
      </w:tr>
      <w:tr w:rsidR="002F1BC7" w:rsidRPr="003049C5" w14:paraId="1F33673D" w14:textId="77777777" w:rsidTr="00FF0ED0">
        <w:tc>
          <w:tcPr>
            <w:tcW w:w="8522" w:type="dxa"/>
          </w:tcPr>
          <w:p w14:paraId="441971E6" w14:textId="77777777" w:rsidR="002F1BC7" w:rsidRPr="003049C5" w:rsidRDefault="002F1BC7" w:rsidP="00FF0ED0">
            <w:pPr>
              <w:pStyle w:val="BodyText"/>
              <w:widowControl/>
              <w:spacing w:before="120"/>
              <w:rPr>
                <w:rFonts w:ascii="Calibri" w:hAnsi="Calibri"/>
                <w:spacing w:val="0"/>
              </w:rPr>
            </w:pPr>
            <w:r w:rsidRPr="003049C5">
              <w:rPr>
                <w:rFonts w:ascii="Calibri" w:hAnsi="Calibri"/>
                <w:spacing w:val="0"/>
              </w:rPr>
              <w:t>All HCWs have the right to access confidential testing, counselling, support and treatment.</w:t>
            </w:r>
          </w:p>
        </w:tc>
      </w:tr>
      <w:tr w:rsidR="002F1BC7" w:rsidRPr="003049C5" w14:paraId="7CAA0A45" w14:textId="77777777" w:rsidTr="00FF0ED0">
        <w:tc>
          <w:tcPr>
            <w:tcW w:w="8522" w:type="dxa"/>
          </w:tcPr>
          <w:p w14:paraId="120C4B1B" w14:textId="77777777" w:rsidR="002F1BC7" w:rsidRPr="003049C5" w:rsidRDefault="002F1BC7" w:rsidP="00FF0ED0">
            <w:pPr>
              <w:pStyle w:val="BodyText"/>
              <w:widowControl/>
              <w:spacing w:before="120"/>
              <w:rPr>
                <w:rFonts w:ascii="Calibri" w:hAnsi="Calibri"/>
                <w:spacing w:val="0"/>
              </w:rPr>
            </w:pPr>
            <w:r w:rsidRPr="003049C5">
              <w:rPr>
                <w:rFonts w:ascii="Calibri" w:hAnsi="Calibri"/>
                <w:spacing w:val="0"/>
              </w:rPr>
              <w:t>All HCWs should be vaccinated against HBV.</w:t>
            </w:r>
          </w:p>
        </w:tc>
      </w:tr>
    </w:tbl>
    <w:p w14:paraId="2258F380" w14:textId="77777777" w:rsidR="002F1BC7" w:rsidRPr="00DF1E0C" w:rsidRDefault="002F1BC7" w:rsidP="002F1BC7">
      <w:pPr>
        <w:pStyle w:val="BodyText"/>
        <w:widowControl/>
        <w:spacing w:before="120"/>
        <w:rPr>
          <w:rFonts w:ascii="Calibri" w:hAnsi="Calibri"/>
          <w:spacing w:val="0"/>
        </w:rPr>
      </w:pPr>
    </w:p>
    <w:p w14:paraId="498247D9" w14:textId="77777777" w:rsidR="002F1BC7" w:rsidRPr="00C51B9F" w:rsidRDefault="002F1BC7" w:rsidP="002F1BC7">
      <w:pPr>
        <w:pStyle w:val="BodyText"/>
        <w:widowControl/>
        <w:spacing w:before="120"/>
        <w:rPr>
          <w:rFonts w:ascii="Calibri" w:hAnsi="Calibri"/>
          <w:b/>
          <w:spacing w:val="0"/>
        </w:rPr>
      </w:pPr>
      <w:r w:rsidRPr="00C51B9F">
        <w:rPr>
          <w:rFonts w:ascii="Calibri" w:hAnsi="Calibri"/>
          <w:b/>
          <w:spacing w:val="0"/>
        </w:rPr>
        <w:t>Key recommendations for HCWs who perform EPPs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2F1BC7" w:rsidRPr="003049C5" w14:paraId="131FB61F" w14:textId="77777777" w:rsidTr="00FF0ED0">
        <w:tc>
          <w:tcPr>
            <w:tcW w:w="8522" w:type="dxa"/>
          </w:tcPr>
          <w:p w14:paraId="260B1B36" w14:textId="77777777" w:rsidR="002F1BC7" w:rsidRPr="003049C5" w:rsidRDefault="002F1BC7" w:rsidP="00FF0ED0">
            <w:pPr>
              <w:pStyle w:val="BodyText"/>
              <w:widowControl/>
              <w:spacing w:before="120"/>
              <w:rPr>
                <w:rFonts w:ascii="Calibri" w:hAnsi="Calibri"/>
                <w:spacing w:val="0"/>
              </w:rPr>
            </w:pPr>
            <w:r w:rsidRPr="003049C5">
              <w:rPr>
                <w:rFonts w:ascii="Calibri" w:hAnsi="Calibri"/>
                <w:spacing w:val="0"/>
              </w:rPr>
              <w:t>HCWs who undertake EPPs must take reasonable steps to know their BBV status and should be tested for BBVs at least once every three years.</w:t>
            </w:r>
          </w:p>
        </w:tc>
      </w:tr>
      <w:tr w:rsidR="002F1BC7" w:rsidRPr="003049C5" w14:paraId="392EF4D4" w14:textId="77777777" w:rsidTr="00FF0ED0">
        <w:tc>
          <w:tcPr>
            <w:tcW w:w="8522" w:type="dxa"/>
          </w:tcPr>
          <w:p w14:paraId="429A6C06" w14:textId="77777777" w:rsidR="002F1BC7" w:rsidRPr="003049C5" w:rsidRDefault="002F1BC7" w:rsidP="00FF0ED0">
            <w:pPr>
              <w:pStyle w:val="BodyText"/>
              <w:widowControl/>
              <w:spacing w:before="120"/>
              <w:rPr>
                <w:rFonts w:ascii="Calibri" w:hAnsi="Calibri"/>
                <w:spacing w:val="0"/>
              </w:rPr>
            </w:pPr>
            <w:r w:rsidRPr="00F27224">
              <w:rPr>
                <w:rFonts w:ascii="Calibri" w:hAnsi="Calibri"/>
                <w:spacing w:val="0"/>
              </w:rPr>
              <w:t>All registered HCWs who undertake EPPs must declare when applying for renewal of registration that they are complying with, and have been tested in accordance with these Guidelines.</w:t>
            </w:r>
            <w:r w:rsidRPr="003049C5">
              <w:rPr>
                <w:rFonts w:ascii="Calibri" w:hAnsi="Calibri"/>
                <w:spacing w:val="0"/>
              </w:rPr>
              <w:t xml:space="preserve"> </w:t>
            </w:r>
          </w:p>
        </w:tc>
      </w:tr>
      <w:tr w:rsidR="002F1BC7" w:rsidRPr="003049C5" w14:paraId="321B684C" w14:textId="77777777" w:rsidTr="00FF0ED0">
        <w:tc>
          <w:tcPr>
            <w:tcW w:w="8522" w:type="dxa"/>
          </w:tcPr>
          <w:p w14:paraId="597329E7" w14:textId="77777777" w:rsidR="002F1BC7" w:rsidRPr="003049C5" w:rsidRDefault="002F1BC7" w:rsidP="00FF0ED0">
            <w:pPr>
              <w:pStyle w:val="BodyText"/>
              <w:widowControl/>
              <w:spacing w:before="120"/>
              <w:rPr>
                <w:rFonts w:ascii="Calibri" w:hAnsi="Calibri"/>
                <w:spacing w:val="0"/>
              </w:rPr>
            </w:pPr>
            <w:r w:rsidRPr="003049C5">
              <w:rPr>
                <w:rFonts w:ascii="Calibri" w:hAnsi="Calibri"/>
                <w:spacing w:val="0"/>
              </w:rPr>
              <w:t>All HCWs who undertake EPPs should understand their obligation to report their BBVs status, if required, under jurisdictional legislation and/or policies.</w:t>
            </w:r>
          </w:p>
        </w:tc>
      </w:tr>
      <w:tr w:rsidR="002F1BC7" w:rsidRPr="003049C5" w14:paraId="35E54E5B" w14:textId="77777777" w:rsidTr="00FF0ED0">
        <w:tc>
          <w:tcPr>
            <w:tcW w:w="8522" w:type="dxa"/>
          </w:tcPr>
          <w:p w14:paraId="607CFC3B" w14:textId="77777777" w:rsidR="002F1BC7" w:rsidRPr="003049C5" w:rsidRDefault="002F1BC7" w:rsidP="00FF0ED0">
            <w:pPr>
              <w:pStyle w:val="BodyText"/>
              <w:widowControl/>
              <w:spacing w:before="120"/>
              <w:rPr>
                <w:rFonts w:ascii="Calibri" w:hAnsi="Calibri"/>
                <w:spacing w:val="0"/>
              </w:rPr>
            </w:pPr>
            <w:r w:rsidRPr="003049C5">
              <w:rPr>
                <w:rFonts w:ascii="Calibri" w:hAnsi="Calibri"/>
                <w:spacing w:val="0"/>
              </w:rPr>
              <w:t>HCWs should understand their obligation to report all sharps injuries, whether or not there was a risk of patient exposure.</w:t>
            </w:r>
          </w:p>
        </w:tc>
      </w:tr>
    </w:tbl>
    <w:p w14:paraId="38FBDA9E" w14:textId="77777777" w:rsidR="002F1BC7" w:rsidRPr="00DF1E0C" w:rsidRDefault="002F1BC7" w:rsidP="002F1BC7">
      <w:pPr>
        <w:pStyle w:val="BodyText"/>
        <w:widowControl/>
        <w:spacing w:before="120"/>
        <w:rPr>
          <w:rFonts w:ascii="Calibri" w:hAnsi="Calibri"/>
          <w:spacing w:val="0"/>
          <w:u w:val="single"/>
        </w:rPr>
      </w:pPr>
    </w:p>
    <w:p w14:paraId="30FEA5E8" w14:textId="77777777" w:rsidR="002F1BC7" w:rsidRPr="00C51B9F" w:rsidRDefault="002F1BC7" w:rsidP="002F1BC7">
      <w:pPr>
        <w:pStyle w:val="BodyText"/>
        <w:widowControl/>
        <w:spacing w:before="120"/>
        <w:rPr>
          <w:rFonts w:ascii="Calibri" w:hAnsi="Calibri"/>
          <w:b/>
          <w:spacing w:val="0"/>
        </w:rPr>
      </w:pPr>
      <w:r w:rsidRPr="00C51B9F">
        <w:rPr>
          <w:rFonts w:ascii="Calibri" w:hAnsi="Calibri"/>
          <w:b/>
          <w:spacing w:val="0"/>
        </w:rPr>
        <w:t xml:space="preserve">Key recommendations </w:t>
      </w:r>
      <w:r w:rsidRPr="00EE6A88">
        <w:rPr>
          <w:rFonts w:ascii="Calibri" w:hAnsi="Calibri"/>
          <w:b/>
          <w:spacing w:val="0"/>
        </w:rPr>
        <w:t>for HCWs living with a BBV*</w:t>
      </w:r>
    </w:p>
    <w:p w14:paraId="342F8C33"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When diagnosed with a BBV, HCWs must cease performing EPPs immediately and seek appropriate medical care. HCWs with a BBV may return to performing EPPs once they meet the criteria set out within these </w:t>
      </w:r>
      <w:r>
        <w:rPr>
          <w:rFonts w:ascii="Calibri" w:hAnsi="Calibri"/>
          <w:spacing w:val="0"/>
        </w:rPr>
        <w:t>Guidelines</w:t>
      </w:r>
      <w:r w:rsidRPr="00DF1E0C">
        <w:rPr>
          <w:rFonts w:ascii="Calibri" w:hAnsi="Calibri"/>
          <w:spacing w:val="0"/>
        </w:rPr>
        <w:t xml:space="preserve">. A summary of the key steps and recommendations are provided in </w:t>
      </w:r>
      <w:r w:rsidRPr="00DF1E0C">
        <w:rPr>
          <w:rFonts w:ascii="Calibri" w:hAnsi="Calibri"/>
          <w:spacing w:val="0"/>
        </w:rPr>
        <w:fldChar w:fldCharType="begin"/>
      </w:r>
      <w:r w:rsidRPr="00DF1E0C">
        <w:rPr>
          <w:rFonts w:ascii="Calibri" w:hAnsi="Calibri"/>
          <w:spacing w:val="0"/>
        </w:rPr>
        <w:instrText xml:space="preserve"> REF _Ref452625598 \h  \* MERGEFORMAT </w:instrText>
      </w:r>
      <w:r w:rsidRPr="00DF1E0C">
        <w:rPr>
          <w:rFonts w:ascii="Calibri" w:hAnsi="Calibri"/>
          <w:spacing w:val="0"/>
        </w:rPr>
      </w:r>
      <w:r w:rsidRPr="00DF1E0C">
        <w:rPr>
          <w:rFonts w:ascii="Calibri" w:hAnsi="Calibri"/>
          <w:spacing w:val="0"/>
        </w:rPr>
        <w:fldChar w:fldCharType="separate"/>
      </w:r>
      <w:r w:rsidRPr="00013F35">
        <w:rPr>
          <w:rFonts w:ascii="Calibri" w:hAnsi="Calibri" w:cs="Arial"/>
        </w:rPr>
        <w:t xml:space="preserve">Figure </w:t>
      </w:r>
      <w:r w:rsidRPr="00013F35">
        <w:rPr>
          <w:rFonts w:ascii="Calibri" w:hAnsi="Calibri" w:cs="Arial"/>
          <w:noProof/>
        </w:rPr>
        <w:t>1</w:t>
      </w:r>
      <w:r w:rsidRPr="003049C5">
        <w:rPr>
          <w:rFonts w:ascii="Calibri" w:hAnsi="Calibri" w:cs="Arial"/>
          <w:b/>
        </w:rPr>
        <w:t xml:space="preserve">: </w:t>
      </w:r>
      <w:r w:rsidRPr="00013F35">
        <w:rPr>
          <w:rFonts w:ascii="Calibri" w:hAnsi="Calibri" w:cs="Arial"/>
        </w:rPr>
        <w:t>BBV testing requirements for HCWs who perform EPPs</w:t>
      </w:r>
      <w:r w:rsidRPr="00DF1E0C">
        <w:rPr>
          <w:rFonts w:ascii="Calibri" w:hAnsi="Calibri"/>
          <w:spacing w:val="0"/>
        </w:rPr>
        <w:fldChar w:fldCharType="end"/>
      </w:r>
      <w:r w:rsidRPr="00DF1E0C">
        <w:rPr>
          <w:rFonts w:ascii="Calibri" w:hAnsi="Calibri"/>
          <w:spacing w:val="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2F1BC7" w:rsidRPr="003049C5" w14:paraId="023CAD7B" w14:textId="77777777" w:rsidTr="00FF0ED0">
        <w:tc>
          <w:tcPr>
            <w:tcW w:w="8522" w:type="dxa"/>
          </w:tcPr>
          <w:p w14:paraId="1F224EFB" w14:textId="77777777" w:rsidR="002F1BC7" w:rsidRPr="003049C5" w:rsidRDefault="002F1BC7" w:rsidP="00FF0ED0">
            <w:pPr>
              <w:pStyle w:val="BodyText"/>
              <w:widowControl/>
              <w:spacing w:before="120"/>
              <w:rPr>
                <w:rFonts w:ascii="Calibri" w:hAnsi="Calibri"/>
                <w:spacing w:val="0"/>
              </w:rPr>
            </w:pPr>
            <w:r w:rsidRPr="003049C5">
              <w:rPr>
                <w:rFonts w:ascii="Calibri" w:hAnsi="Calibri"/>
                <w:spacing w:val="0"/>
              </w:rPr>
              <w:t>All HCWs with a BBV must have appropriate and ongoing medical care.</w:t>
            </w:r>
          </w:p>
        </w:tc>
      </w:tr>
      <w:tr w:rsidR="002F1BC7" w:rsidRPr="003049C5" w14:paraId="369CD09E" w14:textId="77777777" w:rsidTr="00FF0ED0">
        <w:tc>
          <w:tcPr>
            <w:tcW w:w="8522" w:type="dxa"/>
          </w:tcPr>
          <w:p w14:paraId="6CD8074C" w14:textId="77777777" w:rsidR="002F1BC7" w:rsidRPr="003049C5" w:rsidRDefault="002F1BC7" w:rsidP="00FF0ED0">
            <w:pPr>
              <w:pStyle w:val="BodyText"/>
              <w:widowControl/>
              <w:spacing w:before="120"/>
              <w:rPr>
                <w:rFonts w:ascii="Calibri" w:hAnsi="Calibri"/>
                <w:spacing w:val="0"/>
                <w:szCs w:val="24"/>
              </w:rPr>
            </w:pPr>
            <w:r w:rsidRPr="003049C5">
              <w:rPr>
                <w:rFonts w:ascii="Calibri" w:hAnsi="Calibri"/>
                <w:spacing w:val="0"/>
              </w:rPr>
              <w:t>All HCWs living with one or more BBVs must be tested for the respective BBV viral load levels, as well as for other BBVs, in accordance with the Guidelines</w:t>
            </w:r>
          </w:p>
        </w:tc>
      </w:tr>
      <w:tr w:rsidR="002F1BC7" w:rsidRPr="003049C5" w14:paraId="3B28446B" w14:textId="77777777" w:rsidTr="00FF0ED0">
        <w:tc>
          <w:tcPr>
            <w:tcW w:w="8522" w:type="dxa"/>
          </w:tcPr>
          <w:p w14:paraId="38FC1E6E" w14:textId="77777777" w:rsidR="002F1BC7" w:rsidRPr="003049C5" w:rsidRDefault="002F1BC7" w:rsidP="00FF0ED0">
            <w:pPr>
              <w:pStyle w:val="BodyText"/>
              <w:widowControl/>
              <w:spacing w:before="120"/>
              <w:rPr>
                <w:rFonts w:ascii="Calibri" w:hAnsi="Calibri"/>
                <w:spacing w:val="0"/>
              </w:rPr>
            </w:pPr>
            <w:r w:rsidRPr="003049C5">
              <w:rPr>
                <w:rFonts w:ascii="Calibri" w:hAnsi="Calibri"/>
                <w:spacing w:val="0"/>
              </w:rPr>
              <w:t xml:space="preserve">HCWs who are HBV deoxyribonucleic acid (DNA) positive are permitted to perform EPPs if they have a viral load below 200 International Units (IU)/mL and meet the criteria set out in detail within these Guidelines. </w:t>
            </w:r>
          </w:p>
        </w:tc>
      </w:tr>
      <w:tr w:rsidR="002F1BC7" w:rsidRPr="003049C5" w14:paraId="25266B42" w14:textId="77777777" w:rsidTr="00FF0ED0">
        <w:tc>
          <w:tcPr>
            <w:tcW w:w="8522" w:type="dxa"/>
          </w:tcPr>
          <w:p w14:paraId="12D58A46" w14:textId="77777777" w:rsidR="002F1BC7" w:rsidRPr="003049C5" w:rsidRDefault="002F1BC7" w:rsidP="00FF0ED0">
            <w:pPr>
              <w:pStyle w:val="BodyText"/>
              <w:widowControl/>
              <w:spacing w:before="120"/>
              <w:rPr>
                <w:rFonts w:ascii="Calibri" w:hAnsi="Calibri"/>
                <w:spacing w:val="0"/>
              </w:rPr>
            </w:pPr>
            <w:r w:rsidRPr="003049C5">
              <w:rPr>
                <w:rFonts w:ascii="Calibri" w:hAnsi="Calibri"/>
                <w:spacing w:val="0"/>
              </w:rPr>
              <w:t>HCWs must not perform EPPs while they are HCV ribonucleic acid (RNA) positive, but may be permitted to return to EPPs after successful treatment or following spontaneous clearance of HCV RNA.</w:t>
            </w:r>
          </w:p>
        </w:tc>
      </w:tr>
      <w:tr w:rsidR="002F1BC7" w:rsidRPr="003049C5" w14:paraId="2E9D5B7F" w14:textId="77777777" w:rsidTr="00FF0ED0">
        <w:tc>
          <w:tcPr>
            <w:tcW w:w="8522" w:type="dxa"/>
          </w:tcPr>
          <w:p w14:paraId="4DED95EC" w14:textId="77777777" w:rsidR="002F1BC7" w:rsidRPr="003049C5" w:rsidRDefault="002F1BC7" w:rsidP="00FF0ED0">
            <w:pPr>
              <w:pStyle w:val="BodyText"/>
              <w:widowControl/>
              <w:spacing w:before="120"/>
              <w:rPr>
                <w:rFonts w:ascii="Calibri" w:hAnsi="Calibri"/>
                <w:spacing w:val="0"/>
              </w:rPr>
            </w:pPr>
            <w:r w:rsidRPr="003049C5">
              <w:rPr>
                <w:rFonts w:ascii="Calibri" w:hAnsi="Calibri"/>
                <w:spacing w:val="0"/>
              </w:rPr>
              <w:lastRenderedPageBreak/>
              <w:t>HCWs who are HIV positive are permitted to perform EPPs if they have a viral load below 200 copies/mL and meet the criteria set out in detail within these Guidelines.</w:t>
            </w:r>
          </w:p>
        </w:tc>
      </w:tr>
    </w:tbl>
    <w:p w14:paraId="65CBEC07" w14:textId="77777777" w:rsidR="002F1BC7" w:rsidRPr="00DF1E0C" w:rsidRDefault="002F1BC7" w:rsidP="002F1BC7">
      <w:pPr>
        <w:pStyle w:val="BodyText"/>
        <w:widowControl/>
        <w:rPr>
          <w:rFonts w:ascii="Calibri" w:hAnsi="Calibri"/>
        </w:rPr>
      </w:pPr>
      <w:r w:rsidRPr="00DF1E0C">
        <w:rPr>
          <w:rFonts w:ascii="Calibri" w:hAnsi="Calibri"/>
        </w:rPr>
        <w:t>*Detailed information and recommendations are provided in the sections for each BBV.</w:t>
      </w:r>
    </w:p>
    <w:p w14:paraId="5B2AC107" w14:textId="77777777" w:rsidR="002F1BC7" w:rsidRPr="00DF1E0C" w:rsidRDefault="002F1BC7" w:rsidP="002F1BC7">
      <w:pPr>
        <w:pStyle w:val="BodyText"/>
        <w:widowControl/>
        <w:rPr>
          <w:rFonts w:ascii="Calibri" w:hAnsi="Calibri"/>
        </w:rPr>
        <w:sectPr w:rsidR="002F1BC7" w:rsidRPr="00DF1E0C">
          <w:footnotePr>
            <w:numFmt w:val="upperRoman"/>
          </w:footnotePr>
          <w:pgSz w:w="11905" w:h="16840"/>
          <w:pgMar w:top="1418" w:right="1418" w:bottom="1134" w:left="1418" w:header="0" w:footer="697" w:gutter="0"/>
          <w:cols w:space="720"/>
        </w:sectPr>
      </w:pPr>
    </w:p>
    <w:p w14:paraId="123C0662" w14:textId="77777777" w:rsidR="002F1BC7" w:rsidRPr="00DF1E0C" w:rsidRDefault="002F1BC7" w:rsidP="002F1BC7">
      <w:pPr>
        <w:rPr>
          <w:sz w:val="28"/>
          <w:lang w:val="en-AU"/>
        </w:rPr>
        <w:sectPr w:rsidR="002F1BC7" w:rsidRPr="00DF1E0C">
          <w:footnotePr>
            <w:numFmt w:val="upperRoman"/>
          </w:footnotePr>
          <w:pgSz w:w="16840" w:h="11905" w:orient="landscape"/>
          <w:pgMar w:top="1701" w:right="1418" w:bottom="1418" w:left="1134" w:header="0" w:footer="697" w:gutter="0"/>
          <w:cols w:space="720"/>
          <w:docGrid w:linePitch="299"/>
        </w:sectPr>
      </w:pPr>
      <w:bookmarkStart w:id="10" w:name="_bookmark1"/>
      <w:bookmarkEnd w:id="10"/>
      <w:r w:rsidRPr="005E3102">
        <w:rPr>
          <w:noProof/>
          <w:sz w:val="28"/>
          <w:lang w:val="en-AU" w:eastAsia="en-AU"/>
        </w:rPr>
        <w:lastRenderedPageBreak/>
        <mc:AlternateContent>
          <mc:Choice Requires="wps">
            <w:drawing>
              <wp:anchor distT="0" distB="0" distL="114300" distR="114300" simplePos="0" relativeHeight="251660288" behindDoc="0" locked="0" layoutInCell="1" allowOverlap="1" wp14:anchorId="5543AA4E" wp14:editId="1FE95D7C">
                <wp:simplePos x="0" y="0"/>
                <wp:positionH relativeFrom="column">
                  <wp:posOffset>260985</wp:posOffset>
                </wp:positionH>
                <wp:positionV relativeFrom="paragraph">
                  <wp:posOffset>5072380</wp:posOffset>
                </wp:positionV>
                <wp:extent cx="5276850" cy="27749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277495"/>
                        </a:xfrm>
                        <a:prstGeom prst="rect">
                          <a:avLst/>
                        </a:prstGeom>
                        <a:solidFill>
                          <a:srgbClr val="FFFFFF"/>
                        </a:solidFill>
                        <a:ln w="9525">
                          <a:noFill/>
                          <a:miter lim="800000"/>
                          <a:headEnd/>
                          <a:tailEnd/>
                        </a:ln>
                      </wps:spPr>
                      <wps:txbx>
                        <w:txbxContent>
                          <w:p w14:paraId="149A6AC9" w14:textId="77777777" w:rsidR="002F1BC7" w:rsidRPr="001E48BB" w:rsidRDefault="002F1BC7" w:rsidP="002F1BC7">
                            <w:pPr>
                              <w:rPr>
                                <w:rFonts w:cs="Arial"/>
                              </w:rPr>
                            </w:pPr>
                            <w:r w:rsidRPr="001E48BB">
                              <w:rPr>
                                <w:rFonts w:cs="Arial"/>
                              </w:rPr>
                              <w:t>SVR: Sustained virological response, cART: combination antiretroviral therapy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43AA4E" id="_x0000_t202" coordsize="21600,21600" o:spt="202" path="m,l,21600r21600,l21600,xe">
                <v:stroke joinstyle="miter"/>
                <v:path gradientshapeok="t" o:connecttype="rect"/>
              </v:shapetype>
              <v:shape id="Text Box 2" o:spid="_x0000_s1026" type="#_x0000_t202" style="position:absolute;margin-left:20.55pt;margin-top:399.4pt;width:415.5pt;height:21.8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" stroked="f">
                <v:textbox style="mso-fit-shape-to-text:t">
                  <w:txbxContent>
                    <w:p w14:paraId="149A6AC9" w14:textId="77777777" w:rsidR="002F1BC7" w:rsidRPr="001E48BB" w:rsidRDefault="002F1BC7" w:rsidP="002F1BC7">
                      <w:pPr>
                        <w:rPr>
                          <w:rFonts w:cs="Arial"/>
                        </w:rPr>
                      </w:pPr>
                      <w:r w:rsidRPr="001E48BB">
                        <w:rPr>
                          <w:rFonts w:cs="Arial"/>
                        </w:rPr>
                        <w:t>SVR: Sustained virological response, cART: combination antiretroviral therapy</w:t>
                      </w:r>
                    </w:p>
                  </w:txbxContent>
                </v:textbox>
              </v:shape>
            </w:pict>
          </mc:Fallback>
        </mc:AlternateContent>
      </w:r>
      <w:r w:rsidRPr="005E3102">
        <w:rPr>
          <w:noProof/>
          <w:sz w:val="28"/>
          <w:lang w:val="en-AU" w:eastAsia="en-AU"/>
        </w:rPr>
        <mc:AlternateContent>
          <mc:Choice Requires="wps">
            <w:drawing>
              <wp:anchor distT="0" distB="0" distL="114300" distR="114300" simplePos="0" relativeHeight="251659264" behindDoc="0" locked="0" layoutInCell="1" allowOverlap="1" wp14:anchorId="56B42E25" wp14:editId="595B21F3">
                <wp:simplePos x="0" y="0"/>
                <wp:positionH relativeFrom="column">
                  <wp:posOffset>289560</wp:posOffset>
                </wp:positionH>
                <wp:positionV relativeFrom="paragraph">
                  <wp:posOffset>-222885</wp:posOffset>
                </wp:positionV>
                <wp:extent cx="8249285" cy="313055"/>
                <wp:effectExtent l="0" t="0" r="0" b="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49285" cy="313055"/>
                        </a:xfrm>
                        <a:prstGeom prst="rect">
                          <a:avLst/>
                        </a:prstGeom>
                        <a:solidFill>
                          <a:prstClr val="white"/>
                        </a:solidFill>
                        <a:ln>
                          <a:noFill/>
                        </a:ln>
                        <a:effectLst/>
                      </wps:spPr>
                      <wps:txbx>
                        <w:txbxContent>
                          <w:p w14:paraId="1B7599FD" w14:textId="77777777" w:rsidR="002F1BC7" w:rsidRPr="003049C5" w:rsidRDefault="002F1BC7" w:rsidP="002F1BC7">
                            <w:pPr>
                              <w:pStyle w:val="Caption"/>
                              <w:rPr>
                                <w:rFonts w:ascii="Calibri" w:eastAsia="Calibri" w:hAnsi="Calibri" w:cs="Arial"/>
                                <w:b w:val="0"/>
                                <w:noProof/>
                                <w:sz w:val="24"/>
                              </w:rPr>
                            </w:pPr>
                            <w:bookmarkStart w:id="11" w:name="_Ref452625598"/>
                            <w:r w:rsidRPr="003049C5">
                              <w:rPr>
                                <w:rFonts w:ascii="Calibri" w:hAnsi="Calibri" w:cs="Arial"/>
                                <w:b w:val="0"/>
                                <w:sz w:val="24"/>
                              </w:rPr>
                              <w:t>Figure 1: BBV testing requirements for HCWs who perform EPPs</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6B42E25" id="Text Box 11" o:spid="_x0000_s1027" type="#_x0000_t202" style="position:absolute;margin-left:22.8pt;margin-top:-17.55pt;width:649.55pt;height:2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" stroked="f">
                <v:textbox style="mso-fit-shape-to-text:t" inset="0,0,0,0">
                  <w:txbxContent>
                    <w:p w14:paraId="1B7599FD" w14:textId="77777777" w:rsidR="002F1BC7" w:rsidRPr="003049C5" w:rsidRDefault="002F1BC7" w:rsidP="002F1BC7">
                      <w:pPr>
                        <w:pStyle w:val="Caption"/>
                        <w:rPr>
                          <w:rFonts w:ascii="Calibri" w:eastAsia="Calibri" w:hAnsi="Calibri" w:cs="Arial"/>
                          <w:b w:val="0"/>
                          <w:noProof/>
                          <w:sz w:val="24"/>
                        </w:rPr>
                      </w:pPr>
                      <w:bookmarkStart w:id="12" w:name="_Ref452625598"/>
                      <w:r w:rsidRPr="003049C5">
                        <w:rPr>
                          <w:rFonts w:ascii="Calibri" w:hAnsi="Calibri" w:cs="Arial"/>
                          <w:b w:val="0"/>
                          <w:sz w:val="24"/>
                        </w:rPr>
                        <w:t>Figure 1: BBV testing requirements for HCWs who perform EPPs</w:t>
                      </w:r>
                      <w:bookmarkEnd w:id="12"/>
                    </w:p>
                  </w:txbxContent>
                </v:textbox>
                <w10:wrap type="square"/>
              </v:shape>
            </w:pict>
          </mc:Fallback>
        </mc:AlternateContent>
      </w:r>
      <w:r>
        <w:rPr>
          <w:noProof/>
          <w:sz w:val="28"/>
          <w:lang w:val="en-AU" w:eastAsia="en-AU"/>
        </w:rPr>
        <w:drawing>
          <wp:anchor distT="0" distB="0" distL="114300" distR="114300" simplePos="0" relativeHeight="251661312" behindDoc="0" locked="0" layoutInCell="1" allowOverlap="1" wp14:anchorId="18323F52" wp14:editId="5AB3F0AC">
            <wp:simplePos x="0" y="0"/>
            <wp:positionH relativeFrom="column">
              <wp:posOffset>80010</wp:posOffset>
            </wp:positionH>
            <wp:positionV relativeFrom="paragraph">
              <wp:posOffset>-3175</wp:posOffset>
            </wp:positionV>
            <wp:extent cx="8858250" cy="4198620"/>
            <wp:effectExtent l="0" t="0" r="0" b="0"/>
            <wp:wrapSquare wrapText="bothSides"/>
            <wp:docPr id="7" name="Picture 2" descr="Figure1: BBV testing requirements for HCWs who perform EPPS &#10;&#10;HCW who performs EPPs&#10;Go to&#10;Tested for BBV&#10;1. If tests positive for HBV &#10;Stops performing EPPs immediately&#10;If under care of specialist and viral load &lt;200IU/mL&#10;Resume EPPs (retested every 6 months if on treatment, 3 months if not on treatment&#10;2. If tests positive for HCV&#10;Stops performing EPPs immediately&#10;If under care of specialist, HCV RNA negative (if not treated or SVR (if treated)&#10;Resume EPPs (re-tested for BBVs according to guidelines)&#10;3. If tests positive for HIV&#10;Stops performing EPPs immediately&#10;If under care of specialist, on effective cART and viral load &lt;200 copies/mL (or elite controller)&#10;Resume EPPs (re-tested every 3 months)&#10;4. If tests negative for BBVs&#10;Continues to perform EPPs&#10;Re-tested for BBVs according to guideline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1: BBV testing requirements for HCWs who perform EPPS &#10;&#10;HCW who performs EPPs&#10;Go to&#10;Tested for BBV&#10;1. If tests positive for HBV &#10;Stops performing EPPs immediately&#10;If under care of specialist and viral load &lt;200IU/mL&#10;Resume EPPs (retested every 6 months if on treatment, 3 months if not on treatment&#10;2. If tests positive for HCV&#10;Stops performing EPPs immediately&#10;If under care of specialist, HCV RNA negative (if not treated or SVR (if treated)&#10;Resume EPPs (re-tested for BBVs according to guidelines)&#10;3. If tests positive for HIV&#10;Stops performing EPPs immediately&#10;If under care of specialist, on effective cART and viral load &lt;200 copies/mL (or elite controller)&#10;Resume EPPs (re-tested every 3 months)&#10;4. If tests negative for BBVs&#10;Continues to perform EPPs&#10;Re-tested for BBVs according to guidelines&#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58250" cy="4198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CD931A" w14:textId="77777777" w:rsidR="002F1BC7" w:rsidRPr="00DF1E0C" w:rsidRDefault="002F1BC7" w:rsidP="002F1BC7">
      <w:pPr>
        <w:pStyle w:val="BodyText"/>
        <w:widowControl/>
        <w:rPr>
          <w:rFonts w:ascii="Calibri" w:hAnsi="Calibri"/>
        </w:rPr>
      </w:pPr>
    </w:p>
    <w:p w14:paraId="20911A73" w14:textId="77777777" w:rsidR="002F1BC7" w:rsidRPr="00DF1E0C" w:rsidRDefault="002F1BC7" w:rsidP="002F1BC7">
      <w:pPr>
        <w:pStyle w:val="BodyText"/>
        <w:widowControl/>
        <w:rPr>
          <w:rFonts w:ascii="Calibri" w:hAnsi="Calibri"/>
          <w:spacing w:val="0"/>
        </w:rPr>
      </w:pPr>
    </w:p>
    <w:p w14:paraId="79B0649F" w14:textId="77777777" w:rsidR="002F1BC7" w:rsidRPr="00DF1E0C" w:rsidRDefault="002F1BC7" w:rsidP="002F1BC7">
      <w:pPr>
        <w:pStyle w:val="BodyText"/>
        <w:widowControl/>
        <w:rPr>
          <w:rFonts w:ascii="Calibri" w:hAnsi="Calibri"/>
          <w:spacing w:val="0"/>
        </w:rPr>
      </w:pPr>
    </w:p>
    <w:p w14:paraId="7F112676" w14:textId="77777777" w:rsidR="002F1BC7" w:rsidRPr="00DF1E0C" w:rsidRDefault="002F1BC7" w:rsidP="002F1BC7">
      <w:pPr>
        <w:pStyle w:val="BodyText"/>
        <w:widowControl/>
        <w:rPr>
          <w:rFonts w:ascii="Calibri" w:hAnsi="Calibri"/>
          <w:spacing w:val="0"/>
        </w:rPr>
      </w:pPr>
    </w:p>
    <w:p w14:paraId="4FFD8310" w14:textId="77777777" w:rsidR="002F1BC7" w:rsidRPr="00DF1E0C" w:rsidRDefault="002F1BC7" w:rsidP="002F1BC7">
      <w:pPr>
        <w:pStyle w:val="BodyText"/>
        <w:widowControl/>
        <w:rPr>
          <w:rFonts w:ascii="Calibri" w:hAnsi="Calibri"/>
          <w:spacing w:val="0"/>
        </w:rPr>
      </w:pPr>
    </w:p>
    <w:p w14:paraId="4B99E2F0" w14:textId="77777777" w:rsidR="002F1BC7" w:rsidRPr="00DF1E0C" w:rsidRDefault="002F1BC7" w:rsidP="002F1BC7">
      <w:pPr>
        <w:pStyle w:val="BodyText"/>
        <w:widowControl/>
        <w:rPr>
          <w:rFonts w:ascii="Calibri" w:hAnsi="Calibri"/>
          <w:spacing w:val="0"/>
        </w:rPr>
      </w:pPr>
    </w:p>
    <w:p w14:paraId="69A40121" w14:textId="77777777" w:rsidR="002F1BC7" w:rsidRPr="00DF1E0C" w:rsidRDefault="002F1BC7" w:rsidP="002F1BC7">
      <w:pPr>
        <w:pStyle w:val="BodyText"/>
        <w:widowControl/>
        <w:rPr>
          <w:rFonts w:ascii="Calibri" w:hAnsi="Calibri"/>
        </w:rPr>
      </w:pPr>
    </w:p>
    <w:p w14:paraId="53CC3710" w14:textId="77777777" w:rsidR="002F1BC7" w:rsidRPr="00DF1E0C" w:rsidRDefault="002F1BC7" w:rsidP="002F1BC7">
      <w:pPr>
        <w:pStyle w:val="BodyText"/>
        <w:widowControl/>
        <w:rPr>
          <w:rFonts w:ascii="Calibri" w:hAnsi="Calibri"/>
        </w:rPr>
      </w:pPr>
    </w:p>
    <w:p w14:paraId="5C69461D" w14:textId="77777777" w:rsidR="002F1BC7" w:rsidRPr="00DF1E0C" w:rsidRDefault="002F1BC7" w:rsidP="002F1BC7">
      <w:pPr>
        <w:pStyle w:val="BodyText"/>
        <w:widowControl/>
        <w:rPr>
          <w:rFonts w:ascii="Calibri" w:hAnsi="Calibri"/>
        </w:rPr>
      </w:pPr>
    </w:p>
    <w:p w14:paraId="4DB3B68D" w14:textId="77777777" w:rsidR="002F1BC7" w:rsidRPr="00DF1E0C" w:rsidRDefault="002F1BC7" w:rsidP="002F1BC7">
      <w:pPr>
        <w:pStyle w:val="BodyText"/>
        <w:widowControl/>
        <w:rPr>
          <w:rFonts w:ascii="Calibri" w:hAnsi="Calibri"/>
        </w:rPr>
      </w:pPr>
    </w:p>
    <w:p w14:paraId="026F2E45" w14:textId="77777777" w:rsidR="002F1BC7" w:rsidRPr="00DF1E0C" w:rsidRDefault="002F1BC7" w:rsidP="002F1BC7">
      <w:pPr>
        <w:pStyle w:val="BodyText"/>
        <w:widowControl/>
        <w:rPr>
          <w:rFonts w:ascii="Calibri" w:hAnsi="Calibri"/>
        </w:rPr>
      </w:pPr>
    </w:p>
    <w:p w14:paraId="7E4EC7E2" w14:textId="77777777" w:rsidR="002F1BC7" w:rsidRPr="00DF1E0C" w:rsidRDefault="002F1BC7" w:rsidP="002F1BC7">
      <w:pPr>
        <w:pStyle w:val="BodyText"/>
        <w:widowControl/>
        <w:rPr>
          <w:rFonts w:ascii="Calibri" w:hAnsi="Calibri"/>
        </w:rPr>
      </w:pPr>
    </w:p>
    <w:p w14:paraId="2F57197F" w14:textId="77777777" w:rsidR="002F1BC7" w:rsidRPr="00DF1E0C" w:rsidRDefault="002F1BC7" w:rsidP="002F1BC7">
      <w:pPr>
        <w:pStyle w:val="BodyText"/>
        <w:widowControl/>
        <w:rPr>
          <w:rFonts w:ascii="Calibri" w:hAnsi="Calibri"/>
        </w:rPr>
      </w:pPr>
    </w:p>
    <w:p w14:paraId="3B79F960" w14:textId="77777777" w:rsidR="002F1BC7" w:rsidRPr="00DF1E0C" w:rsidRDefault="002F1BC7" w:rsidP="002F1BC7">
      <w:pPr>
        <w:pStyle w:val="Heading1"/>
        <w:rPr>
          <w:rFonts w:ascii="Calibri" w:hAnsi="Calibri"/>
          <w:sz w:val="40"/>
        </w:rPr>
      </w:pPr>
      <w:bookmarkStart w:id="13" w:name="_Ref455738702"/>
      <w:bookmarkStart w:id="14" w:name="_Toc480558257"/>
      <w:r w:rsidRPr="00DF1E0C">
        <w:rPr>
          <w:rFonts w:ascii="Calibri" w:hAnsi="Calibri"/>
          <w:sz w:val="40"/>
        </w:rPr>
        <w:t>Part A</w:t>
      </w:r>
      <w:bookmarkEnd w:id="13"/>
      <w:bookmarkEnd w:id="14"/>
    </w:p>
    <w:p w14:paraId="5160A25A" w14:textId="77777777" w:rsidR="002F1BC7" w:rsidRPr="00DF1E0C" w:rsidRDefault="002F1BC7" w:rsidP="002F1BC7">
      <w:pPr>
        <w:pStyle w:val="Heading1"/>
        <w:rPr>
          <w:rFonts w:ascii="Calibri" w:hAnsi="Calibri"/>
          <w:sz w:val="40"/>
        </w:rPr>
      </w:pPr>
      <w:bookmarkStart w:id="15" w:name="_Toc456858809"/>
      <w:bookmarkStart w:id="16" w:name="_Toc456865116"/>
      <w:bookmarkStart w:id="17" w:name="_Toc480558258"/>
      <w:r w:rsidRPr="00DF1E0C">
        <w:rPr>
          <w:rFonts w:ascii="Calibri" w:hAnsi="Calibri"/>
          <w:sz w:val="40"/>
        </w:rPr>
        <w:t xml:space="preserve">Guidelines for </w:t>
      </w:r>
      <w:r>
        <w:rPr>
          <w:rFonts w:ascii="Calibri" w:hAnsi="Calibri"/>
          <w:sz w:val="40"/>
        </w:rPr>
        <w:t>Healthcare</w:t>
      </w:r>
      <w:r w:rsidRPr="00DF1E0C">
        <w:rPr>
          <w:rFonts w:ascii="Calibri" w:hAnsi="Calibri"/>
          <w:sz w:val="40"/>
        </w:rPr>
        <w:t xml:space="preserve"> Workers and Treating Doctors</w:t>
      </w:r>
      <w:bookmarkEnd w:id="15"/>
      <w:bookmarkEnd w:id="16"/>
      <w:bookmarkEnd w:id="17"/>
    </w:p>
    <w:p w14:paraId="034145AB" w14:textId="77777777" w:rsidR="002F1BC7" w:rsidRPr="00DF1E0C" w:rsidRDefault="002F1BC7" w:rsidP="002F1BC7">
      <w:pPr>
        <w:rPr>
          <w:rFonts w:eastAsia="Arial"/>
          <w:b/>
          <w:bCs/>
          <w:sz w:val="44"/>
          <w:szCs w:val="32"/>
          <w:lang w:val="en-AU"/>
        </w:rPr>
      </w:pPr>
    </w:p>
    <w:p w14:paraId="7A1A64F8" w14:textId="77777777" w:rsidR="002F1BC7" w:rsidRPr="00DF1E0C" w:rsidRDefault="002F1BC7" w:rsidP="002F1BC7">
      <w:pPr>
        <w:rPr>
          <w:rFonts w:eastAsia="Arial"/>
          <w:b/>
          <w:bCs/>
          <w:sz w:val="40"/>
          <w:szCs w:val="32"/>
          <w:lang w:val="en-AU"/>
        </w:rPr>
      </w:pPr>
      <w:r w:rsidRPr="00DF1E0C">
        <w:rPr>
          <w:sz w:val="28"/>
        </w:rPr>
        <w:br w:type="page"/>
      </w:r>
    </w:p>
    <w:p w14:paraId="61A0729C" w14:textId="77777777" w:rsidR="002F1BC7" w:rsidRPr="00DF1E0C" w:rsidRDefault="002F1BC7" w:rsidP="002F1BC7">
      <w:pPr>
        <w:pStyle w:val="Heading1"/>
        <w:spacing w:after="240"/>
        <w:rPr>
          <w:rFonts w:ascii="Calibri" w:hAnsi="Calibri"/>
          <w:sz w:val="40"/>
        </w:rPr>
      </w:pPr>
      <w:bookmarkStart w:id="18" w:name="_Toc480558259"/>
      <w:r w:rsidRPr="00DF1E0C">
        <w:rPr>
          <w:rFonts w:ascii="Calibri" w:hAnsi="Calibri"/>
          <w:sz w:val="40"/>
        </w:rPr>
        <w:lastRenderedPageBreak/>
        <w:t>1. Introduction</w:t>
      </w:r>
      <w:bookmarkEnd w:id="18"/>
    </w:p>
    <w:p w14:paraId="6359A675" w14:textId="77777777" w:rsidR="002F1BC7" w:rsidRPr="00F56043" w:rsidRDefault="002F1BC7" w:rsidP="002F1BC7">
      <w:pPr>
        <w:pStyle w:val="BodyText"/>
        <w:widowControl/>
        <w:spacing w:after="0" w:line="240" w:lineRule="auto"/>
        <w:rPr>
          <w:rFonts w:ascii="Calibri" w:hAnsi="Calibri"/>
          <w:i/>
          <w:spacing w:val="0"/>
        </w:rPr>
      </w:pPr>
      <w:r w:rsidRPr="00EE6A88">
        <w:rPr>
          <w:rFonts w:ascii="Calibri" w:hAnsi="Calibri"/>
          <w:spacing w:val="0"/>
        </w:rPr>
        <w:t xml:space="preserve">These </w:t>
      </w:r>
      <w:r w:rsidRPr="00F56043">
        <w:rPr>
          <w:rFonts w:ascii="Calibri" w:hAnsi="Calibri"/>
          <w:i/>
          <w:spacing w:val="0"/>
        </w:rPr>
        <w:t>Australian national guidelines for the management of healthcare workers living with</w:t>
      </w:r>
      <w:r w:rsidRPr="00F56043">
        <w:rPr>
          <w:rFonts w:ascii="Calibri" w:hAnsi="Calibri"/>
          <w:i/>
          <w:spacing w:val="0"/>
        </w:rPr>
        <w:br/>
        <w:t xml:space="preserve">blood borne viruses and healthcare workers who perform exposure prone procedures </w:t>
      </w:r>
    </w:p>
    <w:p w14:paraId="0153C3E7" w14:textId="77777777" w:rsidR="002F1BC7" w:rsidRDefault="002F1BC7" w:rsidP="002F1BC7">
      <w:pPr>
        <w:pStyle w:val="BodyText"/>
        <w:widowControl/>
        <w:spacing w:after="0" w:line="240" w:lineRule="auto"/>
        <w:rPr>
          <w:rFonts w:ascii="Calibri" w:hAnsi="Calibri"/>
          <w:spacing w:val="0"/>
        </w:rPr>
      </w:pPr>
      <w:r w:rsidRPr="00F56043">
        <w:rPr>
          <w:rFonts w:ascii="Calibri" w:hAnsi="Calibri"/>
          <w:i/>
          <w:spacing w:val="0"/>
        </w:rPr>
        <w:t>at risk of exposure to blood borne viruses</w:t>
      </w:r>
      <w:r>
        <w:rPr>
          <w:rFonts w:ascii="Calibri" w:hAnsi="Calibri"/>
          <w:spacing w:val="0"/>
        </w:rPr>
        <w:t xml:space="preserve"> </w:t>
      </w:r>
      <w:r w:rsidRPr="009672B5">
        <w:rPr>
          <w:rFonts w:ascii="Calibri" w:hAnsi="Calibri"/>
          <w:spacing w:val="0"/>
        </w:rPr>
        <w:t xml:space="preserve">(the Guidelines) </w:t>
      </w:r>
      <w:r w:rsidRPr="00EE6A88">
        <w:rPr>
          <w:rFonts w:ascii="Calibri" w:hAnsi="Calibri"/>
          <w:spacing w:val="0"/>
        </w:rPr>
        <w:t xml:space="preserve">were endorsed by the Australian Health Ministers' Advisory Council (AHMAC) on </w:t>
      </w:r>
      <w:r>
        <w:rPr>
          <w:rFonts w:ascii="Calibri" w:hAnsi="Calibri"/>
          <w:spacing w:val="0"/>
        </w:rPr>
        <w:t>26 June 2018</w:t>
      </w:r>
      <w:r w:rsidRPr="00EE6A88">
        <w:rPr>
          <w:rFonts w:ascii="Calibri" w:hAnsi="Calibri"/>
          <w:spacing w:val="0"/>
        </w:rPr>
        <w:t>. The previous Guidelines, endorsed in 2012, were reviewed on the basis of new evidence and significant</w:t>
      </w:r>
      <w:r w:rsidRPr="00DF1E0C">
        <w:rPr>
          <w:rFonts w:ascii="Calibri" w:hAnsi="Calibri"/>
          <w:spacing w:val="0"/>
        </w:rPr>
        <w:t xml:space="preserve"> changes in recommendations made in other countries, including the United Kingdom (UK), specifically on the management of </w:t>
      </w:r>
      <w:r w:rsidRPr="00EE6A88">
        <w:rPr>
          <w:rFonts w:ascii="Calibri" w:hAnsi="Calibri"/>
          <w:spacing w:val="0"/>
        </w:rPr>
        <w:t>HCWs with HIV. In</w:t>
      </w:r>
      <w:r w:rsidRPr="00DF1E0C">
        <w:rPr>
          <w:rFonts w:ascii="Calibri" w:hAnsi="Calibri"/>
          <w:spacing w:val="0"/>
        </w:rPr>
        <w:t xml:space="preserve"> addition, there have been advances in the treatment of HCV and improved sensitivity of virological tests for BBVs, which triggered the revision of the remainder of the </w:t>
      </w:r>
      <w:r>
        <w:rPr>
          <w:rFonts w:ascii="Calibri" w:hAnsi="Calibri"/>
          <w:spacing w:val="0"/>
        </w:rPr>
        <w:t>Guidelines</w:t>
      </w:r>
      <w:r w:rsidRPr="00DF1E0C">
        <w:rPr>
          <w:rFonts w:ascii="Calibri" w:hAnsi="Calibri"/>
          <w:spacing w:val="0"/>
        </w:rPr>
        <w:t xml:space="preserve">. A number of Communicable Diseases Network Australia (CDNA) working groups and an advisory group have been involved in the development and revision of the </w:t>
      </w:r>
      <w:r>
        <w:rPr>
          <w:rFonts w:ascii="Calibri" w:hAnsi="Calibri"/>
          <w:spacing w:val="0"/>
        </w:rPr>
        <w:t>Guidelines</w:t>
      </w:r>
      <w:r w:rsidRPr="00DF1E0C">
        <w:rPr>
          <w:rFonts w:ascii="Calibri" w:hAnsi="Calibri"/>
          <w:spacing w:val="0"/>
        </w:rPr>
        <w:t xml:space="preserve"> (</w:t>
      </w:r>
      <w:r w:rsidRPr="00DF1E0C">
        <w:rPr>
          <w:rFonts w:ascii="Calibri" w:hAnsi="Calibri"/>
          <w:spacing w:val="0"/>
        </w:rPr>
        <w:fldChar w:fldCharType="begin"/>
      </w:r>
      <w:r w:rsidRPr="00DF1E0C">
        <w:rPr>
          <w:rFonts w:ascii="Calibri" w:hAnsi="Calibri"/>
          <w:spacing w:val="0"/>
        </w:rPr>
        <w:instrText xml:space="preserve"> REF _Ref455736610 \h  \* MERGEFORMAT </w:instrText>
      </w:r>
      <w:r w:rsidRPr="00DF1E0C">
        <w:rPr>
          <w:rFonts w:ascii="Calibri" w:hAnsi="Calibri"/>
          <w:spacing w:val="0"/>
        </w:rPr>
      </w:r>
      <w:r w:rsidRPr="00DF1E0C">
        <w:rPr>
          <w:rFonts w:ascii="Calibri" w:hAnsi="Calibri"/>
          <w:spacing w:val="0"/>
        </w:rPr>
        <w:fldChar w:fldCharType="separate"/>
      </w:r>
      <w:r w:rsidRPr="00013F35">
        <w:rPr>
          <w:rFonts w:ascii="Calibri" w:hAnsi="Calibri"/>
          <w:spacing w:val="0"/>
        </w:rPr>
        <w:t>Appendix 4: Technical working group members</w:t>
      </w:r>
      <w:r w:rsidRPr="00DF1E0C">
        <w:rPr>
          <w:rFonts w:ascii="Calibri" w:hAnsi="Calibri"/>
          <w:spacing w:val="0"/>
        </w:rPr>
        <w:fldChar w:fldCharType="end"/>
      </w:r>
      <w:r w:rsidRPr="00DF1E0C">
        <w:rPr>
          <w:rFonts w:ascii="Calibri" w:hAnsi="Calibri"/>
          <w:spacing w:val="0"/>
        </w:rPr>
        <w:t xml:space="preserve">). A wide range of stakeholders were consulted during their preparation, and the </w:t>
      </w:r>
      <w:r>
        <w:rPr>
          <w:rFonts w:ascii="Calibri" w:hAnsi="Calibri"/>
          <w:spacing w:val="0"/>
        </w:rPr>
        <w:t>Guidelines</w:t>
      </w:r>
      <w:r w:rsidRPr="00DF1E0C">
        <w:rPr>
          <w:rFonts w:ascii="Calibri" w:hAnsi="Calibri"/>
          <w:spacing w:val="0"/>
        </w:rPr>
        <w:t xml:space="preserve"> were subsequently endorsed by CDNA, the Australian Health Protection Principal Committee (AHPPC) and ultimately AHMAC. </w:t>
      </w:r>
    </w:p>
    <w:p w14:paraId="058F2FE4" w14:textId="77777777" w:rsidR="002F1BC7" w:rsidRPr="00DF1E0C" w:rsidRDefault="002F1BC7" w:rsidP="002F1BC7">
      <w:pPr>
        <w:pStyle w:val="BodyText"/>
        <w:widowControl/>
        <w:spacing w:after="0" w:line="240" w:lineRule="auto"/>
        <w:rPr>
          <w:rFonts w:ascii="Calibri" w:hAnsi="Calibri"/>
          <w:spacing w:val="0"/>
        </w:rPr>
      </w:pPr>
    </w:p>
    <w:p w14:paraId="612CEF6E"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The majority of procedures in the </w:t>
      </w:r>
      <w:r>
        <w:rPr>
          <w:rFonts w:ascii="Calibri" w:hAnsi="Calibri"/>
          <w:spacing w:val="0"/>
        </w:rPr>
        <w:t>healthcare</w:t>
      </w:r>
      <w:r w:rsidRPr="00DF1E0C">
        <w:rPr>
          <w:rFonts w:ascii="Calibri" w:hAnsi="Calibri"/>
          <w:spacing w:val="0"/>
        </w:rPr>
        <w:t xml:space="preserve"> setting pose minimal risk of transmission from </w:t>
      </w:r>
      <w:r w:rsidRPr="00EE6A88">
        <w:rPr>
          <w:rFonts w:ascii="Calibri" w:hAnsi="Calibri"/>
          <w:spacing w:val="0"/>
        </w:rPr>
        <w:t>a HCW with a BBV to</w:t>
      </w:r>
      <w:r w:rsidRPr="00DF1E0C">
        <w:rPr>
          <w:rFonts w:ascii="Calibri" w:hAnsi="Calibri"/>
          <w:spacing w:val="0"/>
        </w:rPr>
        <w:t xml:space="preserve"> a patient, provided that appropriate routine infection prevention and control precautions are practised. However, there are certain procedures performed by HCWs during which BBVs may be more likely to be transmitted which are referred to as EPPs. An EPP is a procedure where there is a risk of injury to the HCW resulting in exposure of the patient’s open tissues to the blood of the HCW. These procedures include those where the HCW’s hands (whether gloved or not) may be in contact with sharp instruments, needle tips or sharp tissues (spicules of bone or teeth) inside a patient’s open body cavity, wound or confined anatomical space where the hands or fingertips may not be completely visible at all times. </w:t>
      </w:r>
    </w:p>
    <w:p w14:paraId="13EA3DBE" w14:textId="77777777" w:rsidR="002F1BC7" w:rsidRPr="00DF1E0C" w:rsidRDefault="002F1BC7" w:rsidP="002F1BC7">
      <w:pPr>
        <w:pStyle w:val="BodyText"/>
        <w:widowControl/>
        <w:rPr>
          <w:rFonts w:ascii="Calibri" w:hAnsi="Calibri"/>
          <w:spacing w:val="0"/>
        </w:rPr>
      </w:pPr>
      <w:r w:rsidRPr="00EE6A88">
        <w:rPr>
          <w:rFonts w:ascii="Calibri" w:hAnsi="Calibri"/>
          <w:spacing w:val="0"/>
        </w:rPr>
        <w:t>During EPPs, it is possible that injury to the HCW could result in the worker’s blood coming into direct contact with the patient’s open tissues. Under these circumstances transmission of BBVs is possible. For this reason HCWs with BBVs, who are considered to pose such a risk, must not perform EPPs unless complying with these Guidelines.</w:t>
      </w:r>
      <w:r w:rsidRPr="00DF1E0C">
        <w:rPr>
          <w:rFonts w:ascii="Calibri" w:hAnsi="Calibri"/>
          <w:spacing w:val="0"/>
        </w:rPr>
        <w:t xml:space="preserve"> </w:t>
      </w:r>
    </w:p>
    <w:p w14:paraId="1C4F5008" w14:textId="77777777" w:rsidR="002F1BC7" w:rsidRDefault="002F1BC7" w:rsidP="002F1BC7">
      <w:pPr>
        <w:pStyle w:val="BodyText"/>
        <w:widowControl/>
        <w:rPr>
          <w:rFonts w:ascii="Calibri" w:hAnsi="Calibri"/>
          <w:spacing w:val="0"/>
        </w:rPr>
      </w:pPr>
      <w:r w:rsidRPr="00DF1E0C">
        <w:rPr>
          <w:rFonts w:ascii="Calibri" w:hAnsi="Calibri"/>
          <w:spacing w:val="0"/>
        </w:rPr>
        <w:t xml:space="preserve">These </w:t>
      </w:r>
      <w:r>
        <w:rPr>
          <w:rFonts w:ascii="Calibri" w:hAnsi="Calibri"/>
          <w:spacing w:val="0"/>
        </w:rPr>
        <w:t>Guidelines</w:t>
      </w:r>
      <w:r w:rsidRPr="00DF1E0C">
        <w:rPr>
          <w:rFonts w:ascii="Calibri" w:hAnsi="Calibri"/>
          <w:spacing w:val="0"/>
        </w:rPr>
        <w:t xml:space="preserve"> provide advice on best practice. It should be noted that the current evidence-base is limited and these </w:t>
      </w:r>
      <w:r>
        <w:rPr>
          <w:rFonts w:ascii="Calibri" w:hAnsi="Calibri"/>
          <w:spacing w:val="0"/>
        </w:rPr>
        <w:t>Guidelines</w:t>
      </w:r>
      <w:r w:rsidRPr="00DF1E0C">
        <w:rPr>
          <w:rFonts w:ascii="Calibri" w:hAnsi="Calibri"/>
          <w:spacing w:val="0"/>
        </w:rPr>
        <w:t xml:space="preserve"> are based upon the best available evidence at the time of completion, placing scientific knowledge about transmission into a risk management approach. This area will be monitored by CDNA and changes </w:t>
      </w:r>
      <w:r>
        <w:rPr>
          <w:rFonts w:ascii="Calibri" w:hAnsi="Calibri"/>
          <w:spacing w:val="0"/>
        </w:rPr>
        <w:t xml:space="preserve">will be </w:t>
      </w:r>
      <w:r w:rsidRPr="00DF1E0C">
        <w:rPr>
          <w:rFonts w:ascii="Calibri" w:hAnsi="Calibri"/>
          <w:spacing w:val="0"/>
        </w:rPr>
        <w:t xml:space="preserve">made to these </w:t>
      </w:r>
      <w:r>
        <w:rPr>
          <w:rFonts w:ascii="Calibri" w:hAnsi="Calibri"/>
          <w:spacing w:val="0"/>
        </w:rPr>
        <w:t>Guidelines</w:t>
      </w:r>
      <w:r w:rsidRPr="00DF1E0C">
        <w:rPr>
          <w:rFonts w:ascii="Calibri" w:hAnsi="Calibri"/>
          <w:spacing w:val="0"/>
        </w:rPr>
        <w:t>, if indicated, as new evidence becomes available.</w:t>
      </w:r>
    </w:p>
    <w:p w14:paraId="29BE0A9D" w14:textId="77777777" w:rsidR="002F1BC7" w:rsidRPr="00DF1E0C" w:rsidRDefault="002F1BC7" w:rsidP="002F1BC7">
      <w:pPr>
        <w:pStyle w:val="BodyText"/>
        <w:widowControl/>
        <w:rPr>
          <w:rFonts w:ascii="Calibri" w:hAnsi="Calibri"/>
          <w:spacing w:val="0"/>
        </w:rPr>
      </w:pPr>
    </w:p>
    <w:p w14:paraId="7AA9FC5A" w14:textId="77777777" w:rsidR="002F1BC7" w:rsidRPr="00DF1E0C" w:rsidRDefault="002F1BC7" w:rsidP="002F1BC7">
      <w:pPr>
        <w:pStyle w:val="Heading1"/>
        <w:spacing w:after="240"/>
        <w:rPr>
          <w:rFonts w:ascii="Calibri" w:hAnsi="Calibri"/>
          <w:sz w:val="40"/>
        </w:rPr>
      </w:pPr>
      <w:bookmarkStart w:id="19" w:name="_Toc480558260"/>
      <w:r w:rsidRPr="00B971C5">
        <w:rPr>
          <w:rFonts w:ascii="Calibri" w:hAnsi="Calibri"/>
          <w:sz w:val="40"/>
        </w:rPr>
        <w:t>2. Guiding principles</w:t>
      </w:r>
      <w:bookmarkEnd w:id="19"/>
    </w:p>
    <w:p w14:paraId="6643084C"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HCWs have the same right to access confidential testing, counselling and treatment as the general population. </w:t>
      </w:r>
    </w:p>
    <w:p w14:paraId="34A23256"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All patients and HCWs have the right to protection from </w:t>
      </w:r>
      <w:r>
        <w:rPr>
          <w:rFonts w:ascii="Calibri" w:hAnsi="Calibri"/>
          <w:spacing w:val="0"/>
        </w:rPr>
        <w:t>healthcare</w:t>
      </w:r>
      <w:r w:rsidRPr="00DF1E0C">
        <w:rPr>
          <w:rFonts w:ascii="Calibri" w:hAnsi="Calibri"/>
          <w:spacing w:val="0"/>
        </w:rPr>
        <w:t xml:space="preserve"> acquired infections</w:t>
      </w:r>
      <w:r>
        <w:rPr>
          <w:rFonts w:ascii="Calibri" w:hAnsi="Calibri"/>
          <w:spacing w:val="0"/>
        </w:rPr>
        <w:t>, in accordance with workplace health and safety</w:t>
      </w:r>
      <w:r w:rsidRPr="00DF1E0C">
        <w:rPr>
          <w:rFonts w:ascii="Calibri" w:hAnsi="Calibri"/>
          <w:spacing w:val="0"/>
        </w:rPr>
        <w:t xml:space="preserve">, including exposure to BBVs via nosocomial </w:t>
      </w:r>
      <w:r w:rsidRPr="00DF1E0C">
        <w:rPr>
          <w:rFonts w:ascii="Calibri" w:hAnsi="Calibri"/>
          <w:spacing w:val="0"/>
        </w:rPr>
        <w:lastRenderedPageBreak/>
        <w:t>sharps injuries and/or exposure to body fluids and secretions. All HCWs must have access to timely testing, counselling and treatment if such an event occurs.</w:t>
      </w:r>
    </w:p>
    <w:p w14:paraId="4D71E834" w14:textId="77777777" w:rsidR="002F1BC7" w:rsidRPr="00DF1E0C" w:rsidRDefault="002F1BC7" w:rsidP="002F1BC7">
      <w:pPr>
        <w:pStyle w:val="BodyText"/>
        <w:widowControl/>
        <w:rPr>
          <w:rFonts w:ascii="Calibri" w:hAnsi="Calibri"/>
          <w:spacing w:val="0"/>
        </w:rPr>
      </w:pPr>
      <w:r w:rsidRPr="00EE6A88">
        <w:rPr>
          <w:rFonts w:ascii="Calibri" w:hAnsi="Calibri"/>
          <w:spacing w:val="0"/>
        </w:rPr>
        <w:t>While the protection of public health is paramount, employers of HCWs must also consider relevant anti-discrimination, privacy, industrial relations and equal employment opportunity legislation in discharging their duty of care to both clients and staff. Employers must ensure that the status and rights of HCWs with a BBV as employees are safeguarded.</w:t>
      </w:r>
    </w:p>
    <w:p w14:paraId="25E6005D" w14:textId="77777777" w:rsidR="002F1BC7" w:rsidRPr="00DF1E0C" w:rsidRDefault="002F1BC7" w:rsidP="002F1BC7">
      <w:pPr>
        <w:pStyle w:val="BodyText"/>
        <w:widowControl/>
        <w:rPr>
          <w:rFonts w:ascii="Calibri" w:hAnsi="Calibri"/>
          <w:spacing w:val="0"/>
        </w:rPr>
      </w:pPr>
    </w:p>
    <w:p w14:paraId="03A8B1BA" w14:textId="77777777" w:rsidR="002F1BC7" w:rsidRPr="00DF1E0C" w:rsidRDefault="002F1BC7" w:rsidP="002F1BC7">
      <w:pPr>
        <w:pStyle w:val="Heading1"/>
        <w:spacing w:after="240"/>
        <w:rPr>
          <w:rFonts w:ascii="Calibri" w:hAnsi="Calibri"/>
          <w:sz w:val="40"/>
        </w:rPr>
      </w:pPr>
      <w:bookmarkStart w:id="20" w:name="_Toc480558261"/>
      <w:r w:rsidRPr="00DF1E0C">
        <w:rPr>
          <w:rFonts w:ascii="Calibri" w:hAnsi="Calibri"/>
          <w:sz w:val="40"/>
        </w:rPr>
        <w:t>3. Recommendations for all HCWs</w:t>
      </w:r>
      <w:bookmarkEnd w:id="20"/>
    </w:p>
    <w:p w14:paraId="79B6DA0C" w14:textId="77777777" w:rsidR="002F1BC7" w:rsidRPr="00DF1E0C" w:rsidRDefault="002F1BC7" w:rsidP="002F1BC7">
      <w:pPr>
        <w:pStyle w:val="BodyText"/>
        <w:widowControl/>
        <w:rPr>
          <w:rFonts w:ascii="Calibri" w:hAnsi="Calibri"/>
        </w:rPr>
      </w:pPr>
      <w:r w:rsidRPr="00DF1E0C">
        <w:rPr>
          <w:rFonts w:ascii="Calibri" w:hAnsi="Calibri"/>
          <w:spacing w:val="0"/>
        </w:rPr>
        <w:t xml:space="preserve">All HCWs are expected to protect the health and safety of their patients. This obligation includes taking all reasonable measures to prevent transmission of BBVs from themselves to their patients. </w:t>
      </w:r>
      <w:r w:rsidRPr="00AA55BD">
        <w:rPr>
          <w:rFonts w:ascii="Calibri" w:hAnsi="Calibri"/>
        </w:rPr>
        <w:t xml:space="preserve">All HCWs </w:t>
      </w:r>
      <w:r>
        <w:rPr>
          <w:rFonts w:ascii="Calibri" w:hAnsi="Calibri"/>
        </w:rPr>
        <w:t xml:space="preserve">should </w:t>
      </w:r>
      <w:r w:rsidRPr="00AA55BD">
        <w:rPr>
          <w:rFonts w:ascii="Calibri" w:hAnsi="Calibri"/>
        </w:rPr>
        <w:t>be aware of their BBV status,</w:t>
      </w:r>
      <w:r w:rsidRPr="00DF1E0C">
        <w:rPr>
          <w:rFonts w:ascii="Calibri" w:hAnsi="Calibri"/>
        </w:rPr>
        <w:t xml:space="preserve"> and </w:t>
      </w:r>
      <w:r>
        <w:rPr>
          <w:rFonts w:ascii="Calibri" w:hAnsi="Calibri"/>
        </w:rPr>
        <w:t>if they have non</w:t>
      </w:r>
      <w:r>
        <w:rPr>
          <w:rFonts w:ascii="Calibri" w:hAnsi="Calibri"/>
        </w:rPr>
        <w:noBreakHyphen/>
      </w:r>
      <w:r w:rsidRPr="00DF1E0C">
        <w:rPr>
          <w:rFonts w:ascii="Calibri" w:hAnsi="Calibri"/>
        </w:rPr>
        <w:t xml:space="preserve">occupational risk factors associated with the acquisition of BBVs, they should be encouraged to have regular BBV testing according to standard guidelines </w:t>
      </w:r>
      <w:r w:rsidRPr="00DF1E0C">
        <w:rPr>
          <w:rFonts w:ascii="Calibri" w:hAnsi="Calibri"/>
        </w:rPr>
        <w:fldChar w:fldCharType="begin">
          <w:fldData xml:space="preserve">PEVuZE5vdGU+PENpdGU+PEF1dGhvcj5UaGUgTWluaXN0ZXJpYWwgQWR2aXNvcnkgQ29tbWl0dGVl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</w:fldData>
        </w:fldChar>
      </w:r>
      <w:r w:rsidRPr="00DF1E0C">
        <w:rPr>
          <w:rFonts w:ascii="Calibri" w:hAnsi="Calibri"/>
        </w:rPr>
        <w:instrText xml:space="preserve"> ADDIN EN.CITE </w:instrText>
      </w:r>
      <w:r w:rsidRPr="00DF1E0C">
        <w:rPr>
          <w:rFonts w:ascii="Calibri" w:hAnsi="Calibri"/>
        </w:rPr>
        <w:fldChar w:fldCharType="begin">
          <w:fldData xml:space="preserve">PEVuZE5vdGU+PENpdGU+PEF1dGhvcj5UaGUgTWluaXN0ZXJpYWwgQWR2aXNvcnkgQ29tbWl0dGVl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</w:fldData>
        </w:fldChar>
      </w:r>
      <w:r w:rsidRPr="00DF1E0C">
        <w:rPr>
          <w:rFonts w:ascii="Calibri" w:hAnsi="Calibri"/>
        </w:rPr>
        <w:instrText xml:space="preserve"> ADDIN EN.CITE.DATA </w:instrText>
      </w:r>
      <w:r w:rsidRPr="00DF1E0C">
        <w:rPr>
          <w:rFonts w:ascii="Calibri" w:hAnsi="Calibri"/>
        </w:rPr>
      </w:r>
      <w:r w:rsidRPr="00DF1E0C">
        <w:rPr>
          <w:rFonts w:ascii="Calibri" w:hAnsi="Calibri"/>
        </w:rPr>
        <w:fldChar w:fldCharType="end"/>
      </w:r>
      <w:r w:rsidRPr="00DF1E0C">
        <w:rPr>
          <w:rFonts w:ascii="Calibri" w:hAnsi="Calibri"/>
        </w:rPr>
      </w:r>
      <w:r w:rsidRPr="00DF1E0C">
        <w:rPr>
          <w:rFonts w:ascii="Calibri" w:hAnsi="Calibri"/>
        </w:rPr>
        <w:fldChar w:fldCharType="separate"/>
      </w:r>
      <w:r w:rsidRPr="00DF1E0C">
        <w:rPr>
          <w:rFonts w:ascii="Calibri" w:hAnsi="Calibri"/>
          <w:noProof/>
        </w:rPr>
        <w:t>[</w:t>
      </w:r>
      <w:hyperlink w:anchor="_ENREF_1" w:tooltip="The Ministerial Advisory Committee on Blood Borne Viruses and Sexually Transmissible Infections (MACBBVS) and The Blood Borne Viruses and Sexually Transmissible Infection Subcommittee (BBVSS), 2013 #7" w:history="1">
        <w:r w:rsidRPr="00DF1E0C">
          <w:rPr>
            <w:rFonts w:ascii="Calibri" w:hAnsi="Calibri"/>
            <w:noProof/>
          </w:rPr>
          <w:t>1-3</w:t>
        </w:r>
      </w:hyperlink>
      <w:r w:rsidRPr="00DF1E0C">
        <w:rPr>
          <w:rFonts w:ascii="Calibri" w:hAnsi="Calibri"/>
          <w:noProof/>
        </w:rPr>
        <w:t>]</w:t>
      </w:r>
      <w:r w:rsidRPr="00DF1E0C">
        <w:rPr>
          <w:rFonts w:ascii="Calibri" w:hAnsi="Calibri"/>
        </w:rPr>
        <w:fldChar w:fldCharType="end"/>
      </w:r>
      <w:r w:rsidRPr="00DF1E0C">
        <w:rPr>
          <w:rFonts w:ascii="Calibri" w:hAnsi="Calibri"/>
        </w:rPr>
        <w:t>.</w:t>
      </w:r>
    </w:p>
    <w:p w14:paraId="76D80860"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All HCWs, including student HCWs, </w:t>
      </w:r>
      <w:r w:rsidRPr="00AA55BD">
        <w:rPr>
          <w:rFonts w:ascii="Calibri" w:hAnsi="Calibri"/>
          <w:spacing w:val="0"/>
        </w:rPr>
        <w:t>should be vaccinated against HBV</w:t>
      </w:r>
      <w:r w:rsidRPr="00DF1E0C">
        <w:rPr>
          <w:rFonts w:ascii="Calibri" w:hAnsi="Calibri"/>
          <w:spacing w:val="0"/>
        </w:rPr>
        <w:t xml:space="preserve"> prior to the commencement of employment, studies or clinical placements if they have no documented evidence of pre-existing immunity (from resolved infection or prior vaccination). All HCWs should be assessed for immunity post-vaccination.</w:t>
      </w:r>
    </w:p>
    <w:p w14:paraId="58C63B31"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In the case of non-responders to the hepatitis B vaccine, treating doctors should refer to </w:t>
      </w:r>
      <w:r w:rsidRPr="00DF1E0C">
        <w:rPr>
          <w:rFonts w:ascii="Calibri" w:hAnsi="Calibri"/>
          <w:i/>
          <w:spacing w:val="0"/>
        </w:rPr>
        <w:t>The Australian Immunisation Handbook</w:t>
      </w:r>
      <w:r w:rsidRPr="00DF1E0C">
        <w:rPr>
          <w:rFonts w:ascii="Calibri" w:hAnsi="Calibri"/>
          <w:spacing w:val="0"/>
        </w:rPr>
        <w:t xml:space="preserve"> </w:t>
      </w:r>
      <w:r w:rsidRPr="00DF1E0C">
        <w:rPr>
          <w:rFonts w:ascii="Calibri" w:hAnsi="Calibri"/>
          <w:spacing w:val="0"/>
        </w:rPr>
        <w:fldChar w:fldCharType="begin"/>
      </w:r>
      <w:r w:rsidRPr="00DF1E0C">
        <w:rPr>
          <w:rFonts w:ascii="Calibri" w:hAnsi="Calibri"/>
          <w:spacing w:val="0"/>
        </w:rPr>
        <w:instrText xml:space="preserve"> ADDIN EN.CITE &lt;EndNote&gt;&lt;Cite&gt;&lt;Author&gt;Australian Government Department of Health and Ageing&lt;/Author&gt;&lt;Year&gt;2013&lt;/Year&gt;&lt;RecNum&gt;6&lt;/RecNum&gt;&lt;DisplayText&gt;[4]&lt;/DisplayText&gt;&lt;record&gt;&lt;rec-number&gt;6&lt;/rec-number&gt;&lt;foreign-keys&gt;&lt;key app="EN" db-id="5d9ze055j2zd5revw2n50xpwd0fze9frtdxr"&gt;6&lt;/key&gt;&lt;/foreign-keys&gt;&lt;ref-type name="Book"&gt;6&lt;/ref-type&gt;&lt;contributors&gt;&lt;authors&gt;&lt;author&gt;Australian Government Department of Health and Ageing,&lt;/author&gt;&lt;/authors&gt;&lt;/contributors&gt;&lt;titles&gt;&lt;title&gt;The Australian Immunisation Handbook &lt;/title&gt;&lt;/titles&gt;&lt;edition&gt;10th&lt;/edition&gt;&lt;keywords&gt;&lt;keyword&gt;Immunization -- Australia -- Periodicals.&lt;/keyword&gt;&lt;keyword&gt;Vaccination -- Australia -- Periodicals.&lt;/keyword&gt;&lt;/keywords&gt;&lt;dates&gt;&lt;year&gt;2013&lt;/year&gt;&lt;/dates&gt;&lt;pub-location&gt;Canberra&lt;/pub-location&gt;&lt;publisher&gt;Australian Govt. Pub. Service&lt;/publisher&gt;&lt;urls&gt;&lt;related-urls&gt;&lt;url&gt;http://www.immunise.health.gov.au/internet/immunise/publishing.nsf/Content/Handbook10-home &lt;/url&gt;&lt;/related-urls&gt;&lt;/urls&gt;&lt;electronic-resource-num&gt;National Health and Medical Research Council (Australia). Australian immunisation procedures handbook&lt;/electronic-resource-num&gt;&lt;access-date&gt;April 2014&lt;/access-date&gt;&lt;/record&gt;&lt;/Cite&gt;&lt;/EndNote&gt;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4" w:tooltip="Australian Government Department of Health and Ageing, 2013 #6" w:history="1">
        <w:r w:rsidRPr="00DF1E0C">
          <w:rPr>
            <w:rFonts w:ascii="Calibri" w:hAnsi="Calibri"/>
            <w:noProof/>
            <w:spacing w:val="0"/>
          </w:rPr>
          <w:t>4</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for further vaccination requirements and management after potential exposures to HBV. </w:t>
      </w:r>
    </w:p>
    <w:p w14:paraId="47D9AB6E" w14:textId="77777777" w:rsidR="002F1BC7" w:rsidRPr="00DF1E0C" w:rsidRDefault="002F1BC7" w:rsidP="002F1BC7">
      <w:pPr>
        <w:pStyle w:val="BodyText"/>
        <w:widowControl/>
        <w:rPr>
          <w:rFonts w:ascii="Calibri" w:hAnsi="Calibri"/>
        </w:rPr>
      </w:pPr>
    </w:p>
    <w:p w14:paraId="049272A2" w14:textId="77777777" w:rsidR="002F1BC7" w:rsidRPr="00DF1E0C" w:rsidRDefault="002F1BC7" w:rsidP="002F1BC7">
      <w:pPr>
        <w:pStyle w:val="Heading1"/>
        <w:spacing w:after="240"/>
        <w:rPr>
          <w:rFonts w:ascii="Calibri" w:hAnsi="Calibri"/>
          <w:sz w:val="40"/>
        </w:rPr>
      </w:pPr>
      <w:bookmarkStart w:id="21" w:name="_Toc480558262"/>
      <w:r w:rsidRPr="00973E6B">
        <w:rPr>
          <w:rFonts w:ascii="Calibri" w:hAnsi="Calibri"/>
          <w:sz w:val="40"/>
        </w:rPr>
        <w:t>4. Recommendations for HCWs who perform EPPs</w:t>
      </w:r>
      <w:bookmarkEnd w:id="21"/>
      <w:r w:rsidRPr="00DF1E0C">
        <w:rPr>
          <w:rFonts w:ascii="Calibri" w:hAnsi="Calibri"/>
          <w:sz w:val="40"/>
        </w:rPr>
        <w:t xml:space="preserve"> </w:t>
      </w:r>
    </w:p>
    <w:p w14:paraId="014451E6" w14:textId="77777777" w:rsidR="002F1BC7" w:rsidRPr="00DF1E0C" w:rsidRDefault="002F1BC7" w:rsidP="002F1BC7">
      <w:pPr>
        <w:pStyle w:val="Heading2"/>
        <w:rPr>
          <w:rFonts w:ascii="Calibri" w:hAnsi="Calibri"/>
          <w:sz w:val="32"/>
          <w:szCs w:val="22"/>
          <w:lang w:val="en-AU"/>
        </w:rPr>
      </w:pPr>
      <w:bookmarkStart w:id="22" w:name="_Ref455649198"/>
      <w:r w:rsidRPr="00DF1E0C">
        <w:rPr>
          <w:rFonts w:ascii="Calibri" w:hAnsi="Calibri"/>
          <w:sz w:val="32"/>
          <w:szCs w:val="22"/>
          <w:lang w:val="en-AU"/>
        </w:rPr>
        <w:t>4.1 Diagnosis and frequency of BBV testing</w:t>
      </w:r>
      <w:bookmarkEnd w:id="2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2F1BC7" w:rsidRPr="003049C5" w14:paraId="599B95B9" w14:textId="77777777" w:rsidTr="00FF0ED0">
        <w:trPr>
          <w:trHeight w:val="563"/>
        </w:trPr>
        <w:tc>
          <w:tcPr>
            <w:tcW w:w="8931" w:type="dxa"/>
          </w:tcPr>
          <w:p w14:paraId="35069C01" w14:textId="77777777" w:rsidR="002F1BC7" w:rsidRPr="003049C5" w:rsidRDefault="002F1BC7" w:rsidP="00FF0ED0">
            <w:pPr>
              <w:pStyle w:val="BodyText"/>
              <w:widowControl/>
              <w:spacing w:after="0"/>
              <w:rPr>
                <w:rFonts w:ascii="Calibri" w:hAnsi="Calibri"/>
                <w:spacing w:val="0"/>
              </w:rPr>
            </w:pPr>
            <w:r w:rsidRPr="003049C5">
              <w:rPr>
                <w:rFonts w:ascii="Calibri" w:hAnsi="Calibri"/>
                <w:spacing w:val="0"/>
              </w:rPr>
              <w:t xml:space="preserve">HCWs who perform EPPs must take reasonable steps to know their BBV status and should be tested for BBVs at least once every three years. </w:t>
            </w:r>
          </w:p>
        </w:tc>
      </w:tr>
    </w:tbl>
    <w:p w14:paraId="40CBCADD" w14:textId="77777777" w:rsidR="002F1BC7" w:rsidRDefault="002F1BC7" w:rsidP="002F1BC7">
      <w:pPr>
        <w:pStyle w:val="BodyText"/>
        <w:widowControl/>
      </w:pPr>
    </w:p>
    <w:p w14:paraId="65324A9D" w14:textId="77777777" w:rsidR="002F1BC7" w:rsidRPr="00F27224" w:rsidRDefault="002F1BC7" w:rsidP="002F1BC7">
      <w:pPr>
        <w:pStyle w:val="BodyText"/>
        <w:widowControl/>
        <w:rPr>
          <w:rFonts w:ascii="Calibri" w:hAnsi="Calibri"/>
          <w:spacing w:val="0"/>
        </w:rPr>
      </w:pPr>
      <w:r w:rsidRPr="00F27224">
        <w:rPr>
          <w:rFonts w:ascii="Calibri" w:hAnsi="Calibri"/>
          <w:spacing w:val="0"/>
        </w:rPr>
        <w:t>HCWs who perform EPPs and assess their risk of exposure to be high should consider more frequent BBV testing. HCWs who perform EPPs should be tested for HIV and HCV</w:t>
      </w:r>
      <w:r w:rsidRPr="00F27224">
        <w:rPr>
          <w:rStyle w:val="FootnoteReference"/>
          <w:rFonts w:ascii="Calibri" w:eastAsiaTheme="majorEastAsia" w:hAnsi="Calibri"/>
          <w:spacing w:val="0"/>
        </w:rPr>
        <w:footnoteReference w:id="13"/>
      </w:r>
      <w:r w:rsidRPr="00F27224">
        <w:rPr>
          <w:rFonts w:ascii="Calibri" w:hAnsi="Calibri"/>
          <w:spacing w:val="0"/>
        </w:rPr>
        <w:t xml:space="preserve">. They should also be tested for HBV unless immunity to HBV, through vaccination or resolved infection, has been demonstrated. HBV vaccine non-responders, who do not have HBV infection, can perform EPPs but should be tested for HBV at least once every three years, and receive advice on measures to minimise the risk of infection at work and of avoiding non-occupational risks of infection. </w:t>
      </w:r>
    </w:p>
    <w:p w14:paraId="55654A11" w14:textId="77777777" w:rsidR="002F1BC7" w:rsidRPr="00EE6A88" w:rsidRDefault="002F1BC7" w:rsidP="002F1BC7">
      <w:pPr>
        <w:pStyle w:val="BodyText"/>
        <w:widowControl/>
        <w:rPr>
          <w:rFonts w:ascii="Calibri" w:hAnsi="Calibri"/>
          <w:spacing w:val="0"/>
        </w:rPr>
      </w:pPr>
      <w:r w:rsidRPr="00F27224">
        <w:rPr>
          <w:rFonts w:ascii="Calibri" w:hAnsi="Calibri"/>
          <w:spacing w:val="0"/>
        </w:rPr>
        <w:lastRenderedPageBreak/>
        <w:t>Any testing performed should be with the knowledge that appropriate support is available to those who test positive for a BBV, through health professional training organisations and/or employers, where applicable.</w:t>
      </w:r>
      <w:r w:rsidRPr="00EE6A88">
        <w:rPr>
          <w:rFonts w:ascii="Calibri" w:hAnsi="Calibri"/>
          <w:spacing w:val="0"/>
        </w:rPr>
        <w:t xml:space="preserve"> </w:t>
      </w:r>
    </w:p>
    <w:p w14:paraId="29D750A2" w14:textId="77777777" w:rsidR="002F1BC7" w:rsidRPr="00EE6A88" w:rsidRDefault="002F1BC7" w:rsidP="002F1BC7">
      <w:pPr>
        <w:pStyle w:val="BodyText"/>
        <w:widowControl/>
        <w:rPr>
          <w:rFonts w:ascii="Calibri" w:hAnsi="Calibri"/>
          <w:spacing w:val="0"/>
        </w:rPr>
      </w:pPr>
      <w:r w:rsidRPr="00EE6A88">
        <w:rPr>
          <w:rFonts w:ascii="Calibri" w:hAnsi="Calibri"/>
          <w:spacing w:val="0"/>
        </w:rPr>
        <w:t>Due to the nature of EPPs, HCWs who perform these procedures are at higher risk of acquiring a BBV from a patient and also of transmitting a BBV to a patient.</w:t>
      </w:r>
    </w:p>
    <w:p w14:paraId="443D2441" w14:textId="77777777" w:rsidR="002F1BC7" w:rsidRPr="00F27224" w:rsidRDefault="002F1BC7" w:rsidP="002F1BC7">
      <w:pPr>
        <w:pStyle w:val="BodyText"/>
        <w:widowControl/>
        <w:rPr>
          <w:rFonts w:ascii="Calibri" w:hAnsi="Calibri"/>
          <w:spacing w:val="0"/>
        </w:rPr>
      </w:pPr>
      <w:r w:rsidRPr="00EE6A88">
        <w:rPr>
          <w:rFonts w:ascii="Calibri" w:hAnsi="Calibri"/>
          <w:spacing w:val="0"/>
        </w:rPr>
        <w:t>HCWs performing EPPs must have appropriate timely testing and</w:t>
      </w:r>
      <w:r w:rsidRPr="00DF1E0C">
        <w:rPr>
          <w:rFonts w:ascii="Calibri" w:hAnsi="Calibri"/>
          <w:spacing w:val="0"/>
        </w:rPr>
        <w:t xml:space="preserve"> follow-up care after a potential occupational or non-occupational exposure associated with a risk of BBV acquisition. HCWs have the option of arranging testing with a practitioner of their choice. </w:t>
      </w:r>
      <w:r w:rsidRPr="00F27224">
        <w:rPr>
          <w:rFonts w:ascii="Calibri" w:hAnsi="Calibri"/>
          <w:spacing w:val="0"/>
        </w:rPr>
        <w:t>Post exposure prophylaxis should be offered where appropriate.</w:t>
      </w:r>
    </w:p>
    <w:p w14:paraId="78A49D70" w14:textId="77777777" w:rsidR="002F1BC7" w:rsidRPr="00EE6A88" w:rsidRDefault="002F1BC7" w:rsidP="002F1BC7">
      <w:pPr>
        <w:pStyle w:val="BodyText"/>
        <w:widowControl/>
        <w:rPr>
          <w:rFonts w:ascii="Calibri" w:hAnsi="Calibri"/>
          <w:spacing w:val="0"/>
        </w:rPr>
      </w:pPr>
      <w:r w:rsidRPr="00F27224">
        <w:rPr>
          <w:rFonts w:ascii="Calibri" w:hAnsi="Calibri"/>
          <w:spacing w:val="0"/>
        </w:rPr>
        <w:t xml:space="preserve">Registered HCWs who perform EPPs must declare whether they are complying with the CDNA Guidelines when they are renewing their annual health practitioner registration. HCW are not required to provide the results of testing to the health practitioner Board that has registered them or to the Australian Health Practitioner Regulation Agency (AHPRA). However, the declaration that testing has occurred will form part of the HCW’s compliance with their Board’s </w:t>
      </w:r>
      <w:r w:rsidRPr="00F27224">
        <w:rPr>
          <w:rFonts w:ascii="Calibri" w:hAnsi="Calibri"/>
          <w:i/>
          <w:spacing w:val="0"/>
        </w:rPr>
        <w:t>Guidelines for the regulatory management of registered health practitioners and students infected with blood-borne viruses,( under development)</w:t>
      </w:r>
      <w:r w:rsidRPr="00F27224">
        <w:rPr>
          <w:rFonts w:ascii="Calibri" w:hAnsi="Calibri"/>
          <w:spacing w:val="0"/>
        </w:rPr>
        <w:t xml:space="preserve"> (see role of AHPRA and National Health Practitioner Boards, </w:t>
      </w:r>
      <w:r w:rsidRPr="00F27224">
        <w:rPr>
          <w:rFonts w:ascii="Calibri" w:hAnsi="Calibri"/>
          <w:spacing w:val="0"/>
        </w:rPr>
        <w:fldChar w:fldCharType="begin"/>
      </w:r>
      <w:r w:rsidRPr="00F27224">
        <w:rPr>
          <w:rFonts w:ascii="Calibri" w:hAnsi="Calibri"/>
          <w:spacing w:val="0"/>
        </w:rPr>
        <w:instrText xml:space="preserve"> REF _Ref455736651 \h  \* MERGEFORMAT </w:instrText>
      </w:r>
      <w:r w:rsidRPr="00F27224">
        <w:rPr>
          <w:rFonts w:ascii="Calibri" w:hAnsi="Calibri"/>
          <w:spacing w:val="0"/>
        </w:rPr>
      </w:r>
      <w:r w:rsidRPr="00F27224">
        <w:rPr>
          <w:rFonts w:ascii="Calibri" w:hAnsi="Calibri"/>
          <w:spacing w:val="0"/>
        </w:rPr>
        <w:fldChar w:fldCharType="separate"/>
      </w:r>
      <w:r w:rsidRPr="00013F35">
        <w:rPr>
          <w:rFonts w:ascii="Calibri" w:hAnsi="Calibri"/>
        </w:rPr>
        <w:t>Appendix 2: Roles</w:t>
      </w:r>
      <w:r w:rsidRPr="00F27224">
        <w:rPr>
          <w:rFonts w:ascii="Calibri" w:hAnsi="Calibri"/>
          <w:spacing w:val="0"/>
        </w:rPr>
        <w:fldChar w:fldCharType="end"/>
      </w:r>
      <w:r w:rsidRPr="00F27224">
        <w:rPr>
          <w:rFonts w:ascii="Calibri" w:hAnsi="Calibri"/>
          <w:spacing w:val="0"/>
        </w:rPr>
        <w:t>). The relevant Board may take action under the Health Practitioner Regulation National Law, as in force in each state and territory (the National Law), if a HCW is placing the public at risk.</w:t>
      </w:r>
    </w:p>
    <w:p w14:paraId="5E38CAFF" w14:textId="77777777" w:rsidR="002F1BC7" w:rsidRPr="00EE6A88" w:rsidRDefault="002F1BC7" w:rsidP="002F1BC7">
      <w:pPr>
        <w:pStyle w:val="BodyText"/>
        <w:widowControl/>
        <w:rPr>
          <w:rFonts w:ascii="Calibri" w:hAnsi="Calibri"/>
          <w:i/>
          <w:spacing w:val="0"/>
        </w:rPr>
      </w:pPr>
      <w:r w:rsidRPr="00EE6A88">
        <w:rPr>
          <w:rFonts w:ascii="Calibri" w:hAnsi="Calibri"/>
          <w:spacing w:val="0"/>
        </w:rPr>
        <w:t xml:space="preserve">If a HCW is at risk of acquiring a BBV through non-occupational exposure, the HCW should increase the frequency of BBV testing appropriately. Relevant risk factors are defined in the national testing policies for HIV, HBV and HCV </w:t>
      </w:r>
      <w:r w:rsidRPr="009672B5">
        <w:rPr>
          <w:rFonts w:ascii="Calibri" w:hAnsi="Calibri"/>
          <w:spacing w:val="0"/>
        </w:rPr>
        <w:fldChar w:fldCharType="begin">
          <w:fldData xml:space="preserve">PEVuZE5vdGU+PENpdGU+PEF1dGhvcj5UaGUgTWluaXN0ZXJpYWwgQWR2aXNvcnkgQ29tbWl0dGVl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</w:fldData>
        </w:fldChar>
      </w:r>
      <w:r w:rsidRPr="00EE6A88">
        <w:rPr>
          <w:rFonts w:ascii="Calibri" w:hAnsi="Calibri"/>
          <w:spacing w:val="0"/>
        </w:rPr>
        <w:instrText xml:space="preserve"> ADDIN EN.CITE </w:instrText>
      </w:r>
      <w:r w:rsidRPr="009672B5">
        <w:rPr>
          <w:rFonts w:ascii="Calibri" w:hAnsi="Calibri"/>
          <w:spacing w:val="0"/>
        </w:rPr>
        <w:fldChar w:fldCharType="begin">
          <w:fldData xml:space="preserve">PEVuZE5vdGU+PENpdGU+PEF1dGhvcj5UaGUgTWluaXN0ZXJpYWwgQWR2aXNvcnkgQ29tbWl0dGVl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</w:fldData>
        </w:fldChar>
      </w:r>
      <w:r w:rsidRPr="00EE6A88">
        <w:rPr>
          <w:rFonts w:ascii="Calibri" w:hAnsi="Calibri"/>
          <w:spacing w:val="0"/>
        </w:rPr>
        <w:instrText xml:space="preserve"> ADDIN EN.CITE.DATA </w:instrText>
      </w:r>
      <w:r w:rsidRPr="009672B5">
        <w:rPr>
          <w:rFonts w:ascii="Calibri" w:hAnsi="Calibri"/>
          <w:spacing w:val="0"/>
        </w:rPr>
      </w:r>
      <w:r w:rsidRPr="009672B5">
        <w:rPr>
          <w:rFonts w:ascii="Calibri" w:hAnsi="Calibri"/>
          <w:spacing w:val="0"/>
        </w:rPr>
        <w:fldChar w:fldCharType="end"/>
      </w:r>
      <w:r w:rsidRPr="009672B5">
        <w:rPr>
          <w:rFonts w:ascii="Calibri" w:hAnsi="Calibri"/>
          <w:spacing w:val="0"/>
        </w:rPr>
      </w:r>
      <w:r w:rsidRPr="009672B5">
        <w:rPr>
          <w:rFonts w:ascii="Calibri" w:hAnsi="Calibri"/>
          <w:spacing w:val="0"/>
        </w:rPr>
        <w:fldChar w:fldCharType="separate"/>
      </w:r>
      <w:r w:rsidRPr="00EE6A88">
        <w:rPr>
          <w:rFonts w:ascii="Calibri" w:hAnsi="Calibri"/>
          <w:noProof/>
          <w:spacing w:val="0"/>
        </w:rPr>
        <w:t>[</w:t>
      </w:r>
      <w:hyperlink w:anchor="_ENREF_1" w:tooltip="The Ministerial Advisory Committee on Blood Borne Viruses and Sexually Transmissible Infections (MACBBVS) and The Blood Borne Viruses and Sexually Transmissible Infection Subcommittee (BBVSS), 2013 #7" w:history="1">
        <w:r w:rsidRPr="00EE6A88">
          <w:rPr>
            <w:rFonts w:ascii="Calibri" w:hAnsi="Calibri"/>
            <w:noProof/>
            <w:spacing w:val="0"/>
          </w:rPr>
          <w:t>1-3</w:t>
        </w:r>
      </w:hyperlink>
      <w:r w:rsidRPr="00EE6A88">
        <w:rPr>
          <w:rFonts w:ascii="Calibri" w:hAnsi="Calibri"/>
          <w:noProof/>
          <w:spacing w:val="0"/>
        </w:rPr>
        <w:t>]</w:t>
      </w:r>
      <w:r w:rsidRPr="009672B5">
        <w:rPr>
          <w:rFonts w:ascii="Calibri" w:hAnsi="Calibri"/>
          <w:spacing w:val="0"/>
        </w:rPr>
        <w:fldChar w:fldCharType="end"/>
      </w:r>
      <w:r w:rsidRPr="00EE6A88">
        <w:rPr>
          <w:rFonts w:ascii="Calibri" w:hAnsi="Calibri"/>
          <w:spacing w:val="0"/>
        </w:rPr>
        <w:t>.</w:t>
      </w:r>
      <w:r w:rsidRPr="00EE6A88">
        <w:rPr>
          <w:rFonts w:ascii="Calibri" w:hAnsi="Calibri"/>
          <w:i/>
          <w:spacing w:val="0"/>
        </w:rPr>
        <w:t xml:space="preserve"> </w:t>
      </w:r>
    </w:p>
    <w:p w14:paraId="43D07579" w14:textId="77777777" w:rsidR="002F1BC7" w:rsidRPr="00DF1E0C" w:rsidRDefault="002F1BC7" w:rsidP="002F1BC7">
      <w:pPr>
        <w:pStyle w:val="BodyText"/>
        <w:widowControl/>
        <w:rPr>
          <w:rFonts w:ascii="Calibri" w:hAnsi="Calibri"/>
          <w:i/>
          <w:spacing w:val="0"/>
        </w:rPr>
      </w:pPr>
      <w:r w:rsidRPr="00EE6A88">
        <w:rPr>
          <w:rFonts w:ascii="Calibri" w:hAnsi="Calibri"/>
          <w:i/>
          <w:spacing w:val="0"/>
        </w:rPr>
        <w:t>Student HCWs</w:t>
      </w:r>
    </w:p>
    <w:p w14:paraId="2F377ED2" w14:textId="77777777" w:rsidR="002F1BC7" w:rsidRDefault="002F1BC7" w:rsidP="002F1BC7">
      <w:pPr>
        <w:pStyle w:val="BodyText"/>
        <w:widowControl/>
        <w:rPr>
          <w:rFonts w:ascii="Calibri" w:hAnsi="Calibri"/>
          <w:spacing w:val="0"/>
        </w:rPr>
      </w:pPr>
      <w:r w:rsidRPr="00DF1E0C">
        <w:rPr>
          <w:rFonts w:ascii="Calibri" w:hAnsi="Calibri"/>
          <w:spacing w:val="0"/>
        </w:rPr>
        <w:t xml:space="preserve">All student HCWs should be aware of their BBV status and should be offered testing for BBVs at or before entry to their course. Student HCWs who will be performing EPPs must be tested for BBVs in accordance with these </w:t>
      </w:r>
      <w:r>
        <w:rPr>
          <w:rFonts w:ascii="Calibri" w:hAnsi="Calibri"/>
          <w:spacing w:val="0"/>
        </w:rPr>
        <w:t>Guidelines</w:t>
      </w:r>
      <w:r w:rsidRPr="00DF1E0C">
        <w:rPr>
          <w:rFonts w:ascii="Calibri" w:hAnsi="Calibri"/>
          <w:spacing w:val="0"/>
        </w:rPr>
        <w:t>. Implementation of this is the responsibility of the educational facility/employer. The follow up of test results is the responsibility of the medical practitioner who conducts the test. Student HCWs found to have a positive BBV test result should be counselled by their medical practitioner about appropriate management, and about potential impacts on future career options. The medical practitioner can seek advice from a specialist in BBVs or the relevant area of the jurisdictional health department. These students should receive education to ensure they understand their obligations should they wish to continue performing EPPs.</w:t>
      </w:r>
    </w:p>
    <w:p w14:paraId="7F090C49" w14:textId="77777777" w:rsidR="002F1BC7" w:rsidRPr="00DF1E0C" w:rsidRDefault="002F1BC7" w:rsidP="002F1BC7">
      <w:pPr>
        <w:pStyle w:val="BodyText"/>
        <w:widowControl/>
        <w:rPr>
          <w:rFonts w:ascii="Calibri" w:hAnsi="Calibri"/>
          <w:i/>
          <w:spacing w:val="0"/>
        </w:rPr>
      </w:pPr>
      <w:r>
        <w:rPr>
          <w:rFonts w:ascii="Calibri" w:hAnsi="Calibri"/>
          <w:i/>
          <w:spacing w:val="0"/>
        </w:rPr>
        <w:t>False positives for BBV tests</w:t>
      </w:r>
    </w:p>
    <w:p w14:paraId="19295019" w14:textId="77777777" w:rsidR="002F1BC7" w:rsidRDefault="002F1BC7" w:rsidP="002F1BC7">
      <w:pPr>
        <w:pStyle w:val="BodyText"/>
        <w:widowControl/>
        <w:rPr>
          <w:rFonts w:ascii="Calibri" w:hAnsi="Calibri"/>
          <w:spacing w:val="0"/>
        </w:rPr>
      </w:pPr>
      <w:r>
        <w:rPr>
          <w:rFonts w:ascii="Calibri" w:hAnsi="Calibri"/>
          <w:spacing w:val="0"/>
        </w:rPr>
        <w:t>BBV screening tests in Australia are extremely accurate, and involve a two</w:t>
      </w:r>
      <w:r>
        <w:rPr>
          <w:rFonts w:ascii="Calibri" w:hAnsi="Calibri"/>
          <w:spacing w:val="0"/>
        </w:rPr>
        <w:noBreakHyphen/>
        <w:t>stage testing process to ensure the rate of false positives are very low. The specificity of the HBV, HCV and HIV screening serology tests are all greater than 99%. Despite this high specificity, it is possible to have the occasional false or non</w:t>
      </w:r>
      <w:r>
        <w:rPr>
          <w:rFonts w:ascii="Calibri" w:hAnsi="Calibri"/>
          <w:spacing w:val="0"/>
        </w:rPr>
        <w:noBreakHyphen/>
        <w:t xml:space="preserve">specific reactivity in the screening test, as the tests are very sensitive. </w:t>
      </w:r>
    </w:p>
    <w:p w14:paraId="60F2810F" w14:textId="77777777" w:rsidR="002F1BC7" w:rsidRPr="00DF1E0C" w:rsidRDefault="002F1BC7" w:rsidP="002F1BC7">
      <w:pPr>
        <w:pStyle w:val="BodyText"/>
        <w:widowControl/>
        <w:rPr>
          <w:rFonts w:ascii="Calibri" w:hAnsi="Calibri"/>
          <w:spacing w:val="0"/>
        </w:rPr>
      </w:pPr>
      <w:r>
        <w:rPr>
          <w:rFonts w:ascii="Calibri" w:hAnsi="Calibri"/>
          <w:spacing w:val="0"/>
        </w:rPr>
        <w:t xml:space="preserve">For this reason, the Australian laboratory standard is not to report a positive HBV, HCV or HIV screening serology test result without supplemental testing to confirm the positive result. This false reactivity is quickly settled by a supplemental serology test with similar or higher specificities. If not settled by this, molecular testing can be used which adds another measure of specificity. Therefore, the risk of a health professional having to stop practice </w:t>
      </w:r>
      <w:r>
        <w:rPr>
          <w:rFonts w:ascii="Calibri" w:hAnsi="Calibri"/>
          <w:spacing w:val="0"/>
        </w:rPr>
        <w:lastRenderedPageBreak/>
        <w:t xml:space="preserve">due to a false positive result will not occur due to appropriate testing algorithms being in place. </w:t>
      </w:r>
    </w:p>
    <w:p w14:paraId="524DFC35" w14:textId="77777777" w:rsidR="002F1BC7" w:rsidRDefault="002F1BC7" w:rsidP="002F1BC7">
      <w:pPr>
        <w:pStyle w:val="Heading2"/>
        <w:rPr>
          <w:rFonts w:ascii="Calibri" w:hAnsi="Calibri"/>
          <w:sz w:val="32"/>
          <w:szCs w:val="22"/>
          <w:lang w:val="en-AU"/>
        </w:rPr>
      </w:pPr>
    </w:p>
    <w:p w14:paraId="14D15C57" w14:textId="77777777" w:rsidR="002F1BC7" w:rsidRPr="00DF1E0C" w:rsidRDefault="002F1BC7" w:rsidP="002F1BC7">
      <w:pPr>
        <w:pStyle w:val="Heading2"/>
        <w:rPr>
          <w:rFonts w:ascii="Calibri" w:hAnsi="Calibri"/>
          <w:sz w:val="32"/>
          <w:szCs w:val="22"/>
          <w:lang w:val="en-AU"/>
        </w:rPr>
      </w:pPr>
      <w:r w:rsidRPr="00DF1E0C">
        <w:rPr>
          <w:rFonts w:ascii="Calibri" w:hAnsi="Calibri"/>
          <w:sz w:val="32"/>
          <w:szCs w:val="22"/>
          <w:lang w:val="en-AU"/>
        </w:rPr>
        <w:t>4.2 Benefits of early diagnosis and treatment</w:t>
      </w:r>
    </w:p>
    <w:p w14:paraId="3ED03C57" w14:textId="77777777" w:rsidR="002F1BC7" w:rsidRPr="00DF1E0C" w:rsidRDefault="002F1BC7" w:rsidP="002F1BC7">
      <w:pPr>
        <w:pStyle w:val="BodyText"/>
        <w:widowControl/>
        <w:rPr>
          <w:rFonts w:ascii="Calibri" w:hAnsi="Calibri"/>
          <w:spacing w:val="0"/>
        </w:rPr>
      </w:pPr>
      <w:r w:rsidRPr="00DF1E0C">
        <w:rPr>
          <w:rFonts w:ascii="Calibri" w:hAnsi="Calibri"/>
          <w:spacing w:val="0"/>
        </w:rPr>
        <w:t>As BBVs can be asymptomatic for extended periods, or cause minor symptoms that may go unrecognised, it is possible for a HCW to be infected</w:t>
      </w:r>
      <w:r>
        <w:rPr>
          <w:rFonts w:ascii="Calibri" w:hAnsi="Calibri"/>
          <w:spacing w:val="0"/>
        </w:rPr>
        <w:t xml:space="preserve"> unknowingly</w:t>
      </w:r>
      <w:r w:rsidRPr="00DF1E0C">
        <w:rPr>
          <w:rFonts w:ascii="Calibri" w:hAnsi="Calibri"/>
          <w:spacing w:val="0"/>
        </w:rPr>
        <w:t xml:space="preserve">. This delay in diagnosis can lead to the development of complications related to the infection and increase the risk of transmitting the virus to family, other close contacts, or patients. </w:t>
      </w:r>
    </w:p>
    <w:p w14:paraId="55A79B10"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Regular testing and early detection of BBVs in HCWs will ensure that appropriate and timely advice, management and support is provided to the </w:t>
      </w:r>
      <w:r w:rsidRPr="00EE6A88">
        <w:rPr>
          <w:rFonts w:ascii="Calibri" w:hAnsi="Calibri"/>
          <w:spacing w:val="0"/>
        </w:rPr>
        <w:t>HCW with a BBV.</w:t>
      </w:r>
      <w:r w:rsidRPr="00DF1E0C">
        <w:rPr>
          <w:rFonts w:ascii="Calibri" w:hAnsi="Calibri"/>
          <w:spacing w:val="0"/>
        </w:rPr>
        <w:t xml:space="preserve"> This will allow the HCW to be assessed, counselled and treated to reduce disease progression and transmission and to modify their:</w:t>
      </w:r>
    </w:p>
    <w:p w14:paraId="19F49D44" w14:textId="77777777" w:rsidR="002F1BC7" w:rsidRPr="00DF1E0C" w:rsidRDefault="002F1BC7" w:rsidP="002F1BC7">
      <w:pPr>
        <w:pStyle w:val="BodyText"/>
        <w:widowControl/>
        <w:numPr>
          <w:ilvl w:val="0"/>
          <w:numId w:val="42"/>
        </w:numPr>
        <w:tabs>
          <w:tab w:val="clear" w:pos="-720"/>
        </w:tabs>
        <w:suppressAutoHyphens w:val="0"/>
        <w:spacing w:after="120" w:line="280" w:lineRule="atLeast"/>
        <w:rPr>
          <w:rFonts w:ascii="Calibri" w:hAnsi="Calibri"/>
          <w:spacing w:val="0"/>
        </w:rPr>
      </w:pPr>
      <w:r w:rsidRPr="00DF1E0C">
        <w:rPr>
          <w:rFonts w:ascii="Calibri" w:hAnsi="Calibri"/>
          <w:spacing w:val="0"/>
        </w:rPr>
        <w:t>lifestyle to reduce disease progression and transmission, and</w:t>
      </w:r>
    </w:p>
    <w:p w14:paraId="5841F51F" w14:textId="77777777" w:rsidR="002F1BC7" w:rsidRPr="00DF1E0C" w:rsidRDefault="002F1BC7" w:rsidP="002F1BC7">
      <w:pPr>
        <w:pStyle w:val="BodyText"/>
        <w:widowControl/>
        <w:numPr>
          <w:ilvl w:val="0"/>
          <w:numId w:val="42"/>
        </w:numPr>
        <w:tabs>
          <w:tab w:val="clear" w:pos="-720"/>
        </w:tabs>
        <w:suppressAutoHyphens w:val="0"/>
        <w:spacing w:after="120" w:line="280" w:lineRule="atLeast"/>
        <w:rPr>
          <w:rFonts w:ascii="Calibri" w:hAnsi="Calibri"/>
          <w:spacing w:val="0"/>
        </w:rPr>
      </w:pPr>
      <w:r w:rsidRPr="00DF1E0C">
        <w:rPr>
          <w:rFonts w:ascii="Calibri" w:hAnsi="Calibri"/>
          <w:spacing w:val="0"/>
        </w:rPr>
        <w:t>work practices to avoid additional occupationally acquired infections that may exacerbate any existing infection and also reduce the risk of transmission to a patient (i.e. stop performing EPPs until under appropriate care and treatment).</w:t>
      </w:r>
    </w:p>
    <w:p w14:paraId="756581AC" w14:textId="77777777" w:rsidR="002F1BC7" w:rsidRPr="00DF1E0C" w:rsidRDefault="002F1BC7" w:rsidP="002F1BC7">
      <w:pPr>
        <w:pStyle w:val="BodyText"/>
        <w:widowControl/>
        <w:rPr>
          <w:rFonts w:ascii="Calibri" w:hAnsi="Calibri"/>
          <w:spacing w:val="0"/>
        </w:rPr>
      </w:pPr>
      <w:r w:rsidRPr="00DF1E0C">
        <w:rPr>
          <w:rFonts w:ascii="Calibri" w:hAnsi="Calibri"/>
          <w:spacing w:val="0"/>
        </w:rPr>
        <w:t>In addition, early diagnosis of HBV, HCV and/or HIV infection enables the prompt treatment of the HCW</w:t>
      </w:r>
      <w:r>
        <w:rPr>
          <w:rFonts w:ascii="Calibri" w:hAnsi="Calibri"/>
          <w:spacing w:val="0"/>
        </w:rPr>
        <w:t>,</w:t>
      </w:r>
      <w:r w:rsidRPr="00DF1E0C">
        <w:rPr>
          <w:rFonts w:ascii="Calibri" w:hAnsi="Calibri"/>
          <w:spacing w:val="0"/>
        </w:rPr>
        <w:t xml:space="preserve"> which is associated with better health outcomes. Timely diagnosis of:</w:t>
      </w:r>
    </w:p>
    <w:p w14:paraId="522C9467" w14:textId="77777777" w:rsidR="002F1BC7" w:rsidRPr="00DF1E0C" w:rsidRDefault="002F1BC7" w:rsidP="002F1BC7">
      <w:pPr>
        <w:pStyle w:val="BodyText"/>
        <w:widowControl/>
        <w:numPr>
          <w:ilvl w:val="0"/>
          <w:numId w:val="42"/>
        </w:numPr>
        <w:tabs>
          <w:tab w:val="clear" w:pos="-720"/>
        </w:tabs>
        <w:suppressAutoHyphens w:val="0"/>
        <w:spacing w:after="240" w:line="280" w:lineRule="atLeast"/>
        <w:ind w:left="714" w:hanging="357"/>
        <w:rPr>
          <w:rFonts w:ascii="Calibri" w:hAnsi="Calibri"/>
          <w:spacing w:val="0"/>
        </w:rPr>
      </w:pPr>
      <w:r w:rsidRPr="00DF1E0C">
        <w:rPr>
          <w:rFonts w:ascii="Calibri" w:hAnsi="Calibri"/>
          <w:spacing w:val="0"/>
        </w:rPr>
        <w:t>HBV will allow the assessment of liver disease and introduction of effective antiviral therapy when indicated which can reduce clinical progression.</w:t>
      </w:r>
    </w:p>
    <w:p w14:paraId="13460312" w14:textId="77777777" w:rsidR="002F1BC7" w:rsidRPr="00DF1E0C" w:rsidRDefault="002F1BC7" w:rsidP="002F1BC7">
      <w:pPr>
        <w:pStyle w:val="BodyText"/>
        <w:widowControl/>
        <w:numPr>
          <w:ilvl w:val="0"/>
          <w:numId w:val="42"/>
        </w:numPr>
        <w:tabs>
          <w:tab w:val="clear" w:pos="-720"/>
        </w:tabs>
        <w:suppressAutoHyphens w:val="0"/>
        <w:spacing w:after="240" w:line="280" w:lineRule="atLeast"/>
        <w:ind w:left="714" w:hanging="357"/>
        <w:rPr>
          <w:rFonts w:ascii="Calibri" w:hAnsi="Calibri"/>
          <w:spacing w:val="0"/>
        </w:rPr>
      </w:pPr>
      <w:r w:rsidRPr="00DF1E0C">
        <w:rPr>
          <w:rFonts w:ascii="Calibri" w:hAnsi="Calibri"/>
          <w:spacing w:val="0"/>
        </w:rPr>
        <w:t xml:space="preserve">HCV will allow early initiation of treatment with direct acting antiviral (DAA) therapies, which are associated with very high cure rates. </w:t>
      </w:r>
    </w:p>
    <w:p w14:paraId="7FF0803C" w14:textId="77777777" w:rsidR="002F1BC7" w:rsidRPr="00F27224" w:rsidRDefault="002F1BC7" w:rsidP="002F1BC7">
      <w:pPr>
        <w:pStyle w:val="BodyText"/>
        <w:widowControl/>
        <w:numPr>
          <w:ilvl w:val="0"/>
          <w:numId w:val="42"/>
        </w:numPr>
        <w:tabs>
          <w:tab w:val="clear" w:pos="-720"/>
        </w:tabs>
        <w:suppressAutoHyphens w:val="0"/>
        <w:spacing w:after="120" w:line="280" w:lineRule="atLeast"/>
        <w:rPr>
          <w:rFonts w:ascii="Calibri" w:hAnsi="Calibri"/>
          <w:spacing w:val="0"/>
        </w:rPr>
      </w:pPr>
      <w:r w:rsidRPr="00DF1E0C">
        <w:rPr>
          <w:rFonts w:ascii="Calibri" w:hAnsi="Calibri"/>
          <w:spacing w:val="0"/>
        </w:rPr>
        <w:t xml:space="preserve">HIV (before the onset of symptoms) will allow the early start of combination </w:t>
      </w:r>
      <w:r w:rsidRPr="00F27224">
        <w:rPr>
          <w:rFonts w:ascii="Calibri" w:hAnsi="Calibri"/>
          <w:spacing w:val="0"/>
        </w:rPr>
        <w:t xml:space="preserve">antiretroviral therapy (cART) which can reduce the risk of clinical progression, transmission and morbidity and mortality associated with the disease. </w:t>
      </w:r>
    </w:p>
    <w:p w14:paraId="48746E90" w14:textId="77777777" w:rsidR="002F1BC7" w:rsidRPr="00DF1E0C" w:rsidRDefault="002F1BC7" w:rsidP="002F1BC7">
      <w:pPr>
        <w:pStyle w:val="BodyText"/>
        <w:widowControl/>
        <w:rPr>
          <w:rFonts w:ascii="Calibri" w:hAnsi="Calibri"/>
          <w:spacing w:val="0"/>
        </w:rPr>
      </w:pPr>
      <w:r w:rsidRPr="00F27224">
        <w:rPr>
          <w:rFonts w:ascii="Calibri" w:hAnsi="Calibri"/>
          <w:spacing w:val="0"/>
        </w:rPr>
        <w:t>A diagnosis with a BBV does not have to limit the careers of HCWs who perform EPPs.  If the HCW with a BBV complies with these Guidelines, it is possible to return to performing EPPs.</w:t>
      </w:r>
      <w:r w:rsidRPr="00DF1E0C">
        <w:rPr>
          <w:rFonts w:ascii="Calibri" w:hAnsi="Calibri"/>
          <w:spacing w:val="0"/>
        </w:rPr>
        <w:t xml:space="preserve"> </w:t>
      </w:r>
    </w:p>
    <w:p w14:paraId="35C27264" w14:textId="77777777" w:rsidR="002F1BC7" w:rsidRPr="00EE6A88" w:rsidRDefault="002F1BC7" w:rsidP="002F1BC7">
      <w:pPr>
        <w:pStyle w:val="Heading1"/>
        <w:spacing w:after="240"/>
        <w:rPr>
          <w:rFonts w:ascii="Calibri" w:hAnsi="Calibri"/>
          <w:sz w:val="40"/>
        </w:rPr>
      </w:pPr>
      <w:bookmarkStart w:id="23" w:name="_Ref448405489"/>
      <w:bookmarkStart w:id="24" w:name="_Ref448477778"/>
      <w:bookmarkStart w:id="25" w:name="_Ref455736703"/>
      <w:bookmarkStart w:id="26" w:name="_Toc480558263"/>
      <w:r w:rsidRPr="00EE6A88">
        <w:rPr>
          <w:rFonts w:ascii="Calibri" w:hAnsi="Calibri"/>
          <w:sz w:val="40"/>
        </w:rPr>
        <w:t>5. Recommendations for the management of HCWs living with a BBV</w:t>
      </w:r>
      <w:bookmarkEnd w:id="23"/>
      <w:bookmarkEnd w:id="24"/>
      <w:bookmarkEnd w:id="25"/>
      <w:bookmarkEnd w:id="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2"/>
      </w:tblGrid>
      <w:tr w:rsidR="002F1BC7" w:rsidRPr="003049C5" w14:paraId="63C191B8" w14:textId="77777777" w:rsidTr="00FF0ED0">
        <w:tc>
          <w:tcPr>
            <w:tcW w:w="9002" w:type="dxa"/>
          </w:tcPr>
          <w:p w14:paraId="7FAB2544" w14:textId="77777777" w:rsidR="002F1BC7" w:rsidRPr="003049C5" w:rsidRDefault="002F1BC7" w:rsidP="00FF0ED0">
            <w:pPr>
              <w:pStyle w:val="BulletsBody1"/>
              <w:widowControl/>
              <w:numPr>
                <w:ilvl w:val="0"/>
                <w:numId w:val="0"/>
              </w:numPr>
              <w:rPr>
                <w:rFonts w:ascii="Calibri" w:hAnsi="Calibri"/>
                <w:b/>
                <w:spacing w:val="0"/>
                <w:sz w:val="24"/>
                <w:lang w:val="en-AU"/>
              </w:rPr>
            </w:pPr>
            <w:r w:rsidRPr="003049C5">
              <w:rPr>
                <w:rFonts w:ascii="Calibri" w:hAnsi="Calibri"/>
                <w:b/>
                <w:spacing w:val="0"/>
                <w:sz w:val="24"/>
                <w:lang w:val="en-AU"/>
              </w:rPr>
              <w:t>Key recommendations for the management of HCWs living with a BBV*</w:t>
            </w:r>
          </w:p>
        </w:tc>
      </w:tr>
      <w:tr w:rsidR="002F1BC7" w:rsidRPr="003049C5" w14:paraId="66167B84" w14:textId="77777777" w:rsidTr="00FF0ED0">
        <w:tc>
          <w:tcPr>
            <w:tcW w:w="9002" w:type="dxa"/>
          </w:tcPr>
          <w:p w14:paraId="14002EF7" w14:textId="77777777" w:rsidR="002F1BC7" w:rsidRPr="003049C5" w:rsidRDefault="002F1BC7" w:rsidP="00FF0ED0">
            <w:pPr>
              <w:pStyle w:val="BulletsBody1"/>
              <w:widowControl/>
              <w:numPr>
                <w:ilvl w:val="0"/>
                <w:numId w:val="0"/>
              </w:numPr>
              <w:rPr>
                <w:rFonts w:ascii="Calibri" w:hAnsi="Calibri"/>
                <w:spacing w:val="0"/>
                <w:sz w:val="24"/>
                <w:lang w:val="en-AU"/>
              </w:rPr>
            </w:pPr>
            <w:r w:rsidRPr="003049C5">
              <w:rPr>
                <w:rFonts w:ascii="Calibri" w:hAnsi="Calibri"/>
                <w:spacing w:val="0"/>
                <w:sz w:val="24"/>
                <w:lang w:val="en-AU"/>
              </w:rPr>
              <w:t>All HCWs with a BBV must have appropriate and regular medical care.</w:t>
            </w:r>
          </w:p>
        </w:tc>
      </w:tr>
      <w:tr w:rsidR="002F1BC7" w:rsidRPr="003049C5" w14:paraId="56246D9A" w14:textId="77777777" w:rsidTr="00FF0ED0">
        <w:tc>
          <w:tcPr>
            <w:tcW w:w="9002" w:type="dxa"/>
          </w:tcPr>
          <w:p w14:paraId="078D633A" w14:textId="77777777" w:rsidR="002F1BC7" w:rsidRPr="003049C5" w:rsidRDefault="002F1BC7" w:rsidP="00FF0ED0">
            <w:pPr>
              <w:pStyle w:val="BulletsBody1"/>
              <w:widowControl/>
              <w:numPr>
                <w:ilvl w:val="0"/>
                <w:numId w:val="0"/>
              </w:numPr>
              <w:rPr>
                <w:rFonts w:ascii="Calibri" w:hAnsi="Calibri"/>
                <w:spacing w:val="0"/>
                <w:sz w:val="24"/>
                <w:lang w:val="en-AU"/>
              </w:rPr>
            </w:pPr>
            <w:r w:rsidRPr="003049C5">
              <w:rPr>
                <w:rFonts w:ascii="Calibri" w:hAnsi="Calibri"/>
                <w:spacing w:val="0"/>
                <w:sz w:val="24"/>
                <w:lang w:val="en-AU"/>
              </w:rPr>
              <w:t>All HCWs living with one or more BBVs must be tested for the respective BBV viral load levels, as well as for other BBVs, in accordance with the Guidelines.</w:t>
            </w:r>
          </w:p>
        </w:tc>
      </w:tr>
      <w:tr w:rsidR="002F1BC7" w:rsidRPr="003049C5" w14:paraId="29B47972" w14:textId="77777777" w:rsidTr="00FF0ED0">
        <w:tc>
          <w:tcPr>
            <w:tcW w:w="9002" w:type="dxa"/>
          </w:tcPr>
          <w:p w14:paraId="4E8D9C5D" w14:textId="77777777" w:rsidR="002F1BC7" w:rsidRPr="003049C5" w:rsidRDefault="002F1BC7" w:rsidP="00FF0ED0">
            <w:pPr>
              <w:pStyle w:val="Bulletsend"/>
              <w:widowControl/>
              <w:numPr>
                <w:ilvl w:val="0"/>
                <w:numId w:val="0"/>
              </w:numPr>
              <w:rPr>
                <w:rFonts w:ascii="Calibri" w:hAnsi="Calibri"/>
                <w:spacing w:val="0"/>
                <w:sz w:val="24"/>
                <w:lang w:val="en-AU"/>
              </w:rPr>
            </w:pPr>
            <w:r w:rsidRPr="003049C5">
              <w:rPr>
                <w:rFonts w:ascii="Calibri" w:hAnsi="Calibri"/>
                <w:spacing w:val="0"/>
                <w:sz w:val="24"/>
                <w:lang w:val="en-AU"/>
              </w:rPr>
              <w:t xml:space="preserve">HCWs who are HBV DNA positive are permitted to perform EPPs if they have a viral load below 200 IU/mL and meet the criteria set out in detail within these Guidelines. </w:t>
            </w:r>
          </w:p>
        </w:tc>
      </w:tr>
      <w:tr w:rsidR="002F1BC7" w:rsidRPr="003049C5" w14:paraId="29C31FED" w14:textId="77777777" w:rsidTr="00FF0ED0">
        <w:tc>
          <w:tcPr>
            <w:tcW w:w="9002" w:type="dxa"/>
          </w:tcPr>
          <w:p w14:paraId="0BA3E634" w14:textId="77777777" w:rsidR="002F1BC7" w:rsidRPr="003049C5" w:rsidRDefault="002F1BC7" w:rsidP="00FF0ED0">
            <w:pPr>
              <w:pStyle w:val="BulletsBody1"/>
              <w:widowControl/>
              <w:numPr>
                <w:ilvl w:val="0"/>
                <w:numId w:val="0"/>
              </w:numPr>
              <w:rPr>
                <w:rFonts w:ascii="Calibri" w:hAnsi="Calibri"/>
                <w:spacing w:val="0"/>
                <w:sz w:val="24"/>
                <w:lang w:val="en-AU"/>
              </w:rPr>
            </w:pPr>
            <w:r w:rsidRPr="003049C5">
              <w:rPr>
                <w:rFonts w:ascii="Calibri" w:hAnsi="Calibri"/>
                <w:spacing w:val="0"/>
                <w:sz w:val="24"/>
                <w:lang w:val="en-AU"/>
              </w:rPr>
              <w:lastRenderedPageBreak/>
              <w:t>HCWs must not perform EPPs while they are HCV RNA positive, but may be permitted to return to EPPs after successful treatment or following spontaneous clearance of HCV RNA.</w:t>
            </w:r>
          </w:p>
        </w:tc>
      </w:tr>
      <w:tr w:rsidR="002F1BC7" w:rsidRPr="003049C5" w14:paraId="1E069E25" w14:textId="77777777" w:rsidTr="00FF0ED0">
        <w:tc>
          <w:tcPr>
            <w:tcW w:w="9002" w:type="dxa"/>
          </w:tcPr>
          <w:p w14:paraId="3DAC8211" w14:textId="77777777" w:rsidR="002F1BC7" w:rsidRPr="003049C5" w:rsidRDefault="002F1BC7" w:rsidP="00FF0ED0">
            <w:pPr>
              <w:pStyle w:val="Bulletsend"/>
              <w:widowControl/>
              <w:numPr>
                <w:ilvl w:val="0"/>
                <w:numId w:val="0"/>
              </w:numPr>
              <w:rPr>
                <w:rFonts w:ascii="Calibri" w:hAnsi="Calibri"/>
                <w:spacing w:val="0"/>
                <w:sz w:val="24"/>
                <w:lang w:val="en-AU"/>
              </w:rPr>
            </w:pPr>
            <w:r w:rsidRPr="003049C5">
              <w:rPr>
                <w:rFonts w:ascii="Calibri" w:hAnsi="Calibri"/>
                <w:spacing w:val="0"/>
                <w:sz w:val="24"/>
                <w:lang w:val="en-AU"/>
              </w:rPr>
              <w:t>HCWs who are HIV positive are permitted to perform EPPs if they have a viral load below 200 copies/mL and meet the criteria set out in detail within these Guidelines.</w:t>
            </w:r>
          </w:p>
        </w:tc>
      </w:tr>
    </w:tbl>
    <w:p w14:paraId="7EEDAE5B" w14:textId="77777777" w:rsidR="002F1BC7" w:rsidRPr="00DF1E0C" w:rsidRDefault="002F1BC7" w:rsidP="002F1BC7">
      <w:pPr>
        <w:pStyle w:val="BodyText"/>
        <w:widowControl/>
        <w:rPr>
          <w:rFonts w:ascii="Calibri" w:hAnsi="Calibri"/>
        </w:rPr>
      </w:pPr>
      <w:r w:rsidRPr="00DF1E0C">
        <w:rPr>
          <w:rFonts w:ascii="Calibri" w:hAnsi="Calibri"/>
        </w:rPr>
        <w:t xml:space="preserve">* Detailed information and recommendations are provided in the sections for each BBV. </w:t>
      </w:r>
    </w:p>
    <w:p w14:paraId="7F46CCBF" w14:textId="77777777" w:rsidR="002F1BC7" w:rsidRPr="00DF1E0C" w:rsidRDefault="002F1BC7" w:rsidP="002F1BC7">
      <w:pPr>
        <w:pStyle w:val="Heading2"/>
        <w:rPr>
          <w:rFonts w:ascii="Calibri" w:hAnsi="Calibri"/>
          <w:sz w:val="32"/>
          <w:szCs w:val="22"/>
          <w:lang w:val="en-AU"/>
        </w:rPr>
      </w:pPr>
      <w:r w:rsidRPr="00DF1E0C">
        <w:rPr>
          <w:rFonts w:ascii="Calibri" w:hAnsi="Calibri"/>
          <w:sz w:val="32"/>
          <w:szCs w:val="22"/>
          <w:lang w:val="en-AU"/>
        </w:rPr>
        <w:t>5.1 Initial diagnosis of a BBV</w:t>
      </w:r>
    </w:p>
    <w:p w14:paraId="5A29A69C" w14:textId="77777777" w:rsidR="002F1BC7" w:rsidRPr="001B60DF" w:rsidRDefault="002F1BC7" w:rsidP="002F1BC7">
      <w:pPr>
        <w:pStyle w:val="BodyText"/>
        <w:widowControl/>
        <w:rPr>
          <w:rFonts w:ascii="Calibri" w:hAnsi="Calibri"/>
          <w:spacing w:val="0"/>
        </w:rPr>
      </w:pPr>
      <w:r w:rsidRPr="00DF1E0C">
        <w:rPr>
          <w:rFonts w:ascii="Calibri" w:hAnsi="Calibri"/>
          <w:spacing w:val="0"/>
        </w:rPr>
        <w:t xml:space="preserve">When diagnosed with a BBV, HCWs must cease performing all EPPs immediately and seek appropriate medical care. </w:t>
      </w:r>
      <w:r w:rsidRPr="00747247">
        <w:rPr>
          <w:rFonts w:ascii="Calibri" w:hAnsi="Calibri"/>
          <w:spacing w:val="0"/>
        </w:rPr>
        <w:t>HCWs with a BBV may</w:t>
      </w:r>
      <w:r w:rsidRPr="00DF1E0C">
        <w:rPr>
          <w:rFonts w:ascii="Calibri" w:hAnsi="Calibri"/>
          <w:spacing w:val="0"/>
        </w:rPr>
        <w:t xml:space="preserve"> return to performing EPPs once they meet the criteria set out within these </w:t>
      </w:r>
      <w:r>
        <w:rPr>
          <w:rFonts w:ascii="Calibri" w:hAnsi="Calibri"/>
          <w:spacing w:val="0"/>
        </w:rPr>
        <w:t>Guidelines</w:t>
      </w:r>
      <w:r w:rsidRPr="00DF1E0C">
        <w:rPr>
          <w:rFonts w:ascii="Calibri" w:hAnsi="Calibri"/>
          <w:spacing w:val="0"/>
        </w:rPr>
        <w:t>.</w:t>
      </w:r>
    </w:p>
    <w:p w14:paraId="0AE985D1" w14:textId="77777777" w:rsidR="002F1BC7" w:rsidRPr="00747247" w:rsidRDefault="002F1BC7" w:rsidP="002F1BC7">
      <w:pPr>
        <w:pStyle w:val="Heading2"/>
        <w:rPr>
          <w:rFonts w:ascii="Calibri" w:hAnsi="Calibri"/>
          <w:sz w:val="32"/>
          <w:szCs w:val="22"/>
          <w:lang w:val="en-AU"/>
        </w:rPr>
      </w:pPr>
      <w:r w:rsidRPr="008070F6">
        <w:rPr>
          <w:rFonts w:ascii="Calibri" w:hAnsi="Calibri"/>
          <w:sz w:val="32"/>
          <w:szCs w:val="22"/>
          <w:lang w:val="en-AU"/>
        </w:rPr>
        <w:t xml:space="preserve">5.2 </w:t>
      </w:r>
      <w:r w:rsidRPr="00747247">
        <w:rPr>
          <w:rFonts w:ascii="Calibri" w:hAnsi="Calibri"/>
          <w:sz w:val="32"/>
          <w:szCs w:val="22"/>
          <w:lang w:val="en-AU"/>
        </w:rPr>
        <w:t>Support of HCWs living with a BBV</w:t>
      </w:r>
    </w:p>
    <w:p w14:paraId="3BBF5FEB" w14:textId="77777777" w:rsidR="002F1BC7" w:rsidRPr="00747247" w:rsidRDefault="002F1BC7" w:rsidP="002F1BC7">
      <w:pPr>
        <w:pStyle w:val="BodyText"/>
        <w:keepNext/>
        <w:widowControl/>
        <w:rPr>
          <w:rFonts w:ascii="Calibri" w:hAnsi="Calibri"/>
          <w:spacing w:val="0"/>
        </w:rPr>
      </w:pPr>
      <w:r w:rsidRPr="00747247">
        <w:rPr>
          <w:rFonts w:ascii="Calibri" w:hAnsi="Calibri"/>
          <w:spacing w:val="0"/>
        </w:rPr>
        <w:t>If a HCW has had a significant time away from practice they must meet the requirements specified by the relevant recency of practice registration standards of the relevant health profession boards. Further information on this requirement can be provided by the relevant health profession board.</w:t>
      </w:r>
    </w:p>
    <w:p w14:paraId="37CF8EAB" w14:textId="77777777" w:rsidR="002F1BC7" w:rsidRPr="00DF1E0C" w:rsidRDefault="002F1BC7" w:rsidP="002F1BC7">
      <w:pPr>
        <w:pStyle w:val="BodyText"/>
        <w:widowControl/>
        <w:rPr>
          <w:rFonts w:ascii="Calibri" w:hAnsi="Calibri"/>
          <w:spacing w:val="0"/>
        </w:rPr>
      </w:pPr>
      <w:r w:rsidRPr="00747247">
        <w:rPr>
          <w:rFonts w:ascii="Calibri" w:hAnsi="Calibri"/>
          <w:spacing w:val="0"/>
        </w:rPr>
        <w:t>The healthcare system should support a HCW living with a BBV, as for all other HCWs, by providing a work environment that minimises</w:t>
      </w:r>
      <w:r w:rsidRPr="00DF1E0C">
        <w:rPr>
          <w:rFonts w:ascii="Calibri" w:hAnsi="Calibri"/>
          <w:spacing w:val="0"/>
        </w:rPr>
        <w:t xml:space="preserve"> the risk of cross-infection or acquisition of other BBVs. Support may include appropriate training or retraining/supervision (if required),</w:t>
      </w:r>
      <w:r>
        <w:rPr>
          <w:rFonts w:ascii="Calibri" w:hAnsi="Calibri"/>
          <w:spacing w:val="0"/>
        </w:rPr>
        <w:t xml:space="preserve"> counselling,</w:t>
      </w:r>
      <w:r w:rsidRPr="00DF1E0C">
        <w:rPr>
          <w:rFonts w:ascii="Calibri" w:hAnsi="Calibri"/>
          <w:spacing w:val="0"/>
        </w:rPr>
        <w:t xml:space="preserve"> infrastructure, infection control measures and equipment. </w:t>
      </w:r>
      <w:r>
        <w:rPr>
          <w:rFonts w:ascii="Calibri" w:hAnsi="Calibri"/>
          <w:spacing w:val="0"/>
        </w:rPr>
        <w:t xml:space="preserve">Healthcare facilities should provide an environment in which HCWs living with a BBV know their privacy and confidentiality will be respected and maintained. </w:t>
      </w:r>
      <w:r w:rsidRPr="00DF1E0C">
        <w:rPr>
          <w:rFonts w:ascii="Calibri" w:hAnsi="Calibri"/>
          <w:spacing w:val="0"/>
        </w:rPr>
        <w:t xml:space="preserve">The support </w:t>
      </w:r>
      <w:r>
        <w:rPr>
          <w:rFonts w:ascii="Calibri" w:hAnsi="Calibri"/>
          <w:spacing w:val="0"/>
        </w:rPr>
        <w:t>required</w:t>
      </w:r>
      <w:r w:rsidRPr="00DF1E0C">
        <w:rPr>
          <w:rFonts w:ascii="Calibri" w:hAnsi="Calibri"/>
          <w:spacing w:val="0"/>
        </w:rPr>
        <w:t xml:space="preserve"> </w:t>
      </w:r>
      <w:r>
        <w:rPr>
          <w:rFonts w:ascii="Calibri" w:hAnsi="Calibri"/>
          <w:spacing w:val="0"/>
        </w:rPr>
        <w:t>by</w:t>
      </w:r>
      <w:r w:rsidRPr="00DF1E0C">
        <w:rPr>
          <w:rFonts w:ascii="Calibri" w:hAnsi="Calibri"/>
          <w:spacing w:val="0"/>
        </w:rPr>
        <w:t xml:space="preserve"> the HCW should be considered on a case</w:t>
      </w:r>
      <w:r w:rsidRPr="00DF1E0C">
        <w:rPr>
          <w:rFonts w:ascii="Calibri" w:hAnsi="Calibri"/>
          <w:spacing w:val="0"/>
        </w:rPr>
        <w:noBreakHyphen/>
        <w:t>by</w:t>
      </w:r>
      <w:r w:rsidRPr="00DF1E0C">
        <w:rPr>
          <w:rFonts w:ascii="Calibri" w:hAnsi="Calibri"/>
          <w:spacing w:val="0"/>
        </w:rPr>
        <w:noBreakHyphen/>
        <w:t xml:space="preserve">case basis. Guidance is provided in the </w:t>
      </w:r>
      <w:r w:rsidRPr="00DF1E0C">
        <w:rPr>
          <w:rFonts w:ascii="Calibri" w:hAnsi="Calibri"/>
          <w:i/>
          <w:spacing w:val="0"/>
        </w:rPr>
        <w:t xml:space="preserve">Australian Guidelines for the Prevention and Control of Infection in Healthcare (2010) </w:t>
      </w:r>
      <w:r w:rsidRPr="00DF1E0C">
        <w:rPr>
          <w:rFonts w:ascii="Calibri" w:hAnsi="Calibri"/>
          <w:spacing w:val="0"/>
        </w:rPr>
        <w:fldChar w:fldCharType="begin"/>
      </w:r>
      <w:r w:rsidRPr="00DF1E0C">
        <w:rPr>
          <w:rFonts w:ascii="Calibri" w:hAnsi="Calibri"/>
          <w:spacing w:val="0"/>
        </w:rPr>
        <w:instrText xml:space="preserve"> ADDIN EN.CITE &lt;EndNote&gt;&lt;Cite&gt;&lt;Author&gt;NHMRC&lt;/Author&gt;&lt;Year&gt;2010&lt;/Year&gt;&lt;RecNum&gt;10&lt;/RecNum&gt;&lt;DisplayText&gt;[5]&lt;/DisplayText&gt;&lt;record&gt;&lt;rec-number&gt;10&lt;/rec-number&gt;&lt;foreign-keys&gt;&lt;key app="EN" db-id="5d9ze055j2zd5revw2n50xpwd0fze9frtdxr"&gt;10&lt;/key&gt;&lt;/foreign-keys&gt;&lt;ref-type name="Government Document"&gt;46&lt;/ref-type&gt;&lt;contributors&gt;&lt;authors&gt;&lt;author&gt;NHMRC&lt;/author&gt;&lt;/authors&gt;&lt;/contributors&gt;&lt;titles&gt;&lt;title&gt;Australian Guidelines for the Prevention and Control of Infection in Healthcare&lt;/title&gt;&lt;/titles&gt;&lt;dates&gt;&lt;year&gt;2010&lt;/year&gt;&lt;/dates&gt;&lt;publisher&gt;Commonwealth of Australia&lt;/publisher&gt;&lt;urls&gt;&lt;related-urls&gt;&lt;url&gt;http://www.nhmrc.gov.au/guidelines/publications/cd33&lt;/url&gt;&lt;/related-urls&gt;&lt;/urls&gt;&lt;access-date&gt;July 2015&lt;/access-date&gt;&lt;/record&gt;&lt;/Cite&gt;&lt;/EndNote&gt;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5" w:tooltip="NHMRC, 2010 #10" w:history="1">
        <w:r w:rsidRPr="00DF1E0C">
          <w:rPr>
            <w:rFonts w:ascii="Calibri" w:hAnsi="Calibri"/>
            <w:noProof/>
            <w:spacing w:val="0"/>
          </w:rPr>
          <w:t>5</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w:t>
      </w:r>
    </w:p>
    <w:p w14:paraId="30A0F6DC" w14:textId="77777777" w:rsidR="002F1BC7" w:rsidRPr="00DF1E0C" w:rsidRDefault="002F1BC7" w:rsidP="002F1BC7">
      <w:pPr>
        <w:pStyle w:val="BodyText"/>
        <w:widowControl/>
        <w:rPr>
          <w:rFonts w:ascii="Calibri" w:hAnsi="Calibri"/>
          <w:b/>
          <w:spacing w:val="0"/>
        </w:rPr>
      </w:pPr>
      <w:r w:rsidRPr="00DF1E0C">
        <w:rPr>
          <w:rFonts w:ascii="Calibri" w:hAnsi="Calibri"/>
          <w:spacing w:val="0"/>
        </w:rPr>
        <w:t>HCWs should understand their obligation to report their BBV status if required under jurisdictional legislation, and/or policies. They should understand their obligation to report all sharps injuries, whether or not there was a risk of patient exposure. Comprehensive reporting is required to enhance surveillance of possible BBV transmission.</w:t>
      </w:r>
    </w:p>
    <w:p w14:paraId="2A2B2D5D" w14:textId="77777777" w:rsidR="002F1BC7" w:rsidRPr="00DF1E0C" w:rsidRDefault="002F1BC7" w:rsidP="002F1BC7">
      <w:pPr>
        <w:pStyle w:val="Heading2"/>
        <w:rPr>
          <w:rFonts w:ascii="Calibri" w:hAnsi="Calibri"/>
          <w:sz w:val="32"/>
          <w:szCs w:val="22"/>
        </w:rPr>
      </w:pPr>
      <w:r w:rsidRPr="00B971C5">
        <w:rPr>
          <w:rFonts w:ascii="Calibri" w:hAnsi="Calibri"/>
          <w:sz w:val="32"/>
          <w:szCs w:val="22"/>
        </w:rPr>
        <w:t xml:space="preserve">5.3 Responsibilities of the </w:t>
      </w:r>
      <w:r w:rsidRPr="00747247">
        <w:rPr>
          <w:rFonts w:ascii="Calibri" w:hAnsi="Calibri"/>
          <w:sz w:val="32"/>
          <w:szCs w:val="22"/>
        </w:rPr>
        <w:t>HCW with a BBV</w:t>
      </w:r>
    </w:p>
    <w:p w14:paraId="557821A6"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All HCWs have a professional obligation, on learning of their positive BBV status, to seek formal advice about personal care (e.g. if certain skin conditions are present), health monitoring and work practices from a medical practitioner with appropriate expertise. </w:t>
      </w:r>
      <w:r>
        <w:rPr>
          <w:rFonts w:ascii="Calibri" w:hAnsi="Calibri"/>
          <w:spacing w:val="0"/>
        </w:rPr>
        <w:t>HCWs are not required to disclose their BBV status to their employer.</w:t>
      </w:r>
    </w:p>
    <w:p w14:paraId="7CAFC77A" w14:textId="77777777" w:rsidR="002F1BC7" w:rsidRPr="00747247" w:rsidRDefault="002F1BC7" w:rsidP="002F1BC7">
      <w:pPr>
        <w:pStyle w:val="BodyText"/>
        <w:widowControl/>
        <w:rPr>
          <w:rFonts w:ascii="Calibri" w:hAnsi="Calibri"/>
          <w:spacing w:val="0"/>
        </w:rPr>
      </w:pPr>
      <w:r w:rsidRPr="00DF1E0C">
        <w:rPr>
          <w:rFonts w:ascii="Calibri" w:hAnsi="Calibri"/>
          <w:spacing w:val="0"/>
        </w:rPr>
        <w:t>In addition, HCWs who are BBV positive and who undertake EPPs must b</w:t>
      </w:r>
      <w:r w:rsidRPr="00D90EF5">
        <w:rPr>
          <w:rFonts w:ascii="Calibri" w:hAnsi="Calibri"/>
          <w:spacing w:val="0"/>
        </w:rPr>
        <w:t>e</w:t>
      </w:r>
      <w:r w:rsidRPr="00DF1E0C">
        <w:rPr>
          <w:rFonts w:ascii="Calibri" w:hAnsi="Calibri"/>
          <w:spacing w:val="0"/>
        </w:rPr>
        <w:t xml:space="preserve"> familiar with the current standards of infection prevention and control and have an action plan in place in the event of a potential transmission event that includes reporting the event as per local procedures</w:t>
      </w:r>
      <w:r w:rsidRPr="00747247">
        <w:rPr>
          <w:rFonts w:ascii="Calibri" w:hAnsi="Calibri"/>
          <w:spacing w:val="0"/>
        </w:rPr>
        <w:t>. HCWs with a BBV should report all incidents where they are aware of accidentally exposing a patient to their blood to the appropriate person, according to local policies.</w:t>
      </w:r>
    </w:p>
    <w:p w14:paraId="7E847BEB" w14:textId="77777777" w:rsidR="002F1BC7" w:rsidRPr="00DF1E0C" w:rsidRDefault="002F1BC7" w:rsidP="002F1BC7">
      <w:pPr>
        <w:pStyle w:val="BodyText"/>
        <w:widowControl/>
        <w:rPr>
          <w:rFonts w:ascii="Calibri" w:hAnsi="Calibri"/>
          <w:spacing w:val="0"/>
        </w:rPr>
      </w:pPr>
      <w:r w:rsidRPr="00747247">
        <w:rPr>
          <w:rFonts w:ascii="Calibri" w:hAnsi="Calibri"/>
          <w:spacing w:val="0"/>
        </w:rPr>
        <w:t>The HCW with a BBV</w:t>
      </w:r>
      <w:r>
        <w:rPr>
          <w:rFonts w:ascii="Calibri" w:hAnsi="Calibri"/>
          <w:spacing w:val="0"/>
        </w:rPr>
        <w:t xml:space="preserve"> </w:t>
      </w:r>
      <w:r w:rsidRPr="00DF1E0C">
        <w:rPr>
          <w:rFonts w:ascii="Calibri" w:hAnsi="Calibri"/>
          <w:spacing w:val="0"/>
        </w:rPr>
        <w:t>must be under the care of a treating doctor with relevant expertise, and must accept that it is a condition of undertaking EPPs that they consent to ongoing management while they continue to practi</w:t>
      </w:r>
      <w:r>
        <w:rPr>
          <w:rFonts w:ascii="Calibri" w:hAnsi="Calibri"/>
          <w:spacing w:val="0"/>
        </w:rPr>
        <w:t>s</w:t>
      </w:r>
      <w:r w:rsidRPr="00DF1E0C">
        <w:rPr>
          <w:rFonts w:ascii="Calibri" w:hAnsi="Calibri"/>
          <w:spacing w:val="0"/>
        </w:rPr>
        <w:t>e EPPs, including:</w:t>
      </w:r>
    </w:p>
    <w:p w14:paraId="3B92D617" w14:textId="77777777" w:rsidR="002F1BC7" w:rsidRPr="00DF1E0C"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DF1E0C">
        <w:rPr>
          <w:rFonts w:ascii="Calibri" w:hAnsi="Calibri"/>
          <w:spacing w:val="0"/>
        </w:rPr>
        <w:lastRenderedPageBreak/>
        <w:t xml:space="preserve">to be compliant with their prescribed treatment </w:t>
      </w:r>
    </w:p>
    <w:p w14:paraId="0B2C039B" w14:textId="77777777" w:rsidR="002F1BC7" w:rsidRPr="00DF1E0C"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DF1E0C">
        <w:rPr>
          <w:rFonts w:ascii="Calibri" w:hAnsi="Calibri"/>
          <w:spacing w:val="0"/>
        </w:rPr>
        <w:t>to have ongoing viral load monitoring at the appointed time</w:t>
      </w:r>
    </w:p>
    <w:p w14:paraId="3292FD38" w14:textId="77777777" w:rsidR="002F1BC7" w:rsidRPr="00DF1E0C"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DF1E0C">
        <w:rPr>
          <w:rFonts w:ascii="Calibri" w:hAnsi="Calibri"/>
          <w:spacing w:val="0"/>
        </w:rPr>
        <w:t>to seek advice if a change in health condition may affect their fitness to practise or impair their health</w:t>
      </w:r>
    </w:p>
    <w:p w14:paraId="4C0911C1" w14:textId="77777777" w:rsidR="002F1BC7" w:rsidRPr="00DF1E0C"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DF1E0C">
        <w:rPr>
          <w:rFonts w:ascii="Calibri" w:hAnsi="Calibri"/>
          <w:spacing w:val="0"/>
        </w:rPr>
        <w:t>to release monitoring information to the treating doctor, and if required, de-identified information to the relevant area of the jurisdictional health department/Expert Advisory Committee (EAC), and</w:t>
      </w:r>
    </w:p>
    <w:p w14:paraId="12FAECBD" w14:textId="77777777" w:rsidR="002F1BC7" w:rsidRPr="00F95189" w:rsidRDefault="002F1BC7" w:rsidP="002F1BC7">
      <w:pPr>
        <w:pStyle w:val="BodyText"/>
        <w:widowControl/>
        <w:numPr>
          <w:ilvl w:val="0"/>
          <w:numId w:val="44"/>
        </w:numPr>
        <w:tabs>
          <w:tab w:val="clear" w:pos="-720"/>
        </w:tabs>
        <w:suppressAutoHyphens w:val="0"/>
        <w:spacing w:after="60" w:line="280" w:lineRule="atLeast"/>
        <w:rPr>
          <w:rFonts w:ascii="Calibri" w:hAnsi="Calibri"/>
        </w:rPr>
      </w:pPr>
      <w:r w:rsidRPr="00DF1E0C">
        <w:rPr>
          <w:rFonts w:ascii="Calibri" w:hAnsi="Calibri"/>
          <w:spacing w:val="0"/>
        </w:rPr>
        <w:t>to release health monitoring information (including viral load and relevant clinical information),  to a designated person in their workplace in the event of a potential exposure incident to assess the requirement for further public health action (if required).</w:t>
      </w:r>
    </w:p>
    <w:p w14:paraId="3F58B70C" w14:textId="77777777" w:rsidR="002F1BC7" w:rsidRPr="00747247" w:rsidRDefault="002F1BC7" w:rsidP="002F1BC7">
      <w:pPr>
        <w:pStyle w:val="Heading2"/>
        <w:rPr>
          <w:rFonts w:ascii="Calibri" w:hAnsi="Calibri"/>
          <w:sz w:val="32"/>
          <w:szCs w:val="22"/>
        </w:rPr>
      </w:pPr>
      <w:r w:rsidRPr="00DF1E0C">
        <w:rPr>
          <w:rFonts w:ascii="Calibri" w:hAnsi="Calibri"/>
          <w:sz w:val="32"/>
          <w:szCs w:val="22"/>
        </w:rPr>
        <w:t xml:space="preserve">5.4 </w:t>
      </w:r>
      <w:r w:rsidRPr="00747247">
        <w:rPr>
          <w:rFonts w:ascii="Calibri" w:hAnsi="Calibri"/>
          <w:sz w:val="32"/>
          <w:szCs w:val="22"/>
        </w:rPr>
        <w:t xml:space="preserve">Responsibilities of the HCW’s treating doctor </w:t>
      </w:r>
    </w:p>
    <w:p w14:paraId="49731D87" w14:textId="77777777" w:rsidR="002F1BC7" w:rsidRPr="00747247" w:rsidRDefault="002F1BC7" w:rsidP="002F1BC7">
      <w:pPr>
        <w:pStyle w:val="BodyText"/>
        <w:keepNext/>
        <w:widowControl/>
        <w:rPr>
          <w:rFonts w:ascii="Calibri" w:hAnsi="Calibri"/>
          <w:spacing w:val="0"/>
        </w:rPr>
      </w:pPr>
      <w:r w:rsidRPr="00747247">
        <w:rPr>
          <w:rFonts w:ascii="Calibri" w:hAnsi="Calibri"/>
          <w:spacing w:val="0"/>
        </w:rPr>
        <w:t>In the context of these Guidelines, “treating doctor” refers to “a specialist in the treatment of BBVs” and may include appropriately trained and experienced general practitioners as well as infectious diseases or sexual health physicians, hepatologists or immunologists experienced in the treatment of BBV(s). The treating doctor has a responsibility to:</w:t>
      </w:r>
    </w:p>
    <w:p w14:paraId="60409989" w14:textId="77777777" w:rsidR="002F1BC7" w:rsidRPr="00747247"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747247">
        <w:rPr>
          <w:rFonts w:ascii="Calibri" w:hAnsi="Calibri"/>
          <w:spacing w:val="0"/>
        </w:rPr>
        <w:t>ensure that their skills and experience are of a standard that would deem them to have expertise in the treatment of the BBV(s), including contemporary treatment and prescribing guidelines</w:t>
      </w:r>
    </w:p>
    <w:p w14:paraId="294F0047" w14:textId="77777777" w:rsidR="002F1BC7" w:rsidRPr="00747247"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747247">
        <w:rPr>
          <w:rFonts w:ascii="Calibri" w:hAnsi="Calibri"/>
          <w:spacing w:val="0"/>
        </w:rPr>
        <w:t xml:space="preserve">identify any conflict of interest (whether actual or perceived) towards the HCW and be willing to report any breaches in compliance with these Guidelines. If there is a conflict of interest then the doctor should not manage the HCW </w:t>
      </w:r>
    </w:p>
    <w:p w14:paraId="56CA5FA9" w14:textId="77777777" w:rsidR="002F1BC7" w:rsidRPr="00747247"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747247">
        <w:rPr>
          <w:rFonts w:ascii="Calibri" w:hAnsi="Calibri"/>
          <w:spacing w:val="0"/>
        </w:rPr>
        <w:t xml:space="preserve">ensure their own understanding of and compliance with the relevant jurisdictions' Health Practitioner Regulation National Law and the Medical Board of Australia’s Good Medical Practice: A Code of Conduct for Doctors in Australia </w:t>
      </w:r>
      <w:r w:rsidRPr="009672B5">
        <w:rPr>
          <w:rFonts w:ascii="Calibri" w:hAnsi="Calibri"/>
          <w:spacing w:val="0"/>
        </w:rPr>
        <w:fldChar w:fldCharType="begin"/>
      </w:r>
      <w:r w:rsidRPr="00747247">
        <w:rPr>
          <w:rFonts w:ascii="Calibri" w:hAnsi="Calibri"/>
          <w:spacing w:val="0"/>
        </w:rPr>
        <w:instrText xml:space="preserve"> ADDIN EN.CITE &lt;EndNote&gt;&lt;Cite&gt;&lt;Author&gt;Medical Board of Australia&lt;/Author&gt;&lt;Year&gt;2014&lt;/Year&gt;&lt;RecNum&gt;2&lt;/RecNum&gt;&lt;DisplayText&gt;[7]&lt;/DisplayText&gt;&lt;record&gt;&lt;rec-number&gt;2&lt;/rec-number&gt;&lt;foreign-keys&gt;&lt;key app="EN" db-id="5d9ze055j2zd5revw2n50xpwd0fze9frtdxr"&gt;2&lt;/key&gt;&lt;/foreign-keys&gt;&lt;ref-type name="Government Document"&gt;46&lt;/ref-type&gt;&lt;contributors&gt;&lt;authors&gt;&lt;author&gt;Medical Board of Australia,&lt;/author&gt;&lt;/authors&gt;&lt;/contributors&gt;&lt;titles&gt;&lt;title&gt;Good Medical Practice: A Code of Conduct for Doctors in Australia&lt;/title&gt;&lt;/titles&gt;&lt;dates&gt;&lt;year&gt;2014&lt;/year&gt;&lt;/dates&gt;&lt;urls&gt;&lt;related-urls&gt;&lt;url&gt;http://www.medicalboard.gov.au/Codes-Guidelines-Policies/Code-of-conduct.aspx&lt;/url&gt;&lt;/related-urls&gt;&lt;/urls&gt;&lt;access-date&gt;July 2015&lt;/access-date&gt;&lt;/record&gt;&lt;/Cite&gt;&lt;/EndNote&gt;</w:instrText>
      </w:r>
      <w:r w:rsidRPr="009672B5">
        <w:rPr>
          <w:rFonts w:ascii="Calibri" w:hAnsi="Calibri"/>
          <w:spacing w:val="0"/>
        </w:rPr>
        <w:fldChar w:fldCharType="separate"/>
      </w:r>
      <w:r w:rsidRPr="00747247">
        <w:rPr>
          <w:rFonts w:ascii="Calibri" w:hAnsi="Calibri"/>
          <w:spacing w:val="0"/>
        </w:rPr>
        <w:t>[</w:t>
      </w:r>
      <w:hyperlink w:anchor="_ENREF_7" w:tooltip="Medical Board of Australia, 2014 #2" w:history="1">
        <w:r w:rsidRPr="00747247">
          <w:rPr>
            <w:rFonts w:ascii="Calibri" w:hAnsi="Calibri"/>
            <w:spacing w:val="0"/>
          </w:rPr>
          <w:t>7</w:t>
        </w:r>
      </w:hyperlink>
      <w:r w:rsidRPr="00747247">
        <w:rPr>
          <w:rFonts w:ascii="Calibri" w:hAnsi="Calibri"/>
          <w:spacing w:val="0"/>
        </w:rPr>
        <w:t>]</w:t>
      </w:r>
      <w:r w:rsidRPr="009672B5">
        <w:rPr>
          <w:rFonts w:ascii="Calibri" w:hAnsi="Calibri"/>
          <w:spacing w:val="0"/>
        </w:rPr>
        <w:fldChar w:fldCharType="end"/>
      </w:r>
      <w:r w:rsidRPr="00747247">
        <w:rPr>
          <w:rFonts w:ascii="Calibri" w:hAnsi="Calibri"/>
          <w:spacing w:val="0"/>
        </w:rPr>
        <w:t>. </w:t>
      </w:r>
    </w:p>
    <w:p w14:paraId="2CC4B541" w14:textId="77777777" w:rsidR="002F1BC7" w:rsidRPr="00747247"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747247">
        <w:rPr>
          <w:rFonts w:ascii="Calibri" w:hAnsi="Calibri"/>
          <w:spacing w:val="0"/>
        </w:rPr>
        <w:t>ensure their own understanding of these Guidelines and any relevant jurisdictional policy in relation to HCWs with a BBV as well as relevant public health and privacy legislation</w:t>
      </w:r>
    </w:p>
    <w:p w14:paraId="116A56CF" w14:textId="77777777" w:rsidR="002F1BC7" w:rsidRPr="00DF1E0C"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DF1E0C">
        <w:rPr>
          <w:rFonts w:ascii="Calibri" w:hAnsi="Calibri"/>
          <w:spacing w:val="0"/>
        </w:rPr>
        <w:t>ensure the HCW has scheduled appointments of appropriate frequency for the level of monitoring they require</w:t>
      </w:r>
    </w:p>
    <w:p w14:paraId="3790EEA9" w14:textId="77777777" w:rsidR="002F1BC7" w:rsidRPr="00DF1E0C"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DF1E0C">
        <w:rPr>
          <w:rFonts w:ascii="Calibri" w:hAnsi="Calibri"/>
          <w:spacing w:val="0"/>
        </w:rPr>
        <w:t>actively follow up missed HCW appointments to ensure timely rescheduling</w:t>
      </w:r>
    </w:p>
    <w:p w14:paraId="4E208A5B" w14:textId="77777777" w:rsidR="002F1BC7" w:rsidRPr="00DF1E0C"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DF1E0C">
        <w:rPr>
          <w:rFonts w:ascii="Calibri" w:hAnsi="Calibri"/>
          <w:spacing w:val="0"/>
        </w:rPr>
        <w:t>report concerns regarding HCW compliance with professional standards to the relevant area of the jurisdictional health department in a timely manner</w:t>
      </w:r>
    </w:p>
    <w:p w14:paraId="5168B167" w14:textId="77777777" w:rsidR="002F1BC7" w:rsidRPr="00DF1E0C"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DF1E0C">
        <w:rPr>
          <w:rFonts w:ascii="Calibri" w:hAnsi="Calibri"/>
          <w:spacing w:val="0"/>
        </w:rPr>
        <w:t>report concerns regarding actual or potential exposures constituting a public health risk to the relevant area of the jurisdictional health department, and</w:t>
      </w:r>
    </w:p>
    <w:p w14:paraId="386AAF49" w14:textId="77777777" w:rsidR="002F1BC7" w:rsidRPr="00F27224" w:rsidRDefault="002F1BC7" w:rsidP="002F1BC7">
      <w:pPr>
        <w:pStyle w:val="BodyText"/>
        <w:widowControl/>
        <w:numPr>
          <w:ilvl w:val="0"/>
          <w:numId w:val="44"/>
        </w:numPr>
        <w:tabs>
          <w:tab w:val="clear" w:pos="-720"/>
        </w:tabs>
        <w:suppressAutoHyphens w:val="0"/>
        <w:spacing w:after="60" w:line="280" w:lineRule="atLeast"/>
        <w:rPr>
          <w:rFonts w:ascii="Calibri" w:hAnsi="Calibri"/>
          <w:spacing w:val="0"/>
        </w:rPr>
      </w:pPr>
      <w:r w:rsidRPr="00F27224">
        <w:rPr>
          <w:rFonts w:ascii="Calibri" w:hAnsi="Calibri"/>
          <w:spacing w:val="0"/>
        </w:rPr>
        <w:t xml:space="preserve">Consider notification of the HCW to AHPRA under provisions of the National Law, </w:t>
      </w:r>
      <w:r w:rsidRPr="00647CC2">
        <w:rPr>
          <w:rFonts w:ascii="Calibri" w:hAnsi="Calibri"/>
          <w:color w:val="000000"/>
          <w:spacing w:val="0"/>
        </w:rPr>
        <w:t>particularly if the HCW is putting the public at risk and a mandatory notification is therefore necessary</w:t>
      </w:r>
      <w:r w:rsidRPr="00F27224">
        <w:rPr>
          <w:rFonts w:ascii="Calibri" w:hAnsi="Calibri"/>
          <w:spacing w:val="0"/>
        </w:rPr>
        <w:t>. Further information can be found in the health practitioner boards’</w:t>
      </w:r>
      <w:r w:rsidRPr="00F27224">
        <w:rPr>
          <w:rFonts w:ascii="Calibri" w:hAnsi="Calibri"/>
          <w:i/>
          <w:spacing w:val="0"/>
        </w:rPr>
        <w:t xml:space="preserve"> Mandatory notifications guidelines for registered health practitioners</w:t>
      </w:r>
      <w:r w:rsidRPr="00F27224">
        <w:rPr>
          <w:rFonts w:ascii="Calibri" w:hAnsi="Calibri"/>
          <w:spacing w:val="0"/>
        </w:rPr>
        <w:t xml:space="preserve"> </w:t>
      </w:r>
      <w:r w:rsidRPr="00F27224">
        <w:rPr>
          <w:rFonts w:ascii="Calibri" w:hAnsi="Calibri"/>
          <w:spacing w:val="0"/>
        </w:rPr>
        <w:fldChar w:fldCharType="begin"/>
      </w:r>
      <w:r w:rsidRPr="00F27224">
        <w:rPr>
          <w:rFonts w:ascii="Calibri" w:hAnsi="Calibri"/>
          <w:spacing w:val="0"/>
        </w:rPr>
        <w:instrText xml:space="preserve"> ADDIN EN.CITE &lt;EndNote&gt;&lt;Cite&gt;&lt;Author&gt;The Australian Health Practitioner Regulation Agency&lt;/Author&gt;&lt;Year&gt;2014&lt;/Year&gt;&lt;RecNum&gt;1&lt;/RecNum&gt;&lt;DisplayText&gt;[8]&lt;/DisplayText&gt;&lt;record&gt;&lt;rec-number&gt;1&lt;/rec-number&gt;&lt;foreign-keys&gt;&lt;key app="EN" db-id="5d9ze055j2zd5revw2n50xpwd0fze9frtdxr"&gt;1&lt;/key&gt;&lt;/foreign-keys&gt;&lt;ref-type name="Government Document"&gt;46&lt;/ref-type&gt;&lt;contributors&gt;&lt;authors&gt;&lt;author&gt;The Australian Health Practitioner Regulation Agency,&lt;/author&gt;&lt;/authors&gt;&lt;/contributors&gt;&lt;titles&gt;&lt;title&gt;Mandatory notifications guidelines for registered health practitioners&lt;/title&gt;&lt;/titles&gt;&lt;dates&gt;&lt;year&gt;2014&lt;/year&gt;&lt;/dates&gt;&lt;urls&gt;&lt;related-urls&gt;&lt;url&gt;http://www.medicalboard.gov.au/Codes-Guidelines-Policies/Guidelines-for-mandatory-notifications.aspx &lt;/url&gt;&lt;/related-urls&gt;&lt;/urls&gt;&lt;access-date&gt;April 2014&lt;/access-date&gt;&lt;/record&gt;&lt;/Cite&gt;&lt;/EndNote&gt;</w:instrText>
      </w:r>
      <w:r w:rsidRPr="00F27224">
        <w:rPr>
          <w:rFonts w:ascii="Calibri" w:hAnsi="Calibri"/>
          <w:spacing w:val="0"/>
        </w:rPr>
        <w:fldChar w:fldCharType="separate"/>
      </w:r>
      <w:r w:rsidRPr="00F27224">
        <w:rPr>
          <w:rFonts w:ascii="Calibri" w:hAnsi="Calibri"/>
          <w:spacing w:val="0"/>
        </w:rPr>
        <w:t>[</w:t>
      </w:r>
      <w:hyperlink w:anchor="_ENREF_8" w:tooltip="The Australian Health Practitioner Regulation Agency, 2014 #1" w:history="1">
        <w:r w:rsidRPr="00F27224">
          <w:rPr>
            <w:rFonts w:ascii="Calibri" w:hAnsi="Calibri"/>
            <w:spacing w:val="0"/>
          </w:rPr>
          <w:t>8</w:t>
        </w:r>
      </w:hyperlink>
      <w:r w:rsidRPr="00F27224">
        <w:rPr>
          <w:rFonts w:ascii="Calibri" w:hAnsi="Calibri"/>
          <w:spacing w:val="0"/>
        </w:rPr>
        <w:t>]</w:t>
      </w:r>
      <w:r w:rsidRPr="00F27224">
        <w:rPr>
          <w:rFonts w:ascii="Calibri" w:hAnsi="Calibri"/>
          <w:spacing w:val="0"/>
        </w:rPr>
        <w:fldChar w:fldCharType="end"/>
      </w:r>
      <w:r w:rsidRPr="00F27224">
        <w:rPr>
          <w:rFonts w:ascii="Calibri" w:hAnsi="Calibri"/>
          <w:spacing w:val="0"/>
        </w:rPr>
        <w:t xml:space="preserve">, and </w:t>
      </w:r>
      <w:r w:rsidRPr="00F27224">
        <w:rPr>
          <w:rFonts w:ascii="Calibri" w:hAnsi="Calibri"/>
          <w:i/>
          <w:spacing w:val="0"/>
        </w:rPr>
        <w:t>Guidelines for the regulatory management of registered health practitioners and students infected with blood</w:t>
      </w:r>
      <w:r w:rsidRPr="00F27224">
        <w:rPr>
          <w:rFonts w:ascii="Calibri" w:hAnsi="Calibri"/>
          <w:i/>
          <w:spacing w:val="0"/>
        </w:rPr>
        <w:noBreakHyphen/>
        <w:t>borne viruses</w:t>
      </w:r>
      <w:r w:rsidRPr="00F27224">
        <w:rPr>
          <w:rFonts w:ascii="Calibri" w:hAnsi="Calibri"/>
          <w:spacing w:val="0"/>
        </w:rPr>
        <w:t xml:space="preserve"> (in development at ti</w:t>
      </w:r>
      <w:r>
        <w:rPr>
          <w:rFonts w:ascii="Calibri" w:hAnsi="Calibri"/>
          <w:spacing w:val="0"/>
        </w:rPr>
        <w:t>me of writing these Guidelines)</w:t>
      </w:r>
    </w:p>
    <w:p w14:paraId="6FD34873" w14:textId="77777777" w:rsidR="002F1BC7" w:rsidRDefault="002F1BC7" w:rsidP="002F1BC7">
      <w:pPr>
        <w:pStyle w:val="Heading2"/>
        <w:rPr>
          <w:rFonts w:ascii="Calibri" w:hAnsi="Calibri"/>
          <w:sz w:val="32"/>
          <w:szCs w:val="22"/>
          <w:lang w:val="en-AU"/>
        </w:rPr>
      </w:pPr>
    </w:p>
    <w:p w14:paraId="178F682E" w14:textId="77777777" w:rsidR="002F1BC7" w:rsidRDefault="002F1BC7" w:rsidP="002F1BC7">
      <w:pPr>
        <w:pStyle w:val="Heading2"/>
        <w:rPr>
          <w:rFonts w:ascii="Calibri" w:hAnsi="Calibri"/>
          <w:sz w:val="32"/>
          <w:szCs w:val="22"/>
          <w:lang w:val="en-AU"/>
        </w:rPr>
      </w:pPr>
    </w:p>
    <w:p w14:paraId="739C5EAF" w14:textId="77777777" w:rsidR="002F1BC7" w:rsidRPr="00DF1E0C" w:rsidRDefault="002F1BC7" w:rsidP="002F1BC7">
      <w:pPr>
        <w:pStyle w:val="Heading2"/>
        <w:rPr>
          <w:rFonts w:ascii="Calibri" w:hAnsi="Calibri"/>
          <w:sz w:val="32"/>
          <w:szCs w:val="22"/>
          <w:lang w:val="en-AU"/>
        </w:rPr>
      </w:pPr>
      <w:r w:rsidRPr="00F27224">
        <w:rPr>
          <w:rFonts w:ascii="Calibri" w:hAnsi="Calibri"/>
          <w:sz w:val="32"/>
          <w:szCs w:val="22"/>
          <w:lang w:val="en-AU"/>
        </w:rPr>
        <w:t>5.5 Failure of a HCW to attend</w:t>
      </w:r>
      <w:r w:rsidRPr="00DF1E0C">
        <w:rPr>
          <w:rFonts w:ascii="Calibri" w:hAnsi="Calibri"/>
          <w:sz w:val="32"/>
          <w:szCs w:val="22"/>
          <w:lang w:val="en-AU"/>
        </w:rPr>
        <w:t xml:space="preserve"> appointments or refusal to be tested </w:t>
      </w:r>
    </w:p>
    <w:p w14:paraId="50E965B2" w14:textId="77777777" w:rsidR="002F1BC7" w:rsidRPr="00747247" w:rsidRDefault="002F1BC7" w:rsidP="002F1BC7">
      <w:pPr>
        <w:pStyle w:val="BodyText"/>
        <w:widowControl/>
        <w:rPr>
          <w:rFonts w:ascii="Calibri" w:hAnsi="Calibri"/>
          <w:spacing w:val="0"/>
        </w:rPr>
      </w:pPr>
      <w:r w:rsidRPr="00747247">
        <w:rPr>
          <w:rFonts w:ascii="Calibri" w:hAnsi="Calibri"/>
          <w:spacing w:val="0"/>
        </w:rPr>
        <w:t xml:space="preserve">All HCWs with a BBV </w:t>
      </w:r>
      <w:r>
        <w:rPr>
          <w:rFonts w:ascii="Calibri" w:hAnsi="Calibri"/>
          <w:spacing w:val="0"/>
        </w:rPr>
        <w:t>who are</w:t>
      </w:r>
      <w:r w:rsidRPr="00747247">
        <w:rPr>
          <w:rFonts w:ascii="Calibri" w:hAnsi="Calibri"/>
          <w:spacing w:val="0"/>
        </w:rPr>
        <w:t xml:space="preserve"> performing EPPs should be advised by their treating doctor of the importance of regular monitoring of their viral load (as specified in sections 6 – 8), as appropriate, for the purposes of supervision and the implications of not doing so.</w:t>
      </w:r>
    </w:p>
    <w:p w14:paraId="24EF3CE6" w14:textId="77777777" w:rsidR="002F1BC7" w:rsidRPr="00DF1E0C" w:rsidRDefault="002F1BC7" w:rsidP="002F1BC7">
      <w:pPr>
        <w:pStyle w:val="BodyText"/>
        <w:widowControl/>
        <w:rPr>
          <w:rFonts w:ascii="Calibri" w:hAnsi="Calibri"/>
          <w:spacing w:val="0"/>
        </w:rPr>
      </w:pPr>
      <w:r w:rsidRPr="00747247">
        <w:rPr>
          <w:rFonts w:ascii="Calibri" w:hAnsi="Calibri"/>
          <w:spacing w:val="0"/>
        </w:rPr>
        <w:t xml:space="preserve">If required, the treating doctor can seek advice from jurisdictional health departments. The treating doctor must inform AHPRA </w:t>
      </w:r>
      <w:r w:rsidRPr="00747247">
        <w:rPr>
          <w:rFonts w:ascii="Calibri" w:hAnsi="Calibri"/>
          <w:iCs/>
          <w:spacing w:val="0"/>
        </w:rPr>
        <w:t>and then follow local jurisdictional processes as required/permitted under public health legislation in order to protect the public, w</w:t>
      </w:r>
      <w:r w:rsidRPr="00747247">
        <w:rPr>
          <w:rFonts w:ascii="Calibri" w:hAnsi="Calibri"/>
          <w:spacing w:val="0"/>
        </w:rPr>
        <w:t>here an HCW with a BBV:</w:t>
      </w:r>
    </w:p>
    <w:p w14:paraId="0900183A" w14:textId="77777777" w:rsidR="002F1BC7" w:rsidRPr="00DF1E0C" w:rsidRDefault="002F1BC7" w:rsidP="002F1BC7">
      <w:pPr>
        <w:pStyle w:val="BodyText"/>
        <w:widowControl/>
        <w:numPr>
          <w:ilvl w:val="0"/>
          <w:numId w:val="45"/>
        </w:numPr>
        <w:tabs>
          <w:tab w:val="clear" w:pos="-720"/>
        </w:tabs>
        <w:suppressAutoHyphens w:val="0"/>
        <w:spacing w:after="120" w:line="280" w:lineRule="atLeast"/>
        <w:rPr>
          <w:rFonts w:ascii="Calibri" w:hAnsi="Calibri"/>
          <w:spacing w:val="0"/>
        </w:rPr>
      </w:pPr>
      <w:r w:rsidRPr="00DF1E0C">
        <w:rPr>
          <w:rFonts w:ascii="Calibri" w:hAnsi="Calibri"/>
          <w:spacing w:val="0"/>
        </w:rPr>
        <w:t xml:space="preserve">does not attend their appointments or fails to be tested within the prescribed timeframe without prior notification and adequate justification to their doctor </w:t>
      </w:r>
    </w:p>
    <w:p w14:paraId="63AE2649" w14:textId="77777777" w:rsidR="002F1BC7" w:rsidRPr="00DF1E0C" w:rsidRDefault="002F1BC7" w:rsidP="002F1BC7">
      <w:pPr>
        <w:pStyle w:val="BodyText"/>
        <w:widowControl/>
        <w:numPr>
          <w:ilvl w:val="0"/>
          <w:numId w:val="45"/>
        </w:numPr>
        <w:tabs>
          <w:tab w:val="clear" w:pos="-720"/>
        </w:tabs>
        <w:suppressAutoHyphens w:val="0"/>
        <w:spacing w:after="120" w:line="280" w:lineRule="atLeast"/>
        <w:rPr>
          <w:rFonts w:ascii="Calibri" w:hAnsi="Calibri"/>
          <w:spacing w:val="0"/>
        </w:rPr>
      </w:pPr>
      <w:r w:rsidRPr="00DF1E0C">
        <w:rPr>
          <w:rFonts w:ascii="Calibri" w:hAnsi="Calibri"/>
          <w:spacing w:val="0"/>
        </w:rPr>
        <w:t>refuses to have their viral load tested, or</w:t>
      </w:r>
    </w:p>
    <w:p w14:paraId="2AFFA7B8" w14:textId="77777777" w:rsidR="002F1BC7" w:rsidRPr="00DF1E0C" w:rsidRDefault="002F1BC7" w:rsidP="002F1BC7">
      <w:pPr>
        <w:pStyle w:val="BodyText"/>
        <w:widowControl/>
        <w:numPr>
          <w:ilvl w:val="0"/>
          <w:numId w:val="45"/>
        </w:numPr>
        <w:tabs>
          <w:tab w:val="clear" w:pos="-720"/>
        </w:tabs>
        <w:suppressAutoHyphens w:val="0"/>
        <w:spacing w:after="120" w:line="280" w:lineRule="atLeast"/>
        <w:rPr>
          <w:rFonts w:ascii="Calibri" w:hAnsi="Calibri"/>
          <w:spacing w:val="0"/>
        </w:rPr>
      </w:pPr>
      <w:r w:rsidRPr="00DF1E0C">
        <w:rPr>
          <w:rFonts w:ascii="Calibri" w:hAnsi="Calibri"/>
          <w:spacing w:val="0"/>
        </w:rPr>
        <w:t xml:space="preserve">continues to perform EPPs when excluded by these </w:t>
      </w:r>
      <w:r>
        <w:rPr>
          <w:rFonts w:ascii="Calibri" w:hAnsi="Calibri"/>
          <w:spacing w:val="0"/>
        </w:rPr>
        <w:t>Guidelines</w:t>
      </w:r>
      <w:r w:rsidRPr="00DF1E0C">
        <w:rPr>
          <w:rFonts w:ascii="Calibri" w:hAnsi="Calibri"/>
          <w:spacing w:val="0"/>
        </w:rPr>
        <w:t xml:space="preserve">. </w:t>
      </w:r>
    </w:p>
    <w:p w14:paraId="2CD21895" w14:textId="77777777" w:rsidR="002F1BC7" w:rsidRPr="00DF1E0C" w:rsidRDefault="002F1BC7" w:rsidP="002F1BC7">
      <w:pPr>
        <w:pStyle w:val="BodyText"/>
        <w:widowControl/>
        <w:rPr>
          <w:rFonts w:ascii="Calibri" w:hAnsi="Calibri"/>
          <w:spacing w:val="0"/>
        </w:rPr>
      </w:pPr>
      <w:r w:rsidRPr="00DF1E0C">
        <w:rPr>
          <w:rFonts w:ascii="Calibri" w:hAnsi="Calibri"/>
          <w:iCs/>
          <w:spacing w:val="0"/>
        </w:rPr>
        <w:t xml:space="preserve">The treating doctor may also need to inform the </w:t>
      </w:r>
      <w:r w:rsidRPr="00DF1E0C">
        <w:rPr>
          <w:rFonts w:ascii="Calibri" w:hAnsi="Calibri"/>
          <w:spacing w:val="0"/>
        </w:rPr>
        <w:t xml:space="preserve">relevant area of the jurisdictional health department that the HCW is no longer cleared to perform EPPs, until it has been established that the HCW is complying with these </w:t>
      </w:r>
      <w:r>
        <w:rPr>
          <w:rFonts w:ascii="Calibri" w:hAnsi="Calibri"/>
          <w:spacing w:val="0"/>
        </w:rPr>
        <w:t>Guidelines</w:t>
      </w:r>
      <w:r w:rsidRPr="00DF1E0C">
        <w:rPr>
          <w:rFonts w:ascii="Calibri" w:hAnsi="Calibri"/>
          <w:spacing w:val="0"/>
        </w:rPr>
        <w:t xml:space="preserve"> (i.e. below the specified viral load where applicable).</w:t>
      </w:r>
    </w:p>
    <w:p w14:paraId="1305E4B2" w14:textId="77777777" w:rsidR="002F1BC7" w:rsidRPr="00DF1E0C" w:rsidRDefault="002F1BC7" w:rsidP="002F1BC7">
      <w:pPr>
        <w:rPr>
          <w:rFonts w:eastAsia="Arial"/>
          <w:b/>
          <w:bCs/>
          <w:color w:val="FFFFFF"/>
          <w:sz w:val="40"/>
          <w:szCs w:val="32"/>
          <w:lang w:val="en-AU"/>
        </w:rPr>
      </w:pPr>
      <w:bookmarkStart w:id="27" w:name="_Ref455738547"/>
      <w:bookmarkStart w:id="28" w:name="_Ref455738575"/>
      <w:bookmarkStart w:id="29" w:name="_Ref455738581"/>
      <w:bookmarkStart w:id="30" w:name="_Ref455738611"/>
      <w:r w:rsidRPr="00DF1E0C">
        <w:rPr>
          <w:color w:val="FFFFFF"/>
          <w:sz w:val="28"/>
        </w:rPr>
        <w:br w:type="page"/>
      </w:r>
    </w:p>
    <w:p w14:paraId="64234EF6" w14:textId="77777777" w:rsidR="002F1BC7" w:rsidRPr="00DF1E0C" w:rsidRDefault="002F1BC7" w:rsidP="002F1BC7">
      <w:pPr>
        <w:pStyle w:val="Heading1"/>
        <w:shd w:val="clear" w:color="auto" w:fill="009900"/>
        <w:spacing w:after="240"/>
        <w:rPr>
          <w:rFonts w:ascii="Calibri" w:hAnsi="Calibri"/>
          <w:color w:val="FFFFFF"/>
          <w:sz w:val="40"/>
        </w:rPr>
      </w:pPr>
      <w:bookmarkStart w:id="31" w:name="_Toc480558264"/>
      <w:r w:rsidRPr="00DF1E0C">
        <w:rPr>
          <w:rFonts w:ascii="Calibri" w:hAnsi="Calibri"/>
          <w:color w:val="FFFFFF"/>
          <w:sz w:val="40"/>
        </w:rPr>
        <w:lastRenderedPageBreak/>
        <w:t>6. HCWs and HBV</w:t>
      </w:r>
      <w:bookmarkEnd w:id="27"/>
      <w:bookmarkEnd w:id="28"/>
      <w:bookmarkEnd w:id="29"/>
      <w:bookmarkEnd w:id="30"/>
      <w:bookmarkEnd w:id="31"/>
    </w:p>
    <w:p w14:paraId="39992C74" w14:textId="77777777" w:rsidR="002F1BC7" w:rsidRPr="00DF1E0C" w:rsidRDefault="002F1BC7" w:rsidP="002F1BC7">
      <w:pPr>
        <w:pStyle w:val="BodyText"/>
        <w:widowControl/>
        <w:rPr>
          <w:rFonts w:ascii="Calibri" w:hAnsi="Calibri"/>
          <w:spacing w:val="0"/>
        </w:rPr>
      </w:pPr>
      <w:bookmarkStart w:id="32" w:name="Evidence_for_human_immunodeficiency_viru"/>
      <w:bookmarkStart w:id="33" w:name="_bookmark2"/>
      <w:bookmarkStart w:id="34" w:name="Evidence_for_hepatitis_C_virus_(HCV)_tra"/>
      <w:bookmarkStart w:id="35" w:name="_bookmark3"/>
      <w:bookmarkEnd w:id="32"/>
      <w:bookmarkEnd w:id="33"/>
      <w:bookmarkEnd w:id="34"/>
      <w:bookmarkEnd w:id="35"/>
      <w:r w:rsidRPr="00DF1E0C">
        <w:rPr>
          <w:rFonts w:ascii="Calibri" w:hAnsi="Calibri"/>
          <w:spacing w:val="0"/>
        </w:rPr>
        <w:t xml:space="preserve">This Section must be read in conjunction with the remainder of these </w:t>
      </w:r>
      <w:r>
        <w:rPr>
          <w:rFonts w:ascii="Calibri" w:hAnsi="Calibri"/>
          <w:spacing w:val="0"/>
        </w:rPr>
        <w:t>Guidelines</w:t>
      </w:r>
      <w:r w:rsidRPr="00DF1E0C">
        <w:rPr>
          <w:rFonts w:ascii="Calibri" w:hAnsi="Calibri"/>
          <w:spacing w:val="0"/>
        </w:rPr>
        <w:t xml:space="preserve">, in particular Section </w:t>
      </w:r>
      <w:r w:rsidRPr="00DF1E0C">
        <w:rPr>
          <w:rFonts w:ascii="Calibri" w:hAnsi="Calibri"/>
          <w:spacing w:val="0"/>
        </w:rPr>
        <w:fldChar w:fldCharType="begin"/>
      </w:r>
      <w:r w:rsidRPr="00DF1E0C">
        <w:rPr>
          <w:rFonts w:ascii="Calibri" w:hAnsi="Calibri"/>
          <w:spacing w:val="0"/>
        </w:rPr>
        <w:instrText xml:space="preserve"> REF _Ref455736703 \h  \* MERGEFORMAT </w:instrText>
      </w:r>
      <w:r w:rsidRPr="00DF1E0C">
        <w:rPr>
          <w:rFonts w:ascii="Calibri" w:hAnsi="Calibri"/>
          <w:spacing w:val="0"/>
        </w:rPr>
      </w:r>
      <w:r w:rsidRPr="00DF1E0C">
        <w:rPr>
          <w:rFonts w:ascii="Calibri" w:hAnsi="Calibri"/>
          <w:spacing w:val="0"/>
        </w:rPr>
        <w:fldChar w:fldCharType="separate"/>
      </w:r>
      <w:r w:rsidRPr="00013F35">
        <w:rPr>
          <w:rFonts w:ascii="Calibri" w:hAnsi="Calibri"/>
          <w:spacing w:val="0"/>
        </w:rPr>
        <w:t>5. Recommendations for the management of HCWs living with a BBV</w:t>
      </w:r>
      <w:r w:rsidRPr="00DF1E0C">
        <w:rPr>
          <w:rFonts w:ascii="Calibri" w:hAnsi="Calibri"/>
          <w:spacing w:val="0"/>
        </w:rPr>
        <w:fldChar w:fldCharType="end"/>
      </w:r>
      <w:r w:rsidRPr="00DF1E0C">
        <w:rPr>
          <w:rFonts w:ascii="Calibri" w:hAnsi="Calibri"/>
          <w:spacing w:val="0"/>
        </w:rPr>
        <w:t>.</w:t>
      </w:r>
    </w:p>
    <w:p w14:paraId="444B25FF" w14:textId="77777777" w:rsidR="002F1BC7" w:rsidRPr="00DF1E0C" w:rsidRDefault="002F1BC7" w:rsidP="002F1BC7">
      <w:pPr>
        <w:pStyle w:val="Heading2"/>
        <w:rPr>
          <w:rFonts w:ascii="Calibri" w:hAnsi="Calibri"/>
          <w:color w:val="009900"/>
          <w:sz w:val="32"/>
        </w:rPr>
      </w:pPr>
      <w:r w:rsidRPr="00DF1E0C">
        <w:rPr>
          <w:rFonts w:ascii="Calibri" w:hAnsi="Calibri"/>
          <w:color w:val="009900"/>
          <w:sz w:val="32"/>
        </w:rPr>
        <w:t>6.1 Evidence of HBV transmission risk</w:t>
      </w:r>
    </w:p>
    <w:p w14:paraId="11FD88E6"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HBV is the most readily transmitted BBV, and can be transmitted in the absence of visible blood </w:t>
      </w:r>
      <w:r w:rsidRPr="00DF1E0C">
        <w:rPr>
          <w:rFonts w:ascii="Calibri" w:hAnsi="Calibri"/>
          <w:spacing w:val="0"/>
        </w:rPr>
        <w:fldChar w:fldCharType="begin">
          <w:fldData xml:space="preserve">PEVuZE5vdGU+PENpdGU+PEF1dGhvcj5TY2hpbGxpZTwvQXV0aG9yPjxZZWFyPjIwMTM8L1llYXI+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</w:fldData>
        </w:fldChar>
      </w:r>
      <w:r w:rsidRPr="00DF1E0C">
        <w:rPr>
          <w:rFonts w:ascii="Calibri" w:hAnsi="Calibri"/>
          <w:spacing w:val="0"/>
        </w:rPr>
        <w:instrText xml:space="preserve"> ADDIN EN.CITE </w:instrText>
      </w:r>
      <w:r w:rsidRPr="00DF1E0C">
        <w:rPr>
          <w:rFonts w:ascii="Calibri" w:hAnsi="Calibri"/>
          <w:spacing w:val="0"/>
        </w:rPr>
        <w:fldChar w:fldCharType="begin">
          <w:fldData xml:space="preserve">PEVuZE5vdGU+PENpdGU+PEF1dGhvcj5TY2hpbGxpZTwvQXV0aG9yPjxZZWFyPjIwMTM8L1llYXI+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</w:fldData>
        </w:fldChar>
      </w:r>
      <w:r w:rsidRPr="00DF1E0C">
        <w:rPr>
          <w:rFonts w:ascii="Calibri" w:hAnsi="Calibri"/>
          <w:spacing w:val="0"/>
        </w:rPr>
        <w:instrText xml:space="preserve"> ADDIN EN.CITE.DATA </w:instrText>
      </w:r>
      <w:r w:rsidRPr="00DF1E0C">
        <w:rPr>
          <w:rFonts w:ascii="Calibri" w:hAnsi="Calibri"/>
          <w:spacing w:val="0"/>
        </w:rPr>
      </w:r>
      <w:r w:rsidRPr="00DF1E0C">
        <w:rPr>
          <w:rFonts w:ascii="Calibri" w:hAnsi="Calibri"/>
          <w:spacing w:val="0"/>
        </w:rPr>
        <w:fldChar w:fldCharType="end"/>
      </w:r>
      <w:r w:rsidRPr="00DF1E0C">
        <w:rPr>
          <w:rFonts w:ascii="Calibri" w:hAnsi="Calibri"/>
          <w:spacing w:val="0"/>
        </w:rPr>
      </w:r>
      <w:r w:rsidRPr="00DF1E0C">
        <w:rPr>
          <w:rFonts w:ascii="Calibri" w:hAnsi="Calibri"/>
          <w:spacing w:val="0"/>
        </w:rPr>
        <w:fldChar w:fldCharType="separate"/>
      </w:r>
      <w:r w:rsidRPr="00DF1E0C">
        <w:rPr>
          <w:rFonts w:ascii="Calibri" w:hAnsi="Calibri"/>
          <w:noProof/>
          <w:spacing w:val="0"/>
        </w:rPr>
        <w:t>[</w:t>
      </w:r>
      <w:hyperlink w:anchor="_ENREF_9" w:tooltip="Schillie, 2013 #66" w:history="1">
        <w:r w:rsidRPr="00DF1E0C">
          <w:rPr>
            <w:rFonts w:ascii="Calibri" w:hAnsi="Calibri"/>
            <w:noProof/>
            <w:spacing w:val="0"/>
          </w:rPr>
          <w:t>9-11</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HBV is transmitted th</w:t>
      </w:r>
      <w:r>
        <w:rPr>
          <w:rFonts w:ascii="Calibri" w:hAnsi="Calibri"/>
          <w:spacing w:val="0"/>
        </w:rPr>
        <w:t>r</w:t>
      </w:r>
      <w:r w:rsidRPr="00DF1E0C">
        <w:rPr>
          <w:rFonts w:ascii="Calibri" w:hAnsi="Calibri"/>
          <w:spacing w:val="0"/>
        </w:rPr>
        <w:t>ough percutaneous (the most efficient mode), mucosal or non</w:t>
      </w:r>
      <w:r w:rsidRPr="00DF1E0C">
        <w:rPr>
          <w:rFonts w:ascii="Calibri" w:hAnsi="Calibri"/>
          <w:spacing w:val="0"/>
        </w:rPr>
        <w:noBreakHyphen/>
        <w:t xml:space="preserve">intact skin (e.g psoriasis, eczema, burns, wounds) exposure to infectious blood or body fluid </w:t>
      </w:r>
      <w:r w:rsidRPr="00DF1E0C">
        <w:rPr>
          <w:rFonts w:ascii="Calibri" w:hAnsi="Calibri"/>
          <w:spacing w:val="0"/>
        </w:rPr>
        <w:fldChar w:fldCharType="begin"/>
      </w:r>
      <w:r w:rsidRPr="00DF1E0C">
        <w:rPr>
          <w:rFonts w:ascii="Calibri" w:hAnsi="Calibri"/>
          <w:spacing w:val="0"/>
        </w:rPr>
        <w:instrText xml:space="preserve"> ADDIN EN.CITE &lt;EndNote&gt;&lt;Cite&gt;&lt;Author&gt;Schillie&lt;/Author&gt;&lt;Year&gt;2013&lt;/Year&gt;&lt;RecNum&gt;66&lt;/RecNum&gt;&lt;DisplayText&gt;[9]&lt;/DisplayText&gt;&lt;record&gt;&lt;rec-number&gt;66&lt;/rec-number&gt;&lt;foreign-keys&gt;&lt;key app="EN" db-id="5d9ze055j2zd5revw2n50xpwd0fze9frtdxr"&gt;66&lt;/key&gt;&lt;/foreign-keys&gt;&lt;ref-type name="Journal Article"&gt;17&lt;/ref-type&gt;&lt;contributors&gt;&lt;authors&gt;&lt;author&gt;Schillie, Sarah&lt;/author&gt;&lt;author&gt;Murphy, Trudy V&lt;/author&gt;&lt;author&gt;Sawyer, Mark&lt;/author&gt;&lt;author&gt;Ly, Kathleen&lt;/author&gt;&lt;author&gt;Hughes, Elizabeth&lt;/author&gt;&lt;author&gt;Jiles, Ruth&lt;/author&gt;&lt;author&gt;de Perio, Marie A&lt;/author&gt;&lt;author&gt;Reilly, Meredith&lt;/author&gt;&lt;author&gt;Byrd, Kathy&lt;/author&gt;&lt;author&gt;Ward, John W&lt;/author&gt;&lt;/authors&gt;&lt;/contributors&gt;&lt;titles&gt;&lt;title&gt;CDC guidance for evaluating health-care personnel for hepatitis B virus protection and for administering postexposure management&lt;/title&gt;&lt;secondary-title&gt;MMWR Recomm Rep&lt;/secondary-title&gt;&lt;/titles&gt;&lt;periodical&gt;&lt;full-title&gt;MMWR Recomm Rep&lt;/full-title&gt;&lt;/periodical&gt;&lt;pages&gt;1-19&lt;/pages&gt;&lt;volume&gt;62&lt;/volume&gt;&lt;dates&gt;&lt;year&gt;2013&lt;/year&gt;&lt;/dates&gt;&lt;urls&gt;&lt;/urls&gt;&lt;/record&gt;&lt;/Cite&gt;&lt;/EndNote&gt;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9" w:tooltip="Schillie, 2013 #66" w:history="1">
        <w:r w:rsidRPr="00DF1E0C">
          <w:rPr>
            <w:rFonts w:ascii="Calibri" w:hAnsi="Calibri"/>
            <w:noProof/>
            <w:spacing w:val="0"/>
          </w:rPr>
          <w:t>9</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Published cases of HBV transmission from a HCW to a patient do occur but have decreased in frequency following the introduction of standard (universal) infection prevention and control precautions, routine HBV vaccination of HCWs, and adoption of enhanced percutaneous injury precautions, such as double-gloving during EPPs, avoiding recapping needles after use, or using retractable needles. </w:t>
      </w:r>
    </w:p>
    <w:p w14:paraId="46798A30" w14:textId="77777777" w:rsidR="002F1BC7" w:rsidRPr="00DF1E0C" w:rsidRDefault="002F1BC7" w:rsidP="002F1BC7">
      <w:pPr>
        <w:pStyle w:val="BodyText"/>
        <w:widowControl/>
        <w:rPr>
          <w:rFonts w:ascii="Calibri" w:hAnsi="Calibri"/>
          <w:i/>
          <w:spacing w:val="0"/>
        </w:rPr>
      </w:pPr>
      <w:r w:rsidRPr="00DF1E0C">
        <w:rPr>
          <w:rFonts w:ascii="Calibri" w:hAnsi="Calibri"/>
          <w:i/>
          <w:spacing w:val="0"/>
        </w:rPr>
        <w:t>Transmission risk from an infected patient to a HCW</w:t>
      </w:r>
    </w:p>
    <w:p w14:paraId="3FB73AD7" w14:textId="77777777" w:rsidR="002F1BC7" w:rsidRPr="00747247" w:rsidRDefault="002F1BC7" w:rsidP="002F1BC7">
      <w:pPr>
        <w:pStyle w:val="BodyText"/>
        <w:widowControl/>
        <w:rPr>
          <w:rFonts w:ascii="Calibri" w:hAnsi="Calibri"/>
          <w:spacing w:val="0"/>
        </w:rPr>
      </w:pPr>
      <w:r w:rsidRPr="00DF1E0C">
        <w:rPr>
          <w:rFonts w:ascii="Calibri" w:hAnsi="Calibri"/>
          <w:spacing w:val="0"/>
        </w:rPr>
        <w:t xml:space="preserve">Historically, the risk of HBV transmission from a patient to a HCW has been linked to the hepatitis B surface antigen (HBsAg) and hepatitis B e antigen (HBeAg) status of the source. In studies of HCWs who sustained needle stick injuries (NSIs) from sharps contaminated with blood containing HBV, the risk of seroconversion for HBV infection ranged from 37% to 62% if the source patient was both HBsAg-positive and HBeAg-positive, and 23% to 37% if the source was HBsAg-positive but HBeAg-negative </w:t>
      </w:r>
      <w:r w:rsidRPr="00DF1E0C">
        <w:rPr>
          <w:rFonts w:ascii="Calibri" w:hAnsi="Calibri"/>
          <w:spacing w:val="0"/>
        </w:rPr>
        <w:fldChar w:fldCharType="begin"/>
      </w:r>
      <w:r w:rsidRPr="00DF1E0C">
        <w:rPr>
          <w:rFonts w:ascii="Calibri" w:hAnsi="Calibri"/>
          <w:spacing w:val="0"/>
        </w:rPr>
        <w:instrText xml:space="preserve"> ADDIN EN.CITE &lt;EndNote&gt;&lt;Cite&gt;&lt;Author&gt;Schillie&lt;/Author&gt;&lt;Year&gt;2013&lt;/Year&gt;&lt;RecNum&gt;66&lt;/RecNum&gt;&lt;DisplayText&gt;[9, 12]&lt;/DisplayText&gt;&lt;record&gt;&lt;rec-number&gt;66&lt;/rec-number&gt;&lt;foreign-keys&gt;&lt;key app="EN" db-id="5d9ze055j2zd5revw2n50xpwd0fze9frtdxr"&gt;66&lt;/key&gt;&lt;/foreign-keys&gt;&lt;ref-type name="Journal Article"&gt;17&lt;/ref-type&gt;&lt;contributors&gt;&lt;authors&gt;&lt;author&gt;Schillie, Sarah&lt;/author&gt;&lt;author&gt;Murphy, Trudy V&lt;/author&gt;&lt;author&gt;Sawyer, Mark&lt;/author&gt;&lt;author&gt;Ly, Kathleen&lt;/author&gt;&lt;author&gt;Hughes, Elizabeth&lt;/author&gt;&lt;author&gt;Jiles, Ruth&lt;/author&gt;&lt;author&gt;de Perio, Marie A&lt;/author&gt;&lt;author&gt;Reilly, Meredith&lt;/author&gt;&lt;author&gt;Byrd, Kathy&lt;/author&gt;&lt;author&gt;Ward, John W&lt;/author&gt;&lt;/authors&gt;&lt;/contributors&gt;&lt;titles&gt;&lt;title&gt;CDC guidance for evaluating health-care personnel for hepatitis B virus protection and for administering postexposure management&lt;/title&gt;&lt;secondary-title&gt;MMWR Recomm Rep&lt;/secondary-title&gt;&lt;/titles&gt;&lt;periodical&gt;&lt;full-title&gt;MMWR Recomm Rep&lt;/full-title&gt;&lt;/periodical&gt;&lt;pages&gt;1-19&lt;/pages&gt;&lt;volume&gt;62&lt;/volume&gt;&lt;dates&gt;&lt;year&gt;2013&lt;/year&gt;&lt;/dates&gt;&lt;urls&gt;&lt;/urls&gt;&lt;/record&gt;&lt;/Cite&gt;&lt;Cite&gt;&lt;Author&gt;Werner&lt;/Author&gt;&lt;Year&gt;1982&lt;/Year&gt;&lt;RecNum&gt;49&lt;/RecNum&gt;&lt;record&gt;&lt;rec-number&gt;49&lt;/rec-number&gt;&lt;foreign-keys&gt;&lt;key app="EN" db-id="5d9ze055j2zd5revw2n50xpwd0fze9frtdxr"&gt;49&lt;/key&gt;&lt;/foreign-keys&gt;&lt;ref-type name="Journal Article"&gt;17&lt;/ref-type&gt;&lt;contributors&gt;&lt;authors&gt;&lt;author&gt;Werner, Barbara G&lt;/author&gt;&lt;author&gt;Grady, George F&lt;/author&gt;&lt;/authors&gt;&lt;/contributors&gt;&lt;titles&gt;&lt;title&gt;Accidental hepatitis-B-surface-antigen-positive inoculations: use of e antigen to estimate infectivity&lt;/title&gt;&lt;secondary-title&gt;Annals of Internal Medicine&lt;/secondary-title&gt;&lt;/titles&gt;&lt;periodical&gt;&lt;full-title&gt;Annals of Internal Medicine&lt;/full-title&gt;&lt;/periodical&gt;&lt;pages&gt;367-369&lt;/pages&gt;&lt;volume&gt;97&lt;/volume&gt;&lt;number&gt;3&lt;/number&gt;&lt;dates&gt;&lt;year&gt;1982&lt;/year&gt;&lt;/dates&gt;&lt;isbn&gt;0003-4819&lt;/isbn&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9" w:tooltip="Schillie, 2013 #66" w:history="1">
        <w:r w:rsidRPr="00DF1E0C">
          <w:rPr>
            <w:rFonts w:ascii="Calibri" w:hAnsi="Calibri"/>
            <w:noProof/>
            <w:spacing w:val="0"/>
          </w:rPr>
          <w:t>9</w:t>
        </w:r>
      </w:hyperlink>
      <w:r w:rsidRPr="00DF1E0C">
        <w:rPr>
          <w:rFonts w:ascii="Calibri" w:hAnsi="Calibri"/>
          <w:noProof/>
          <w:spacing w:val="0"/>
        </w:rPr>
        <w:t xml:space="preserve">, </w:t>
      </w:r>
      <w:hyperlink w:anchor="_ENREF_12" w:tooltip="Werner, 1982 #49" w:history="1">
        <w:r w:rsidRPr="00DF1E0C">
          <w:rPr>
            <w:rFonts w:ascii="Calibri" w:hAnsi="Calibri"/>
            <w:noProof/>
            <w:spacing w:val="0"/>
          </w:rPr>
          <w:t>12</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The risk of developing clinical hepatitis after exposure ranged from 22% to 31% if the source patient was both HBsAg-positive and HBeAg-positive, and from 1% to 6% if the source was HBsAg-positive but HBeAg-negative </w:t>
      </w:r>
      <w:r w:rsidRPr="00DF1E0C">
        <w:rPr>
          <w:rFonts w:ascii="Calibri" w:hAnsi="Calibri"/>
          <w:spacing w:val="0"/>
        </w:rPr>
        <w:fldChar w:fldCharType="begin"/>
      </w:r>
      <w:r w:rsidRPr="00DF1E0C">
        <w:rPr>
          <w:rFonts w:ascii="Calibri" w:hAnsi="Calibri"/>
          <w:spacing w:val="0"/>
        </w:rPr>
        <w:instrText xml:space="preserve"> ADDIN EN.CITE &lt;EndNote&gt;&lt;Cite&gt;&lt;Author&gt;Werner&lt;/Author&gt;&lt;Year&gt;1982&lt;/Year&gt;&lt;RecNum&gt;49&lt;/RecNum&gt;&lt;DisplayText&gt;[9, 12]&lt;/DisplayText&gt;&lt;record&gt;&lt;rec-number&gt;49&lt;/rec-number&gt;&lt;foreign-keys&gt;&lt;key app="EN" db-id="5d9ze055j2zd5revw2n50xpwd0fze9frtdxr"&gt;49&lt;/key&gt;&lt;/foreign-keys&gt;&lt;ref-type name="Journal Article"&gt;17&lt;/ref-type&gt;&lt;contributors&gt;&lt;authors&gt;&lt;author&gt;Werner, Barbara G&lt;/author&gt;&lt;author&gt;Grady, George F&lt;/author&gt;&lt;/authors&gt;&lt;/contributors&gt;&lt;titles&gt;&lt;title&gt;Accidental hepatitis-B-surface-antigen-positive inoculations: use of e antigen to estimate infectivity&lt;/title&gt;&lt;secondary-title&gt;Annals of Internal Medicine&lt;/secondary-title&gt;&lt;/titles&gt;&lt;periodical&gt;&lt;full-title&gt;Annals of Internal Medicine&lt;/full-title&gt;&lt;/periodical&gt;&lt;pages&gt;367-369&lt;/pages&gt;&lt;volume&gt;97&lt;/volume&gt;&lt;number&gt;3&lt;/number&gt;&lt;dates&gt;&lt;year&gt;1982&lt;/year&gt;&lt;/dates&gt;&lt;isbn&gt;0003-4819&lt;/isbn&gt;&lt;urls&gt;&lt;/urls&gt;&lt;/record&gt;&lt;/Cite&gt;&lt;Cite&gt;&lt;Author&gt;Schillie&lt;/Author&gt;&lt;Year&gt;2013&lt;/Year&gt;&lt;RecNum&gt;66&lt;/RecNum&gt;&lt;record&gt;&lt;rec-number&gt;66&lt;/rec-number&gt;&lt;foreign-keys&gt;&lt;key app="EN" db-id="5d9ze055j2zd5revw2n50xpwd0fze9frtdxr"&gt;66&lt;/key&gt;&lt;/foreign-keys&gt;&lt;ref-type name="Journal Article"&gt;17&lt;/ref-type&gt;&lt;contributors&gt;&lt;authors&gt;&lt;author&gt;Schillie, Sarah&lt;/author&gt;&lt;author&gt;Murphy, Trudy V&lt;/author&gt;&lt;author&gt;Sawyer, Mark&lt;/author&gt;&lt;author&gt;Ly, Kathleen&lt;/author&gt;&lt;author&gt;Hughes, Elizabeth&lt;/author&gt;&lt;author&gt;Jiles, Ruth&lt;/author&gt;&lt;author&gt;de Perio, Marie A&lt;/author&gt;&lt;author&gt;Reilly, Meredith&lt;/author&gt;&lt;author&gt;Byrd, Kathy&lt;/author&gt;&lt;author&gt;Ward, John W&lt;/author&gt;&lt;/authors&gt;&lt;/contributors&gt;&lt;titles&gt;&lt;title&gt;CDC guidance for evaluating health-care personnel for hepatitis B virus protection and for administering postexposure management&lt;/title&gt;&lt;secondary-title&gt;MMWR Recomm Rep&lt;/secondary-title&gt;&lt;/titles&gt;&lt;periodical&gt;&lt;full-title&gt;MMWR Recomm Rep&lt;/full-title&gt;&lt;/periodical&gt;&lt;pages&gt;1-19&lt;/pages&gt;&lt;volume&gt;62&lt;/volume&gt;&lt;dates&gt;&lt;year&gt;2013&lt;/year&gt;&lt;/dates&gt;&lt;urls&gt;&lt;/urls&gt;&lt;/record&gt;&lt;/Cite&gt;&lt;/EndNote&gt;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9" w:tooltip="Schillie, 2013 #66" w:history="1">
        <w:r w:rsidRPr="00DF1E0C">
          <w:rPr>
            <w:rFonts w:ascii="Calibri" w:hAnsi="Calibri"/>
            <w:noProof/>
            <w:spacing w:val="0"/>
          </w:rPr>
          <w:t>9</w:t>
        </w:r>
      </w:hyperlink>
      <w:r w:rsidRPr="00DF1E0C">
        <w:rPr>
          <w:rFonts w:ascii="Calibri" w:hAnsi="Calibri"/>
          <w:noProof/>
          <w:spacing w:val="0"/>
        </w:rPr>
        <w:t xml:space="preserve">, </w:t>
      </w:r>
      <w:hyperlink w:anchor="_ENREF_12" w:tooltip="Werner, 1982 #49" w:history="1">
        <w:r w:rsidRPr="00DF1E0C">
          <w:rPr>
            <w:rFonts w:ascii="Calibri" w:hAnsi="Calibri"/>
            <w:noProof/>
            <w:spacing w:val="0"/>
          </w:rPr>
          <w:t>12</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As viral load monitoring becomes more common, these risks will be re-evaluated using new data, though HBV is known to be infectious even at very low levels. Therefore when performing EPPs, HCWs are at risk for exposure to HBV from infected patients, and correspondingly</w:t>
      </w:r>
      <w:r w:rsidRPr="00747247">
        <w:rPr>
          <w:rFonts w:ascii="Calibri" w:hAnsi="Calibri"/>
          <w:spacing w:val="0"/>
        </w:rPr>
        <w:t>, HCWs with HBV may potentially transmit HBV to patients.</w:t>
      </w:r>
    </w:p>
    <w:p w14:paraId="7359170E" w14:textId="77777777" w:rsidR="002F1BC7" w:rsidRPr="00747247" w:rsidRDefault="002F1BC7" w:rsidP="002F1BC7">
      <w:pPr>
        <w:pStyle w:val="BodyText"/>
        <w:widowControl/>
        <w:rPr>
          <w:rFonts w:ascii="Calibri" w:hAnsi="Calibri"/>
          <w:i/>
          <w:spacing w:val="0"/>
        </w:rPr>
      </w:pPr>
      <w:r w:rsidRPr="00747247">
        <w:rPr>
          <w:rFonts w:ascii="Calibri" w:hAnsi="Calibri"/>
          <w:i/>
          <w:spacing w:val="0"/>
        </w:rPr>
        <w:t>Transmission risk from an infected HCW to a patient</w:t>
      </w:r>
    </w:p>
    <w:p w14:paraId="3BD662D5" w14:textId="77777777" w:rsidR="002F1BC7" w:rsidRPr="00DF1E0C" w:rsidRDefault="002F1BC7" w:rsidP="002F1BC7">
      <w:pPr>
        <w:pStyle w:val="BodyText"/>
        <w:widowControl/>
        <w:rPr>
          <w:rFonts w:ascii="Calibri" w:hAnsi="Calibri"/>
          <w:spacing w:val="0"/>
        </w:rPr>
      </w:pPr>
      <w:r w:rsidRPr="00747247">
        <w:rPr>
          <w:rFonts w:ascii="Calibri" w:hAnsi="Calibri"/>
          <w:spacing w:val="0"/>
        </w:rPr>
        <w:t xml:space="preserve">Subsequent to HBV testing becoming available in the early 1970s, at least 55 reported HCWs with HBV have been implicated in the transmission of their infection to more than 500 patients </w:t>
      </w:r>
      <w:r w:rsidRPr="009672B5">
        <w:rPr>
          <w:rFonts w:ascii="Calibri" w:hAnsi="Calibri"/>
          <w:spacing w:val="0"/>
        </w:rPr>
        <w:fldChar w:fldCharType="begin"/>
      </w:r>
      <w:r w:rsidRPr="00747247">
        <w:rPr>
          <w:rFonts w:ascii="Calibri" w:hAnsi="Calibri"/>
          <w:spacing w:val="0"/>
        </w:rPr>
        <w:instrText xml:space="preserve"> ADDIN EN.CITE &lt;EndNote&gt;&lt;Cite&gt;&lt;Author&gt;Carlson&lt;/Author&gt;&lt;Year&gt;2010&lt;/Year&gt;&lt;RecNum&gt;153&lt;/RecNum&gt;&lt;DisplayText&gt;[13, 14]&lt;/DisplayText&gt;&lt;record&gt;&lt;rec-number&gt;153&lt;/rec-number&gt;&lt;foreign-keys&gt;&lt;key app="EN" db-id="5d9ze055j2zd5revw2n50xpwd0fze9frtdxr"&gt;153&lt;/key&gt;&lt;/foreign-keys&gt;&lt;ref-type name="Journal Article"&gt;17&lt;/ref-type&gt;&lt;contributors&gt;&lt;authors&gt;&lt;author&gt;Carlson, Abigail L&lt;/author&gt;&lt;author&gt;Perl, Trish M&lt;/author&gt;&lt;/authors&gt;&lt;/contributors&gt;&lt;titles&gt;&lt;title&gt;Health care workers as source of hepatitis B and C virus transmission&lt;/title&gt;&lt;secondary-title&gt;Clinics in Liver Disease&lt;/secondary-title&gt;&lt;/titles&gt;&lt;periodical&gt;&lt;full-title&gt;Clinics in liver disease&lt;/full-title&gt;&lt;/periodical&gt;&lt;pages&gt;153-168&lt;/pages&gt;&lt;volume&gt;14&lt;/volume&gt;&lt;number&gt;1&lt;/number&gt;&lt;dates&gt;&lt;year&gt;2010&lt;/year&gt;&lt;/dates&gt;&lt;isbn&gt;1089-3261&lt;/isbn&gt;&lt;urls&gt;&lt;/urls&gt;&lt;/record&gt;&lt;/Cite&gt;&lt;Cite&gt;&lt;Author&gt;Sugimoto&lt;/Author&gt;&lt;Year&gt;2013&lt;/Year&gt;&lt;RecNum&gt;177&lt;/RecNum&gt;&lt;record&gt;&lt;rec-number&gt;177&lt;/rec-number&gt;&lt;foreign-keys&gt;&lt;key app="EN" db-id="5d9ze055j2zd5revw2n50xpwd0fze9frtdxr"&gt;177&lt;/key&gt;&lt;/foreign-keys&gt;&lt;ref-type name="Journal Article"&gt;17&lt;/ref-type&gt;&lt;contributors&gt;&lt;authors&gt;&lt;author&gt;Sugimoto, Shinya&lt;/author&gt;&lt;author&gt;Nagakubo, Shuichi&lt;/author&gt;&lt;author&gt;Ito, Tsuyoshi&lt;/author&gt;&lt;author&gt;Tsunoda, Yuya&lt;/author&gt;&lt;author&gt;Imamura, Satoshi&lt;/author&gt;&lt;author&gt;Tamura, Toshihide&lt;/author&gt;&lt;author&gt;Morohoshi, Yuichi&lt;/author&gt;&lt;author&gt;Koike, Yuji&lt;/author&gt;&lt;author&gt;Fujita, Yuriko&lt;/author&gt;&lt;author&gt;Ito, Syoko&lt;/author&gt;&lt;/authors&gt;&lt;/contributors&gt;&lt;titles&gt;&lt;title&gt;A case of acute hepatitis B related to previous gynecological surgery in Japan&lt;/title&gt;&lt;secondary-title&gt;Journal of Infection and Chemotherapy&lt;/secondary-title&gt;&lt;/titles&gt;&lt;periodical&gt;&lt;full-title&gt;Journal of Infection and Chemotherapy&lt;/full-title&gt;&lt;/periodical&gt;&lt;pages&gt;524-529&lt;/pages&gt;&lt;volume&gt;19&lt;/volume&gt;&lt;number&gt;3&lt;/number&gt;&lt;dates&gt;&lt;year&gt;2013&lt;/year&gt;&lt;/dates&gt;&lt;isbn&gt;1341-321X&lt;/isbn&gt;&lt;urls&gt;&lt;/urls&gt;&lt;/record&gt;&lt;/Cite&gt;&lt;/EndNote&gt;</w:instrText>
      </w:r>
      <w:r w:rsidRPr="009672B5">
        <w:rPr>
          <w:rFonts w:ascii="Calibri" w:hAnsi="Calibri"/>
          <w:spacing w:val="0"/>
        </w:rPr>
        <w:fldChar w:fldCharType="separate"/>
      </w:r>
      <w:r w:rsidRPr="00747247">
        <w:rPr>
          <w:rFonts w:ascii="Calibri" w:hAnsi="Calibri"/>
          <w:noProof/>
          <w:spacing w:val="0"/>
        </w:rPr>
        <w:t>[</w:t>
      </w:r>
      <w:hyperlink w:anchor="_ENREF_13" w:tooltip="Carlson, 2010 #153" w:history="1">
        <w:r w:rsidRPr="00747247">
          <w:rPr>
            <w:rFonts w:ascii="Calibri" w:hAnsi="Calibri"/>
            <w:noProof/>
            <w:spacing w:val="0"/>
          </w:rPr>
          <w:t>13</w:t>
        </w:r>
      </w:hyperlink>
      <w:r w:rsidRPr="00747247">
        <w:rPr>
          <w:rFonts w:ascii="Calibri" w:hAnsi="Calibri"/>
          <w:noProof/>
          <w:spacing w:val="0"/>
        </w:rPr>
        <w:t xml:space="preserve">, </w:t>
      </w:r>
      <w:hyperlink w:anchor="_ENREF_14" w:tooltip="Sugimoto, 2013 #177" w:history="1">
        <w:r w:rsidRPr="00747247">
          <w:rPr>
            <w:rFonts w:ascii="Calibri" w:hAnsi="Calibri"/>
            <w:noProof/>
            <w:spacing w:val="0"/>
          </w:rPr>
          <w:t>14</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 xml:space="preserve">. The reported risks of transmission of HBV from a HCW with HBV to a patient, calculated from published lookback exercises, ranged from 0.2% to 13.19% with an average risk of 2.96% </w:t>
      </w:r>
      <w:r w:rsidRPr="009672B5">
        <w:rPr>
          <w:rFonts w:ascii="Calibri" w:hAnsi="Calibri"/>
          <w:spacing w:val="0"/>
        </w:rPr>
        <w:fldChar w:fldCharType="begin">
          <w:fldData xml:space="preserve">PEVuZE5vdGU+PENpdGU+PEF1dGhvcj5DYXJsc29uPC9BdXRob3I+PFllYXI+MjAxMDwvWWVhcj48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</w:fldData>
        </w:fldChar>
      </w:r>
      <w:r w:rsidRPr="00747247">
        <w:rPr>
          <w:rFonts w:ascii="Calibri" w:hAnsi="Calibri"/>
          <w:spacing w:val="0"/>
        </w:rPr>
        <w:instrText xml:space="preserve"> ADDIN EN.CITE </w:instrText>
      </w:r>
      <w:r w:rsidRPr="009672B5">
        <w:rPr>
          <w:rFonts w:ascii="Calibri" w:hAnsi="Calibri"/>
          <w:spacing w:val="0"/>
        </w:rPr>
        <w:fldChar w:fldCharType="begin">
          <w:fldData xml:space="preserve">PEVuZE5vdGU+PENpdGU+PEF1dGhvcj5DYXJsc29uPC9BdXRob3I+PFllYXI+MjAxMDwvWWVhcj48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</w:fldData>
        </w:fldChar>
      </w:r>
      <w:r w:rsidRPr="00747247">
        <w:rPr>
          <w:rFonts w:ascii="Calibri" w:hAnsi="Calibri"/>
          <w:spacing w:val="0"/>
        </w:rPr>
        <w:instrText xml:space="preserve"> ADDIN EN.CITE.DATA </w:instrText>
      </w:r>
      <w:r w:rsidRPr="009672B5">
        <w:rPr>
          <w:rFonts w:ascii="Calibri" w:hAnsi="Calibri"/>
          <w:spacing w:val="0"/>
        </w:rPr>
      </w:r>
      <w:r w:rsidRPr="009672B5">
        <w:rPr>
          <w:rFonts w:ascii="Calibri" w:hAnsi="Calibri"/>
          <w:spacing w:val="0"/>
        </w:rPr>
        <w:fldChar w:fldCharType="end"/>
      </w:r>
      <w:r w:rsidRPr="009672B5">
        <w:rPr>
          <w:rFonts w:ascii="Calibri" w:hAnsi="Calibri"/>
          <w:spacing w:val="0"/>
        </w:rPr>
      </w:r>
      <w:r w:rsidRPr="009672B5">
        <w:rPr>
          <w:rFonts w:ascii="Calibri" w:hAnsi="Calibri"/>
          <w:spacing w:val="0"/>
        </w:rPr>
        <w:fldChar w:fldCharType="separate"/>
      </w:r>
      <w:r w:rsidRPr="00747247">
        <w:rPr>
          <w:rFonts w:ascii="Calibri" w:hAnsi="Calibri"/>
          <w:noProof/>
          <w:spacing w:val="0"/>
        </w:rPr>
        <w:t>[</w:t>
      </w:r>
      <w:hyperlink w:anchor="_ENREF_13" w:tooltip="Carlson, 2010 #153" w:history="1">
        <w:r w:rsidRPr="00747247">
          <w:rPr>
            <w:rFonts w:ascii="Calibri" w:hAnsi="Calibri"/>
            <w:noProof/>
            <w:spacing w:val="0"/>
          </w:rPr>
          <w:t>13-23</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 xml:space="preserve"> per EPP the HCW performed. </w:t>
      </w:r>
      <w:r w:rsidRPr="009672B5">
        <w:rPr>
          <w:rFonts w:ascii="Calibri" w:hAnsi="Calibri"/>
          <w:spacing w:val="0"/>
        </w:rPr>
        <w:fldChar w:fldCharType="begin"/>
      </w:r>
      <w:r w:rsidRPr="00747247">
        <w:rPr>
          <w:rFonts w:ascii="Calibri" w:hAnsi="Calibri"/>
          <w:spacing w:val="0"/>
        </w:rPr>
        <w:instrText xml:space="preserve"> REF _Ref455752106 \h  \* MERGEFORMAT </w:instrText>
      </w:r>
      <w:r w:rsidRPr="009672B5">
        <w:rPr>
          <w:rFonts w:ascii="Calibri" w:hAnsi="Calibri"/>
          <w:spacing w:val="0"/>
        </w:rPr>
      </w:r>
      <w:r w:rsidRPr="009672B5">
        <w:rPr>
          <w:rFonts w:ascii="Calibri" w:hAnsi="Calibri"/>
          <w:spacing w:val="0"/>
        </w:rPr>
        <w:fldChar w:fldCharType="separate"/>
      </w:r>
      <w:r w:rsidRPr="00013F35">
        <w:rPr>
          <w:rFonts w:ascii="Calibri" w:hAnsi="Calibri" w:cs="Arial"/>
        </w:rPr>
        <w:t>Table 4</w:t>
      </w:r>
      <w:r w:rsidRPr="009672B5">
        <w:rPr>
          <w:rFonts w:ascii="Calibri" w:hAnsi="Calibri"/>
          <w:spacing w:val="0"/>
        </w:rPr>
        <w:fldChar w:fldCharType="end"/>
      </w:r>
      <w:r w:rsidRPr="00747247">
        <w:rPr>
          <w:rFonts w:ascii="Calibri" w:hAnsi="Calibri"/>
          <w:spacing w:val="0"/>
        </w:rPr>
        <w:t xml:space="preserve"> in </w:t>
      </w:r>
      <w:r w:rsidRPr="009672B5">
        <w:rPr>
          <w:rFonts w:ascii="Calibri" w:hAnsi="Calibri"/>
          <w:spacing w:val="0"/>
        </w:rPr>
        <w:fldChar w:fldCharType="begin"/>
      </w:r>
      <w:r w:rsidRPr="00747247">
        <w:rPr>
          <w:rFonts w:ascii="Calibri" w:hAnsi="Calibri"/>
          <w:spacing w:val="0"/>
        </w:rPr>
        <w:instrText xml:space="preserve"> REF _Ref455739095 \h  \* MERGEFORMAT </w:instrText>
      </w:r>
      <w:r w:rsidRPr="009672B5">
        <w:rPr>
          <w:rFonts w:ascii="Calibri" w:hAnsi="Calibri"/>
          <w:spacing w:val="0"/>
        </w:rPr>
      </w:r>
      <w:r w:rsidRPr="009672B5">
        <w:rPr>
          <w:rFonts w:ascii="Calibri" w:hAnsi="Calibri"/>
          <w:spacing w:val="0"/>
        </w:rPr>
        <w:fldChar w:fldCharType="separate"/>
      </w:r>
      <w:r w:rsidRPr="00013F35">
        <w:rPr>
          <w:rFonts w:ascii="Calibri" w:hAnsi="Calibri"/>
          <w:spacing w:val="0"/>
        </w:rPr>
        <w:t>Appendix 3: Results of published lookback investigations</w:t>
      </w:r>
      <w:r w:rsidRPr="009672B5">
        <w:rPr>
          <w:rFonts w:ascii="Calibri" w:hAnsi="Calibri"/>
          <w:spacing w:val="0"/>
        </w:rPr>
        <w:fldChar w:fldCharType="end"/>
      </w:r>
      <w:r w:rsidRPr="00747247">
        <w:rPr>
          <w:rFonts w:ascii="Calibri" w:hAnsi="Calibri"/>
          <w:spacing w:val="0"/>
        </w:rPr>
        <w:t xml:space="preserve"> summarises the published cases of HCW to patient transmission of HBV since 1991. It is important to note that none of these cases are from countries of high prevalence and there would be more iatrogenic transmissions that are not reported or not recognised as linked to healthcare.</w:t>
      </w:r>
      <w:r w:rsidRPr="00DF1E0C">
        <w:rPr>
          <w:rFonts w:ascii="Calibri" w:hAnsi="Calibri"/>
          <w:spacing w:val="0"/>
        </w:rPr>
        <w:t xml:space="preserve"> </w:t>
      </w:r>
    </w:p>
    <w:p w14:paraId="2A9A4AD7" w14:textId="77777777" w:rsidR="002F1BC7" w:rsidRPr="00DF1E0C" w:rsidRDefault="002F1BC7" w:rsidP="002F1BC7">
      <w:pPr>
        <w:pStyle w:val="BodyText"/>
        <w:widowControl/>
        <w:rPr>
          <w:rFonts w:ascii="Calibri" w:hAnsi="Calibri"/>
          <w:i/>
          <w:spacing w:val="0"/>
        </w:rPr>
      </w:pPr>
      <w:r w:rsidRPr="00DF1E0C">
        <w:rPr>
          <w:rFonts w:ascii="Calibri" w:hAnsi="Calibri"/>
          <w:i/>
          <w:spacing w:val="0"/>
        </w:rPr>
        <w:t>Setting a viral load limit</w:t>
      </w:r>
    </w:p>
    <w:p w14:paraId="7C35DC30" w14:textId="77777777" w:rsidR="002F1BC7" w:rsidRDefault="002F1BC7" w:rsidP="002F1BC7">
      <w:pPr>
        <w:pStyle w:val="BodyText"/>
        <w:widowControl/>
        <w:rPr>
          <w:rFonts w:ascii="Calibri" w:hAnsi="Calibri"/>
          <w:spacing w:val="0"/>
        </w:rPr>
      </w:pPr>
      <w:r w:rsidRPr="00DF1E0C">
        <w:rPr>
          <w:rFonts w:ascii="Calibri" w:hAnsi="Calibri"/>
          <w:spacing w:val="0"/>
        </w:rPr>
        <w:t xml:space="preserve">For the majority of published cases of HCW transmission of HBV to a patient (where the HBeAg status was known), the HCW was HBeAg-positive </w:t>
      </w:r>
      <w:r w:rsidRPr="00DF1E0C">
        <w:rPr>
          <w:rFonts w:ascii="Calibri" w:hAnsi="Calibri"/>
          <w:spacing w:val="0"/>
        </w:rPr>
        <w:fldChar w:fldCharType="begin"/>
      </w:r>
      <w:r w:rsidRPr="00DF1E0C">
        <w:rPr>
          <w:rFonts w:ascii="Calibri" w:hAnsi="Calibri"/>
          <w:spacing w:val="0"/>
        </w:rPr>
        <w:instrText xml:space="preserve"> ADDIN EN.CITE &lt;EndNote&gt;&lt;Cite&gt;&lt;Author&gt;Lewis&lt;/Author&gt;&lt;Year&gt;2015&lt;/Year&gt;&lt;RecNum&gt;182&lt;/RecNum&gt;&lt;DisplayText&gt;[24]&lt;/DisplayText&gt;&lt;record&gt;&lt;rec-number&gt;182&lt;/rec-number&gt;&lt;foreign-keys&gt;&lt;key app="EN" db-id="5d9ze055j2zd5revw2n50xpwd0fze9frtdxr"&gt;182&lt;/key&gt;&lt;/foreign-keys&gt;&lt;ref-type name="Journal Article"&gt;17&lt;/ref-type&gt;&lt;contributors&gt;&lt;authors&gt;&lt;author&gt;Lewis, Jessica D&lt;/author&gt;&lt;author&gt;Enfield, Kyle B&lt;/author&gt;&lt;author&gt;Sifri, Costi D&lt;/author&gt;&lt;/authors&gt;&lt;/contributors&gt;&lt;titles&gt;&lt;title&gt;Hepatitis B in healthcare workers: Transmission events and guidance for management&lt;/title&gt;&lt;secondary-title&gt;World journal of hepatology&lt;/secondary-title&gt;&lt;/titles&gt;&lt;periodical&gt;&lt;full-title&gt;World journal of hepatology&lt;/full-title&gt;&lt;/periodical&gt;&lt;pages&gt;488&lt;/pages&gt;&lt;volume&gt;7&lt;/volume&gt;&lt;number&gt;3&lt;/number&gt;&lt;dates&gt;&lt;year&gt;2015&lt;/year&gt;&lt;/dates&gt;&lt;urls&gt;&lt;/urls&gt;&lt;/record&gt;&lt;/Cite&gt;&lt;/EndNote&gt;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24" w:tooltip="Lewis, 2015 #182" w:history="1">
        <w:r w:rsidRPr="00DF1E0C">
          <w:rPr>
            <w:rFonts w:ascii="Calibri" w:hAnsi="Calibri"/>
            <w:noProof/>
            <w:spacing w:val="0"/>
          </w:rPr>
          <w:t>24</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However, reports of HBV transmission from seven HBeAg</w:t>
      </w:r>
      <w:r w:rsidRPr="00DF1E0C">
        <w:rPr>
          <w:rFonts w:ascii="Calibri" w:hAnsi="Calibri"/>
          <w:spacing w:val="0"/>
        </w:rPr>
        <w:noBreakHyphen/>
        <w:t xml:space="preserve">negative HCWs (pre-core mutants) to patients </w:t>
      </w:r>
      <w:r w:rsidRPr="00DF1E0C">
        <w:rPr>
          <w:rFonts w:ascii="Calibri" w:hAnsi="Calibri"/>
          <w:spacing w:val="0"/>
        </w:rPr>
        <w:fldChar w:fldCharType="begin">
          <w:fldData xml:space="preserve">PEVuZE5vdGU+PENpdGU+PEF1dGhvcj5TdW5ka3Zpc3Q8L0F1dGhvcj48WWVhcj4xOTk4PC9ZZWFy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=
</w:fldData>
        </w:fldChar>
      </w:r>
      <w:r w:rsidRPr="00DF1E0C">
        <w:rPr>
          <w:rFonts w:ascii="Calibri" w:hAnsi="Calibri"/>
          <w:spacing w:val="0"/>
        </w:rPr>
        <w:instrText xml:space="preserve"> ADDIN EN.CITE </w:instrText>
      </w:r>
      <w:r w:rsidRPr="00DF1E0C">
        <w:rPr>
          <w:rFonts w:ascii="Calibri" w:hAnsi="Calibri"/>
          <w:spacing w:val="0"/>
        </w:rPr>
        <w:fldChar w:fldCharType="begin">
          <w:fldData xml:space="preserve">PEVuZE5vdGU+PENpdGU+PEF1dGhvcj5TdW5ka3Zpc3Q8L0F1dGhvcj48WWVhcj4xOTk4PC9ZZWFy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=
</w:fldData>
        </w:fldChar>
      </w:r>
      <w:r w:rsidRPr="00DF1E0C">
        <w:rPr>
          <w:rFonts w:ascii="Calibri" w:hAnsi="Calibri"/>
          <w:spacing w:val="0"/>
        </w:rPr>
        <w:instrText xml:space="preserve"> ADDIN EN.CITE.DATA </w:instrText>
      </w:r>
      <w:r w:rsidRPr="00DF1E0C">
        <w:rPr>
          <w:rFonts w:ascii="Calibri" w:hAnsi="Calibri"/>
          <w:spacing w:val="0"/>
        </w:rPr>
      </w:r>
      <w:r w:rsidRPr="00DF1E0C">
        <w:rPr>
          <w:rFonts w:ascii="Calibri" w:hAnsi="Calibri"/>
          <w:spacing w:val="0"/>
        </w:rPr>
        <w:fldChar w:fldCharType="end"/>
      </w:r>
      <w:r w:rsidRPr="00DF1E0C">
        <w:rPr>
          <w:rFonts w:ascii="Calibri" w:hAnsi="Calibri"/>
          <w:spacing w:val="0"/>
        </w:rPr>
      </w:r>
      <w:r w:rsidRPr="00DF1E0C">
        <w:rPr>
          <w:rFonts w:ascii="Calibri" w:hAnsi="Calibri"/>
          <w:spacing w:val="0"/>
        </w:rPr>
        <w:fldChar w:fldCharType="separate"/>
      </w:r>
      <w:r w:rsidRPr="00DF1E0C">
        <w:rPr>
          <w:rFonts w:ascii="Calibri" w:hAnsi="Calibri"/>
          <w:noProof/>
          <w:spacing w:val="0"/>
        </w:rPr>
        <w:t>[</w:t>
      </w:r>
      <w:hyperlink w:anchor="_ENREF_18" w:tooltip="The Incident Investigation Teams and Others, 1997 #13" w:history="1">
        <w:r w:rsidRPr="00DF1E0C">
          <w:rPr>
            <w:rFonts w:ascii="Calibri" w:hAnsi="Calibri"/>
            <w:noProof/>
            <w:spacing w:val="0"/>
          </w:rPr>
          <w:t>18</w:t>
        </w:r>
      </w:hyperlink>
      <w:r w:rsidRPr="00DF1E0C">
        <w:rPr>
          <w:rFonts w:ascii="Calibri" w:hAnsi="Calibri"/>
          <w:noProof/>
          <w:spacing w:val="0"/>
        </w:rPr>
        <w:t xml:space="preserve">, </w:t>
      </w:r>
      <w:hyperlink w:anchor="_ENREF_19" w:tooltip="Sundkvist, 1998 #16" w:history="1">
        <w:r w:rsidRPr="00DF1E0C">
          <w:rPr>
            <w:rFonts w:ascii="Calibri" w:hAnsi="Calibri"/>
            <w:noProof/>
            <w:spacing w:val="0"/>
          </w:rPr>
          <w:t>19</w:t>
        </w:r>
      </w:hyperlink>
      <w:r w:rsidRPr="00DF1E0C">
        <w:rPr>
          <w:rFonts w:ascii="Calibri" w:hAnsi="Calibri"/>
          <w:noProof/>
          <w:spacing w:val="0"/>
        </w:rPr>
        <w:t xml:space="preserve">, </w:t>
      </w:r>
      <w:hyperlink w:anchor="_ENREF_24" w:tooltip="Lewis, 2015 #182" w:history="1">
        <w:r w:rsidRPr="00DF1E0C">
          <w:rPr>
            <w:rFonts w:ascii="Calibri" w:hAnsi="Calibri"/>
            <w:noProof/>
            <w:spacing w:val="0"/>
          </w:rPr>
          <w:t>24</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and the now widespread availability of HBV viral load testing has led to the use of viral load as an indicator of transmission risk in a number of international guidelines </w:t>
      </w:r>
      <w:r w:rsidRPr="00DF1E0C">
        <w:rPr>
          <w:rFonts w:ascii="Calibri" w:hAnsi="Calibri"/>
          <w:spacing w:val="0"/>
        </w:rPr>
        <w:fldChar w:fldCharType="begin">
          <w:fldData xml:space="preserve">PEVuZE5vdGU+PENpdGU+PEF1dGhvcj5IZW5kZXJzb248L0F1dGhvcj48WWVhcj4yMDEwPC9ZZWFy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</w:fldData>
        </w:fldChar>
      </w:r>
      <w:r w:rsidRPr="00DF1E0C">
        <w:rPr>
          <w:rFonts w:ascii="Calibri" w:hAnsi="Calibri"/>
          <w:spacing w:val="0"/>
        </w:rPr>
        <w:instrText xml:space="preserve"> ADDIN EN.CITE </w:instrText>
      </w:r>
      <w:r w:rsidRPr="00DF1E0C">
        <w:rPr>
          <w:rFonts w:ascii="Calibri" w:hAnsi="Calibri"/>
          <w:spacing w:val="0"/>
        </w:rPr>
        <w:fldChar w:fldCharType="begin">
          <w:fldData xml:space="preserve">PEVuZE5vdGU+PENpdGU+PEF1dGhvcj5IZW5kZXJzb248L0F1dGhvcj48WWVhcj4yMDEwPC9ZZWFy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</w:fldData>
        </w:fldChar>
      </w:r>
      <w:r w:rsidRPr="00DF1E0C">
        <w:rPr>
          <w:rFonts w:ascii="Calibri" w:hAnsi="Calibri"/>
          <w:spacing w:val="0"/>
        </w:rPr>
        <w:instrText xml:space="preserve"> ADDIN EN.CITE.DATA </w:instrText>
      </w:r>
      <w:r w:rsidRPr="00DF1E0C">
        <w:rPr>
          <w:rFonts w:ascii="Calibri" w:hAnsi="Calibri"/>
          <w:spacing w:val="0"/>
        </w:rPr>
      </w:r>
      <w:r w:rsidRPr="00DF1E0C">
        <w:rPr>
          <w:rFonts w:ascii="Calibri" w:hAnsi="Calibri"/>
          <w:spacing w:val="0"/>
        </w:rPr>
        <w:fldChar w:fldCharType="end"/>
      </w:r>
      <w:r w:rsidRPr="00DF1E0C">
        <w:rPr>
          <w:rFonts w:ascii="Calibri" w:hAnsi="Calibri"/>
          <w:spacing w:val="0"/>
        </w:rPr>
      </w:r>
      <w:r w:rsidRPr="00DF1E0C">
        <w:rPr>
          <w:rFonts w:ascii="Calibri" w:hAnsi="Calibri"/>
          <w:spacing w:val="0"/>
        </w:rPr>
        <w:fldChar w:fldCharType="separate"/>
      </w:r>
      <w:r w:rsidRPr="00DF1E0C">
        <w:rPr>
          <w:rFonts w:ascii="Calibri" w:hAnsi="Calibri"/>
          <w:noProof/>
          <w:spacing w:val="0"/>
        </w:rPr>
        <w:t>[</w:t>
      </w:r>
      <w:hyperlink w:anchor="_ENREF_25" w:tooltip="Henderson, 2010 #136" w:history="1">
        <w:r w:rsidRPr="00DF1E0C">
          <w:rPr>
            <w:rFonts w:ascii="Calibri" w:hAnsi="Calibri"/>
            <w:noProof/>
            <w:spacing w:val="0"/>
          </w:rPr>
          <w:t>25-29</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w:t>
      </w:r>
    </w:p>
    <w:p w14:paraId="394D2595" w14:textId="77777777" w:rsidR="002F1BC7" w:rsidRPr="00DF1E0C" w:rsidRDefault="002F1BC7" w:rsidP="002F1BC7">
      <w:pPr>
        <w:pStyle w:val="BodyText"/>
        <w:widowControl/>
        <w:rPr>
          <w:rFonts w:ascii="Calibri" w:hAnsi="Calibri"/>
          <w:spacing w:val="0"/>
        </w:rPr>
      </w:pPr>
      <w:r w:rsidRPr="00DF1E0C">
        <w:rPr>
          <w:rFonts w:ascii="Calibri" w:hAnsi="Calibri"/>
          <w:spacing w:val="0"/>
        </w:rPr>
        <w:lastRenderedPageBreak/>
        <w:t>All reported cases of transmission from a HCW to a patient have occurred at viral load levels above 2 x 10</w:t>
      </w:r>
      <w:r w:rsidRPr="00DF1E0C">
        <w:rPr>
          <w:rFonts w:ascii="Calibri" w:hAnsi="Calibri"/>
          <w:spacing w:val="0"/>
          <w:vertAlign w:val="superscript"/>
        </w:rPr>
        <w:t>4 </w:t>
      </w:r>
      <w:r w:rsidRPr="00DF1E0C">
        <w:rPr>
          <w:rFonts w:ascii="Calibri" w:hAnsi="Calibri"/>
          <w:spacing w:val="0"/>
        </w:rPr>
        <w:t>IU/mL</w:t>
      </w:r>
      <w:r w:rsidRPr="00DF1E0C">
        <w:rPr>
          <w:rStyle w:val="FootnoteReference"/>
          <w:rFonts w:ascii="Calibri" w:eastAsiaTheme="majorEastAsia" w:hAnsi="Calibri"/>
          <w:spacing w:val="0"/>
        </w:rPr>
        <w:footnoteReference w:id="14"/>
      </w:r>
      <w:r w:rsidRPr="00DF1E0C">
        <w:rPr>
          <w:rFonts w:ascii="Calibri" w:hAnsi="Calibri"/>
          <w:spacing w:val="0"/>
        </w:rPr>
        <w:t xml:space="preserve"> </w:t>
      </w:r>
      <w:r w:rsidRPr="00DF1E0C">
        <w:rPr>
          <w:rFonts w:ascii="Calibri" w:hAnsi="Calibri"/>
          <w:spacing w:val="0"/>
        </w:rPr>
        <w:fldChar w:fldCharType="begin"/>
      </w:r>
      <w:r w:rsidRPr="00DF1E0C">
        <w:rPr>
          <w:rFonts w:ascii="Calibri" w:hAnsi="Calibri"/>
          <w:spacing w:val="0"/>
        </w:rPr>
        <w:instrText xml:space="preserve"> ADDIN EN.CITE &lt;EndNote&gt;&lt;Cite&gt;&lt;Author&gt;Gunson&lt;/Author&gt;&lt;Year&gt;2003&lt;/Year&gt;&lt;RecNum&gt;18&lt;/RecNum&gt;&lt;DisplayText&gt;[28]&lt;/DisplayText&gt;&lt;record&gt;&lt;rec-number&gt;18&lt;/rec-number&gt;&lt;foreign-keys&gt;&lt;key app="EN" db-id="5d9ze055j2zd5revw2n50xpwd0fze9frtdxr"&gt;18&lt;/key&gt;&lt;/foreign-keys&gt;&lt;ref-type name="Journal Article"&gt;17&lt;/ref-type&gt;&lt;contributors&gt;&lt;authors&gt;&lt;author&gt;Gunson, RN&lt;/author&gt;&lt;author&gt;Shouval, D&lt;/author&gt;&lt;author&gt;Roggendorf, M&lt;/author&gt;&lt;author&gt;Zaaijer, Hans&lt;/author&gt;&lt;author&gt;Nicholas, Howard&lt;/author&gt;&lt;author&gt;Holzmann, H&lt;/author&gt;&lt;author&gt;De Schryver, Antoon&lt;/author&gt;&lt;author&gt;Reynders, D&lt;/author&gt;&lt;author&gt;Connell, John&lt;/author&gt;&lt;author&gt;Gerlich, WH&lt;/author&gt;&lt;/authors&gt;&lt;/contributors&gt;&lt;titles&gt;&lt;title&gt;Hepatitis B virus (HBV) and hepatitis C virus (HCV) infections in health care workers (HCWs): guidelines for prevention of transmission of HBV and HCV from HCW to patients&lt;/title&gt;&lt;secondary-title&gt;Journal of Clinical Virology&lt;/secondary-title&gt;&lt;/titles&gt;&lt;periodical&gt;&lt;full-title&gt;Journal of Clinical Virology&lt;/full-title&gt;&lt;/periodical&gt;&lt;pages&gt;213-230&lt;/pages&gt;&lt;volume&gt;27&lt;/volume&gt;&lt;number&gt;3&lt;/number&gt;&lt;dates&gt;&lt;year&gt;2003&lt;/year&gt;&lt;/dates&gt;&lt;isbn&gt;1386-6532&lt;/isbn&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28" w:tooltip="Gunson, 2003 #18" w:history="1">
        <w:r w:rsidRPr="00DF1E0C">
          <w:rPr>
            <w:rFonts w:ascii="Calibri" w:hAnsi="Calibri"/>
            <w:noProof/>
            <w:spacing w:val="0"/>
          </w:rPr>
          <w:t>28</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except for one questionable case at a level of ~7.4 x 10</w:t>
      </w:r>
      <w:r w:rsidRPr="00DF1E0C">
        <w:rPr>
          <w:rFonts w:ascii="Calibri" w:hAnsi="Calibri"/>
          <w:spacing w:val="0"/>
          <w:vertAlign w:val="superscript"/>
        </w:rPr>
        <w:t>3</w:t>
      </w:r>
      <w:r w:rsidRPr="00DF1E0C">
        <w:rPr>
          <w:rFonts w:ascii="Calibri" w:hAnsi="Calibri"/>
          <w:spacing w:val="0"/>
        </w:rPr>
        <w:t xml:space="preserve"> IU/mL which was measured at least three months after the transmission event occurred </w:t>
      </w:r>
      <w:r w:rsidRPr="00DF1E0C">
        <w:rPr>
          <w:rFonts w:ascii="Calibri" w:hAnsi="Calibri"/>
          <w:spacing w:val="0"/>
        </w:rPr>
        <w:fldChar w:fldCharType="begin"/>
      </w:r>
      <w:r w:rsidRPr="00DF1E0C">
        <w:rPr>
          <w:rFonts w:ascii="Calibri" w:hAnsi="Calibri"/>
          <w:spacing w:val="0"/>
        </w:rPr>
        <w:instrText xml:space="preserve"> ADDIN EN.CITE &lt;EndNote&gt;&lt;Cite&gt;&lt;Author&gt;Corden&lt;/Author&gt;&lt;Year&gt;2003&lt;/Year&gt;&lt;RecNum&gt;19&lt;/RecNum&gt;&lt;DisplayText&gt;[24, 30]&lt;/DisplayText&gt;&lt;record&gt;&lt;rec-number&gt;19&lt;/rec-number&gt;&lt;foreign-keys&gt;&lt;key app="EN" db-id="5d9ze055j2zd5revw2n50xpwd0fze9frtdxr"&gt;19&lt;/key&gt;&lt;/foreign-keys&gt;&lt;ref-type name="Journal Article"&gt;17&lt;/ref-type&gt;&lt;contributors&gt;&lt;authors&gt;&lt;author&gt;Corden, S&lt;/author&gt;&lt;author&gt;Ballard, AL&lt;/author&gt;&lt;author&gt;Ijaz, S&lt;/author&gt;&lt;author&gt;Barbara, JAJ&lt;/author&gt;&lt;author&gt;Gilbert, N&lt;/author&gt;&lt;author&gt;Gilson, RJC&lt;/author&gt;&lt;author&gt;Boxall, EH&lt;/author&gt;&lt;author&gt;Tedder, RS&lt;/author&gt;&lt;/authors&gt;&lt;/contributors&gt;&lt;titles&gt;&lt;title&gt;HBV DNA levels and transmission of hepatitis B by health care workers&lt;/title&gt;&lt;secondary-title&gt;Journal of Clinical Virology&lt;/secondary-title&gt;&lt;/titles&gt;&lt;periodical&gt;&lt;full-title&gt;Journal of Clinical Virology&lt;/full-title&gt;&lt;/periodical&gt;&lt;pages&gt;52-58&lt;/pages&gt;&lt;volume&gt;27&lt;/volume&gt;&lt;number&gt;1&lt;/number&gt;&lt;dates&gt;&lt;year&gt;2003&lt;/year&gt;&lt;/dates&gt;&lt;isbn&gt;1386-6532&lt;/isbn&gt;&lt;urls&gt;&lt;/urls&gt;&lt;/record&gt;&lt;/Cite&gt;&lt;Cite&gt;&lt;Author&gt;Lewis&lt;/Author&gt;&lt;Year&gt;2015&lt;/Year&gt;&lt;RecNum&gt;182&lt;/RecNum&gt;&lt;record&gt;&lt;rec-number&gt;182&lt;/rec-number&gt;&lt;foreign-keys&gt;&lt;key app="EN" db-id="5d9ze055j2zd5revw2n50xpwd0fze9frtdxr"&gt;182&lt;/key&gt;&lt;/foreign-keys&gt;&lt;ref-type name="Journal Article"&gt;17&lt;/ref-type&gt;&lt;contributors&gt;&lt;authors&gt;&lt;author&gt;Lewis, Jessica D&lt;/author&gt;&lt;author&gt;Enfield, Kyle B&lt;/author&gt;&lt;author&gt;Sifri, Costi D&lt;/author&gt;&lt;/authors&gt;&lt;/contributors&gt;&lt;titles&gt;&lt;title&gt;Hepatitis B in healthcare workers: Transmission events and guidance for management&lt;/title&gt;&lt;secondary-title&gt;World journal of hepatology&lt;/secondary-title&gt;&lt;/titles&gt;&lt;periodical&gt;&lt;full-title&gt;World journal of hepatology&lt;/full-title&gt;&lt;/periodical&gt;&lt;pages&gt;488&lt;/pages&gt;&lt;volume&gt;7&lt;/volume&gt;&lt;number&gt;3&lt;/number&gt;&lt;dates&gt;&lt;year&gt;2015&lt;/year&gt;&lt;/dates&gt;&lt;urls&gt;&lt;/urls&gt;&lt;/record&gt;&lt;/Cite&gt;&lt;/EndNote&gt;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24" w:tooltip="Lewis, 2015 #182" w:history="1">
        <w:r w:rsidRPr="00DF1E0C">
          <w:rPr>
            <w:rFonts w:ascii="Calibri" w:hAnsi="Calibri"/>
            <w:noProof/>
            <w:spacing w:val="0"/>
          </w:rPr>
          <w:t>24</w:t>
        </w:r>
      </w:hyperlink>
      <w:r w:rsidRPr="00DF1E0C">
        <w:rPr>
          <w:rFonts w:ascii="Calibri" w:hAnsi="Calibri"/>
          <w:noProof/>
          <w:spacing w:val="0"/>
        </w:rPr>
        <w:t xml:space="preserve">, </w:t>
      </w:r>
      <w:hyperlink w:anchor="_ENREF_30" w:tooltip="Corden, 2003 #190" w:history="1">
        <w:r w:rsidRPr="00DF1E0C">
          <w:rPr>
            <w:rFonts w:ascii="Calibri" w:hAnsi="Calibri"/>
            <w:noProof/>
            <w:spacing w:val="0"/>
          </w:rPr>
          <w:t>30</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Serum HBV DNA levels can fluctuate during the course of chronic HBV infection, such that a single result must be interpreted with caution </w:t>
      </w:r>
      <w:r w:rsidRPr="00DF1E0C">
        <w:rPr>
          <w:rFonts w:ascii="Calibri" w:hAnsi="Calibri"/>
          <w:spacing w:val="0"/>
        </w:rPr>
        <w:fldChar w:fldCharType="begin">
          <w:fldData xml:space="preserve">PEVuZE5vdGU+PENpdGU+PEF1dGhvcj5CdXN0ZXI8L0F1dGhvcj48WWVhcj4yMDAzPC9ZZWFyPjxS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</w:fldData>
        </w:fldChar>
      </w:r>
      <w:r w:rsidRPr="00DF1E0C">
        <w:rPr>
          <w:rFonts w:ascii="Calibri" w:hAnsi="Calibri"/>
          <w:spacing w:val="0"/>
        </w:rPr>
        <w:instrText xml:space="preserve"> ADDIN EN.CITE </w:instrText>
      </w:r>
      <w:r w:rsidRPr="00DF1E0C">
        <w:rPr>
          <w:rFonts w:ascii="Calibri" w:hAnsi="Calibri"/>
          <w:spacing w:val="0"/>
        </w:rPr>
        <w:fldChar w:fldCharType="begin">
          <w:fldData xml:space="preserve">PEVuZE5vdGU+PENpdGU+PEF1dGhvcj5CdXN0ZXI8L0F1dGhvcj48WWVhcj4yMDAzPC9ZZWFyPjxS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</w:fldData>
        </w:fldChar>
      </w:r>
      <w:r w:rsidRPr="00DF1E0C">
        <w:rPr>
          <w:rFonts w:ascii="Calibri" w:hAnsi="Calibri"/>
          <w:spacing w:val="0"/>
        </w:rPr>
        <w:instrText xml:space="preserve"> ADDIN EN.CITE.DATA </w:instrText>
      </w:r>
      <w:r w:rsidRPr="00DF1E0C">
        <w:rPr>
          <w:rFonts w:ascii="Calibri" w:hAnsi="Calibri"/>
          <w:spacing w:val="0"/>
        </w:rPr>
      </w:r>
      <w:r w:rsidRPr="00DF1E0C">
        <w:rPr>
          <w:rFonts w:ascii="Calibri" w:hAnsi="Calibri"/>
          <w:spacing w:val="0"/>
        </w:rPr>
        <w:fldChar w:fldCharType="end"/>
      </w:r>
      <w:r w:rsidRPr="00DF1E0C">
        <w:rPr>
          <w:rFonts w:ascii="Calibri" w:hAnsi="Calibri"/>
          <w:spacing w:val="0"/>
        </w:rPr>
      </w:r>
      <w:r w:rsidRPr="00DF1E0C">
        <w:rPr>
          <w:rFonts w:ascii="Calibri" w:hAnsi="Calibri"/>
          <w:spacing w:val="0"/>
        </w:rPr>
        <w:fldChar w:fldCharType="separate"/>
      </w:r>
      <w:r w:rsidRPr="00DF1E0C">
        <w:rPr>
          <w:rFonts w:ascii="Calibri" w:hAnsi="Calibri"/>
          <w:noProof/>
          <w:spacing w:val="0"/>
        </w:rPr>
        <w:t>[</w:t>
      </w:r>
      <w:hyperlink w:anchor="_ENREF_31" w:tooltip="Buster, 2003 #184" w:history="1">
        <w:r w:rsidRPr="00DF1E0C">
          <w:rPr>
            <w:rFonts w:ascii="Calibri" w:hAnsi="Calibri"/>
            <w:noProof/>
            <w:spacing w:val="0"/>
          </w:rPr>
          <w:t>31-33</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However, while the transmission of HBV from HCWs with lower levels of HBV DNA has yet to be documented it still may occur </w:t>
      </w:r>
      <w:r w:rsidRPr="00DF1E0C">
        <w:rPr>
          <w:rFonts w:ascii="Calibri" w:hAnsi="Calibri"/>
          <w:spacing w:val="0"/>
        </w:rPr>
        <w:fldChar w:fldCharType="begin"/>
      </w:r>
      <w:r w:rsidRPr="00DF1E0C">
        <w:rPr>
          <w:rFonts w:ascii="Calibri" w:hAnsi="Calibri"/>
          <w:spacing w:val="0"/>
        </w:rPr>
        <w:instrText xml:space="preserve"> ADDIN EN.CITE &lt;EndNote&gt;&lt;Cite&gt;&lt;Author&gt;Corden&lt;/Author&gt;&lt;Year&gt;2003&lt;/Year&gt;&lt;RecNum&gt;190&lt;/RecNum&gt;&lt;DisplayText&gt;[30]&lt;/DisplayText&gt;&lt;record&gt;&lt;rec-number&gt;190&lt;/rec-number&gt;&lt;foreign-keys&gt;&lt;key app="EN" db-id="5d9ze055j2zd5revw2n50xpwd0fze9frtdxr"&gt;190&lt;/key&gt;&lt;/foreign-keys&gt;&lt;ref-type name="Journal Article"&gt;17&lt;/ref-type&gt;&lt;contributors&gt;&lt;authors&gt;&lt;author&gt;Corden, S&lt;/author&gt;&lt;author&gt;Ballard, AL&lt;/author&gt;&lt;author&gt;Ijaz, S&lt;/author&gt;&lt;author&gt;Barbara, JAJ&lt;/author&gt;&lt;author&gt;Gilbert, N&lt;/author&gt;&lt;author&gt;Gilson, RJC&lt;/author&gt;&lt;author&gt;Boxall, EH&lt;/author&gt;&lt;author&gt;Tedder, RS&lt;/author&gt;&lt;/authors&gt;&lt;/contributors&gt;&lt;titles&gt;&lt;title&gt;HBV DNA levels and transmission of hepatitis B by health care workers&lt;/title&gt;&lt;secondary-title&gt;Journal of Clinical Virology&lt;/secondary-title&gt;&lt;/titles&gt;&lt;periodical&gt;&lt;full-title&gt;Journal of Clinical Virology&lt;/full-title&gt;&lt;/periodical&gt;&lt;pages&gt;52-58&lt;/pages&gt;&lt;volume&gt;27&lt;/volume&gt;&lt;number&gt;1&lt;/number&gt;&lt;dates&gt;&lt;year&gt;2003&lt;/year&gt;&lt;/dates&gt;&lt;isbn&gt;1386-6532&lt;/isbn&gt;&lt;urls&gt;&lt;/urls&gt;&lt;/record&gt;&lt;/Cite&gt;&lt;/EndNote&gt;</w:instrText>
      </w:r>
      <w:r w:rsidRPr="00DF1E0C">
        <w:rPr>
          <w:rFonts w:ascii="Calibri" w:hAnsi="Calibri"/>
          <w:spacing w:val="0"/>
        </w:rPr>
        <w:fldChar w:fldCharType="separate"/>
      </w:r>
      <w:r w:rsidRPr="00DF1E0C">
        <w:rPr>
          <w:rFonts w:ascii="Calibri" w:hAnsi="Calibri"/>
          <w:spacing w:val="0"/>
        </w:rPr>
        <w:t>[</w:t>
      </w:r>
      <w:hyperlink w:anchor="_ENREF_30" w:tooltip="Corden, 2003 #190" w:history="1">
        <w:r w:rsidRPr="00DF1E0C">
          <w:rPr>
            <w:rFonts w:ascii="Calibri" w:hAnsi="Calibri"/>
            <w:spacing w:val="0"/>
          </w:rPr>
          <w:t>30</w:t>
        </w:r>
      </w:hyperlink>
      <w:r w:rsidRPr="00DF1E0C">
        <w:rPr>
          <w:rFonts w:ascii="Calibri" w:hAnsi="Calibri"/>
          <w:spacing w:val="0"/>
        </w:rPr>
        <w:t>]</w:t>
      </w:r>
      <w:r w:rsidRPr="00DF1E0C">
        <w:rPr>
          <w:rFonts w:ascii="Calibri" w:hAnsi="Calibri"/>
          <w:spacing w:val="0"/>
        </w:rPr>
        <w:fldChar w:fldCharType="end"/>
      </w:r>
      <w:r w:rsidRPr="00DF1E0C">
        <w:rPr>
          <w:rFonts w:ascii="Calibri" w:hAnsi="Calibri"/>
          <w:spacing w:val="0"/>
        </w:rPr>
        <w:t xml:space="preserve">. </w:t>
      </w:r>
    </w:p>
    <w:p w14:paraId="5FA7A09D"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When setting the HBV DNA viral load limit of 200 IU/mL, for the purposes of these </w:t>
      </w:r>
      <w:r>
        <w:rPr>
          <w:rFonts w:ascii="Calibri" w:hAnsi="Calibri"/>
          <w:spacing w:val="0"/>
        </w:rPr>
        <w:t>Guidelines</w:t>
      </w:r>
      <w:r w:rsidRPr="00DF1E0C">
        <w:rPr>
          <w:rFonts w:ascii="Calibri" w:hAnsi="Calibri"/>
          <w:spacing w:val="0"/>
        </w:rPr>
        <w:t>, it was considered that transmission of HBV from a HCW to a patient was most likely to occur with HBV DNA levels above 2 x 10</w:t>
      </w:r>
      <w:r w:rsidRPr="00DF1E0C">
        <w:rPr>
          <w:rFonts w:ascii="Calibri" w:hAnsi="Calibri"/>
          <w:spacing w:val="0"/>
          <w:vertAlign w:val="superscript"/>
        </w:rPr>
        <w:t>4</w:t>
      </w:r>
      <w:r w:rsidRPr="00DF1E0C">
        <w:rPr>
          <w:rFonts w:ascii="Calibri" w:hAnsi="Calibri"/>
          <w:spacing w:val="0"/>
        </w:rPr>
        <w:t xml:space="preserve"> IU/mL. The 2 log</w:t>
      </w:r>
      <w:r w:rsidRPr="00DF1E0C">
        <w:rPr>
          <w:rFonts w:ascii="Calibri" w:hAnsi="Calibri"/>
          <w:spacing w:val="0"/>
          <w:vertAlign w:val="subscript"/>
        </w:rPr>
        <w:t>10</w:t>
      </w:r>
      <w:r w:rsidRPr="00DF1E0C">
        <w:rPr>
          <w:rFonts w:ascii="Calibri" w:hAnsi="Calibri"/>
          <w:spacing w:val="0"/>
        </w:rPr>
        <w:t xml:space="preserve"> margin was included to account for fluctuations in HBV DNA levels that can occur </w:t>
      </w:r>
      <w:r w:rsidRPr="00DF1E0C">
        <w:rPr>
          <w:rFonts w:ascii="Calibri" w:hAnsi="Calibri"/>
          <w:spacing w:val="0"/>
        </w:rPr>
        <w:fldChar w:fldCharType="begin"/>
      </w:r>
      <w:r w:rsidRPr="00DF1E0C">
        <w:rPr>
          <w:rFonts w:ascii="Calibri" w:hAnsi="Calibri"/>
          <w:spacing w:val="0"/>
        </w:rPr>
        <w:instrText xml:space="preserve"> ADDIN EN.CITE &lt;EndNote&gt;&lt;Cite&gt;&lt;Author&gt;Department of Health&lt;/Author&gt;&lt;Year&gt;2000&lt;/Year&gt;&lt;RecNum&gt;183&lt;/RecNum&gt;&lt;DisplayText&gt;[27, 30]&lt;/DisplayText&gt;&lt;record&gt;&lt;rec-number&gt;183&lt;/rec-number&gt;&lt;foreign-keys&gt;&lt;key app="EN" db-id="5d9ze055j2zd5revw2n50xpwd0fze9frtdxr"&gt;183&lt;/key&gt;&lt;/foreign-keys&gt;&lt;ref-type name="Government Document"&gt;46&lt;/ref-type&gt;&lt;contributors&gt;&lt;authors&gt;&lt;author&gt;Department of Health,&lt;/author&gt;&lt;/authors&gt;&lt;/contributors&gt;&lt;titles&gt;&lt;title&gt;Hepatitis B Infected Health Care Workers: Guidance on Implementation of Health Service Circular 2000/020&lt;/title&gt;&lt;/titles&gt;&lt;dates&gt;&lt;year&gt;2000&lt;/year&gt;&lt;/dates&gt;&lt;urls&gt;&lt;related-urls&gt;&lt;url&gt;http://webarchive.nationalarchives.gov.uk//www.dh.gov.uk/en/Publicationsandstatistics/Publications/PublicationsPolicyAndGuidance/DH_4008156&lt;/url&gt;&lt;/related-urls&gt;&lt;/urls&gt;&lt;/record&gt;&lt;/Cite&gt;&lt;Cite&gt;&lt;Author&gt;Corden&lt;/Author&gt;&lt;Year&gt;2003&lt;/Year&gt;&lt;RecNum&gt;190&lt;/RecNum&gt;&lt;record&gt;&lt;rec-number&gt;190&lt;/rec-number&gt;&lt;foreign-keys&gt;&lt;key app="EN" db-id="5d9ze055j2zd5revw2n50xpwd0fze9frtdxr"&gt;190&lt;/key&gt;&lt;/foreign-keys&gt;&lt;ref-type name="Journal Article"&gt;17&lt;/ref-type&gt;&lt;contributors&gt;&lt;authors&gt;&lt;author&gt;Corden, S&lt;/author&gt;&lt;author&gt;Ballard, AL&lt;/author&gt;&lt;author&gt;Ijaz, S&lt;/author&gt;&lt;author&gt;Barbara, JAJ&lt;/author&gt;&lt;author&gt;Gilbert, N&lt;/author&gt;&lt;author&gt;Gilson, RJC&lt;/author&gt;&lt;author&gt;Boxall, EH&lt;/author&gt;&lt;author&gt;Tedder, RS&lt;/author&gt;&lt;/authors&gt;&lt;/contributors&gt;&lt;titles&gt;&lt;title&gt;HBV DNA levels and transmission of hepatitis B by health care workers&lt;/title&gt;&lt;secondary-title&gt;Journal of Clinical Virology&lt;/secondary-title&gt;&lt;/titles&gt;&lt;periodical&gt;&lt;full-title&gt;Journal of Clinical Virology&lt;/full-title&gt;&lt;/periodical&gt;&lt;pages&gt;52-58&lt;/pages&gt;&lt;volume&gt;27&lt;/volume&gt;&lt;number&gt;1&lt;/number&gt;&lt;dates&gt;&lt;year&gt;2003&lt;/year&gt;&lt;/dates&gt;&lt;isbn&gt;1386-6532&lt;/isbn&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27" w:tooltip="Department of Health, 2000 #183" w:history="1">
        <w:r w:rsidRPr="00DF1E0C">
          <w:rPr>
            <w:rFonts w:ascii="Calibri" w:hAnsi="Calibri"/>
            <w:noProof/>
            <w:spacing w:val="0"/>
          </w:rPr>
          <w:t>27</w:t>
        </w:r>
      </w:hyperlink>
      <w:r w:rsidRPr="00DF1E0C">
        <w:rPr>
          <w:rFonts w:ascii="Calibri" w:hAnsi="Calibri"/>
          <w:noProof/>
          <w:spacing w:val="0"/>
        </w:rPr>
        <w:t xml:space="preserve">, </w:t>
      </w:r>
      <w:hyperlink w:anchor="_ENREF_30" w:tooltip="Corden, 2003 #190" w:history="1">
        <w:r w:rsidRPr="00DF1E0C">
          <w:rPr>
            <w:rFonts w:ascii="Calibri" w:hAnsi="Calibri"/>
            <w:noProof/>
            <w:spacing w:val="0"/>
          </w:rPr>
          <w:t>30</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w:t>
      </w:r>
    </w:p>
    <w:p w14:paraId="3CC99EEC" w14:textId="77777777" w:rsidR="002F1BC7" w:rsidRPr="00DF1E0C" w:rsidRDefault="002F1BC7" w:rsidP="002F1BC7">
      <w:pPr>
        <w:pStyle w:val="Heading2"/>
        <w:rPr>
          <w:rFonts w:ascii="Calibri" w:hAnsi="Calibri"/>
          <w:color w:val="009900"/>
          <w:sz w:val="32"/>
        </w:rPr>
      </w:pPr>
      <w:r w:rsidRPr="00DF1E0C">
        <w:rPr>
          <w:rFonts w:ascii="Calibri" w:hAnsi="Calibri"/>
          <w:color w:val="009900"/>
          <w:sz w:val="32"/>
        </w:rPr>
        <w:t>6.2 Prevention and detection of HBV infection</w:t>
      </w:r>
    </w:p>
    <w:p w14:paraId="1DE28F31" w14:textId="77777777" w:rsidR="002F1BC7" w:rsidRPr="00DF1E0C" w:rsidRDefault="002F1BC7" w:rsidP="002F1BC7">
      <w:pPr>
        <w:pStyle w:val="BodyText"/>
        <w:widowControl/>
        <w:rPr>
          <w:rFonts w:ascii="Calibri" w:hAnsi="Calibri"/>
          <w:spacing w:val="0"/>
        </w:rPr>
      </w:pPr>
      <w:r w:rsidRPr="00DF1E0C">
        <w:rPr>
          <w:rFonts w:ascii="Calibri" w:hAnsi="Calibri"/>
          <w:spacing w:val="0"/>
        </w:rPr>
        <w:t>All HCWs and student HCWs should be vaccinated against HBV prior to commencement of employment, studies or clinical placements if they have no documented evidence of pre-existing immunity (from resolved infection or prior vaccination). All HCWs should be assessed for immunity post-vaccination.</w:t>
      </w:r>
    </w:p>
    <w:p w14:paraId="179BFAE8"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In the case of non-responders to the hepatitis B vaccine, treating doctors should refer to the latest edition of </w:t>
      </w:r>
      <w:r w:rsidRPr="00DF1E0C">
        <w:rPr>
          <w:rFonts w:ascii="Calibri" w:hAnsi="Calibri"/>
          <w:i/>
          <w:spacing w:val="0"/>
        </w:rPr>
        <w:t xml:space="preserve">The Australian Immunisation Handbook </w:t>
      </w:r>
      <w:r w:rsidRPr="00DF1E0C">
        <w:rPr>
          <w:rFonts w:ascii="Calibri" w:hAnsi="Calibri"/>
          <w:spacing w:val="0"/>
        </w:rPr>
        <w:fldChar w:fldCharType="begin"/>
      </w:r>
      <w:r w:rsidRPr="00DF1E0C">
        <w:rPr>
          <w:rFonts w:ascii="Calibri" w:hAnsi="Calibri"/>
          <w:spacing w:val="0"/>
        </w:rPr>
        <w:instrText xml:space="preserve"> ADDIN EN.CITE &lt;EndNote&gt;&lt;Cite&gt;&lt;Author&gt;Australian Government Department of Health and Ageing&lt;/Author&gt;&lt;Year&gt;2013&lt;/Year&gt;&lt;RecNum&gt;6&lt;/RecNum&gt;&lt;DisplayText&gt;[4]&lt;/DisplayText&gt;&lt;record&gt;&lt;rec-number&gt;6&lt;/rec-number&gt;&lt;foreign-keys&gt;&lt;key app="EN" db-id="5d9ze055j2zd5revw2n50xpwd0fze9frtdxr"&gt;6&lt;/key&gt;&lt;/foreign-keys&gt;&lt;ref-type name="Book"&gt;6&lt;/ref-type&gt;&lt;contributors&gt;&lt;authors&gt;&lt;author&gt;Australian Government Department of Health and Ageing,&lt;/author&gt;&lt;/authors&gt;&lt;/contributors&gt;&lt;titles&gt;&lt;title&gt;The Australian Immunisation Handbook &lt;/title&gt;&lt;/titles&gt;&lt;edition&gt;10th&lt;/edition&gt;&lt;keywords&gt;&lt;keyword&gt;Immunization -- Australia -- Periodicals.&lt;/keyword&gt;&lt;keyword&gt;Vaccination -- Australia -- Periodicals.&lt;/keyword&gt;&lt;/keywords&gt;&lt;dates&gt;&lt;year&gt;2013&lt;/year&gt;&lt;/dates&gt;&lt;pub-location&gt;Canberra&lt;/pub-location&gt;&lt;publisher&gt;Australian Govt. Pub. Service&lt;/publisher&gt;&lt;urls&gt;&lt;related-urls&gt;&lt;url&gt;http://www.immunise.health.gov.au/internet/immunise/publishing.nsf/Content/Handbook10-home &lt;/url&gt;&lt;/related-urls&gt;&lt;/urls&gt;&lt;electronic-resource-num&gt;National Health and Medical Research Council (Australia). Australian immunisation procedures handbook&lt;/electronic-resource-num&gt;&lt;access-date&gt;April 2014&lt;/access-date&gt;&lt;/record&gt;&lt;/Cite&gt;&lt;/EndNote&gt;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4" w:tooltip="Australian Government Department of Health and Ageing, 2013 #6" w:history="1">
        <w:r w:rsidRPr="00DF1E0C">
          <w:rPr>
            <w:rFonts w:ascii="Calibri" w:hAnsi="Calibri"/>
            <w:noProof/>
            <w:spacing w:val="0"/>
          </w:rPr>
          <w:t>4</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for further vaccination requirements and management after potential exposures to HBV. </w:t>
      </w:r>
    </w:p>
    <w:p w14:paraId="55F56149" w14:textId="77777777" w:rsidR="002F1BC7" w:rsidRPr="00747247" w:rsidRDefault="002F1BC7" w:rsidP="002F1BC7">
      <w:pPr>
        <w:pStyle w:val="Heading2"/>
        <w:rPr>
          <w:rFonts w:ascii="Calibri" w:hAnsi="Calibri"/>
          <w:color w:val="009900"/>
          <w:sz w:val="32"/>
        </w:rPr>
      </w:pPr>
      <w:r w:rsidRPr="00DF1E0C">
        <w:rPr>
          <w:rFonts w:ascii="Calibri" w:hAnsi="Calibri"/>
          <w:color w:val="009900"/>
          <w:sz w:val="32"/>
        </w:rPr>
        <w:t xml:space="preserve">6.3 </w:t>
      </w:r>
      <w:r w:rsidRPr="00747247">
        <w:rPr>
          <w:rFonts w:ascii="Calibri" w:hAnsi="Calibri"/>
          <w:color w:val="009900"/>
          <w:sz w:val="32"/>
        </w:rPr>
        <w:t>Management of HCWs living with HBV who perform EPPs</w:t>
      </w:r>
    </w:p>
    <w:p w14:paraId="41A2008A" w14:textId="77777777" w:rsidR="002F1BC7" w:rsidRPr="00747247" w:rsidRDefault="002F1BC7" w:rsidP="002F1BC7">
      <w:pPr>
        <w:pStyle w:val="Heading3"/>
        <w:rPr>
          <w:rFonts w:ascii="Calibri" w:hAnsi="Calibri"/>
          <w:color w:val="009900"/>
          <w:szCs w:val="22"/>
        </w:rPr>
      </w:pPr>
      <w:r w:rsidRPr="00747247">
        <w:rPr>
          <w:rFonts w:ascii="Calibri" w:hAnsi="Calibri"/>
          <w:color w:val="009900"/>
          <w:szCs w:val="22"/>
        </w:rPr>
        <w:t>6.3.1</w:t>
      </w:r>
      <w:r w:rsidRPr="00747247">
        <w:rPr>
          <w:rFonts w:ascii="Calibri" w:hAnsi="Calibri"/>
          <w:color w:val="009900"/>
          <w:szCs w:val="22"/>
        </w:rPr>
        <w:tab/>
        <w:t>HCWs with HBV must meet the following criteria before they can perform EPPs:</w:t>
      </w:r>
    </w:p>
    <w:p w14:paraId="7EFB91DC" w14:textId="77777777" w:rsidR="002F1BC7" w:rsidRPr="00747247" w:rsidRDefault="002F1BC7" w:rsidP="002F1BC7">
      <w:pPr>
        <w:pStyle w:val="BodyText"/>
        <w:widowControl/>
        <w:numPr>
          <w:ilvl w:val="0"/>
          <w:numId w:val="35"/>
        </w:numPr>
        <w:tabs>
          <w:tab w:val="clear" w:pos="-720"/>
        </w:tabs>
        <w:suppressAutoHyphens w:val="0"/>
        <w:spacing w:after="60" w:line="280" w:lineRule="atLeast"/>
        <w:rPr>
          <w:rFonts w:ascii="Calibri" w:hAnsi="Calibri"/>
          <w:spacing w:val="0"/>
        </w:rPr>
      </w:pPr>
      <w:r w:rsidRPr="00747247">
        <w:rPr>
          <w:rFonts w:ascii="Calibri" w:hAnsi="Calibri"/>
          <w:spacing w:val="0"/>
        </w:rPr>
        <w:t xml:space="preserve">be under the regular care of  a specialist in the treatment of HBV who also has an understanding of the regulatory framework for HCWs living with BBVs, </w:t>
      </w:r>
    </w:p>
    <w:p w14:paraId="14179C10" w14:textId="77777777" w:rsidR="002F1BC7" w:rsidRPr="00747247" w:rsidRDefault="002F1BC7" w:rsidP="002F1BC7">
      <w:pPr>
        <w:pStyle w:val="BodyText"/>
        <w:widowControl/>
        <w:numPr>
          <w:ilvl w:val="0"/>
          <w:numId w:val="35"/>
        </w:numPr>
        <w:tabs>
          <w:tab w:val="clear" w:pos="-720"/>
        </w:tabs>
        <w:suppressAutoHyphens w:val="0"/>
        <w:spacing w:after="120" w:line="280" w:lineRule="atLeast"/>
        <w:rPr>
          <w:rFonts w:ascii="Calibri" w:hAnsi="Calibri"/>
          <w:spacing w:val="0"/>
        </w:rPr>
      </w:pPr>
      <w:r w:rsidRPr="00747247">
        <w:rPr>
          <w:rFonts w:ascii="Calibri" w:hAnsi="Calibri"/>
          <w:spacing w:val="0"/>
        </w:rPr>
        <w:t>undergo HBV viral load monitoring every three months if not on treatment or every six months if on appropriate and effective antiviral treatment for the purposes of this supervision,</w:t>
      </w:r>
    </w:p>
    <w:p w14:paraId="68CABE18" w14:textId="77777777" w:rsidR="002F1BC7" w:rsidRPr="00747247" w:rsidRDefault="002F1BC7" w:rsidP="002F1BC7">
      <w:pPr>
        <w:pStyle w:val="BodyText"/>
        <w:widowControl/>
        <w:spacing w:before="60" w:after="60"/>
        <w:rPr>
          <w:rFonts w:ascii="Calibri" w:hAnsi="Calibri"/>
          <w:b/>
          <w:color w:val="009900"/>
          <w:spacing w:val="0"/>
        </w:rPr>
      </w:pPr>
      <w:r w:rsidRPr="00747247">
        <w:rPr>
          <w:rFonts w:ascii="Calibri" w:hAnsi="Calibri"/>
          <w:b/>
          <w:color w:val="009900"/>
          <w:spacing w:val="0"/>
        </w:rPr>
        <w:t>AND</w:t>
      </w:r>
    </w:p>
    <w:p w14:paraId="44EB85F8" w14:textId="77777777" w:rsidR="002F1BC7" w:rsidRPr="00747247" w:rsidRDefault="002F1BC7" w:rsidP="002F1BC7">
      <w:pPr>
        <w:pStyle w:val="BodyText"/>
        <w:widowControl/>
        <w:numPr>
          <w:ilvl w:val="0"/>
          <w:numId w:val="35"/>
        </w:numPr>
        <w:tabs>
          <w:tab w:val="clear" w:pos="-720"/>
        </w:tabs>
        <w:suppressAutoHyphens w:val="0"/>
        <w:spacing w:after="120" w:line="280" w:lineRule="atLeast"/>
        <w:rPr>
          <w:rFonts w:ascii="Calibri" w:hAnsi="Calibri"/>
          <w:spacing w:val="0"/>
        </w:rPr>
      </w:pPr>
      <w:r w:rsidRPr="00747247">
        <w:rPr>
          <w:rFonts w:ascii="Calibri" w:hAnsi="Calibri"/>
          <w:spacing w:val="0"/>
        </w:rPr>
        <w:t xml:space="preserve">have a viral load below 200 IU/mL. </w:t>
      </w:r>
    </w:p>
    <w:p w14:paraId="1A7F6079" w14:textId="77777777" w:rsidR="002F1BC7" w:rsidRPr="00747247" w:rsidRDefault="002F1BC7" w:rsidP="002F1BC7">
      <w:pPr>
        <w:pStyle w:val="Heading3"/>
        <w:rPr>
          <w:rFonts w:ascii="Calibri" w:hAnsi="Calibri"/>
          <w:color w:val="009900"/>
          <w:szCs w:val="22"/>
        </w:rPr>
      </w:pPr>
      <w:bookmarkStart w:id="36" w:name="_Ref455647519"/>
      <w:r w:rsidRPr="00747247">
        <w:rPr>
          <w:rFonts w:ascii="Calibri" w:hAnsi="Calibri"/>
          <w:color w:val="009900"/>
          <w:szCs w:val="22"/>
        </w:rPr>
        <w:t>6.3.2</w:t>
      </w:r>
      <w:r w:rsidRPr="00747247">
        <w:rPr>
          <w:rFonts w:ascii="Calibri" w:hAnsi="Calibri"/>
          <w:color w:val="009900"/>
          <w:szCs w:val="22"/>
        </w:rPr>
        <w:tab/>
        <w:t>Initial health clearance for HCWs with HBV who wish to perform EPPs</w:t>
      </w:r>
      <w:bookmarkEnd w:id="36"/>
    </w:p>
    <w:p w14:paraId="23A4D295" w14:textId="77777777" w:rsidR="002F1BC7" w:rsidRPr="00747247" w:rsidRDefault="002F1BC7" w:rsidP="002F1BC7">
      <w:pPr>
        <w:pStyle w:val="BodyText"/>
        <w:widowControl/>
        <w:spacing w:after="60"/>
        <w:rPr>
          <w:rFonts w:ascii="Calibri" w:hAnsi="Calibri"/>
          <w:spacing w:val="0"/>
          <w:u w:val="single"/>
        </w:rPr>
      </w:pPr>
      <w:r w:rsidRPr="00747247">
        <w:rPr>
          <w:rFonts w:ascii="Calibri" w:hAnsi="Calibri"/>
          <w:spacing w:val="0"/>
          <w:u w:val="single"/>
        </w:rPr>
        <w:t>For HCWs with HBV wishing to perform EPPs:</w:t>
      </w:r>
    </w:p>
    <w:p w14:paraId="052F62B1" w14:textId="77777777" w:rsidR="002F1BC7" w:rsidRPr="00747247" w:rsidRDefault="002F1BC7" w:rsidP="002F1BC7">
      <w:pPr>
        <w:pStyle w:val="Bulletsend"/>
        <w:widowControl/>
        <w:ind w:left="426"/>
        <w:rPr>
          <w:rFonts w:ascii="Calibri" w:hAnsi="Calibri"/>
          <w:spacing w:val="0"/>
          <w:sz w:val="24"/>
          <w:lang w:val="en-AU"/>
        </w:rPr>
      </w:pPr>
      <w:r w:rsidRPr="00747247">
        <w:rPr>
          <w:rFonts w:ascii="Calibri" w:hAnsi="Calibri"/>
          <w:spacing w:val="0"/>
          <w:sz w:val="24"/>
          <w:lang w:val="en-AU"/>
        </w:rPr>
        <w:t xml:space="preserve">Two tests from a NATA/RCPA accredited laboratory, taken no less than three months apart and with viral load levels below 200 IU/mL are required to ensure viral load stability. At this point, a decision should be made as to whether health clearance could be given for the HCW to commence or resume EPPs.  </w:t>
      </w:r>
    </w:p>
    <w:p w14:paraId="05E9DB7F" w14:textId="77777777" w:rsidR="002F1BC7" w:rsidRPr="00747247" w:rsidRDefault="002F1BC7" w:rsidP="002F1BC7">
      <w:pPr>
        <w:pStyle w:val="BodyText"/>
        <w:widowControl/>
        <w:spacing w:after="60"/>
        <w:rPr>
          <w:rFonts w:ascii="Calibri" w:hAnsi="Calibri"/>
          <w:spacing w:val="0"/>
          <w:u w:val="single"/>
        </w:rPr>
      </w:pPr>
      <w:r w:rsidRPr="00747247">
        <w:rPr>
          <w:rFonts w:ascii="Calibri" w:hAnsi="Calibri"/>
          <w:spacing w:val="0"/>
          <w:u w:val="single"/>
        </w:rPr>
        <w:t>For HCWs with HBV currently restricted from EPPs:</w:t>
      </w:r>
    </w:p>
    <w:p w14:paraId="77965DA4" w14:textId="77777777" w:rsidR="002F1BC7" w:rsidRPr="00747247" w:rsidRDefault="002F1BC7" w:rsidP="002F1BC7">
      <w:pPr>
        <w:pStyle w:val="Bulletsend"/>
        <w:widowControl/>
        <w:numPr>
          <w:ilvl w:val="0"/>
          <w:numId w:val="40"/>
        </w:numPr>
        <w:ind w:left="360"/>
        <w:rPr>
          <w:rFonts w:ascii="Calibri" w:hAnsi="Calibri"/>
          <w:spacing w:val="0"/>
          <w:sz w:val="24"/>
          <w:lang w:val="en-AU"/>
        </w:rPr>
      </w:pPr>
      <w:r w:rsidRPr="00747247">
        <w:rPr>
          <w:rFonts w:ascii="Calibri" w:hAnsi="Calibri"/>
          <w:spacing w:val="0"/>
          <w:sz w:val="24"/>
          <w:lang w:val="en-AU"/>
        </w:rPr>
        <w:lastRenderedPageBreak/>
        <w:t>The decision to provide initial clearance for individual HCWs who have been previously excluded from work involving EPPs is the responsibility of the</w:t>
      </w:r>
      <w:r w:rsidRPr="00DF1E0C">
        <w:rPr>
          <w:rFonts w:ascii="Calibri" w:hAnsi="Calibri"/>
          <w:spacing w:val="0"/>
          <w:sz w:val="24"/>
          <w:lang w:val="en-AU"/>
        </w:rPr>
        <w:t xml:space="preserve"> treating doctor. However, </w:t>
      </w:r>
      <w:r w:rsidRPr="00747247">
        <w:rPr>
          <w:rFonts w:ascii="Calibri" w:hAnsi="Calibri"/>
          <w:spacing w:val="0"/>
          <w:sz w:val="24"/>
          <w:lang w:val="en-AU"/>
        </w:rPr>
        <w:t>with more complex situations, the treating doctor may choose to consult with the relevant area of the jurisdictional health department. An example of a complex situation may include where other considerations apart from virological response are present such as recency of practice</w:t>
      </w:r>
      <w:r w:rsidRPr="00747247">
        <w:rPr>
          <w:rStyle w:val="FootnoteReference"/>
          <w:rFonts w:ascii="Calibri" w:hAnsi="Calibri"/>
          <w:spacing w:val="0"/>
          <w:sz w:val="24"/>
          <w:lang w:val="en-AU"/>
        </w:rPr>
        <w:footnoteReference w:id="15"/>
      </w:r>
      <w:r w:rsidRPr="00747247">
        <w:rPr>
          <w:rFonts w:ascii="Calibri" w:hAnsi="Calibri"/>
          <w:spacing w:val="0"/>
          <w:sz w:val="24"/>
          <w:lang w:val="en-AU"/>
        </w:rPr>
        <w:t xml:space="preserve">, evidence of behaviour which could have affected the HCWs standard of practice, or individual work variances. Consulting with the relevant area of the jurisdictional health department on these more complex issues may assist in preserving the therapeutic relationship and remove potential conflicts of interest between the treating doctor’s responsibilities to the HCW with HBV versus to public health. </w:t>
      </w:r>
    </w:p>
    <w:p w14:paraId="5E9359DB" w14:textId="77777777" w:rsidR="002F1BC7" w:rsidRPr="00747247" w:rsidRDefault="002F1BC7" w:rsidP="002F1BC7">
      <w:pPr>
        <w:pStyle w:val="Heading3"/>
        <w:rPr>
          <w:rFonts w:ascii="Calibri" w:hAnsi="Calibri"/>
          <w:color w:val="009900"/>
          <w:szCs w:val="22"/>
        </w:rPr>
      </w:pPr>
      <w:r w:rsidRPr="00747247">
        <w:rPr>
          <w:rFonts w:ascii="Calibri" w:hAnsi="Calibri"/>
          <w:color w:val="009900"/>
          <w:szCs w:val="22"/>
        </w:rPr>
        <w:t>6.3.3</w:t>
      </w:r>
      <w:r w:rsidRPr="00747247">
        <w:rPr>
          <w:rFonts w:ascii="Calibri" w:hAnsi="Calibri"/>
          <w:color w:val="009900"/>
          <w:szCs w:val="22"/>
        </w:rPr>
        <w:tab/>
        <w:t>Viral load monitoring and ongoing clearance for HCWs with HBV performing EPPs</w:t>
      </w:r>
    </w:p>
    <w:p w14:paraId="55EB1B5F" w14:textId="77777777" w:rsidR="002F1BC7" w:rsidRPr="00747247" w:rsidRDefault="002F1BC7" w:rsidP="002F1BC7">
      <w:pPr>
        <w:pStyle w:val="BodyText"/>
        <w:widowControl/>
        <w:spacing w:before="60"/>
        <w:rPr>
          <w:rFonts w:ascii="Calibri" w:hAnsi="Calibri"/>
          <w:spacing w:val="0"/>
        </w:rPr>
      </w:pPr>
      <w:r w:rsidRPr="00747247">
        <w:rPr>
          <w:rFonts w:ascii="Calibri" w:hAnsi="Calibri"/>
          <w:spacing w:val="0"/>
        </w:rPr>
        <w:t xml:space="preserve">HCWs with HBV who are cleared to perform EPPs must undergo viral load testing every three months if not on treatment or every six months while stable on treatment. The three or six month period should be taken from the date the previous sample was drawn, not from the date the result was received. </w:t>
      </w:r>
    </w:p>
    <w:p w14:paraId="3785EC2C" w14:textId="77777777" w:rsidR="002F1BC7" w:rsidRPr="00DF1E0C" w:rsidRDefault="002F1BC7" w:rsidP="002F1BC7">
      <w:pPr>
        <w:pStyle w:val="BodyText"/>
        <w:widowControl/>
        <w:rPr>
          <w:rFonts w:ascii="Calibri" w:hAnsi="Calibri"/>
          <w:spacing w:val="0"/>
        </w:rPr>
      </w:pPr>
      <w:r w:rsidRPr="00747247">
        <w:rPr>
          <w:rFonts w:ascii="Calibri" w:hAnsi="Calibri"/>
          <w:spacing w:val="0"/>
        </w:rPr>
        <w:t>If a HCW’s viral load rises above 1 000 IU/mL, they should be immediately restricted from performing EPPs until their viral load is</w:t>
      </w:r>
      <w:r w:rsidRPr="00DF1E0C">
        <w:rPr>
          <w:rFonts w:ascii="Calibri" w:hAnsi="Calibri"/>
          <w:spacing w:val="0"/>
        </w:rPr>
        <w:t xml:space="preserve"> again repeatedly below 200 IU/mL in at least two tests done no less than three months apart. The significance of any increase in viral load above 200 IU/mL but below 1 000 IU/mL should be assessed by the treating doctor with input from appropriate local experts (e.g. consultant virologist or microbiologist). </w:t>
      </w:r>
    </w:p>
    <w:p w14:paraId="27C2139A" w14:textId="77777777" w:rsidR="002F1BC7" w:rsidRPr="00DF1E0C" w:rsidRDefault="002F1BC7" w:rsidP="002F1BC7">
      <w:pPr>
        <w:pStyle w:val="BodyText"/>
        <w:widowControl/>
        <w:rPr>
          <w:rFonts w:ascii="Calibri" w:hAnsi="Calibri"/>
          <w:spacing w:val="0"/>
        </w:rPr>
      </w:pPr>
      <w:r w:rsidRPr="00DF1E0C">
        <w:rPr>
          <w:rFonts w:ascii="Calibri" w:hAnsi="Calibri"/>
          <w:spacing w:val="0"/>
        </w:rPr>
        <w:fldChar w:fldCharType="begin"/>
      </w:r>
      <w:r w:rsidRPr="00DF1E0C">
        <w:rPr>
          <w:rFonts w:ascii="Calibri" w:hAnsi="Calibri"/>
          <w:spacing w:val="0"/>
        </w:rPr>
        <w:instrText xml:space="preserve"> REF _Ref455654064 \h  \* MERGEFORMAT </w:instrText>
      </w:r>
      <w:r w:rsidRPr="00DF1E0C">
        <w:rPr>
          <w:rFonts w:ascii="Calibri" w:hAnsi="Calibri"/>
          <w:spacing w:val="0"/>
        </w:rPr>
      </w:r>
      <w:r w:rsidRPr="00DF1E0C">
        <w:rPr>
          <w:rFonts w:ascii="Calibri" w:hAnsi="Calibri"/>
          <w:spacing w:val="0"/>
        </w:rPr>
        <w:fldChar w:fldCharType="separate"/>
      </w:r>
      <w:r w:rsidRPr="00013F35">
        <w:rPr>
          <w:rFonts w:ascii="Calibri" w:hAnsi="Calibri" w:cs="Arial"/>
        </w:rPr>
        <w:t xml:space="preserve">Table </w:t>
      </w:r>
      <w:r w:rsidRPr="00013F35">
        <w:rPr>
          <w:rFonts w:ascii="Calibri" w:hAnsi="Calibri" w:cs="Arial"/>
          <w:noProof/>
        </w:rPr>
        <w:t>2</w:t>
      </w:r>
      <w:r w:rsidRPr="00DF1E0C">
        <w:rPr>
          <w:rFonts w:ascii="Calibri" w:hAnsi="Calibri"/>
          <w:spacing w:val="0"/>
        </w:rPr>
        <w:fldChar w:fldCharType="end"/>
      </w:r>
      <w:r w:rsidRPr="00DF1E0C">
        <w:rPr>
          <w:rFonts w:ascii="Calibri" w:hAnsi="Calibri"/>
          <w:spacing w:val="0"/>
        </w:rPr>
        <w:t xml:space="preserve"> sets out the expected course of action for viral load test results below and above the level for EPP clearance (200 IU/mL).</w:t>
      </w:r>
    </w:p>
    <w:p w14:paraId="5B76B696" w14:textId="77777777" w:rsidR="002F1BC7" w:rsidRPr="00DF1E0C" w:rsidRDefault="002F1BC7" w:rsidP="002F1BC7">
      <w:pPr>
        <w:rPr>
          <w:rFonts w:eastAsia="Arial"/>
          <w:i/>
          <w:szCs w:val="20"/>
          <w:lang w:val="en-AU"/>
        </w:rPr>
      </w:pPr>
      <w:r w:rsidRPr="00DF1E0C">
        <w:rPr>
          <w:i/>
          <w:sz w:val="28"/>
          <w:lang w:val="en-AU"/>
        </w:rPr>
        <w:br w:type="page"/>
      </w:r>
    </w:p>
    <w:p w14:paraId="744788CF" w14:textId="77777777" w:rsidR="002F1BC7" w:rsidRPr="00DF1E0C" w:rsidRDefault="002F1BC7" w:rsidP="002F1BC7">
      <w:pPr>
        <w:pStyle w:val="Caption"/>
        <w:keepNext/>
        <w:rPr>
          <w:rFonts w:ascii="Calibri" w:hAnsi="Calibri" w:cs="Arial"/>
          <w:b w:val="0"/>
          <w:i/>
          <w:sz w:val="24"/>
        </w:rPr>
      </w:pPr>
      <w:bookmarkStart w:id="37" w:name="_Ref455654064"/>
      <w:r w:rsidRPr="00DF1E0C">
        <w:rPr>
          <w:rFonts w:ascii="Calibri" w:hAnsi="Calibri" w:cs="Arial"/>
          <w:b w:val="0"/>
          <w:i/>
          <w:sz w:val="24"/>
        </w:rPr>
        <w:lastRenderedPageBreak/>
        <w:t xml:space="preserve">Table </w:t>
      </w:r>
      <w:r w:rsidRPr="00DF1E0C">
        <w:rPr>
          <w:rFonts w:ascii="Calibri" w:hAnsi="Calibri" w:cs="Arial"/>
          <w:b w:val="0"/>
          <w:i/>
          <w:sz w:val="24"/>
        </w:rPr>
        <w:fldChar w:fldCharType="begin"/>
      </w:r>
      <w:r w:rsidRPr="00DF1E0C">
        <w:rPr>
          <w:rFonts w:ascii="Calibri" w:hAnsi="Calibri" w:cs="Arial"/>
          <w:b w:val="0"/>
          <w:i/>
          <w:sz w:val="24"/>
        </w:rPr>
        <w:instrText xml:space="preserve"> SEQ Table \* ARABIC </w:instrText>
      </w:r>
      <w:r w:rsidRPr="00DF1E0C">
        <w:rPr>
          <w:rFonts w:ascii="Calibri" w:hAnsi="Calibri" w:cs="Arial"/>
          <w:b w:val="0"/>
          <w:i/>
          <w:sz w:val="24"/>
        </w:rPr>
        <w:fldChar w:fldCharType="separate"/>
      </w:r>
      <w:r>
        <w:rPr>
          <w:rFonts w:ascii="Calibri" w:hAnsi="Calibri" w:cs="Arial"/>
          <w:b w:val="0"/>
          <w:i/>
          <w:noProof/>
          <w:sz w:val="24"/>
        </w:rPr>
        <w:t>2</w:t>
      </w:r>
      <w:r w:rsidRPr="00DF1E0C">
        <w:rPr>
          <w:rFonts w:ascii="Calibri" w:hAnsi="Calibri" w:cs="Arial"/>
          <w:b w:val="0"/>
          <w:i/>
          <w:sz w:val="24"/>
        </w:rPr>
        <w:fldChar w:fldCharType="end"/>
      </w:r>
      <w:bookmarkEnd w:id="37"/>
      <w:r w:rsidRPr="00DF1E0C">
        <w:rPr>
          <w:rFonts w:ascii="Calibri" w:hAnsi="Calibri" w:cs="Arial"/>
          <w:b w:val="0"/>
          <w:i/>
          <w:sz w:val="24"/>
        </w:rPr>
        <w:t>: HBV viral load monitoring and subsequent action</w:t>
      </w:r>
    </w:p>
    <w:tbl>
      <w:tblPr>
        <w:tblW w:w="5000" w:type="pct"/>
        <w:tblBorders>
          <w:top w:val="single" w:sz="4" w:space="0" w:color="009900"/>
          <w:left w:val="single" w:sz="4" w:space="0" w:color="009900"/>
          <w:bottom w:val="single" w:sz="4" w:space="0" w:color="009900"/>
          <w:right w:val="single" w:sz="4" w:space="0" w:color="009900"/>
          <w:insideH w:val="single" w:sz="4" w:space="0" w:color="009900"/>
        </w:tblBorders>
        <w:tblLook w:val="01E0" w:firstRow="1" w:lastRow="1" w:firstColumn="1" w:lastColumn="1" w:noHBand="0" w:noVBand="0"/>
      </w:tblPr>
      <w:tblGrid>
        <w:gridCol w:w="4022"/>
        <w:gridCol w:w="5037"/>
      </w:tblGrid>
      <w:tr w:rsidR="002F1BC7" w:rsidRPr="003049C5" w14:paraId="02679BE9" w14:textId="77777777" w:rsidTr="00FF0ED0">
        <w:trPr>
          <w:trHeight w:val="397"/>
        </w:trPr>
        <w:tc>
          <w:tcPr>
            <w:tcW w:w="2220" w:type="pct"/>
            <w:shd w:val="clear" w:color="009900" w:fill="009900"/>
          </w:tcPr>
          <w:p w14:paraId="775851C0" w14:textId="77777777" w:rsidR="002F1BC7" w:rsidRPr="003049C5" w:rsidRDefault="002F1BC7" w:rsidP="00FF0ED0">
            <w:pPr>
              <w:pStyle w:val="BodyText"/>
              <w:widowControl/>
              <w:spacing w:after="0"/>
              <w:rPr>
                <w:rFonts w:ascii="Calibri" w:hAnsi="Calibri"/>
                <w:b/>
                <w:bCs/>
                <w:color w:val="FFFFFF"/>
                <w:spacing w:val="0"/>
              </w:rPr>
            </w:pPr>
            <w:r w:rsidRPr="003049C5">
              <w:rPr>
                <w:rFonts w:ascii="Calibri" w:hAnsi="Calibri"/>
                <w:b/>
                <w:bCs/>
                <w:color w:val="FFFFFF"/>
                <w:spacing w:val="0"/>
              </w:rPr>
              <w:t>HBV viral load result</w:t>
            </w:r>
          </w:p>
        </w:tc>
        <w:tc>
          <w:tcPr>
            <w:tcW w:w="2780" w:type="pct"/>
            <w:shd w:val="clear" w:color="009900" w:fill="009900"/>
          </w:tcPr>
          <w:p w14:paraId="124529F7" w14:textId="77777777" w:rsidR="002F1BC7" w:rsidRPr="003049C5" w:rsidRDefault="002F1BC7" w:rsidP="00FF0ED0">
            <w:pPr>
              <w:pStyle w:val="BodyText"/>
              <w:widowControl/>
              <w:spacing w:after="0"/>
              <w:rPr>
                <w:rFonts w:ascii="Calibri" w:hAnsi="Calibri"/>
                <w:b/>
                <w:bCs/>
                <w:color w:val="FFFFFF"/>
                <w:spacing w:val="0"/>
              </w:rPr>
            </w:pPr>
            <w:r w:rsidRPr="003049C5">
              <w:rPr>
                <w:rFonts w:ascii="Calibri" w:hAnsi="Calibri"/>
                <w:b/>
                <w:bCs/>
                <w:color w:val="FFFFFF"/>
                <w:spacing w:val="0"/>
              </w:rPr>
              <w:t>Action</w:t>
            </w:r>
          </w:p>
        </w:tc>
      </w:tr>
      <w:tr w:rsidR="002F1BC7" w:rsidRPr="003049C5" w14:paraId="02BA86D5" w14:textId="77777777" w:rsidTr="00FF0ED0">
        <w:trPr>
          <w:trHeight w:val="397"/>
        </w:trPr>
        <w:tc>
          <w:tcPr>
            <w:tcW w:w="2220" w:type="pct"/>
            <w:shd w:val="clear" w:color="auto" w:fill="auto"/>
          </w:tcPr>
          <w:p w14:paraId="5BD4EF71"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less than 50 IU/mL or undetectable</w:t>
            </w:r>
          </w:p>
        </w:tc>
        <w:tc>
          <w:tcPr>
            <w:tcW w:w="2780" w:type="pct"/>
            <w:shd w:val="clear" w:color="auto" w:fill="auto"/>
          </w:tcPr>
          <w:p w14:paraId="12F2ABEE"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No action – retest in three months if not on treatment or six months if on appropriate and effective antiviral treatment.</w:t>
            </w:r>
          </w:p>
        </w:tc>
      </w:tr>
      <w:tr w:rsidR="002F1BC7" w:rsidRPr="003049C5" w14:paraId="673A63B6" w14:textId="77777777" w:rsidTr="00FF0ED0">
        <w:trPr>
          <w:trHeight w:val="397"/>
        </w:trPr>
        <w:tc>
          <w:tcPr>
            <w:tcW w:w="2220" w:type="pct"/>
            <w:shd w:val="clear" w:color="auto" w:fill="auto"/>
          </w:tcPr>
          <w:p w14:paraId="48D343CA"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50 – 200 IU/mL</w:t>
            </w:r>
          </w:p>
        </w:tc>
        <w:tc>
          <w:tcPr>
            <w:tcW w:w="2780" w:type="pct"/>
            <w:shd w:val="clear" w:color="auto" w:fill="auto"/>
          </w:tcPr>
          <w:p w14:paraId="6BDC6EE1"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 xml:space="preserve">A case-by-case approach based on clinical judgement, which may result in no action (as above) or a second test may be done 10 days later on a new blood sample to verify the first result. Further action would be informed by the subsequent test result. </w:t>
            </w:r>
          </w:p>
          <w:p w14:paraId="02969E0F"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If the second result remains in the 50 – 200 IU/mL range, considered low level viraemia, no further action is required and there are no treatment guidelines that suggest a change in treatment at this level. Emphasising treatment compliance to ensure the individual remains in the low level viraemia classification is important.</w:t>
            </w:r>
          </w:p>
        </w:tc>
      </w:tr>
      <w:tr w:rsidR="002F1BC7" w:rsidRPr="003049C5" w14:paraId="3580B5BA" w14:textId="77777777" w:rsidTr="00FF0ED0">
        <w:trPr>
          <w:trHeight w:val="397"/>
        </w:trPr>
        <w:tc>
          <w:tcPr>
            <w:tcW w:w="2220" w:type="pct"/>
            <w:shd w:val="clear" w:color="auto" w:fill="auto"/>
          </w:tcPr>
          <w:p w14:paraId="46103B26"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201 copies/mL – 999 IU/mL</w:t>
            </w:r>
          </w:p>
        </w:tc>
        <w:tc>
          <w:tcPr>
            <w:tcW w:w="2780" w:type="pct"/>
            <w:shd w:val="clear" w:color="auto" w:fill="auto"/>
          </w:tcPr>
          <w:p w14:paraId="77B9FF36"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 xml:space="preserve">A second test should be done 10 days later on a new blood sample to verify the first result. If the viral load is still in excess of 200 IU/mL, the HCW must cease conducting EPPs until their viral load, in two consecutive tests no less than three months apart, is below 200 IU/mL. </w:t>
            </w:r>
          </w:p>
        </w:tc>
      </w:tr>
      <w:tr w:rsidR="002F1BC7" w:rsidRPr="003049C5" w14:paraId="4D6A6D41" w14:textId="77777777" w:rsidTr="00FF0ED0">
        <w:trPr>
          <w:trHeight w:val="397"/>
        </w:trPr>
        <w:tc>
          <w:tcPr>
            <w:tcW w:w="2220" w:type="pct"/>
            <w:shd w:val="clear" w:color="auto" w:fill="auto"/>
          </w:tcPr>
          <w:p w14:paraId="25C864D5"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1 000 IU/mL or above</w:t>
            </w:r>
          </w:p>
        </w:tc>
        <w:tc>
          <w:tcPr>
            <w:tcW w:w="2780" w:type="pct"/>
            <w:shd w:val="clear" w:color="auto" w:fill="auto"/>
          </w:tcPr>
          <w:p w14:paraId="13D10511"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The HCW must cease conducting EPPs immediately. A second test must be done on a new blood sample 10 days later to verify the first result. If the viral load is still in excess of 1 000 IU/mL, a full risk assessment should be initiated to determine the risk of HCW to patient transmission. At a minimum, this will include discussion between the treating doctor, the local communicable disease control unit or public health unit and the relevant infection prevention and control service if appropriate, on the significance of the result to the risk of HBV transmission.</w:t>
            </w:r>
          </w:p>
          <w:p w14:paraId="54BC0DCE"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 xml:space="preserve">Following a risk assessment, patient notification may be indicated but would generally only be considered when a serious breach of infection prevention and control practices has been identified. </w:t>
            </w:r>
          </w:p>
        </w:tc>
      </w:tr>
    </w:tbl>
    <w:p w14:paraId="06EE3327" w14:textId="77777777" w:rsidR="002F1BC7" w:rsidRPr="00DF1E0C" w:rsidRDefault="002F1BC7" w:rsidP="002F1BC7">
      <w:pPr>
        <w:pStyle w:val="Heading3"/>
        <w:rPr>
          <w:rFonts w:ascii="Calibri" w:hAnsi="Calibri"/>
          <w:color w:val="009900"/>
          <w:szCs w:val="22"/>
        </w:rPr>
      </w:pPr>
      <w:r w:rsidRPr="00DF1E0C">
        <w:rPr>
          <w:rFonts w:ascii="Calibri" w:hAnsi="Calibri"/>
          <w:color w:val="009900"/>
          <w:szCs w:val="22"/>
        </w:rPr>
        <w:t>6.3.4</w:t>
      </w:r>
      <w:r w:rsidRPr="00DF1E0C">
        <w:rPr>
          <w:rFonts w:ascii="Calibri" w:hAnsi="Calibri"/>
          <w:color w:val="009900"/>
          <w:szCs w:val="22"/>
        </w:rPr>
        <w:tab/>
        <w:t>Resuming EPPs</w:t>
      </w:r>
    </w:p>
    <w:p w14:paraId="7B2D1F27"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Resumption of EPP activities following a period of exclusion (for whatever reason) requires demonstration of consistent viral load suppression i.e. at </w:t>
      </w:r>
      <w:r>
        <w:rPr>
          <w:rFonts w:ascii="Calibri" w:hAnsi="Calibri"/>
          <w:spacing w:val="0"/>
        </w:rPr>
        <w:t xml:space="preserve">least two viral loads below </w:t>
      </w:r>
      <w:r>
        <w:rPr>
          <w:rFonts w:ascii="Calibri" w:hAnsi="Calibri"/>
          <w:spacing w:val="0"/>
        </w:rPr>
        <w:lastRenderedPageBreak/>
        <w:t>200 </w:t>
      </w:r>
      <w:r w:rsidRPr="00DF1E0C">
        <w:rPr>
          <w:rFonts w:ascii="Calibri" w:hAnsi="Calibri"/>
          <w:spacing w:val="0"/>
        </w:rPr>
        <w:t>IU/mL, no less than three months apart. Retraining and supervision for those HCWs returning to EPPs should be considered on a case-by-case basis.</w:t>
      </w:r>
    </w:p>
    <w:p w14:paraId="0D112005" w14:textId="77777777" w:rsidR="002F1BC7" w:rsidRPr="00747247" w:rsidRDefault="002F1BC7" w:rsidP="002F1BC7">
      <w:pPr>
        <w:pStyle w:val="Heading3"/>
        <w:rPr>
          <w:rFonts w:ascii="Calibri" w:hAnsi="Calibri"/>
          <w:color w:val="009900"/>
          <w:szCs w:val="22"/>
        </w:rPr>
      </w:pPr>
      <w:r w:rsidRPr="00DF1E0C">
        <w:rPr>
          <w:rFonts w:ascii="Calibri" w:hAnsi="Calibri"/>
          <w:color w:val="009900"/>
          <w:szCs w:val="22"/>
        </w:rPr>
        <w:t>6.3.5</w:t>
      </w:r>
      <w:r w:rsidRPr="00DF1E0C">
        <w:rPr>
          <w:rFonts w:ascii="Calibri" w:hAnsi="Calibri"/>
          <w:color w:val="009900"/>
          <w:szCs w:val="22"/>
        </w:rPr>
        <w:tab/>
      </w:r>
      <w:r w:rsidRPr="00747247">
        <w:rPr>
          <w:rFonts w:ascii="Calibri" w:hAnsi="Calibri"/>
          <w:color w:val="009900"/>
          <w:szCs w:val="22"/>
        </w:rPr>
        <w:t>Breaks in monitoring</w:t>
      </w:r>
    </w:p>
    <w:p w14:paraId="6506153D" w14:textId="77777777" w:rsidR="002F1BC7" w:rsidRPr="00747247" w:rsidRDefault="002F1BC7" w:rsidP="002F1BC7">
      <w:pPr>
        <w:pStyle w:val="BodyText"/>
        <w:widowControl/>
        <w:rPr>
          <w:rFonts w:ascii="Calibri" w:hAnsi="Calibri"/>
          <w:spacing w:val="0"/>
        </w:rPr>
      </w:pPr>
      <w:r w:rsidRPr="00747247">
        <w:rPr>
          <w:rFonts w:ascii="Calibri" w:hAnsi="Calibri"/>
          <w:spacing w:val="0"/>
        </w:rPr>
        <w:t>HCWs with HBV who take a career break</w:t>
      </w:r>
      <w:r w:rsidRPr="00747247">
        <w:rPr>
          <w:rStyle w:val="FootnoteReference"/>
          <w:rFonts w:ascii="Calibri" w:eastAsiaTheme="majorEastAsia" w:hAnsi="Calibri"/>
          <w:spacing w:val="0"/>
        </w:rPr>
        <w:footnoteReference w:id="16"/>
      </w:r>
      <w:r w:rsidRPr="00747247">
        <w:rPr>
          <w:rFonts w:ascii="Calibri" w:hAnsi="Calibri"/>
          <w:spacing w:val="0"/>
        </w:rPr>
        <w:t xml:space="preserve"> from performing EPPs may wish to continue monitoring during this period to facilitate a return to EPP activities. Individuals with a break in their monitoring record must meet the criteria for initial clearance (see </w:t>
      </w:r>
      <w:r w:rsidRPr="009672B5">
        <w:rPr>
          <w:rFonts w:ascii="Calibri" w:hAnsi="Calibri"/>
          <w:spacing w:val="0"/>
        </w:rPr>
        <w:fldChar w:fldCharType="begin"/>
      </w:r>
      <w:r w:rsidRPr="00747247">
        <w:rPr>
          <w:rFonts w:ascii="Calibri" w:hAnsi="Calibri"/>
          <w:spacing w:val="0"/>
        </w:rPr>
        <w:instrText xml:space="preserve"> REF _Ref455647519 \h  \* MERGEFORMAT </w:instrText>
      </w:r>
      <w:r w:rsidRPr="009672B5">
        <w:rPr>
          <w:rFonts w:ascii="Calibri" w:hAnsi="Calibri"/>
          <w:spacing w:val="0"/>
        </w:rPr>
      </w:r>
      <w:r w:rsidRPr="009672B5">
        <w:rPr>
          <w:rFonts w:ascii="Calibri" w:hAnsi="Calibri"/>
          <w:spacing w:val="0"/>
        </w:rPr>
        <w:fldChar w:fldCharType="separate"/>
      </w:r>
      <w:r w:rsidRPr="00013F35">
        <w:rPr>
          <w:rFonts w:ascii="Calibri" w:hAnsi="Calibri"/>
          <w:szCs w:val="22"/>
        </w:rPr>
        <w:t>6.3.2</w:t>
      </w:r>
      <w:r w:rsidRPr="00013F35">
        <w:rPr>
          <w:rFonts w:ascii="Calibri" w:hAnsi="Calibri"/>
          <w:szCs w:val="22"/>
        </w:rPr>
        <w:tab/>
        <w:t>Initial health clearance for HCWs with HBV who wish to perform EPPs</w:t>
      </w:r>
      <w:r w:rsidRPr="009672B5">
        <w:rPr>
          <w:rFonts w:ascii="Calibri" w:hAnsi="Calibri"/>
          <w:spacing w:val="0"/>
        </w:rPr>
        <w:fldChar w:fldCharType="end"/>
      </w:r>
      <w:r w:rsidRPr="00747247">
        <w:rPr>
          <w:rFonts w:ascii="Calibri" w:hAnsi="Calibri"/>
          <w:spacing w:val="0"/>
        </w:rPr>
        <w:t>) before returning to EPP activities.</w:t>
      </w:r>
    </w:p>
    <w:p w14:paraId="3569B28E" w14:textId="77777777" w:rsidR="002F1BC7" w:rsidRPr="00747247" w:rsidRDefault="002F1BC7" w:rsidP="002F1BC7">
      <w:pPr>
        <w:pStyle w:val="Heading2"/>
        <w:rPr>
          <w:rFonts w:ascii="Calibri" w:hAnsi="Calibri"/>
          <w:color w:val="009900"/>
          <w:sz w:val="32"/>
        </w:rPr>
      </w:pPr>
      <w:r w:rsidRPr="00747247">
        <w:rPr>
          <w:rFonts w:ascii="Calibri" w:hAnsi="Calibri"/>
          <w:color w:val="009900"/>
          <w:sz w:val="32"/>
        </w:rPr>
        <w:t>6.4 Treatment issues</w:t>
      </w:r>
    </w:p>
    <w:p w14:paraId="32F3D2EB" w14:textId="77777777" w:rsidR="002F1BC7" w:rsidRPr="00747247" w:rsidRDefault="002F1BC7" w:rsidP="002F1BC7">
      <w:pPr>
        <w:pStyle w:val="Heading3"/>
        <w:rPr>
          <w:rFonts w:ascii="Calibri" w:hAnsi="Calibri"/>
          <w:color w:val="009900"/>
          <w:szCs w:val="22"/>
        </w:rPr>
      </w:pPr>
      <w:r w:rsidRPr="00747247">
        <w:rPr>
          <w:rFonts w:ascii="Calibri" w:hAnsi="Calibri"/>
          <w:color w:val="009900"/>
          <w:szCs w:val="22"/>
        </w:rPr>
        <w:t>6.4.1</w:t>
      </w:r>
      <w:r w:rsidRPr="00747247">
        <w:rPr>
          <w:rFonts w:ascii="Calibri" w:hAnsi="Calibri"/>
          <w:color w:val="009900"/>
          <w:szCs w:val="22"/>
        </w:rPr>
        <w:tab/>
        <w:t>Decisions about treatment</w:t>
      </w:r>
    </w:p>
    <w:p w14:paraId="4EEF5956" w14:textId="77777777" w:rsidR="002F1BC7" w:rsidRPr="00DF1E0C" w:rsidRDefault="002F1BC7" w:rsidP="002F1BC7">
      <w:pPr>
        <w:pStyle w:val="BodyText"/>
        <w:widowControl/>
        <w:spacing w:before="60" w:after="60"/>
        <w:rPr>
          <w:rFonts w:ascii="Calibri" w:hAnsi="Calibri"/>
          <w:spacing w:val="0"/>
        </w:rPr>
      </w:pPr>
      <w:r w:rsidRPr="00747247">
        <w:rPr>
          <w:rFonts w:ascii="Calibri" w:hAnsi="Calibri"/>
          <w:spacing w:val="0"/>
        </w:rPr>
        <w:t>Hepatitis B treatment is currently (as of 201</w:t>
      </w:r>
      <w:r>
        <w:rPr>
          <w:rFonts w:ascii="Calibri" w:hAnsi="Calibri"/>
          <w:spacing w:val="0"/>
        </w:rPr>
        <w:t>7</w:t>
      </w:r>
      <w:r w:rsidRPr="00747247">
        <w:rPr>
          <w:rFonts w:ascii="Calibri" w:hAnsi="Calibri"/>
          <w:spacing w:val="0"/>
        </w:rPr>
        <w:t>) subsidised by the Pharmaceutical Benefits Scheme (PBS) only for patients that have high HBV DNA levels (&gt; 2x10</w:t>
      </w:r>
      <w:r w:rsidRPr="00747247">
        <w:rPr>
          <w:rFonts w:ascii="Calibri" w:hAnsi="Calibri"/>
          <w:spacing w:val="0"/>
          <w:vertAlign w:val="superscript"/>
        </w:rPr>
        <w:t>4</w:t>
      </w:r>
      <w:r w:rsidRPr="00747247">
        <w:rPr>
          <w:rFonts w:ascii="Calibri" w:hAnsi="Calibri"/>
          <w:spacing w:val="0"/>
        </w:rPr>
        <w:t> IU/mL for HBeAg positive patients and &gt; 2x10</w:t>
      </w:r>
      <w:r w:rsidRPr="00747247">
        <w:rPr>
          <w:rFonts w:ascii="Calibri" w:hAnsi="Calibri"/>
          <w:spacing w:val="0"/>
          <w:vertAlign w:val="superscript"/>
        </w:rPr>
        <w:t>3</w:t>
      </w:r>
      <w:r w:rsidRPr="00747247">
        <w:rPr>
          <w:rFonts w:ascii="Calibri" w:hAnsi="Calibri"/>
          <w:spacing w:val="0"/>
        </w:rPr>
        <w:t xml:space="preserve"> IU/mL for HBeAg negative patients), persistently elevated alanine aminotransferase levels or evidence of liver inflammation </w:t>
      </w:r>
      <w:r w:rsidRPr="009672B5">
        <w:rPr>
          <w:rFonts w:ascii="Calibri" w:hAnsi="Calibri"/>
          <w:spacing w:val="0"/>
        </w:rPr>
        <w:fldChar w:fldCharType="begin"/>
      </w:r>
      <w:r w:rsidRPr="00747247">
        <w:rPr>
          <w:rFonts w:ascii="Calibri" w:hAnsi="Calibri"/>
          <w:spacing w:val="0"/>
        </w:rPr>
        <w:instrText xml:space="preserve"> ADDIN EN.CITE &lt;EndNote&gt;&lt;Cite&gt;&lt;Author&gt;ASHM&lt;/Author&gt;&lt;Year&gt;2014&lt;/Year&gt;&lt;RecNum&gt;236&lt;/RecNum&gt;&lt;DisplayText&gt;[34]&lt;/DisplayText&gt;&lt;record&gt;&lt;rec-number&gt;236&lt;/rec-number&gt;&lt;foreign-keys&gt;&lt;key app="EN" db-id="5d9ze055j2zd5revw2n50xpwd0fze9frtdxr"&gt;236&lt;/key&gt;&lt;/foreign-keys&gt;&lt;ref-type name="Government Document"&gt;46&lt;/ref-type&gt;&lt;contributors&gt;&lt;authors&gt;&lt;author&gt;ASHM,&lt;/author&gt;&lt;/authors&gt;&lt;/contributors&gt;&lt;titles&gt;&lt;title&gt;B Positive (2nd Edition) - all you wanted to know about hepatitis B - a guide for primary care providers&lt;/title&gt;&lt;/titles&gt;&lt;dates&gt;&lt;year&gt;2014&lt;/year&gt;&lt;/dates&gt;&lt;urls&gt;&lt;related-urls&gt;&lt;url&gt;http://www.ashm.org.au/resources/Pages/1976963310.aspx&lt;/url&gt;&lt;/related-urls&gt;&lt;/urls&gt;&lt;access-date&gt;March 2016&lt;/access-date&gt;&lt;/record&gt;&lt;/Cite&gt;&lt;/EndNote&gt;</w:instrText>
      </w:r>
      <w:r w:rsidRPr="009672B5">
        <w:rPr>
          <w:rFonts w:ascii="Calibri" w:hAnsi="Calibri"/>
          <w:spacing w:val="0"/>
        </w:rPr>
        <w:fldChar w:fldCharType="separate"/>
      </w:r>
      <w:r w:rsidRPr="00747247">
        <w:rPr>
          <w:rFonts w:ascii="Calibri" w:hAnsi="Calibri"/>
          <w:noProof/>
          <w:spacing w:val="0"/>
        </w:rPr>
        <w:t>[</w:t>
      </w:r>
      <w:hyperlink w:anchor="_ENREF_34" w:tooltip="ASHM, 2014 #236" w:history="1">
        <w:r w:rsidRPr="00747247">
          <w:rPr>
            <w:rFonts w:ascii="Calibri" w:hAnsi="Calibri"/>
            <w:noProof/>
            <w:spacing w:val="0"/>
          </w:rPr>
          <w:t>34</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 HCWs with HBV may</w:t>
      </w:r>
      <w:r w:rsidRPr="00DF1E0C">
        <w:rPr>
          <w:rFonts w:ascii="Calibri" w:hAnsi="Calibri"/>
          <w:spacing w:val="0"/>
        </w:rPr>
        <w:t xml:space="preserve"> embark</w:t>
      </w:r>
      <w:r>
        <w:rPr>
          <w:rFonts w:ascii="Calibri" w:hAnsi="Calibri"/>
          <w:spacing w:val="0"/>
        </w:rPr>
        <w:t xml:space="preserve"> upon long</w:t>
      </w:r>
      <w:r>
        <w:rPr>
          <w:rFonts w:ascii="Calibri" w:hAnsi="Calibri"/>
          <w:spacing w:val="0"/>
        </w:rPr>
        <w:noBreakHyphen/>
      </w:r>
      <w:r w:rsidRPr="00DF1E0C">
        <w:rPr>
          <w:rFonts w:ascii="Calibri" w:hAnsi="Calibri"/>
          <w:spacing w:val="0"/>
        </w:rPr>
        <w:t xml:space="preserve">term antiviral treatment in an attempt to comply with these </w:t>
      </w:r>
      <w:r>
        <w:rPr>
          <w:rFonts w:ascii="Calibri" w:hAnsi="Calibri"/>
          <w:spacing w:val="0"/>
        </w:rPr>
        <w:t>Guidelines</w:t>
      </w:r>
      <w:r w:rsidRPr="00DF1E0C">
        <w:rPr>
          <w:rFonts w:ascii="Calibri" w:hAnsi="Calibri"/>
          <w:spacing w:val="0"/>
        </w:rPr>
        <w:t xml:space="preserve"> to perform EPPs, rather than for their personal health. The cost of treatment would need to be considered if the criteria for PBS subsidised treatment are not met. This decision should be made by the individual HCW, in collaboration with their treating physician, weighing up the advantages and possible disadvantages to their health from such treatment.</w:t>
      </w:r>
    </w:p>
    <w:p w14:paraId="4F431B86" w14:textId="77777777" w:rsidR="002F1BC7" w:rsidRPr="00DF1E0C" w:rsidRDefault="002F1BC7" w:rsidP="002F1BC7">
      <w:pPr>
        <w:pStyle w:val="Heading3"/>
        <w:rPr>
          <w:rFonts w:ascii="Calibri" w:hAnsi="Calibri"/>
          <w:color w:val="009900"/>
          <w:szCs w:val="22"/>
        </w:rPr>
      </w:pPr>
      <w:r w:rsidRPr="00DF1E0C">
        <w:rPr>
          <w:rFonts w:ascii="Calibri" w:hAnsi="Calibri"/>
          <w:color w:val="009900"/>
          <w:szCs w:val="22"/>
        </w:rPr>
        <w:t>6.4.2</w:t>
      </w:r>
      <w:r w:rsidRPr="00DF1E0C">
        <w:rPr>
          <w:rFonts w:ascii="Calibri" w:hAnsi="Calibri"/>
          <w:color w:val="009900"/>
          <w:szCs w:val="22"/>
        </w:rPr>
        <w:tab/>
        <w:t>Discontinuation of therapy</w:t>
      </w:r>
    </w:p>
    <w:p w14:paraId="5C83B101" w14:textId="77777777" w:rsidR="002F1BC7" w:rsidRPr="00747247" w:rsidRDefault="002F1BC7" w:rsidP="002F1BC7">
      <w:pPr>
        <w:pStyle w:val="BodyText"/>
        <w:widowControl/>
        <w:spacing w:before="60" w:after="60"/>
        <w:rPr>
          <w:rFonts w:ascii="Calibri" w:hAnsi="Calibri"/>
          <w:spacing w:val="0"/>
        </w:rPr>
      </w:pPr>
      <w:r w:rsidRPr="00747247">
        <w:rPr>
          <w:rFonts w:ascii="Calibri" w:hAnsi="Calibri"/>
          <w:spacing w:val="0"/>
        </w:rPr>
        <w:t xml:space="preserve">If a HCW stops antiviral treatment for any reason, they must immediately cease to perform EPPs and seek the advice of their treating doctor. </w:t>
      </w:r>
    </w:p>
    <w:p w14:paraId="432A5E96" w14:textId="77777777" w:rsidR="002F1BC7" w:rsidRPr="00747247" w:rsidRDefault="002F1BC7" w:rsidP="002F1BC7">
      <w:pPr>
        <w:pStyle w:val="BodyText"/>
        <w:widowControl/>
        <w:spacing w:before="60" w:after="60"/>
        <w:rPr>
          <w:rFonts w:ascii="Calibri" w:hAnsi="Calibri"/>
          <w:spacing w:val="0"/>
        </w:rPr>
      </w:pPr>
      <w:r w:rsidRPr="00747247">
        <w:rPr>
          <w:rFonts w:ascii="Calibri" w:hAnsi="Calibri"/>
          <w:spacing w:val="0"/>
        </w:rPr>
        <w:t>If after cessation of treatment the HCW with HBV remains HBsAg positive but with HBV DNA levels below 200 IU/mL (as for other HCWs with HBV not on treatment), the HCW may be permitted to practise EPPs provided there is regular three monthly viral load testing overseen by an appropriate specialist and the HBV DNA viral load remains below 200 IU/mL.</w:t>
      </w:r>
    </w:p>
    <w:p w14:paraId="4B7B778F" w14:textId="77777777" w:rsidR="002F1BC7" w:rsidRPr="00747247" w:rsidRDefault="002F1BC7" w:rsidP="002F1BC7">
      <w:pPr>
        <w:pStyle w:val="BodyText"/>
        <w:widowControl/>
        <w:spacing w:before="60" w:after="60"/>
        <w:rPr>
          <w:rFonts w:ascii="Calibri" w:hAnsi="Calibri"/>
          <w:spacing w:val="0"/>
        </w:rPr>
      </w:pPr>
      <w:r w:rsidRPr="00747247">
        <w:rPr>
          <w:rFonts w:ascii="Calibri" w:hAnsi="Calibri"/>
          <w:spacing w:val="0"/>
        </w:rPr>
        <w:t xml:space="preserve">If, following treatment, the HCW with HBV is HBV DNA negative and HBsAg negative on two consecutive occasions at least three months apart, then the HCW can practise EPPs but must have HBV DNA and HBsAg testing three, six and 12 months after the cessation of treatment and annually thereafter. The loss of HBsAg is considered to be a complete response to HBV therapy, with reliable resolution of infection. </w:t>
      </w:r>
    </w:p>
    <w:p w14:paraId="5AA68556" w14:textId="77777777" w:rsidR="002F1BC7" w:rsidRPr="00747247" w:rsidRDefault="002F1BC7" w:rsidP="002F1BC7">
      <w:pPr>
        <w:pStyle w:val="Heading3"/>
        <w:rPr>
          <w:rFonts w:ascii="Calibri" w:hAnsi="Calibri"/>
          <w:color w:val="009900"/>
          <w:szCs w:val="22"/>
        </w:rPr>
      </w:pPr>
      <w:r w:rsidRPr="00747247">
        <w:rPr>
          <w:rFonts w:ascii="Calibri" w:hAnsi="Calibri"/>
          <w:color w:val="009900"/>
          <w:szCs w:val="22"/>
        </w:rPr>
        <w:t>6.4.3</w:t>
      </w:r>
      <w:r w:rsidRPr="00747247">
        <w:rPr>
          <w:rFonts w:ascii="Calibri" w:hAnsi="Calibri"/>
          <w:color w:val="009900"/>
          <w:szCs w:val="22"/>
        </w:rPr>
        <w:tab/>
        <w:t>Management of treatment failure or suboptimal treatment response</w:t>
      </w:r>
    </w:p>
    <w:p w14:paraId="41560CA8" w14:textId="77777777" w:rsidR="002F1BC7" w:rsidRPr="00747247" w:rsidRDefault="002F1BC7" w:rsidP="002F1BC7">
      <w:pPr>
        <w:pStyle w:val="BodyText"/>
        <w:widowControl/>
        <w:rPr>
          <w:rFonts w:ascii="Calibri" w:hAnsi="Calibri"/>
          <w:spacing w:val="0"/>
        </w:rPr>
      </w:pPr>
      <w:r w:rsidRPr="00747247">
        <w:rPr>
          <w:rFonts w:ascii="Calibri" w:hAnsi="Calibri"/>
          <w:spacing w:val="0"/>
        </w:rPr>
        <w:t>If there is any suggestion that the HCW’s infection is no longer controlled by their antiviral treatment, the clinician overseeing their care may consider it appropriate that viral load tests are performed sooner than the next scheduled test.</w:t>
      </w:r>
    </w:p>
    <w:p w14:paraId="1D306FC3" w14:textId="77777777" w:rsidR="002F1BC7" w:rsidRPr="00747247" w:rsidRDefault="002F1BC7" w:rsidP="002F1BC7">
      <w:pPr>
        <w:pStyle w:val="Heading2"/>
        <w:rPr>
          <w:rFonts w:ascii="Calibri" w:hAnsi="Calibri"/>
          <w:color w:val="009900"/>
          <w:sz w:val="32"/>
        </w:rPr>
      </w:pPr>
      <w:r w:rsidRPr="00747247">
        <w:rPr>
          <w:rFonts w:ascii="Calibri" w:hAnsi="Calibri"/>
          <w:color w:val="009900"/>
          <w:sz w:val="32"/>
        </w:rPr>
        <w:lastRenderedPageBreak/>
        <w:t>6.5</w:t>
      </w:r>
      <w:r w:rsidRPr="00747247">
        <w:rPr>
          <w:rFonts w:ascii="Calibri" w:hAnsi="Calibri"/>
          <w:color w:val="009900"/>
          <w:sz w:val="32"/>
        </w:rPr>
        <w:tab/>
        <w:t xml:space="preserve">HCWs with HBV </w:t>
      </w:r>
      <w:r w:rsidRPr="009672B5">
        <w:rPr>
          <w:rFonts w:ascii="Calibri" w:hAnsi="Calibri"/>
          <w:color w:val="009900"/>
          <w:sz w:val="32"/>
          <w:u w:val="single"/>
        </w:rPr>
        <w:t>not</w:t>
      </w:r>
      <w:r w:rsidRPr="00747247">
        <w:rPr>
          <w:rFonts w:ascii="Calibri" w:hAnsi="Calibri"/>
          <w:color w:val="009900"/>
          <w:sz w:val="32"/>
        </w:rPr>
        <w:t xml:space="preserve"> performing EPPs</w:t>
      </w:r>
    </w:p>
    <w:p w14:paraId="663C4070" w14:textId="77777777" w:rsidR="002F1BC7" w:rsidRDefault="002F1BC7" w:rsidP="002F1BC7">
      <w:pPr>
        <w:pStyle w:val="BodyText"/>
        <w:widowControl/>
        <w:rPr>
          <w:rFonts w:ascii="Calibri" w:hAnsi="Calibri"/>
          <w:spacing w:val="0"/>
        </w:rPr>
      </w:pPr>
      <w:r w:rsidRPr="00747247">
        <w:rPr>
          <w:rFonts w:ascii="Calibri" w:hAnsi="Calibri"/>
          <w:spacing w:val="0"/>
        </w:rPr>
        <w:t>HCWs with HBV and who do not perform EPPs may</w:t>
      </w:r>
      <w:r w:rsidRPr="00DF1E0C">
        <w:rPr>
          <w:rFonts w:ascii="Calibri" w:hAnsi="Calibri"/>
          <w:spacing w:val="0"/>
        </w:rPr>
        <w:t xml:space="preserve"> continue to provide clinical care to patients.  It is in the best interest of the HCWs own health to remain under regular medical </w:t>
      </w:r>
      <w:r>
        <w:rPr>
          <w:rFonts w:ascii="Calibri" w:hAnsi="Calibri"/>
          <w:spacing w:val="0"/>
        </w:rPr>
        <w:t>care</w:t>
      </w:r>
      <w:r w:rsidRPr="00DF1E0C">
        <w:rPr>
          <w:rFonts w:ascii="Calibri" w:hAnsi="Calibri"/>
          <w:spacing w:val="0"/>
        </w:rPr>
        <w:t>.</w:t>
      </w:r>
    </w:p>
    <w:p w14:paraId="3080F629" w14:textId="77777777" w:rsidR="002F1BC7" w:rsidRPr="00FA356C" w:rsidRDefault="002F1BC7" w:rsidP="002F1BC7">
      <w:pPr>
        <w:rPr>
          <w:rFonts w:eastAsia="Arial"/>
          <w:szCs w:val="20"/>
          <w:lang w:val="en-AU"/>
        </w:rPr>
      </w:pPr>
      <w:r>
        <w:rPr>
          <w:lang w:val="en-AU"/>
        </w:rPr>
        <w:br w:type="page"/>
      </w:r>
    </w:p>
    <w:p w14:paraId="5E7044D4" w14:textId="77777777" w:rsidR="002F1BC7" w:rsidRPr="00DF1E0C" w:rsidRDefault="002F1BC7" w:rsidP="002F1BC7">
      <w:pPr>
        <w:pStyle w:val="Heading1"/>
        <w:shd w:val="clear" w:color="auto" w:fill="0000FF"/>
        <w:spacing w:after="240"/>
        <w:rPr>
          <w:rFonts w:ascii="Calibri" w:hAnsi="Calibri"/>
          <w:color w:val="FFFFFF"/>
          <w:sz w:val="40"/>
        </w:rPr>
      </w:pPr>
      <w:bookmarkStart w:id="38" w:name="_Ref455738554"/>
      <w:bookmarkStart w:id="39" w:name="_Ref455738617"/>
      <w:bookmarkStart w:id="40" w:name="_Toc480558265"/>
      <w:r w:rsidRPr="00DF1E0C">
        <w:rPr>
          <w:rFonts w:ascii="Calibri" w:hAnsi="Calibri"/>
          <w:color w:val="FFFFFF"/>
          <w:sz w:val="40"/>
        </w:rPr>
        <w:lastRenderedPageBreak/>
        <w:t>7. HCWs and HCV</w:t>
      </w:r>
      <w:bookmarkEnd w:id="38"/>
      <w:bookmarkEnd w:id="39"/>
      <w:bookmarkEnd w:id="40"/>
    </w:p>
    <w:p w14:paraId="140D733A"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This Section must be read in conjunction with the remainder of these </w:t>
      </w:r>
      <w:r>
        <w:rPr>
          <w:rFonts w:ascii="Calibri" w:hAnsi="Calibri"/>
          <w:spacing w:val="0"/>
        </w:rPr>
        <w:t>Guidelines</w:t>
      </w:r>
      <w:r w:rsidRPr="00DF1E0C">
        <w:rPr>
          <w:rFonts w:ascii="Calibri" w:hAnsi="Calibri"/>
          <w:spacing w:val="0"/>
        </w:rPr>
        <w:t xml:space="preserve">, in particular Section </w:t>
      </w:r>
      <w:r w:rsidRPr="00DF1E0C">
        <w:rPr>
          <w:rFonts w:ascii="Calibri" w:hAnsi="Calibri"/>
          <w:spacing w:val="0"/>
        </w:rPr>
        <w:fldChar w:fldCharType="begin"/>
      </w:r>
      <w:r w:rsidRPr="00DF1E0C">
        <w:rPr>
          <w:rFonts w:ascii="Calibri" w:hAnsi="Calibri"/>
          <w:spacing w:val="0"/>
        </w:rPr>
        <w:instrText xml:space="preserve"> REF _Ref455736703 \h  \* MERGEFORMAT </w:instrText>
      </w:r>
      <w:r w:rsidRPr="00DF1E0C">
        <w:rPr>
          <w:rFonts w:ascii="Calibri" w:hAnsi="Calibri"/>
          <w:spacing w:val="0"/>
        </w:rPr>
      </w:r>
      <w:r w:rsidRPr="00DF1E0C">
        <w:rPr>
          <w:rFonts w:ascii="Calibri" w:hAnsi="Calibri"/>
          <w:spacing w:val="0"/>
        </w:rPr>
        <w:fldChar w:fldCharType="separate"/>
      </w:r>
      <w:r w:rsidRPr="00013F35">
        <w:rPr>
          <w:rFonts w:ascii="Calibri" w:hAnsi="Calibri"/>
          <w:spacing w:val="0"/>
        </w:rPr>
        <w:t>5. Recommendations for the management of HCWs living with a BBV</w:t>
      </w:r>
      <w:r w:rsidRPr="00DF1E0C">
        <w:rPr>
          <w:rFonts w:ascii="Calibri" w:hAnsi="Calibri"/>
          <w:spacing w:val="0"/>
        </w:rPr>
        <w:fldChar w:fldCharType="end"/>
      </w:r>
      <w:r w:rsidRPr="00DF1E0C">
        <w:rPr>
          <w:rFonts w:ascii="Calibri" w:hAnsi="Calibri"/>
          <w:spacing w:val="0"/>
        </w:rPr>
        <w:t>.</w:t>
      </w:r>
    </w:p>
    <w:p w14:paraId="630A355C" w14:textId="77777777" w:rsidR="002F1BC7" w:rsidRPr="00DF1E0C" w:rsidRDefault="002F1BC7" w:rsidP="002F1BC7">
      <w:pPr>
        <w:pStyle w:val="Heading2"/>
        <w:rPr>
          <w:rFonts w:ascii="Calibri" w:hAnsi="Calibri"/>
          <w:color w:val="0000FF"/>
          <w:sz w:val="32"/>
        </w:rPr>
      </w:pPr>
      <w:r w:rsidRPr="00DF1E0C">
        <w:rPr>
          <w:rFonts w:ascii="Calibri" w:hAnsi="Calibri"/>
          <w:color w:val="0000FF"/>
          <w:sz w:val="32"/>
        </w:rPr>
        <w:t>7.1 Evidence of HCV transmission risk</w:t>
      </w:r>
    </w:p>
    <w:p w14:paraId="19ADFA98" w14:textId="77777777" w:rsidR="002F1BC7" w:rsidRPr="00DF1E0C" w:rsidRDefault="002F1BC7" w:rsidP="002F1BC7">
      <w:pPr>
        <w:pStyle w:val="BodyText"/>
        <w:widowControl/>
        <w:rPr>
          <w:rFonts w:ascii="Calibri" w:hAnsi="Calibri"/>
          <w:i/>
          <w:spacing w:val="0"/>
        </w:rPr>
      </w:pPr>
      <w:r w:rsidRPr="00DF1E0C">
        <w:rPr>
          <w:rFonts w:ascii="Calibri" w:hAnsi="Calibri"/>
          <w:i/>
          <w:spacing w:val="0"/>
        </w:rPr>
        <w:t>Transmission risk from an infected patient to a HCW</w:t>
      </w:r>
    </w:p>
    <w:p w14:paraId="42734979"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Although HCV is present in various biological fluids of an infected person, HCV transmission is predominantly via blood or other fluids contaminated with blood </w:t>
      </w:r>
      <w:r w:rsidRPr="00DF1E0C">
        <w:rPr>
          <w:rFonts w:ascii="Calibri" w:hAnsi="Calibri"/>
          <w:spacing w:val="0"/>
        </w:rPr>
        <w:fldChar w:fldCharType="begin"/>
      </w:r>
      <w:r w:rsidRPr="00DF1E0C">
        <w:rPr>
          <w:rFonts w:ascii="Calibri" w:hAnsi="Calibri"/>
          <w:spacing w:val="0"/>
        </w:rPr>
        <w:instrText xml:space="preserve"> ADDIN EN.CITE &lt;EndNote&gt;&lt;Cite&gt;&lt;Author&gt;Pozzetto&lt;/Author&gt;&lt;Year&gt;2014&lt;/Year&gt;&lt;RecNum&gt;75&lt;/RecNum&gt;&lt;DisplayText&gt;[35]&lt;/DisplayText&gt;&lt;record&gt;&lt;rec-number&gt;75&lt;/rec-number&gt;&lt;foreign-keys&gt;&lt;key app="EN" db-id="5d9ze055j2zd5revw2n50xpwd0fze9frtdxr"&gt;75&lt;/key&gt;&lt;/foreign-keys&gt;&lt;ref-type name="Journal Article"&gt;17&lt;/ref-type&gt;&lt;contributors&gt;&lt;authors&gt;&lt;author&gt;Pozzetto, Bruno&lt;/author&gt;&lt;author&gt;Memmi, Meriam&lt;/author&gt;&lt;author&gt;Garraud, Olivier&lt;/author&gt;&lt;author&gt;Roblin, Xavier&lt;/author&gt;&lt;author&gt;Berthelot, Philippe&lt;/author&gt;&lt;/authors&gt;&lt;/contributors&gt;&lt;titles&gt;&lt;title&gt;Health care-associated hepatitis C virus infection&lt;/title&gt;&lt;secondary-title&gt;World journal of gastroenterology: WJG&lt;/secondary-title&gt;&lt;/titles&gt;&lt;periodical&gt;&lt;full-title&gt;World journal of gastroenterology: WJG&lt;/full-title&gt;&lt;/periodical&gt;&lt;pages&gt;17265&lt;/pages&gt;&lt;volume&gt;20&lt;/volume&gt;&lt;number&gt;46&lt;/number&gt;&lt;dates&gt;&lt;year&gt;2014&lt;/year&gt;&lt;/dates&gt;&lt;urls&gt;&lt;/urls&gt;&lt;/record&gt;&lt;/Cite&gt;&lt;/EndNote&gt;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35" w:tooltip="Pozzetto, 2014 #75" w:history="1">
        <w:r w:rsidRPr="00DF1E0C">
          <w:rPr>
            <w:rFonts w:ascii="Calibri" w:hAnsi="Calibri"/>
            <w:noProof/>
            <w:spacing w:val="0"/>
          </w:rPr>
          <w:t>35</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Occupational transmission of HCV is well documented, with the risk of developing serological evidence of HCV after exposure to a known infected source ranging from 0%-7% </w:t>
      </w:r>
      <w:r w:rsidRPr="00DF1E0C">
        <w:rPr>
          <w:rFonts w:ascii="Calibri" w:hAnsi="Calibri"/>
          <w:spacing w:val="0"/>
        </w:rPr>
        <w:fldChar w:fldCharType="begin">
          <w:fldData xml:space="preserve">PEVuZE5vdGU+PENpdGU+PEF1dGhvcj5TdHJhc3NlcjwvQXV0aG9yPjxZZWFyPjIwMTM8L1llYXI+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</w:fldData>
        </w:fldChar>
      </w:r>
      <w:r w:rsidRPr="00DF1E0C">
        <w:rPr>
          <w:rFonts w:ascii="Calibri" w:hAnsi="Calibri"/>
          <w:spacing w:val="0"/>
        </w:rPr>
        <w:instrText xml:space="preserve"> ADDIN EN.CITE </w:instrText>
      </w:r>
      <w:r w:rsidRPr="00DF1E0C">
        <w:rPr>
          <w:rFonts w:ascii="Calibri" w:hAnsi="Calibri"/>
          <w:spacing w:val="0"/>
        </w:rPr>
        <w:fldChar w:fldCharType="begin">
          <w:fldData xml:space="preserve">PEVuZE5vdGU+PENpdGU+PEF1dGhvcj5TdHJhc3NlcjwvQXV0aG9yPjxZZWFyPjIwMTM8L1llYXI+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</w:fldData>
        </w:fldChar>
      </w:r>
      <w:r w:rsidRPr="00DF1E0C">
        <w:rPr>
          <w:rFonts w:ascii="Calibri" w:hAnsi="Calibri"/>
          <w:spacing w:val="0"/>
        </w:rPr>
        <w:instrText xml:space="preserve"> ADDIN EN.CITE.DATA </w:instrText>
      </w:r>
      <w:r w:rsidRPr="00DF1E0C">
        <w:rPr>
          <w:rFonts w:ascii="Calibri" w:hAnsi="Calibri"/>
          <w:spacing w:val="0"/>
        </w:rPr>
      </w:r>
      <w:r w:rsidRPr="00DF1E0C">
        <w:rPr>
          <w:rFonts w:ascii="Calibri" w:hAnsi="Calibri"/>
          <w:spacing w:val="0"/>
        </w:rPr>
        <w:fldChar w:fldCharType="end"/>
      </w:r>
      <w:r w:rsidRPr="00DF1E0C">
        <w:rPr>
          <w:rFonts w:ascii="Calibri" w:hAnsi="Calibri"/>
          <w:spacing w:val="0"/>
        </w:rPr>
      </w:r>
      <w:r w:rsidRPr="00DF1E0C">
        <w:rPr>
          <w:rFonts w:ascii="Calibri" w:hAnsi="Calibri"/>
          <w:spacing w:val="0"/>
        </w:rPr>
        <w:fldChar w:fldCharType="separate"/>
      </w:r>
      <w:r w:rsidRPr="00DF1E0C">
        <w:rPr>
          <w:rFonts w:ascii="Calibri" w:hAnsi="Calibri"/>
          <w:noProof/>
          <w:spacing w:val="0"/>
        </w:rPr>
        <w:t>[</w:t>
      </w:r>
      <w:hyperlink w:anchor="_ENREF_35" w:tooltip="Pozzetto, 2014 #75" w:history="1">
        <w:r w:rsidRPr="00DF1E0C">
          <w:rPr>
            <w:rFonts w:ascii="Calibri" w:hAnsi="Calibri"/>
            <w:noProof/>
            <w:spacing w:val="0"/>
          </w:rPr>
          <w:t>35-40</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The United States Centers for Disease Control and Prevention (CDC) calculates the risk of HCV infection after a NSI or sharps exposure to HCV RNA positive blood at approximately 1.8% </w:t>
      </w:r>
      <w:r w:rsidRPr="00DF1E0C">
        <w:rPr>
          <w:rFonts w:ascii="Calibri" w:hAnsi="Calibri"/>
          <w:spacing w:val="0"/>
        </w:rPr>
        <w:fldChar w:fldCharType="begin"/>
      </w:r>
      <w:r w:rsidRPr="00DF1E0C">
        <w:rPr>
          <w:rFonts w:ascii="Calibri" w:hAnsi="Calibri"/>
          <w:spacing w:val="0"/>
        </w:rPr>
        <w:instrText xml:space="preserve"> ADDIN EN.CITE &lt;EndNote&gt;&lt;Cite&gt;&lt;Author&gt;US Public Health Service&lt;/Author&gt;&lt;Year&gt;2001&lt;/Year&gt;&lt;RecNum&gt;47&lt;/RecNum&gt;&lt;DisplayText&gt;[39]&lt;/DisplayText&gt;&lt;record&gt;&lt;rec-number&gt;47&lt;/rec-number&gt;&lt;foreign-keys&gt;&lt;key app="EN" db-id="5d9ze055j2zd5revw2n50xpwd0fze9frtdxr"&gt;47&lt;/key&gt;&lt;/foreign-keys&gt;&lt;ref-type name="Journal Article"&gt;17&lt;/ref-type&gt;&lt;contributors&gt;&lt;authors&gt;&lt;author&gt;US Public Health Service,&lt;/author&gt;&lt;/authors&gt;&lt;/contributors&gt;&lt;titles&gt;&lt;title&gt;Updated US Public Health Service guidelines for the management of occupational exposures to HBV, HCV, and HIV and recommendations for postexposure prophylaxis&lt;/title&gt;&lt;secondary-title&gt;MMWR Recomm Rep&lt;/secondary-title&gt;&lt;/titles&gt;&lt;periodical&gt;&lt;full-title&gt;MMWR Recomm Rep&lt;/full-title&gt;&lt;/periodical&gt;&lt;pages&gt;16&lt;/pages&gt;&lt;volume&gt;50&lt;/volume&gt;&lt;number&gt;1&lt;/number&gt;&lt;dates&gt;&lt;year&gt;2001&lt;/year&gt;&lt;/dates&gt;&lt;urls&gt;&lt;/urls&gt;&lt;/record&gt;&lt;/Cite&gt;&lt;/EndNote&gt;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39" w:tooltip="US Public Health Service, 2001 #47" w:history="1">
        <w:r w:rsidRPr="00DF1E0C">
          <w:rPr>
            <w:rFonts w:ascii="Calibri" w:hAnsi="Calibri"/>
            <w:noProof/>
            <w:spacing w:val="0"/>
          </w:rPr>
          <w:t>39</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xml:space="preserve">. </w:t>
      </w:r>
    </w:p>
    <w:p w14:paraId="5BD67FE5" w14:textId="77777777" w:rsidR="002F1BC7" w:rsidRPr="00DF1E0C" w:rsidRDefault="002F1BC7" w:rsidP="002F1BC7">
      <w:pPr>
        <w:pStyle w:val="BodyText"/>
        <w:widowControl/>
        <w:rPr>
          <w:rFonts w:ascii="Calibri" w:hAnsi="Calibri"/>
          <w:i/>
          <w:spacing w:val="0"/>
        </w:rPr>
      </w:pPr>
      <w:r w:rsidRPr="00DF1E0C">
        <w:rPr>
          <w:rFonts w:ascii="Calibri" w:hAnsi="Calibri"/>
          <w:i/>
          <w:spacing w:val="0"/>
        </w:rPr>
        <w:t xml:space="preserve">Transmission risk from an </w:t>
      </w:r>
      <w:r w:rsidRPr="00AB2821">
        <w:rPr>
          <w:rFonts w:ascii="Calibri" w:hAnsi="Calibri"/>
          <w:i/>
          <w:spacing w:val="0"/>
        </w:rPr>
        <w:t>infected HCW</w:t>
      </w:r>
      <w:r w:rsidRPr="00DF1E0C">
        <w:rPr>
          <w:rFonts w:ascii="Calibri" w:hAnsi="Calibri"/>
          <w:i/>
          <w:spacing w:val="0"/>
        </w:rPr>
        <w:t xml:space="preserve"> to a patient</w:t>
      </w:r>
    </w:p>
    <w:p w14:paraId="4EF56555" w14:textId="77777777" w:rsidR="002F1BC7" w:rsidRPr="00747247" w:rsidRDefault="002F1BC7" w:rsidP="002F1BC7">
      <w:pPr>
        <w:pStyle w:val="BodyText"/>
        <w:widowControl/>
        <w:rPr>
          <w:rFonts w:ascii="Calibri" w:hAnsi="Calibri"/>
          <w:spacing w:val="0"/>
        </w:rPr>
      </w:pPr>
      <w:r w:rsidRPr="00DF1E0C">
        <w:rPr>
          <w:rFonts w:ascii="Calibri" w:hAnsi="Calibri"/>
          <w:spacing w:val="0"/>
        </w:rPr>
        <w:t xml:space="preserve">From 21 published lookback exercises </w:t>
      </w:r>
      <w:r w:rsidRPr="00747247">
        <w:rPr>
          <w:rFonts w:ascii="Calibri" w:hAnsi="Calibri"/>
          <w:spacing w:val="0"/>
        </w:rPr>
        <w:t xml:space="preserve">where HCWs with HCV transmitted their infection to over 400 patients, the risk of transmission of HCV from a HCW to a patient varied from 0.04% to 4.35% (excluding transmission from tampering with injectable anaesthetic opioids) </w:t>
      </w:r>
      <w:r w:rsidRPr="009672B5">
        <w:rPr>
          <w:rFonts w:ascii="Calibri" w:hAnsi="Calibri"/>
          <w:spacing w:val="0"/>
        </w:rPr>
        <w:fldChar w:fldCharType="begin">
          <w:fldData xml:space="preserve">PEVuZE5vdGU+PENpdGU+PEF1dGhvcj5Hb256w6FsZXotQ2FuZGVsYXM8L0F1dGhvcj48WWVhcj4y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</w:fldData>
        </w:fldChar>
      </w:r>
      <w:r w:rsidRPr="00747247">
        <w:rPr>
          <w:rFonts w:ascii="Calibri" w:hAnsi="Calibri"/>
          <w:spacing w:val="0"/>
        </w:rPr>
        <w:instrText xml:space="preserve"> ADDIN EN.CITE </w:instrText>
      </w:r>
      <w:r w:rsidRPr="009672B5">
        <w:rPr>
          <w:rFonts w:ascii="Calibri" w:hAnsi="Calibri"/>
          <w:spacing w:val="0"/>
        </w:rPr>
        <w:fldChar w:fldCharType="begin">
          <w:fldData xml:space="preserve">PEVuZE5vdGU+PENpdGU+PEF1dGhvcj5Hb256w6FsZXotQ2FuZGVsYXM8L0F1dGhvcj48WWVhcj4y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</w:fldData>
        </w:fldChar>
      </w:r>
      <w:r w:rsidRPr="00747247">
        <w:rPr>
          <w:rFonts w:ascii="Calibri" w:hAnsi="Calibri"/>
          <w:spacing w:val="0"/>
        </w:rPr>
        <w:instrText xml:space="preserve"> ADDIN EN.CITE.DATA </w:instrText>
      </w:r>
      <w:r w:rsidRPr="009672B5">
        <w:rPr>
          <w:rFonts w:ascii="Calibri" w:hAnsi="Calibri"/>
          <w:spacing w:val="0"/>
        </w:rPr>
      </w:r>
      <w:r w:rsidRPr="009672B5">
        <w:rPr>
          <w:rFonts w:ascii="Calibri" w:hAnsi="Calibri"/>
          <w:spacing w:val="0"/>
        </w:rPr>
        <w:fldChar w:fldCharType="end"/>
      </w:r>
      <w:r w:rsidRPr="009672B5">
        <w:rPr>
          <w:rFonts w:ascii="Calibri" w:hAnsi="Calibri"/>
          <w:spacing w:val="0"/>
        </w:rPr>
      </w:r>
      <w:r w:rsidRPr="009672B5">
        <w:rPr>
          <w:rFonts w:ascii="Calibri" w:hAnsi="Calibri"/>
          <w:spacing w:val="0"/>
        </w:rPr>
        <w:fldChar w:fldCharType="separate"/>
      </w:r>
      <w:r w:rsidRPr="00747247">
        <w:rPr>
          <w:rFonts w:ascii="Calibri" w:hAnsi="Calibri"/>
          <w:noProof/>
          <w:spacing w:val="0"/>
        </w:rPr>
        <w:t>[</w:t>
      </w:r>
      <w:hyperlink w:anchor="_ENREF_41" w:tooltip="González-Candelas, 2013 #213" w:history="1">
        <w:r w:rsidRPr="00747247">
          <w:rPr>
            <w:rFonts w:ascii="Calibri" w:hAnsi="Calibri"/>
            <w:noProof/>
            <w:spacing w:val="0"/>
          </w:rPr>
          <w:t>41-58</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 This suggests that transmission is highly variable and heterogeneous </w:t>
      </w:r>
      <w:r w:rsidRPr="009672B5">
        <w:rPr>
          <w:rFonts w:ascii="Calibri" w:hAnsi="Calibri"/>
          <w:spacing w:val="0"/>
        </w:rPr>
        <w:fldChar w:fldCharType="begin"/>
      </w:r>
      <w:r w:rsidRPr="00747247">
        <w:rPr>
          <w:rFonts w:ascii="Calibri" w:hAnsi="Calibri"/>
          <w:spacing w:val="0"/>
        </w:rPr>
        <w:instrText xml:space="preserve"> ADDIN EN.CITE &lt;EndNote&gt;&lt;Cite&gt;&lt;Author&gt;Pozzetto&lt;/Author&gt;&lt;Year&gt;2014&lt;/Year&gt;&lt;RecNum&gt;75&lt;/RecNum&gt;&lt;DisplayText&gt;[35]&lt;/DisplayText&gt;&lt;record&gt;&lt;rec-number&gt;75&lt;/rec-number&gt;&lt;foreign-keys&gt;&lt;key app="EN" db-id="5d9ze055j2zd5revw2n50xpwd0fze9frtdxr"&gt;75&lt;/key&gt;&lt;/foreign-keys&gt;&lt;ref-type name="Journal Article"&gt;17&lt;/ref-type&gt;&lt;contributors&gt;&lt;authors&gt;&lt;author&gt;Pozzetto, Bruno&lt;/author&gt;&lt;author&gt;Memmi, Meriam&lt;/author&gt;&lt;author&gt;Garraud, Olivier&lt;/author&gt;&lt;author&gt;Roblin, Xavier&lt;/author&gt;&lt;author&gt;Berthelot, Philippe&lt;/author&gt;&lt;/authors&gt;&lt;/contributors&gt;&lt;titles&gt;&lt;title&gt;Health care-associated hepatitis C virus infection&lt;/title&gt;&lt;secondary-title&gt;World journal of gastroenterology: WJG&lt;/secondary-title&gt;&lt;/titles&gt;&lt;periodical&gt;&lt;full-title&gt;World journal of gastroenterology: WJG&lt;/full-title&gt;&lt;/periodical&gt;&lt;pages&gt;17265&lt;/pages&gt;&lt;volume&gt;20&lt;/volume&gt;&lt;number&gt;46&lt;/number&gt;&lt;dates&gt;&lt;year&gt;2014&lt;/year&gt;&lt;/dates&gt;&lt;urls&gt;&lt;/urls&gt;&lt;/record&gt;&lt;/Cite&gt;&lt;/EndNote&gt;</w:instrText>
      </w:r>
      <w:r w:rsidRPr="009672B5">
        <w:rPr>
          <w:rFonts w:ascii="Calibri" w:hAnsi="Calibri"/>
          <w:spacing w:val="0"/>
        </w:rPr>
        <w:fldChar w:fldCharType="separate"/>
      </w:r>
      <w:r w:rsidRPr="00747247">
        <w:rPr>
          <w:rFonts w:ascii="Calibri" w:hAnsi="Calibri"/>
          <w:noProof/>
          <w:spacing w:val="0"/>
        </w:rPr>
        <w:t>[</w:t>
      </w:r>
      <w:hyperlink w:anchor="_ENREF_35" w:tooltip="Pozzetto, 2014 #75" w:history="1">
        <w:r w:rsidRPr="00747247">
          <w:rPr>
            <w:rFonts w:ascii="Calibri" w:hAnsi="Calibri"/>
            <w:noProof/>
            <w:spacing w:val="0"/>
          </w:rPr>
          <w:t>35</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 All of these studies undertook genetic sequencing of the virus in infected HCWs and infected patients. There were two distinct modes of transmission:</w:t>
      </w:r>
    </w:p>
    <w:p w14:paraId="373D525C" w14:textId="77777777" w:rsidR="002F1BC7" w:rsidRPr="00747247" w:rsidRDefault="002F1BC7" w:rsidP="002F1BC7">
      <w:pPr>
        <w:pStyle w:val="ColorfulList-Accent11"/>
        <w:widowControl/>
        <w:numPr>
          <w:ilvl w:val="0"/>
          <w:numId w:val="37"/>
        </w:numPr>
        <w:tabs>
          <w:tab w:val="left" w:pos="720"/>
        </w:tabs>
        <w:spacing w:after="60" w:line="280" w:lineRule="atLeast"/>
        <w:ind w:left="357" w:hanging="357"/>
        <w:rPr>
          <w:rFonts w:cs="Arial"/>
          <w:sz w:val="24"/>
        </w:rPr>
      </w:pPr>
      <w:r w:rsidRPr="00747247">
        <w:rPr>
          <w:rFonts w:cs="Arial"/>
          <w:sz w:val="24"/>
        </w:rPr>
        <w:t xml:space="preserve">HCV transmission occurred from surgeons performing EPPs with the majority of reports involving cardiothoracic specialists and gynaecologists-obstetricians </w:t>
      </w:r>
      <w:r w:rsidRPr="009672B5">
        <w:rPr>
          <w:rFonts w:cs="Arial"/>
          <w:sz w:val="24"/>
        </w:rPr>
        <w:fldChar w:fldCharType="begin">
          <w:fldData xml:space="preserve">PEVuZE5vdGU+PENpdGU+PEF1dGhvcj5Fc3RlYmFuPC9BdXRob3I+PFllYXI+MTk5NjwvWWVhcj48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</w:fldData>
        </w:fldChar>
      </w:r>
      <w:r w:rsidRPr="00747247">
        <w:rPr>
          <w:rFonts w:cs="Arial"/>
          <w:sz w:val="24"/>
        </w:rPr>
        <w:instrText xml:space="preserve"> ADDIN EN.CITE </w:instrText>
      </w:r>
      <w:r w:rsidRPr="009672B5">
        <w:rPr>
          <w:rFonts w:cs="Arial"/>
          <w:sz w:val="24"/>
        </w:rPr>
        <w:fldChar w:fldCharType="begin">
          <w:fldData xml:space="preserve">PEVuZE5vdGU+PENpdGU+PEF1dGhvcj5Fc3RlYmFuPC9BdXRob3I+PFllYXI+MTk5NjwvWWVhcj48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</w:fldData>
        </w:fldChar>
      </w:r>
      <w:r w:rsidRPr="00747247">
        <w:rPr>
          <w:rFonts w:cs="Arial"/>
          <w:sz w:val="24"/>
        </w:rPr>
        <w:instrText xml:space="preserve"> ADDIN EN.CITE.DATA </w:instrText>
      </w:r>
      <w:r w:rsidRPr="009672B5">
        <w:rPr>
          <w:rFonts w:cs="Arial"/>
          <w:sz w:val="24"/>
        </w:rPr>
      </w:r>
      <w:r w:rsidRPr="009672B5">
        <w:rPr>
          <w:rFonts w:cs="Arial"/>
          <w:sz w:val="24"/>
        </w:rPr>
        <w:fldChar w:fldCharType="end"/>
      </w:r>
      <w:r w:rsidRPr="009672B5">
        <w:rPr>
          <w:rFonts w:cs="Arial"/>
          <w:sz w:val="24"/>
        </w:rPr>
      </w:r>
      <w:r w:rsidRPr="009672B5">
        <w:rPr>
          <w:rFonts w:cs="Arial"/>
          <w:sz w:val="24"/>
        </w:rPr>
        <w:fldChar w:fldCharType="separate"/>
      </w:r>
      <w:r w:rsidRPr="00747247">
        <w:rPr>
          <w:rFonts w:cs="Arial"/>
          <w:noProof/>
          <w:sz w:val="24"/>
        </w:rPr>
        <w:t>[</w:t>
      </w:r>
      <w:hyperlink w:anchor="_ENREF_44" w:tooltip="Duckworth, 1999 #23" w:history="1">
        <w:r w:rsidRPr="00747247">
          <w:rPr>
            <w:rFonts w:cs="Arial"/>
            <w:noProof/>
            <w:sz w:val="24"/>
          </w:rPr>
          <w:t>44</w:t>
        </w:r>
      </w:hyperlink>
      <w:r w:rsidRPr="00747247">
        <w:rPr>
          <w:rFonts w:cs="Arial"/>
          <w:noProof/>
          <w:sz w:val="24"/>
        </w:rPr>
        <w:t xml:space="preserve">, </w:t>
      </w:r>
      <w:hyperlink w:anchor="_ENREF_45" w:tooltip="Ross, 2002 #146" w:history="1">
        <w:r w:rsidRPr="00747247">
          <w:rPr>
            <w:rFonts w:cs="Arial"/>
            <w:noProof/>
            <w:sz w:val="24"/>
          </w:rPr>
          <w:t>45</w:t>
        </w:r>
      </w:hyperlink>
      <w:r w:rsidRPr="00747247">
        <w:rPr>
          <w:rFonts w:cs="Arial"/>
          <w:noProof/>
          <w:sz w:val="24"/>
        </w:rPr>
        <w:t xml:space="preserve">, </w:t>
      </w:r>
      <w:hyperlink w:anchor="_ENREF_48" w:tooltip="Ross, 2002 #27" w:history="1">
        <w:r w:rsidRPr="00747247">
          <w:rPr>
            <w:rFonts w:cs="Arial"/>
            <w:noProof/>
            <w:sz w:val="24"/>
          </w:rPr>
          <w:t>48</w:t>
        </w:r>
      </w:hyperlink>
      <w:r w:rsidRPr="00747247">
        <w:rPr>
          <w:rFonts w:cs="Arial"/>
          <w:noProof/>
          <w:sz w:val="24"/>
        </w:rPr>
        <w:t xml:space="preserve">, </w:t>
      </w:r>
      <w:hyperlink w:anchor="_ENREF_54" w:tooltip="UK Health Protection Agency, 2005 #30" w:history="1">
        <w:r w:rsidRPr="00747247">
          <w:rPr>
            <w:rFonts w:cs="Arial"/>
            <w:noProof/>
            <w:sz w:val="24"/>
          </w:rPr>
          <w:t>54</w:t>
        </w:r>
      </w:hyperlink>
      <w:r w:rsidRPr="00747247">
        <w:rPr>
          <w:rFonts w:cs="Arial"/>
          <w:noProof/>
          <w:sz w:val="24"/>
        </w:rPr>
        <w:t xml:space="preserve">, </w:t>
      </w:r>
      <w:hyperlink w:anchor="_ENREF_59" w:tooltip="Esteban, 1996 #24" w:history="1">
        <w:r w:rsidRPr="00747247">
          <w:rPr>
            <w:rFonts w:cs="Arial"/>
            <w:noProof/>
            <w:sz w:val="24"/>
          </w:rPr>
          <w:t>59-66</w:t>
        </w:r>
      </w:hyperlink>
      <w:r w:rsidRPr="00747247">
        <w:rPr>
          <w:rFonts w:cs="Arial"/>
          <w:noProof/>
          <w:sz w:val="24"/>
        </w:rPr>
        <w:t>]</w:t>
      </w:r>
      <w:r w:rsidRPr="009672B5">
        <w:rPr>
          <w:rFonts w:cs="Arial"/>
          <w:sz w:val="24"/>
        </w:rPr>
        <w:fldChar w:fldCharType="end"/>
      </w:r>
      <w:r w:rsidRPr="00747247">
        <w:rPr>
          <w:rFonts w:cs="Arial"/>
          <w:sz w:val="24"/>
        </w:rPr>
        <w:t>, and</w:t>
      </w:r>
    </w:p>
    <w:p w14:paraId="468D5D27" w14:textId="77777777" w:rsidR="002F1BC7" w:rsidRPr="00747247" w:rsidRDefault="002F1BC7" w:rsidP="002F1BC7">
      <w:pPr>
        <w:pStyle w:val="ColorfulList-Accent11"/>
        <w:widowControl/>
        <w:numPr>
          <w:ilvl w:val="0"/>
          <w:numId w:val="37"/>
        </w:numPr>
        <w:tabs>
          <w:tab w:val="left" w:pos="720"/>
        </w:tabs>
        <w:spacing w:after="120" w:line="280" w:lineRule="atLeast"/>
        <w:ind w:left="357" w:hanging="357"/>
        <w:contextualSpacing/>
        <w:rPr>
          <w:rFonts w:cs="Arial"/>
          <w:sz w:val="24"/>
        </w:rPr>
      </w:pPr>
      <w:r w:rsidRPr="00747247">
        <w:rPr>
          <w:rFonts w:cs="Arial"/>
          <w:sz w:val="24"/>
        </w:rPr>
        <w:t xml:space="preserve">HCV transmission by anaesthetists or HCWs attending surgery wards following poor hygienic measures (including not wearing gloves). This group also included HCWs who were known to use illicit drugs and/or using patients’ medications for their own use, which led to the direct infection of a large number of patients via needle sharing </w:t>
      </w:r>
      <w:r w:rsidRPr="009672B5">
        <w:rPr>
          <w:rFonts w:cs="Arial"/>
          <w:sz w:val="24"/>
        </w:rPr>
        <w:fldChar w:fldCharType="begin">
          <w:fldData xml:space="preserve">PEVuZE5vdGU+PENpdGU+PEF1dGhvcj5TZWh1bHN0ZXI8L0F1dGhvcj48WWVhcj4xOTk3PC9ZZWFy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</w:fldData>
        </w:fldChar>
      </w:r>
      <w:r w:rsidRPr="00747247">
        <w:rPr>
          <w:rFonts w:cs="Arial"/>
          <w:sz w:val="24"/>
        </w:rPr>
        <w:instrText xml:space="preserve"> ADDIN EN.CITE </w:instrText>
      </w:r>
      <w:r w:rsidRPr="009672B5">
        <w:rPr>
          <w:rFonts w:cs="Arial"/>
          <w:sz w:val="24"/>
        </w:rPr>
        <w:fldChar w:fldCharType="begin">
          <w:fldData xml:space="preserve">PEVuZE5vdGU+PENpdGU+PEF1dGhvcj5TZWh1bHN0ZXI8L0F1dGhvcj48WWVhcj4xOTk3PC9ZZWFy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</w:fldData>
        </w:fldChar>
      </w:r>
      <w:r w:rsidRPr="00747247">
        <w:rPr>
          <w:rFonts w:cs="Arial"/>
          <w:sz w:val="24"/>
        </w:rPr>
        <w:instrText xml:space="preserve"> ADDIN EN.CITE.DATA </w:instrText>
      </w:r>
      <w:r w:rsidRPr="009672B5">
        <w:rPr>
          <w:rFonts w:cs="Arial"/>
          <w:sz w:val="24"/>
        </w:rPr>
      </w:r>
      <w:r w:rsidRPr="009672B5">
        <w:rPr>
          <w:rFonts w:cs="Arial"/>
          <w:sz w:val="24"/>
        </w:rPr>
        <w:fldChar w:fldCharType="end"/>
      </w:r>
      <w:r w:rsidRPr="009672B5">
        <w:rPr>
          <w:rFonts w:cs="Arial"/>
          <w:sz w:val="24"/>
        </w:rPr>
      </w:r>
      <w:r w:rsidRPr="009672B5">
        <w:rPr>
          <w:rFonts w:cs="Arial"/>
          <w:sz w:val="24"/>
        </w:rPr>
        <w:fldChar w:fldCharType="separate"/>
      </w:r>
      <w:r w:rsidRPr="00747247">
        <w:rPr>
          <w:rFonts w:cs="Arial"/>
          <w:noProof/>
          <w:sz w:val="24"/>
        </w:rPr>
        <w:t>[</w:t>
      </w:r>
      <w:hyperlink w:anchor="_ENREF_43" w:tooltip="Sehulster, 1997 #144" w:history="1">
        <w:r w:rsidRPr="00747247">
          <w:rPr>
            <w:rFonts w:cs="Arial"/>
            <w:noProof/>
            <w:sz w:val="24"/>
          </w:rPr>
          <w:t>43</w:t>
        </w:r>
      </w:hyperlink>
      <w:r w:rsidRPr="00747247">
        <w:rPr>
          <w:rFonts w:cs="Arial"/>
          <w:noProof/>
          <w:sz w:val="24"/>
        </w:rPr>
        <w:t xml:space="preserve">, </w:t>
      </w:r>
      <w:hyperlink w:anchor="_ENREF_46" w:tooltip="Cody, 2002 #32" w:history="1">
        <w:r w:rsidRPr="00747247">
          <w:rPr>
            <w:rFonts w:cs="Arial"/>
            <w:noProof/>
            <w:sz w:val="24"/>
          </w:rPr>
          <w:t>46</w:t>
        </w:r>
      </w:hyperlink>
      <w:r w:rsidRPr="00747247">
        <w:rPr>
          <w:rFonts w:cs="Arial"/>
          <w:noProof/>
          <w:sz w:val="24"/>
        </w:rPr>
        <w:t xml:space="preserve">, </w:t>
      </w:r>
      <w:hyperlink w:anchor="_ENREF_47" w:tooltip="Ross, 2000 #143" w:history="1">
        <w:r w:rsidRPr="00747247">
          <w:rPr>
            <w:rFonts w:cs="Arial"/>
            <w:noProof/>
            <w:sz w:val="24"/>
          </w:rPr>
          <w:t>47</w:t>
        </w:r>
      </w:hyperlink>
      <w:r w:rsidRPr="00747247">
        <w:rPr>
          <w:rFonts w:cs="Arial"/>
          <w:noProof/>
          <w:sz w:val="24"/>
        </w:rPr>
        <w:t xml:space="preserve">, </w:t>
      </w:r>
      <w:hyperlink w:anchor="_ENREF_49" w:tooltip="Stark, 2006 #140" w:history="1">
        <w:r w:rsidRPr="00747247">
          <w:rPr>
            <w:rFonts w:cs="Arial"/>
            <w:noProof/>
            <w:sz w:val="24"/>
          </w:rPr>
          <w:t>49</w:t>
        </w:r>
      </w:hyperlink>
      <w:r w:rsidRPr="00747247">
        <w:rPr>
          <w:rFonts w:cs="Arial"/>
          <w:noProof/>
          <w:sz w:val="24"/>
        </w:rPr>
        <w:t xml:space="preserve">, </w:t>
      </w:r>
      <w:hyperlink w:anchor="_ENREF_50" w:tooltip="Shemer-Avni, 2007 #139" w:history="1">
        <w:r w:rsidRPr="00747247">
          <w:rPr>
            <w:rFonts w:cs="Arial"/>
            <w:noProof/>
            <w:sz w:val="24"/>
          </w:rPr>
          <w:t>50</w:t>
        </w:r>
      </w:hyperlink>
      <w:r w:rsidRPr="00747247">
        <w:rPr>
          <w:rFonts w:cs="Arial"/>
          <w:noProof/>
          <w:sz w:val="24"/>
        </w:rPr>
        <w:t xml:space="preserve">, </w:t>
      </w:r>
      <w:hyperlink w:anchor="_ENREF_67" w:tooltip="Bosch, 1998 #142" w:history="1">
        <w:r w:rsidRPr="00747247">
          <w:rPr>
            <w:rFonts w:cs="Arial"/>
            <w:noProof/>
            <w:sz w:val="24"/>
          </w:rPr>
          <w:t>67-69</w:t>
        </w:r>
      </w:hyperlink>
      <w:r w:rsidRPr="00747247">
        <w:rPr>
          <w:rFonts w:cs="Arial"/>
          <w:noProof/>
          <w:sz w:val="24"/>
        </w:rPr>
        <w:t>]</w:t>
      </w:r>
      <w:r w:rsidRPr="009672B5">
        <w:rPr>
          <w:rFonts w:cs="Arial"/>
          <w:sz w:val="24"/>
        </w:rPr>
        <w:fldChar w:fldCharType="end"/>
      </w:r>
      <w:r w:rsidRPr="00747247">
        <w:rPr>
          <w:rFonts w:cs="Arial"/>
          <w:sz w:val="24"/>
        </w:rPr>
        <w:t>.</w:t>
      </w:r>
    </w:p>
    <w:p w14:paraId="383B70D1" w14:textId="77777777" w:rsidR="002F1BC7" w:rsidRPr="00747247" w:rsidRDefault="002F1BC7" w:rsidP="002F1BC7">
      <w:pPr>
        <w:pStyle w:val="Heading2"/>
        <w:rPr>
          <w:rFonts w:ascii="Calibri" w:hAnsi="Calibri"/>
          <w:color w:val="0000FF"/>
          <w:sz w:val="32"/>
        </w:rPr>
      </w:pPr>
      <w:r w:rsidRPr="00747247">
        <w:rPr>
          <w:rFonts w:ascii="Calibri" w:hAnsi="Calibri"/>
          <w:color w:val="0000FF"/>
          <w:sz w:val="32"/>
        </w:rPr>
        <w:t>7.2 Management of HCWs living with HCV who perform EPPs</w:t>
      </w:r>
    </w:p>
    <w:p w14:paraId="5B63DEFC" w14:textId="77777777" w:rsidR="002F1BC7" w:rsidRPr="00747247" w:rsidRDefault="002F1BC7" w:rsidP="002F1BC7">
      <w:pPr>
        <w:pStyle w:val="Heading3"/>
        <w:rPr>
          <w:rFonts w:ascii="Calibri" w:hAnsi="Calibri"/>
          <w:szCs w:val="22"/>
        </w:rPr>
      </w:pPr>
      <w:r w:rsidRPr="00747247">
        <w:rPr>
          <w:rFonts w:ascii="Calibri" w:hAnsi="Calibri"/>
          <w:szCs w:val="22"/>
        </w:rPr>
        <w:t>7.2.1</w:t>
      </w:r>
      <w:r w:rsidRPr="00747247">
        <w:rPr>
          <w:rFonts w:ascii="Calibri" w:hAnsi="Calibri"/>
          <w:szCs w:val="22"/>
        </w:rPr>
        <w:tab/>
        <w:t>HCWs with HCV must meet the following criteria before they can perform EPPs:</w:t>
      </w:r>
    </w:p>
    <w:p w14:paraId="216E5A51" w14:textId="77777777" w:rsidR="002F1BC7" w:rsidRPr="00747247" w:rsidRDefault="002F1BC7" w:rsidP="002F1BC7">
      <w:pPr>
        <w:pStyle w:val="BodyText"/>
        <w:widowControl/>
        <w:numPr>
          <w:ilvl w:val="0"/>
          <w:numId w:val="38"/>
        </w:numPr>
        <w:tabs>
          <w:tab w:val="clear" w:pos="-720"/>
        </w:tabs>
        <w:suppressAutoHyphens w:val="0"/>
        <w:spacing w:after="60" w:line="280" w:lineRule="atLeast"/>
        <w:rPr>
          <w:rFonts w:ascii="Calibri" w:hAnsi="Calibri"/>
          <w:spacing w:val="0"/>
        </w:rPr>
      </w:pPr>
      <w:r w:rsidRPr="00747247">
        <w:rPr>
          <w:rFonts w:ascii="Calibri" w:hAnsi="Calibri"/>
          <w:spacing w:val="0"/>
        </w:rPr>
        <w:t>be HCV RNA negative if untreated or achieved a sustained virological response (SVR) (measured 12 weeks after treatment completion) if treated.</w:t>
      </w:r>
    </w:p>
    <w:p w14:paraId="218B9711" w14:textId="77777777" w:rsidR="002F1BC7" w:rsidRPr="00747247" w:rsidRDefault="002F1BC7" w:rsidP="002F1BC7">
      <w:pPr>
        <w:pStyle w:val="Heading3"/>
        <w:rPr>
          <w:rFonts w:ascii="Calibri" w:hAnsi="Calibri"/>
          <w:szCs w:val="22"/>
        </w:rPr>
      </w:pPr>
      <w:r w:rsidRPr="00747247">
        <w:rPr>
          <w:rFonts w:ascii="Calibri" w:hAnsi="Calibri"/>
          <w:szCs w:val="22"/>
        </w:rPr>
        <w:t>7.2.2</w:t>
      </w:r>
      <w:r w:rsidRPr="00747247">
        <w:rPr>
          <w:rFonts w:ascii="Calibri" w:hAnsi="Calibri"/>
          <w:szCs w:val="22"/>
        </w:rPr>
        <w:tab/>
        <w:t>Initial health clearance for HCWs with HCV who wish to perform EPPs</w:t>
      </w:r>
    </w:p>
    <w:p w14:paraId="032F1F27" w14:textId="77777777" w:rsidR="002F1BC7" w:rsidRPr="00DF1E0C" w:rsidRDefault="002F1BC7" w:rsidP="002F1BC7">
      <w:pPr>
        <w:pStyle w:val="BodyText"/>
        <w:widowControl/>
        <w:spacing w:after="60"/>
        <w:rPr>
          <w:rFonts w:ascii="Calibri" w:hAnsi="Calibri"/>
          <w:spacing w:val="0"/>
          <w:u w:val="single"/>
        </w:rPr>
      </w:pPr>
      <w:r w:rsidRPr="00747247">
        <w:rPr>
          <w:rFonts w:ascii="Calibri" w:hAnsi="Calibri"/>
          <w:spacing w:val="0"/>
          <w:u w:val="single"/>
        </w:rPr>
        <w:t>For HCWs with HCV wishing to perform EPPs:</w:t>
      </w:r>
    </w:p>
    <w:p w14:paraId="41CAC295" w14:textId="77777777" w:rsidR="002F1BC7" w:rsidRDefault="002F1BC7" w:rsidP="002F1BC7">
      <w:pPr>
        <w:pStyle w:val="BulletsBody1"/>
        <w:widowControl/>
        <w:rPr>
          <w:rFonts w:ascii="Calibri" w:hAnsi="Calibri"/>
          <w:sz w:val="24"/>
        </w:rPr>
      </w:pPr>
      <w:r w:rsidRPr="00DF1E0C">
        <w:rPr>
          <w:rFonts w:ascii="Calibri" w:hAnsi="Calibri"/>
          <w:sz w:val="24"/>
        </w:rPr>
        <w:t>HCW must be HCV RNA negative, if untreated, or have undergone successful treatment (achieved SVR). Successful treatment is indicated by a negative HCV RNA test, performed at a NATA/</w:t>
      </w:r>
      <w:r w:rsidRPr="00DF1E0C">
        <w:rPr>
          <w:rFonts w:ascii="Calibri" w:hAnsi="Calibri"/>
          <w:spacing w:val="0"/>
          <w:sz w:val="24"/>
          <w:lang w:val="en-AU"/>
        </w:rPr>
        <w:t xml:space="preserve">RCPA accredited laboratory, </w:t>
      </w:r>
      <w:r w:rsidRPr="00DF1E0C">
        <w:rPr>
          <w:rFonts w:ascii="Calibri" w:hAnsi="Calibri"/>
          <w:sz w:val="24"/>
        </w:rPr>
        <w:t xml:space="preserve">at least 12 weeks after completion of treatment and if the advice from the treating clinician is that the likelihood of reinfection is very low. </w:t>
      </w:r>
    </w:p>
    <w:p w14:paraId="1A979671" w14:textId="77777777" w:rsidR="002F1BC7" w:rsidRPr="00747247" w:rsidRDefault="002F1BC7" w:rsidP="002F1BC7">
      <w:pPr>
        <w:pStyle w:val="BodyText"/>
        <w:keepNext/>
        <w:widowControl/>
        <w:spacing w:after="60"/>
        <w:rPr>
          <w:rFonts w:ascii="Calibri" w:hAnsi="Calibri"/>
          <w:spacing w:val="0"/>
          <w:u w:val="single"/>
        </w:rPr>
      </w:pPr>
      <w:r w:rsidRPr="00747247">
        <w:rPr>
          <w:rFonts w:ascii="Calibri" w:hAnsi="Calibri"/>
          <w:spacing w:val="0"/>
          <w:u w:val="single"/>
        </w:rPr>
        <w:lastRenderedPageBreak/>
        <w:t>For HCWs with HCV currently restricted from EPPs:</w:t>
      </w:r>
    </w:p>
    <w:p w14:paraId="44731C08" w14:textId="77777777" w:rsidR="002F1BC7" w:rsidRPr="00747247" w:rsidRDefault="002F1BC7" w:rsidP="002F1BC7">
      <w:pPr>
        <w:pStyle w:val="Bulletsend"/>
        <w:keepNext/>
        <w:widowControl/>
        <w:ind w:left="426" w:hanging="357"/>
        <w:rPr>
          <w:rFonts w:ascii="Calibri" w:hAnsi="Calibri"/>
          <w:spacing w:val="0"/>
          <w:sz w:val="24"/>
          <w:lang w:val="en-AU"/>
        </w:rPr>
      </w:pPr>
      <w:r w:rsidRPr="00747247">
        <w:rPr>
          <w:rFonts w:ascii="Calibri" w:hAnsi="Calibri"/>
          <w:spacing w:val="0"/>
          <w:sz w:val="24"/>
          <w:lang w:val="en-AU"/>
        </w:rPr>
        <w:t>The decision to provide initial clearance for individual HCWs who have been previously excluded from work involving EPPs is the responsibility of the treating doctor. However, with more complex situations, the treating doctor may choose to consult with the relevant area of the jurisdictional health department. An example of a complex situation may include where other considerations apart from virological response are present including recency of practice</w:t>
      </w:r>
      <w:r w:rsidRPr="00747247">
        <w:rPr>
          <w:rStyle w:val="FootnoteReference"/>
          <w:rFonts w:ascii="Calibri" w:hAnsi="Calibri"/>
          <w:spacing w:val="0"/>
          <w:sz w:val="24"/>
          <w:lang w:val="en-AU"/>
        </w:rPr>
        <w:footnoteReference w:id="17"/>
      </w:r>
      <w:r w:rsidRPr="00747247">
        <w:rPr>
          <w:rFonts w:ascii="Calibri" w:hAnsi="Calibri"/>
          <w:spacing w:val="0"/>
          <w:sz w:val="24"/>
          <w:lang w:val="en-AU"/>
        </w:rPr>
        <w:t>, evidence of behaviour which could have affected the HCWs standard of practice, individual work variances etc. Consulting with the relevant area of the jurisdictional health department on these more complex issues may assist in preserving the therapeutic relationship and remove potential conflicts of interest between the treating doctor’s responsibilities to the HCW with HCV versus to public health.</w:t>
      </w:r>
    </w:p>
    <w:p w14:paraId="0F07347A" w14:textId="77777777" w:rsidR="002F1BC7" w:rsidRPr="00747247" w:rsidRDefault="002F1BC7" w:rsidP="002F1BC7">
      <w:pPr>
        <w:pStyle w:val="Heading3"/>
        <w:rPr>
          <w:rFonts w:ascii="Calibri" w:hAnsi="Calibri"/>
          <w:szCs w:val="22"/>
        </w:rPr>
      </w:pPr>
      <w:r w:rsidRPr="00747247">
        <w:rPr>
          <w:rFonts w:ascii="Calibri" w:hAnsi="Calibri"/>
          <w:szCs w:val="22"/>
        </w:rPr>
        <w:t>7.2.3</w:t>
      </w:r>
      <w:r w:rsidRPr="00747247">
        <w:rPr>
          <w:rFonts w:ascii="Calibri" w:hAnsi="Calibri"/>
          <w:szCs w:val="22"/>
        </w:rPr>
        <w:tab/>
        <w:t>Viral load monitoring and ongoing clearance for HCWs with HCV performing EPPs</w:t>
      </w:r>
    </w:p>
    <w:p w14:paraId="2274F06F" w14:textId="77777777" w:rsidR="002F1BC7" w:rsidRPr="00DF1E0C" w:rsidRDefault="002F1BC7" w:rsidP="002F1BC7">
      <w:pPr>
        <w:pStyle w:val="BodyText"/>
        <w:widowControl/>
        <w:rPr>
          <w:rFonts w:ascii="Calibri" w:hAnsi="Calibri"/>
          <w:spacing w:val="0"/>
        </w:rPr>
      </w:pPr>
      <w:r w:rsidRPr="00747247">
        <w:rPr>
          <w:rFonts w:ascii="Calibri" w:hAnsi="Calibri"/>
          <w:spacing w:val="0"/>
        </w:rPr>
        <w:t>In 2016, the direct acting antiviral treatments for HCV were made publically available through the PBS. The new direct acting antiviral regimes for HCV are shorter, less complex</w:t>
      </w:r>
      <w:r w:rsidRPr="00DF1E0C">
        <w:rPr>
          <w:rFonts w:ascii="Calibri" w:hAnsi="Calibri"/>
          <w:spacing w:val="0"/>
        </w:rPr>
        <w:t xml:space="preserve">, have fewer side effects and are usually associated with a high success rate (over 90%). </w:t>
      </w:r>
    </w:p>
    <w:p w14:paraId="7B388A11" w14:textId="77777777" w:rsidR="002F1BC7" w:rsidRPr="00DF1E0C" w:rsidRDefault="002F1BC7" w:rsidP="002F1BC7">
      <w:pPr>
        <w:pStyle w:val="BodyText"/>
        <w:widowControl/>
        <w:rPr>
          <w:rFonts w:ascii="Calibri" w:hAnsi="Calibri"/>
          <w:spacing w:val="0"/>
        </w:rPr>
      </w:pPr>
      <w:r w:rsidRPr="00DF1E0C">
        <w:rPr>
          <w:rFonts w:ascii="Calibri" w:hAnsi="Calibri"/>
          <w:spacing w:val="0"/>
        </w:rPr>
        <w:t>HCWs who have been successfully treated for HCV infection, that is HCV RNA negative</w:t>
      </w:r>
      <w:r>
        <w:rPr>
          <w:rFonts w:ascii="Calibri" w:hAnsi="Calibri"/>
          <w:spacing w:val="0"/>
        </w:rPr>
        <w:t xml:space="preserve"> 12 </w:t>
      </w:r>
      <w:r w:rsidRPr="00DF1E0C">
        <w:rPr>
          <w:rFonts w:ascii="Calibri" w:hAnsi="Calibri"/>
          <w:spacing w:val="0"/>
        </w:rPr>
        <w:t>weeks a</w:t>
      </w:r>
      <w:r>
        <w:rPr>
          <w:rFonts w:ascii="Calibri" w:hAnsi="Calibri"/>
          <w:spacing w:val="0"/>
        </w:rPr>
        <w:t>fter the cessation of treatment</w:t>
      </w:r>
      <w:r w:rsidRPr="00DF1E0C">
        <w:rPr>
          <w:rFonts w:ascii="Calibri" w:hAnsi="Calibri"/>
          <w:spacing w:val="0"/>
        </w:rPr>
        <w:t xml:space="preserve"> must have additional HCV RNA testing 12 months after treatment</w:t>
      </w:r>
      <w:r>
        <w:rPr>
          <w:rFonts w:ascii="Calibri" w:hAnsi="Calibri"/>
          <w:spacing w:val="0"/>
        </w:rPr>
        <w:t>, to determine if relapse or reinfection has occurred</w:t>
      </w:r>
      <w:r w:rsidRPr="00DF1E0C">
        <w:rPr>
          <w:rFonts w:ascii="Calibri" w:hAnsi="Calibri"/>
          <w:spacing w:val="0"/>
        </w:rPr>
        <w:t xml:space="preserve">. </w:t>
      </w:r>
    </w:p>
    <w:p w14:paraId="4315B3C6"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If the test performed 12 months after treatment is negative, the HCW is no longer considered to be infected with HCV and should resume the prescribed BBV testing as specified in Section </w:t>
      </w:r>
      <w:r w:rsidRPr="00DF1E0C">
        <w:rPr>
          <w:rFonts w:ascii="Calibri" w:hAnsi="Calibri"/>
          <w:spacing w:val="0"/>
        </w:rPr>
        <w:fldChar w:fldCharType="begin"/>
      </w:r>
      <w:r w:rsidRPr="00DF1E0C">
        <w:rPr>
          <w:rFonts w:ascii="Calibri" w:hAnsi="Calibri"/>
          <w:spacing w:val="0"/>
        </w:rPr>
        <w:instrText xml:space="preserve"> REF _Ref455649198 \h  \* MERGEFORMAT </w:instrText>
      </w:r>
      <w:r w:rsidRPr="00DF1E0C">
        <w:rPr>
          <w:rFonts w:ascii="Calibri" w:hAnsi="Calibri"/>
          <w:spacing w:val="0"/>
        </w:rPr>
      </w:r>
      <w:r w:rsidRPr="00DF1E0C">
        <w:rPr>
          <w:rFonts w:ascii="Calibri" w:hAnsi="Calibri"/>
          <w:spacing w:val="0"/>
        </w:rPr>
        <w:fldChar w:fldCharType="separate"/>
      </w:r>
      <w:r w:rsidRPr="00013F35">
        <w:rPr>
          <w:rFonts w:ascii="Calibri" w:hAnsi="Calibri"/>
        </w:rPr>
        <w:t>4.1 Diagnosis and frequency of BBV testing</w:t>
      </w:r>
      <w:r w:rsidRPr="00DF1E0C">
        <w:rPr>
          <w:rFonts w:ascii="Calibri" w:hAnsi="Calibri"/>
          <w:spacing w:val="0"/>
        </w:rPr>
        <w:fldChar w:fldCharType="end"/>
      </w:r>
      <w:r w:rsidRPr="00DF1E0C">
        <w:rPr>
          <w:rFonts w:ascii="Calibri" w:hAnsi="Calibri"/>
          <w:spacing w:val="0"/>
          <w:sz w:val="22"/>
        </w:rPr>
        <w:t>. H</w:t>
      </w:r>
      <w:r w:rsidRPr="00DF1E0C">
        <w:rPr>
          <w:rFonts w:ascii="Calibri" w:hAnsi="Calibri"/>
          <w:spacing w:val="0"/>
        </w:rPr>
        <w:t>owever HCV RNA testing should be performed instead of screening for HCV antibody as this will remain positive irrespective of the viral load.</w:t>
      </w:r>
    </w:p>
    <w:p w14:paraId="329E87AD"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If HCV RNA is detected, the HCW must be immediately restricted from carrying out EPPs until once again undergoing successful treatment as assessed by their treating doctor. </w:t>
      </w:r>
    </w:p>
    <w:p w14:paraId="06C7BC09" w14:textId="77777777" w:rsidR="002F1BC7" w:rsidRPr="00DF1E0C" w:rsidRDefault="002F1BC7" w:rsidP="002F1BC7">
      <w:pPr>
        <w:pStyle w:val="Heading3"/>
        <w:rPr>
          <w:rFonts w:ascii="Calibri" w:hAnsi="Calibri"/>
          <w:szCs w:val="22"/>
        </w:rPr>
      </w:pPr>
      <w:r w:rsidRPr="00DF1E0C">
        <w:rPr>
          <w:rFonts w:ascii="Calibri" w:hAnsi="Calibri"/>
          <w:szCs w:val="22"/>
        </w:rPr>
        <w:t>7.2.4</w:t>
      </w:r>
      <w:r w:rsidRPr="00DF1E0C">
        <w:rPr>
          <w:rFonts w:ascii="Calibri" w:hAnsi="Calibri"/>
          <w:szCs w:val="22"/>
        </w:rPr>
        <w:tab/>
        <w:t>Resuming EPPs</w:t>
      </w:r>
    </w:p>
    <w:p w14:paraId="378563FC" w14:textId="77777777" w:rsidR="002F1BC7" w:rsidRPr="00DF1E0C" w:rsidRDefault="002F1BC7" w:rsidP="002F1BC7">
      <w:pPr>
        <w:pStyle w:val="BodyText"/>
        <w:widowControl/>
        <w:rPr>
          <w:rFonts w:ascii="Calibri" w:hAnsi="Calibri"/>
          <w:spacing w:val="0"/>
        </w:rPr>
      </w:pPr>
      <w:r w:rsidRPr="00DF1E0C">
        <w:rPr>
          <w:rFonts w:ascii="Calibri" w:hAnsi="Calibri"/>
          <w:spacing w:val="0"/>
        </w:rPr>
        <w:t>Resumption of EPP activities following a period of exclusion (for whatever reason) requires proof of successful treatment</w:t>
      </w:r>
      <w:r w:rsidRPr="00DF1E0C">
        <w:rPr>
          <w:rStyle w:val="FootnoteReference"/>
          <w:rFonts w:ascii="Calibri" w:eastAsiaTheme="majorEastAsia" w:hAnsi="Calibri"/>
          <w:spacing w:val="0"/>
        </w:rPr>
        <w:footnoteReference w:id="18"/>
      </w:r>
      <w:r w:rsidRPr="00DF1E0C">
        <w:rPr>
          <w:rFonts w:ascii="Calibri" w:hAnsi="Calibri"/>
          <w:spacing w:val="0"/>
        </w:rPr>
        <w:t xml:space="preserve">. </w:t>
      </w:r>
    </w:p>
    <w:p w14:paraId="135995AA" w14:textId="77777777" w:rsidR="002F1BC7" w:rsidRPr="00DF1E0C" w:rsidRDefault="002F1BC7" w:rsidP="002F1BC7">
      <w:pPr>
        <w:pStyle w:val="BodyText"/>
        <w:widowControl/>
        <w:rPr>
          <w:rFonts w:ascii="Calibri" w:hAnsi="Calibri"/>
          <w:spacing w:val="0"/>
          <w:u w:val="single"/>
        </w:rPr>
      </w:pPr>
      <w:r w:rsidRPr="00DF1E0C">
        <w:rPr>
          <w:rFonts w:ascii="Calibri" w:hAnsi="Calibri"/>
          <w:spacing w:val="0"/>
          <w:u w:val="single"/>
        </w:rPr>
        <w:t>Returning to EPP activities within 12 weeks of treatment completion</w:t>
      </w:r>
    </w:p>
    <w:p w14:paraId="6ECF4970"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The HCW must not return to performing EPPs less than 12 weeks after completion of treatment. </w:t>
      </w:r>
    </w:p>
    <w:p w14:paraId="21412DBF" w14:textId="77777777" w:rsidR="002F1BC7" w:rsidRPr="00DF1E0C" w:rsidRDefault="002F1BC7" w:rsidP="002F1BC7">
      <w:pPr>
        <w:pStyle w:val="BodyText"/>
        <w:widowControl/>
        <w:rPr>
          <w:rFonts w:ascii="Calibri" w:hAnsi="Calibri"/>
          <w:spacing w:val="0"/>
          <w:u w:val="single"/>
        </w:rPr>
      </w:pPr>
      <w:r w:rsidRPr="00DF1E0C">
        <w:rPr>
          <w:rFonts w:ascii="Calibri" w:hAnsi="Calibri"/>
          <w:spacing w:val="0"/>
          <w:u w:val="single"/>
        </w:rPr>
        <w:t xml:space="preserve">Returning to EPP activities after 12 weeks but before 12 months since treatment completion </w:t>
      </w:r>
    </w:p>
    <w:p w14:paraId="5C84CD21" w14:textId="77777777" w:rsidR="002F1BC7" w:rsidRDefault="002F1BC7" w:rsidP="002F1BC7">
      <w:pPr>
        <w:pStyle w:val="BodyText"/>
        <w:widowControl/>
        <w:rPr>
          <w:rFonts w:ascii="Calibri" w:hAnsi="Calibri"/>
        </w:rPr>
      </w:pPr>
      <w:r w:rsidRPr="00DF1E0C">
        <w:rPr>
          <w:rFonts w:ascii="Calibri" w:hAnsi="Calibri"/>
          <w:spacing w:val="0"/>
        </w:rPr>
        <w:lastRenderedPageBreak/>
        <w:t xml:space="preserve">The HCW must provide proof of successful treatment by </w:t>
      </w:r>
      <w:r w:rsidRPr="00DF1E0C">
        <w:rPr>
          <w:rFonts w:ascii="Calibri" w:hAnsi="Calibri"/>
        </w:rPr>
        <w:t>a negative HCV RNA test</w:t>
      </w:r>
      <w:r w:rsidRPr="00DF1E0C">
        <w:rPr>
          <w:rFonts w:ascii="Calibri" w:hAnsi="Calibri"/>
          <w:spacing w:val="0"/>
        </w:rPr>
        <w:t xml:space="preserve"> </w:t>
      </w:r>
      <w:r w:rsidRPr="00DF1E0C">
        <w:rPr>
          <w:rFonts w:ascii="Calibri" w:hAnsi="Calibri"/>
        </w:rPr>
        <w:t xml:space="preserve">at least </w:t>
      </w:r>
      <w:r>
        <w:rPr>
          <w:rFonts w:ascii="Calibri" w:hAnsi="Calibri"/>
        </w:rPr>
        <w:t>12 </w:t>
      </w:r>
      <w:r w:rsidRPr="00DF1E0C">
        <w:rPr>
          <w:rFonts w:ascii="Calibri" w:hAnsi="Calibri"/>
        </w:rPr>
        <w:t xml:space="preserve">weeks after completion of treatment and clearance by their treating doctor. In addition, the HCW must have their HCV RNA tested 12 months after the completion of treatment. </w:t>
      </w:r>
    </w:p>
    <w:p w14:paraId="6DBE5589" w14:textId="77777777" w:rsidR="002F1BC7" w:rsidRPr="00DF1E0C" w:rsidRDefault="002F1BC7" w:rsidP="002F1BC7">
      <w:pPr>
        <w:pStyle w:val="BodyText"/>
        <w:widowControl/>
        <w:rPr>
          <w:rFonts w:ascii="Calibri" w:hAnsi="Calibri"/>
        </w:rPr>
      </w:pPr>
    </w:p>
    <w:p w14:paraId="39E44DD9" w14:textId="77777777" w:rsidR="002F1BC7" w:rsidRPr="00DF1E0C" w:rsidRDefault="002F1BC7" w:rsidP="002F1BC7">
      <w:pPr>
        <w:pStyle w:val="BodyText"/>
        <w:widowControl/>
        <w:rPr>
          <w:rFonts w:ascii="Calibri" w:hAnsi="Calibri"/>
          <w:spacing w:val="0"/>
        </w:rPr>
      </w:pPr>
      <w:r w:rsidRPr="00DF1E0C">
        <w:rPr>
          <w:rFonts w:ascii="Calibri" w:hAnsi="Calibri"/>
          <w:spacing w:val="0"/>
          <w:u w:val="single"/>
        </w:rPr>
        <w:t>Returning to EPP activities 12 months after treatment</w:t>
      </w:r>
      <w:r w:rsidRPr="00DF1E0C">
        <w:rPr>
          <w:rFonts w:ascii="Calibri" w:hAnsi="Calibri"/>
          <w:spacing w:val="0"/>
        </w:rPr>
        <w:t xml:space="preserve"> </w:t>
      </w:r>
    </w:p>
    <w:p w14:paraId="068B5906"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The HCW must be HCV RNA negative and have clearance by their treating doctor. </w:t>
      </w:r>
    </w:p>
    <w:p w14:paraId="2AE2F0D4" w14:textId="77777777" w:rsidR="002F1BC7" w:rsidRPr="00DF1E0C" w:rsidRDefault="002F1BC7" w:rsidP="002F1BC7">
      <w:pPr>
        <w:pStyle w:val="Heading3"/>
        <w:rPr>
          <w:rFonts w:ascii="Calibri" w:hAnsi="Calibri"/>
          <w:szCs w:val="22"/>
        </w:rPr>
      </w:pPr>
      <w:r w:rsidRPr="00DF1E0C">
        <w:rPr>
          <w:rFonts w:ascii="Calibri" w:hAnsi="Calibri"/>
          <w:szCs w:val="22"/>
        </w:rPr>
        <w:t>7.2.5</w:t>
      </w:r>
      <w:r w:rsidRPr="00DF1E0C">
        <w:rPr>
          <w:rFonts w:ascii="Calibri" w:hAnsi="Calibri"/>
          <w:szCs w:val="22"/>
        </w:rPr>
        <w:tab/>
        <w:t>Treatment issues</w:t>
      </w:r>
    </w:p>
    <w:p w14:paraId="5F3DD0F3" w14:textId="77777777" w:rsidR="002F1BC7" w:rsidRPr="00DF1E0C" w:rsidRDefault="002F1BC7" w:rsidP="002F1BC7">
      <w:pPr>
        <w:pStyle w:val="BodyText"/>
        <w:widowControl/>
        <w:rPr>
          <w:rFonts w:ascii="Calibri" w:hAnsi="Calibri"/>
          <w:spacing w:val="0"/>
        </w:rPr>
      </w:pPr>
      <w:r w:rsidRPr="00DF1E0C">
        <w:rPr>
          <w:rFonts w:ascii="Calibri" w:hAnsi="Calibri"/>
          <w:spacing w:val="0"/>
        </w:rPr>
        <w:t>All HCWs with HCV should be offered treatment in accordance with standard treatment guidelines </w:t>
      </w:r>
      <w:r w:rsidRPr="00DF1E0C">
        <w:rPr>
          <w:rFonts w:ascii="Calibri" w:hAnsi="Calibri"/>
          <w:spacing w:val="0"/>
        </w:rPr>
        <w:fldChar w:fldCharType="begin"/>
      </w:r>
      <w:r w:rsidRPr="00DF1E0C">
        <w:rPr>
          <w:rFonts w:ascii="Calibri" w:hAnsi="Calibri"/>
          <w:spacing w:val="0"/>
        </w:rPr>
        <w:instrText xml:space="preserve"> ADDIN EN.CITE &lt;EndNote&gt;&lt;Cite&gt;&lt;Author&gt;Hepatitis C Virus Infection Consensus Statement Working Group&lt;/Author&gt;&lt;Year&gt;2016&lt;/Year&gt;&lt;RecNum&gt;238&lt;/RecNum&gt;&lt;DisplayText&gt;[70]&lt;/DisplayText&gt;&lt;record&gt;&lt;rec-number&gt;238&lt;/rec-number&gt;&lt;foreign-keys&gt;&lt;key app="EN" db-id="5d9ze055j2zd5revw2n50xpwd0fze9frtdxr"&gt;238&lt;/key&gt;&lt;/foreign-keys&gt;&lt;ref-type name="Journal Article"&gt;17&lt;/ref-type&gt;&lt;contributors&gt;&lt;authors&gt;&lt;author&gt;Hepatitis C Virus Infection Consensus Statement Working Group,&lt;/author&gt;&lt;/authors&gt;&lt;/contributors&gt;&lt;titles&gt;&lt;title&gt;Australian recommendations for the management of hepatitis C virus infection: a consensus statement 2016&lt;/title&gt;&lt;secondary-title&gt;Melbourne: Gastroenterological Society of Australia&lt;/secondary-title&gt;&lt;/titles&gt;&lt;periodical&gt;&lt;full-title&gt;Melbourne: Gastroenterological Society of Australia&lt;/full-title&gt;&lt;/periodical&gt;&lt;dates&gt;&lt;year&gt;2016&lt;/year&gt;&lt;/dates&gt;&lt;urls&gt;&lt;/urls&gt;&lt;/record&gt;&lt;/Cite&gt;&lt;/EndNote&gt;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70" w:tooltip="Hepatitis C Virus Infection Consensus Statement Working Group, 2016 #238" w:history="1">
        <w:r w:rsidRPr="00DF1E0C">
          <w:rPr>
            <w:rFonts w:ascii="Calibri" w:hAnsi="Calibri"/>
            <w:noProof/>
            <w:spacing w:val="0"/>
          </w:rPr>
          <w:t>70</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The combination of medicines used will depend on a range of individual factors including the HCV genotype, prior treatment experience and the presence of cirrhosis.</w:t>
      </w:r>
    </w:p>
    <w:p w14:paraId="6185F59C" w14:textId="77777777" w:rsidR="002F1BC7" w:rsidRPr="00DF1E0C" w:rsidRDefault="002F1BC7" w:rsidP="002F1BC7">
      <w:pPr>
        <w:pStyle w:val="BodyText"/>
        <w:widowControl/>
        <w:rPr>
          <w:rFonts w:ascii="Calibri" w:hAnsi="Calibri"/>
        </w:rPr>
      </w:pPr>
      <w:r w:rsidRPr="00DF1E0C">
        <w:rPr>
          <w:rFonts w:ascii="Calibri" w:hAnsi="Calibri"/>
          <w:spacing w:val="0"/>
        </w:rPr>
        <w:t xml:space="preserve">The treating doctor should counsel the HCW about the importance of following the prescribed treatment regimen and the impact that missed doses may have. </w:t>
      </w:r>
    </w:p>
    <w:p w14:paraId="6B2C3AC2" w14:textId="77777777" w:rsidR="002F1BC7" w:rsidRPr="00747247" w:rsidRDefault="002F1BC7" w:rsidP="002F1BC7">
      <w:pPr>
        <w:pStyle w:val="Heading2"/>
        <w:rPr>
          <w:rFonts w:ascii="Calibri" w:hAnsi="Calibri"/>
          <w:color w:val="0000FF"/>
          <w:sz w:val="32"/>
        </w:rPr>
      </w:pPr>
      <w:r w:rsidRPr="00747247">
        <w:rPr>
          <w:rFonts w:ascii="Calibri" w:hAnsi="Calibri"/>
          <w:color w:val="0000FF"/>
          <w:sz w:val="32"/>
        </w:rPr>
        <w:t>7.3</w:t>
      </w:r>
      <w:r w:rsidRPr="00747247">
        <w:rPr>
          <w:rFonts w:ascii="Calibri" w:hAnsi="Calibri"/>
          <w:color w:val="0000FF"/>
          <w:sz w:val="32"/>
        </w:rPr>
        <w:tab/>
        <w:t xml:space="preserve">HCW with HCV </w:t>
      </w:r>
      <w:r w:rsidRPr="009672B5">
        <w:rPr>
          <w:rFonts w:ascii="Calibri" w:hAnsi="Calibri"/>
          <w:color w:val="0000FF"/>
          <w:sz w:val="32"/>
          <w:u w:val="single"/>
        </w:rPr>
        <w:t>not</w:t>
      </w:r>
      <w:r w:rsidRPr="00747247">
        <w:rPr>
          <w:rFonts w:ascii="Calibri" w:hAnsi="Calibri"/>
          <w:color w:val="0000FF"/>
          <w:sz w:val="32"/>
        </w:rPr>
        <w:t xml:space="preserve"> performing EPPs</w:t>
      </w:r>
    </w:p>
    <w:p w14:paraId="1AD7238F" w14:textId="77777777" w:rsidR="002F1BC7" w:rsidRPr="00DF1E0C" w:rsidRDefault="002F1BC7" w:rsidP="002F1BC7">
      <w:pPr>
        <w:pStyle w:val="BodyText"/>
        <w:widowControl/>
        <w:rPr>
          <w:rFonts w:ascii="Calibri" w:hAnsi="Calibri"/>
        </w:rPr>
      </w:pPr>
      <w:r w:rsidRPr="00747247">
        <w:rPr>
          <w:rFonts w:ascii="Calibri" w:hAnsi="Calibri"/>
          <w:spacing w:val="0"/>
        </w:rPr>
        <w:t>HCWs with HCV and who do not perform EPPs may continue to provide clinical care to patients.  It is in the best interest of the HCWs own health to remain under regular medical care.</w:t>
      </w:r>
      <w:r w:rsidRPr="00DF1E0C">
        <w:rPr>
          <w:rFonts w:ascii="Calibri" w:hAnsi="Calibri"/>
          <w:spacing w:val="0"/>
        </w:rPr>
        <w:br w:type="page"/>
      </w:r>
    </w:p>
    <w:p w14:paraId="4A7BDAD3" w14:textId="77777777" w:rsidR="002F1BC7" w:rsidRPr="00DF1E0C" w:rsidRDefault="002F1BC7" w:rsidP="002F1BC7">
      <w:pPr>
        <w:pStyle w:val="Heading1"/>
        <w:shd w:val="clear" w:color="auto" w:fill="FF0000"/>
        <w:spacing w:after="240"/>
        <w:rPr>
          <w:rFonts w:ascii="Calibri" w:hAnsi="Calibri"/>
          <w:color w:val="FFFFFF"/>
          <w:sz w:val="40"/>
        </w:rPr>
      </w:pPr>
      <w:bookmarkStart w:id="41" w:name="_Ref455738558"/>
      <w:bookmarkStart w:id="42" w:name="_Ref455738622"/>
      <w:bookmarkStart w:id="43" w:name="_Toc480558266"/>
      <w:r w:rsidRPr="00DF1E0C">
        <w:rPr>
          <w:rFonts w:ascii="Calibri" w:hAnsi="Calibri"/>
          <w:color w:val="FFFFFF"/>
          <w:sz w:val="40"/>
        </w:rPr>
        <w:lastRenderedPageBreak/>
        <w:t>8. HCWs and HIV</w:t>
      </w:r>
      <w:bookmarkEnd w:id="41"/>
      <w:bookmarkEnd w:id="42"/>
      <w:bookmarkEnd w:id="43"/>
    </w:p>
    <w:p w14:paraId="0C869B22"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This Section must be read in conjunction with the remainder of these </w:t>
      </w:r>
      <w:r>
        <w:rPr>
          <w:rFonts w:ascii="Calibri" w:hAnsi="Calibri"/>
          <w:spacing w:val="0"/>
        </w:rPr>
        <w:t>Guidelines</w:t>
      </w:r>
      <w:r w:rsidRPr="00DF1E0C">
        <w:rPr>
          <w:rFonts w:ascii="Calibri" w:hAnsi="Calibri"/>
          <w:spacing w:val="0"/>
        </w:rPr>
        <w:t xml:space="preserve">, in particular Section </w:t>
      </w:r>
      <w:r w:rsidRPr="00DF1E0C">
        <w:rPr>
          <w:rFonts w:ascii="Calibri" w:hAnsi="Calibri"/>
          <w:spacing w:val="0"/>
        </w:rPr>
        <w:fldChar w:fldCharType="begin"/>
      </w:r>
      <w:r w:rsidRPr="00DF1E0C">
        <w:rPr>
          <w:rFonts w:ascii="Calibri" w:hAnsi="Calibri"/>
          <w:spacing w:val="0"/>
        </w:rPr>
        <w:instrText xml:space="preserve"> REF _Ref455736703 \h  \* MERGEFORMAT </w:instrText>
      </w:r>
      <w:r w:rsidRPr="00DF1E0C">
        <w:rPr>
          <w:rFonts w:ascii="Calibri" w:hAnsi="Calibri"/>
          <w:spacing w:val="0"/>
        </w:rPr>
      </w:r>
      <w:r w:rsidRPr="00DF1E0C">
        <w:rPr>
          <w:rFonts w:ascii="Calibri" w:hAnsi="Calibri"/>
          <w:spacing w:val="0"/>
        </w:rPr>
        <w:fldChar w:fldCharType="separate"/>
      </w:r>
      <w:r w:rsidRPr="00013F35">
        <w:rPr>
          <w:rFonts w:ascii="Calibri" w:hAnsi="Calibri"/>
          <w:spacing w:val="0"/>
        </w:rPr>
        <w:t>5. Recommendations for the management of HCWs living with a BBV</w:t>
      </w:r>
      <w:r w:rsidRPr="00DF1E0C">
        <w:rPr>
          <w:rFonts w:ascii="Calibri" w:hAnsi="Calibri"/>
          <w:spacing w:val="0"/>
        </w:rPr>
        <w:fldChar w:fldCharType="end"/>
      </w:r>
      <w:r w:rsidRPr="00DF1E0C">
        <w:rPr>
          <w:rFonts w:ascii="Calibri" w:hAnsi="Calibri"/>
          <w:spacing w:val="0"/>
        </w:rPr>
        <w:t>.</w:t>
      </w:r>
    </w:p>
    <w:p w14:paraId="22FA2FF6" w14:textId="77777777" w:rsidR="002F1BC7" w:rsidRPr="00DF1E0C" w:rsidRDefault="002F1BC7" w:rsidP="002F1BC7">
      <w:pPr>
        <w:pStyle w:val="Heading2"/>
        <w:rPr>
          <w:rFonts w:ascii="Calibri" w:hAnsi="Calibri"/>
          <w:color w:val="FF0000"/>
          <w:sz w:val="32"/>
        </w:rPr>
      </w:pPr>
      <w:r w:rsidRPr="00DF1E0C">
        <w:rPr>
          <w:rFonts w:ascii="Calibri" w:hAnsi="Calibri"/>
          <w:color w:val="FF0000"/>
          <w:sz w:val="32"/>
        </w:rPr>
        <w:t>8.1 Evidence of HIV transmission risk</w:t>
      </w:r>
    </w:p>
    <w:p w14:paraId="730EA437" w14:textId="77777777" w:rsidR="002F1BC7" w:rsidRPr="00747247" w:rsidRDefault="002F1BC7" w:rsidP="002F1BC7">
      <w:pPr>
        <w:pStyle w:val="BodyText"/>
        <w:widowControl/>
        <w:rPr>
          <w:rFonts w:ascii="Calibri" w:hAnsi="Calibri"/>
          <w:spacing w:val="0"/>
        </w:rPr>
      </w:pPr>
      <w:r w:rsidRPr="00DF1E0C">
        <w:rPr>
          <w:rFonts w:ascii="Calibri" w:hAnsi="Calibri"/>
          <w:spacing w:val="0"/>
        </w:rPr>
        <w:t xml:space="preserve">The UK document, </w:t>
      </w:r>
      <w:r w:rsidRPr="00DF1E0C">
        <w:rPr>
          <w:rFonts w:ascii="Calibri" w:hAnsi="Calibri"/>
          <w:i/>
          <w:spacing w:val="0"/>
        </w:rPr>
        <w:t>The Management of HIV</w:t>
      </w:r>
      <w:r w:rsidRPr="00CB7890">
        <w:rPr>
          <w:rFonts w:ascii="Calibri" w:hAnsi="Calibri"/>
          <w:i/>
          <w:spacing w:val="0"/>
        </w:rPr>
        <w:t>-infected Healthcare Workers</w:t>
      </w:r>
      <w:r w:rsidRPr="00DF1E0C">
        <w:rPr>
          <w:rFonts w:ascii="Calibri" w:hAnsi="Calibri"/>
          <w:i/>
          <w:spacing w:val="0"/>
        </w:rPr>
        <w:t xml:space="preserve"> who perform exposure prone procedures: updated guidance, January 2014</w:t>
      </w:r>
      <w:r w:rsidRPr="00DF1E0C">
        <w:rPr>
          <w:rFonts w:ascii="Calibri" w:hAnsi="Calibri"/>
          <w:spacing w:val="0"/>
        </w:rPr>
        <w:t xml:space="preserve"> states that</w:t>
      </w:r>
      <w:r w:rsidRPr="00747247">
        <w:rPr>
          <w:rFonts w:ascii="Calibri" w:hAnsi="Calibri"/>
          <w:spacing w:val="0"/>
        </w:rPr>
        <w:t xml:space="preserve">: worldwide, there have been three reports of healthcare associated HIV transmission from HCWs with HIV during EPPs. They are a Florida dentist, where the exact route of transmission (to the five infected patients) was never established; a French orthopaedic surgeon; and a gynaecologist in Spain. In the latter two cases transmission occurred during cases meeting the EPP definition. A further transmission has been reported involving a French nurse who was co-infected with hepatitis C; this did not involve an EPP and the exact route of transmission remains unclear. These four cases of transmission involved HCWs who were not taking antiretroviral therapy at the time of transmission </w:t>
      </w:r>
      <w:r w:rsidRPr="009672B5">
        <w:rPr>
          <w:rFonts w:ascii="Calibri" w:hAnsi="Calibri"/>
          <w:spacing w:val="0"/>
        </w:rPr>
        <w:fldChar w:fldCharType="begin"/>
      </w:r>
      <w:r w:rsidRPr="00747247">
        <w:rPr>
          <w:rFonts w:ascii="Calibri" w:hAnsi="Calibri"/>
          <w:spacing w:val="0"/>
        </w:rPr>
        <w:instrText xml:space="preserve"> ADDIN EN.CITE &lt;EndNote&gt;&lt;Cite&gt;&lt;Author&gt;Public Health England&lt;/Author&gt;&lt;RecNum&gt;35&lt;/RecNum&gt;&lt;DisplayText&gt;[71]&lt;/DisplayText&gt;&lt;record&gt;&lt;rec-number&gt;35&lt;/rec-number&gt;&lt;foreign-keys&gt;&lt;key app="EN" db-id="5d9ze055j2zd5revw2n50xpwd0fze9frtdxr"&gt;35&lt;/key&gt;&lt;/foreign-keys&gt;&lt;ref-type name="Government Document"&gt;46&lt;/ref-type&gt;&lt;contributors&gt;&lt;authors&gt;&lt;author&gt;Public Health England,&lt;/author&gt;&lt;/authors&gt;&lt;/contributors&gt;&lt;titles&gt;&lt;title&gt;The Management of HIV infected Healthcare Workers who perform exposure prone procedures: updated guidance, January 2014&lt;/title&gt;&lt;/titles&gt;&lt;dates&gt;&lt;year&gt;2014&lt;/year&gt;&lt;/dates&gt;&lt;urls&gt;&lt;related-urls&gt;&lt;url&gt;http://www.hpa.org.uk/webc/HPAwebFile/HPAweb_C/1317140704390 &lt;/url&gt;&lt;/related-urls&gt;&lt;/urls&gt;&lt;access-date&gt;April 2014&lt;/access-date&gt;&lt;/record&gt;&lt;/Cite&gt;&lt;/EndNote&gt;</w:instrText>
      </w:r>
      <w:r w:rsidRPr="009672B5">
        <w:rPr>
          <w:rFonts w:ascii="Calibri" w:hAnsi="Calibri"/>
          <w:spacing w:val="0"/>
        </w:rPr>
        <w:fldChar w:fldCharType="separate"/>
      </w:r>
      <w:r w:rsidRPr="00747247">
        <w:rPr>
          <w:rFonts w:ascii="Calibri" w:hAnsi="Calibri"/>
          <w:noProof/>
          <w:spacing w:val="0"/>
        </w:rPr>
        <w:t>[</w:t>
      </w:r>
      <w:hyperlink w:anchor="_ENREF_71" w:tooltip="Public Health England, 2014 #35" w:history="1">
        <w:r w:rsidRPr="00747247">
          <w:rPr>
            <w:rFonts w:ascii="Calibri" w:hAnsi="Calibri"/>
            <w:noProof/>
            <w:spacing w:val="0"/>
          </w:rPr>
          <w:t>71</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w:t>
      </w:r>
    </w:p>
    <w:p w14:paraId="13BEC67F" w14:textId="77777777" w:rsidR="002F1BC7" w:rsidRPr="00747247" w:rsidRDefault="002F1BC7" w:rsidP="002F1BC7">
      <w:pPr>
        <w:pStyle w:val="BodyText"/>
        <w:widowControl/>
        <w:rPr>
          <w:rFonts w:ascii="Calibri" w:hAnsi="Calibri"/>
          <w:spacing w:val="0"/>
        </w:rPr>
      </w:pPr>
      <w:r w:rsidRPr="00747247">
        <w:rPr>
          <w:rFonts w:ascii="Calibri" w:hAnsi="Calibri"/>
          <w:spacing w:val="0"/>
        </w:rPr>
        <w:t xml:space="preserve">Lookback exercises associated with these four instances of HCW-to-patient transmission tested approximately 4 627 patients (1 100 for the Florida dentist and 3 527 for the latter three combined). In total eight patients were found to be HIV positive with HIV viral nucleotide sequencing very similar to that of the source HCWs virus </w:t>
      </w:r>
      <w:r w:rsidRPr="009672B5">
        <w:rPr>
          <w:rFonts w:ascii="Calibri" w:hAnsi="Calibri"/>
          <w:spacing w:val="0"/>
        </w:rPr>
        <w:fldChar w:fldCharType="begin">
          <w:fldData xml:space="preserve">PEVuZE5vdGU+PENpdGU+PEF1dGhvcj5DaWVzaWVsc2tpPC9BdXRob3I+PFllYXI+MTk5MjwvWWVh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</w:fldData>
        </w:fldChar>
      </w:r>
      <w:r w:rsidRPr="00747247">
        <w:rPr>
          <w:rFonts w:ascii="Calibri" w:hAnsi="Calibri"/>
          <w:spacing w:val="0"/>
        </w:rPr>
        <w:instrText xml:space="preserve"> ADDIN EN.CITE </w:instrText>
      </w:r>
      <w:r w:rsidRPr="009672B5">
        <w:rPr>
          <w:rFonts w:ascii="Calibri" w:hAnsi="Calibri"/>
          <w:spacing w:val="0"/>
        </w:rPr>
        <w:fldChar w:fldCharType="begin">
          <w:fldData xml:space="preserve">PEVuZE5vdGU+PENpdGU+PEF1dGhvcj5DaWVzaWVsc2tpPC9BdXRob3I+PFllYXI+MTk5MjwvWWVh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</w:fldData>
        </w:fldChar>
      </w:r>
      <w:r w:rsidRPr="00747247">
        <w:rPr>
          <w:rFonts w:ascii="Calibri" w:hAnsi="Calibri"/>
          <w:spacing w:val="0"/>
        </w:rPr>
        <w:instrText xml:space="preserve"> ADDIN EN.CITE.DATA </w:instrText>
      </w:r>
      <w:r w:rsidRPr="009672B5">
        <w:rPr>
          <w:rFonts w:ascii="Calibri" w:hAnsi="Calibri"/>
          <w:spacing w:val="0"/>
        </w:rPr>
      </w:r>
      <w:r w:rsidRPr="009672B5">
        <w:rPr>
          <w:rFonts w:ascii="Calibri" w:hAnsi="Calibri"/>
          <w:spacing w:val="0"/>
        </w:rPr>
        <w:fldChar w:fldCharType="end"/>
      </w:r>
      <w:r w:rsidRPr="009672B5">
        <w:rPr>
          <w:rFonts w:ascii="Calibri" w:hAnsi="Calibri"/>
          <w:spacing w:val="0"/>
        </w:rPr>
      </w:r>
      <w:r w:rsidRPr="009672B5">
        <w:rPr>
          <w:rFonts w:ascii="Calibri" w:hAnsi="Calibri"/>
          <w:spacing w:val="0"/>
        </w:rPr>
        <w:fldChar w:fldCharType="separate"/>
      </w:r>
      <w:r w:rsidRPr="00747247">
        <w:rPr>
          <w:rFonts w:ascii="Calibri" w:hAnsi="Calibri"/>
          <w:noProof/>
          <w:spacing w:val="0"/>
        </w:rPr>
        <w:t>[</w:t>
      </w:r>
      <w:hyperlink w:anchor="_ENREF_72" w:tooltip="Ciesielski, 1992 #36" w:history="1">
        <w:r w:rsidRPr="00747247">
          <w:rPr>
            <w:rFonts w:ascii="Calibri" w:hAnsi="Calibri"/>
            <w:noProof/>
            <w:spacing w:val="0"/>
          </w:rPr>
          <w:t>72-75</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w:t>
      </w:r>
    </w:p>
    <w:p w14:paraId="18D1BB00" w14:textId="77777777" w:rsidR="002F1BC7" w:rsidRPr="00747247" w:rsidRDefault="002F1BC7" w:rsidP="002F1BC7">
      <w:pPr>
        <w:pStyle w:val="BodyText"/>
        <w:widowControl/>
        <w:rPr>
          <w:rFonts w:ascii="Calibri" w:hAnsi="Calibri"/>
          <w:spacing w:val="0"/>
        </w:rPr>
      </w:pPr>
      <w:r w:rsidRPr="00747247">
        <w:rPr>
          <w:rFonts w:ascii="Calibri" w:hAnsi="Calibri"/>
          <w:spacing w:val="0"/>
        </w:rPr>
        <w:t xml:space="preserve">In the UK between 1988 and 2008, 39 patient notification exercises were conducted in which almost 10 000 patients were tested. In Israel in 2007, 545 patients operated on by a cardiothoracic surgeon with HIV were tested. There was no detectable transmission in any of these exercises </w:t>
      </w:r>
      <w:r w:rsidRPr="009672B5">
        <w:rPr>
          <w:rFonts w:ascii="Calibri" w:hAnsi="Calibri"/>
          <w:spacing w:val="0"/>
        </w:rPr>
        <w:fldChar w:fldCharType="begin">
          <w:fldData xml:space="preserve">PEVuZE5vdGU+PENpdGU+PEF1dGhvcj5EZXBhcnRtZW50IG9mIEhlYWx0aC9IZWFsdGggUHJvdGVj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</w:fldData>
        </w:fldChar>
      </w:r>
      <w:r w:rsidRPr="00747247">
        <w:rPr>
          <w:rFonts w:ascii="Calibri" w:hAnsi="Calibri"/>
          <w:spacing w:val="0"/>
        </w:rPr>
        <w:instrText xml:space="preserve"> ADDIN EN.CITE </w:instrText>
      </w:r>
      <w:r w:rsidRPr="009672B5">
        <w:rPr>
          <w:rFonts w:ascii="Calibri" w:hAnsi="Calibri"/>
          <w:spacing w:val="0"/>
        </w:rPr>
        <w:fldChar w:fldCharType="begin">
          <w:fldData xml:space="preserve">PEVuZE5vdGU+PENpdGU+PEF1dGhvcj5EZXBhcnRtZW50IG9mIEhlYWx0aC9IZWFsdGggUHJvdGVj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</w:fldData>
        </w:fldChar>
      </w:r>
      <w:r w:rsidRPr="00747247">
        <w:rPr>
          <w:rFonts w:ascii="Calibri" w:hAnsi="Calibri"/>
          <w:spacing w:val="0"/>
        </w:rPr>
        <w:instrText xml:space="preserve"> ADDIN EN.CITE.DATA </w:instrText>
      </w:r>
      <w:r w:rsidRPr="009672B5">
        <w:rPr>
          <w:rFonts w:ascii="Calibri" w:hAnsi="Calibri"/>
          <w:spacing w:val="0"/>
        </w:rPr>
      </w:r>
      <w:r w:rsidRPr="009672B5">
        <w:rPr>
          <w:rFonts w:ascii="Calibri" w:hAnsi="Calibri"/>
          <w:spacing w:val="0"/>
        </w:rPr>
        <w:fldChar w:fldCharType="end"/>
      </w:r>
      <w:r w:rsidRPr="009672B5">
        <w:rPr>
          <w:rFonts w:ascii="Calibri" w:hAnsi="Calibri"/>
          <w:spacing w:val="0"/>
        </w:rPr>
      </w:r>
      <w:r w:rsidRPr="009672B5">
        <w:rPr>
          <w:rFonts w:ascii="Calibri" w:hAnsi="Calibri"/>
          <w:spacing w:val="0"/>
        </w:rPr>
        <w:fldChar w:fldCharType="separate"/>
      </w:r>
      <w:r w:rsidRPr="00747247">
        <w:rPr>
          <w:rFonts w:ascii="Calibri" w:hAnsi="Calibri"/>
          <w:noProof/>
          <w:spacing w:val="0"/>
        </w:rPr>
        <w:t>[</w:t>
      </w:r>
      <w:hyperlink w:anchor="_ENREF_71" w:tooltip="Public Health England, 2014 #35" w:history="1">
        <w:r w:rsidRPr="00747247">
          <w:rPr>
            <w:rFonts w:ascii="Calibri" w:hAnsi="Calibri"/>
            <w:noProof/>
            <w:spacing w:val="0"/>
          </w:rPr>
          <w:t>71</w:t>
        </w:r>
      </w:hyperlink>
      <w:r w:rsidRPr="00747247">
        <w:rPr>
          <w:rFonts w:ascii="Calibri" w:hAnsi="Calibri"/>
          <w:noProof/>
          <w:spacing w:val="0"/>
        </w:rPr>
        <w:t xml:space="preserve">, </w:t>
      </w:r>
      <w:hyperlink w:anchor="_ENREF_75" w:tooltip="The Expert Advisory Group on HIV and AIDS, 2011 #39" w:history="1">
        <w:r w:rsidRPr="00747247">
          <w:rPr>
            <w:rFonts w:ascii="Calibri" w:hAnsi="Calibri"/>
            <w:noProof/>
            <w:spacing w:val="0"/>
          </w:rPr>
          <w:t>75-78</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w:t>
      </w:r>
    </w:p>
    <w:p w14:paraId="40FF9FB4" w14:textId="77777777" w:rsidR="002F1BC7" w:rsidRPr="00DF1E0C" w:rsidRDefault="002F1BC7" w:rsidP="002F1BC7">
      <w:pPr>
        <w:pStyle w:val="BodyText"/>
        <w:widowControl/>
        <w:rPr>
          <w:rFonts w:ascii="Calibri" w:hAnsi="Calibri"/>
          <w:spacing w:val="0"/>
        </w:rPr>
      </w:pPr>
      <w:r w:rsidRPr="00747247">
        <w:rPr>
          <w:rFonts w:ascii="Calibri" w:hAnsi="Calibri"/>
          <w:spacing w:val="0"/>
        </w:rPr>
        <w:t>These data support the conclusion that the overall risk of transmission of HIV from untreated HCWs with HIV is very low, with estimates varying in the order of 2.4 to 24 per million procedures (0.0000024% - 0.000024%) </w:t>
      </w:r>
      <w:r w:rsidRPr="009672B5">
        <w:rPr>
          <w:rFonts w:ascii="Calibri" w:hAnsi="Calibri"/>
          <w:spacing w:val="0"/>
        </w:rPr>
        <w:fldChar w:fldCharType="begin"/>
      </w:r>
      <w:r w:rsidRPr="00747247">
        <w:rPr>
          <w:rFonts w:ascii="Calibri" w:hAnsi="Calibri"/>
          <w:spacing w:val="0"/>
        </w:rPr>
        <w:instrText xml:space="preserve"> ADDIN EN.CITE &lt;EndNote&gt;&lt;Cite&gt;&lt;Author&gt;Chua&lt;/Author&gt;&lt;Year&gt;2008&lt;/Year&gt;&lt;RecNum&gt;43&lt;/RecNum&gt;&lt;DisplayText&gt;[79]&lt;/DisplayText&gt;&lt;record&gt;&lt;rec-number&gt;43&lt;/rec-number&gt;&lt;foreign-keys&gt;&lt;key app="EN" db-id="5d9ze055j2zd5revw2n50xpwd0fze9frtdxr"&gt;43&lt;/key&gt;&lt;/foreign-keys&gt;&lt;ref-type name="Journal Article"&gt;17&lt;/ref-type&gt;&lt;contributors&gt;&lt;authors&gt;&lt;author&gt;Chua, Arlene&lt;/author&gt;&lt;author&gt;Leo, Yee Sin&lt;/author&gt;&lt;author&gt;Kurup, Asok&lt;/author&gt;&lt;author&gt;Chlebicki, Maciej Piotr&lt;/author&gt;&lt;author&gt;Lee, Cheng Chuan&lt;/author&gt;&lt;/authors&gt;&lt;/contributors&gt;&lt;titles&gt;&lt;title&gt;Healthcare workers and HIV health issues&lt;/title&gt;&lt;secondary-title&gt;Ann Acad Med Singapore&lt;/secondary-title&gt;&lt;/titles&gt;&lt;periodical&gt;&lt;full-title&gt;Ann Acad Med Singapore&lt;/full-title&gt;&lt;/periodical&gt;&lt;pages&gt;576-9&lt;/pages&gt;&lt;volume&gt;37&lt;/volume&gt;&lt;dates&gt;&lt;year&gt;2008&lt;/year&gt;&lt;/dates&gt;&lt;urls&gt;&lt;/urls&gt;&lt;/record&gt;&lt;/Cite&gt;&lt;/EndNote&gt;</w:instrText>
      </w:r>
      <w:r w:rsidRPr="009672B5">
        <w:rPr>
          <w:rFonts w:ascii="Calibri" w:hAnsi="Calibri"/>
          <w:spacing w:val="0"/>
        </w:rPr>
        <w:fldChar w:fldCharType="separate"/>
      </w:r>
      <w:r w:rsidRPr="00747247">
        <w:rPr>
          <w:rFonts w:ascii="Calibri" w:hAnsi="Calibri"/>
          <w:noProof/>
          <w:spacing w:val="0"/>
        </w:rPr>
        <w:t>[</w:t>
      </w:r>
      <w:hyperlink w:anchor="_ENREF_79" w:tooltip="Chua, 2008 #43" w:history="1">
        <w:r w:rsidRPr="00747247">
          <w:rPr>
            <w:rFonts w:ascii="Calibri" w:hAnsi="Calibri"/>
            <w:noProof/>
            <w:spacing w:val="0"/>
          </w:rPr>
          <w:t>79</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w:t>
      </w:r>
      <w:r w:rsidRPr="00747247">
        <w:rPr>
          <w:rFonts w:ascii="Calibri" w:hAnsi="Calibri"/>
          <w:spacing w:val="0"/>
          <w:vertAlign w:val="superscript"/>
        </w:rPr>
        <w:t xml:space="preserve"> </w:t>
      </w:r>
      <w:r w:rsidRPr="00747247">
        <w:rPr>
          <w:rFonts w:ascii="Calibri" w:hAnsi="Calibri"/>
          <w:spacing w:val="0"/>
        </w:rPr>
        <w:t>Plasma HIV RNA or viral</w:t>
      </w:r>
      <w:r w:rsidRPr="00DF1E0C">
        <w:rPr>
          <w:rFonts w:ascii="Calibri" w:hAnsi="Calibri"/>
          <w:spacing w:val="0"/>
        </w:rPr>
        <w:t xml:space="preserve"> load is known to be the critical risk factor in HIV transmission risk and treatment-associated viral load reduction substantially reduces this risk in sexual and mother-to-child transmission </w:t>
      </w:r>
      <w:r w:rsidRPr="00DF1E0C">
        <w:rPr>
          <w:rFonts w:ascii="Calibri" w:hAnsi="Calibri"/>
          <w:spacing w:val="0"/>
        </w:rPr>
        <w:fldChar w:fldCharType="begin">
          <w:fldData xml:space="preserve">PEVuZE5vdGU+PENpdGU+PEF1dGhvcj5Db2hlbjwvQXV0aG9yPjxZZWFyPjIwMTE8L1llYXI+PFJl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</w:fldData>
        </w:fldChar>
      </w:r>
      <w:r w:rsidRPr="00DF1E0C">
        <w:rPr>
          <w:rFonts w:ascii="Calibri" w:hAnsi="Calibri"/>
          <w:spacing w:val="0"/>
        </w:rPr>
        <w:instrText xml:space="preserve"> ADDIN EN.CITE </w:instrText>
      </w:r>
      <w:r w:rsidRPr="00DF1E0C">
        <w:rPr>
          <w:rFonts w:ascii="Calibri" w:hAnsi="Calibri"/>
          <w:spacing w:val="0"/>
        </w:rPr>
        <w:fldChar w:fldCharType="begin">
          <w:fldData xml:space="preserve">PEVuZE5vdGU+PENpdGU+PEF1dGhvcj5Db2hlbjwvQXV0aG9yPjxZZWFyPjIwMTE8L1llYXI+PFJl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</w:fldData>
        </w:fldChar>
      </w:r>
      <w:r w:rsidRPr="00DF1E0C">
        <w:rPr>
          <w:rFonts w:ascii="Calibri" w:hAnsi="Calibri"/>
          <w:spacing w:val="0"/>
        </w:rPr>
        <w:instrText xml:space="preserve"> ADDIN EN.CITE.DATA </w:instrText>
      </w:r>
      <w:r w:rsidRPr="00DF1E0C">
        <w:rPr>
          <w:rFonts w:ascii="Calibri" w:hAnsi="Calibri"/>
          <w:spacing w:val="0"/>
        </w:rPr>
      </w:r>
      <w:r w:rsidRPr="00DF1E0C">
        <w:rPr>
          <w:rFonts w:ascii="Calibri" w:hAnsi="Calibri"/>
          <w:spacing w:val="0"/>
        </w:rPr>
        <w:fldChar w:fldCharType="end"/>
      </w:r>
      <w:r w:rsidRPr="00DF1E0C">
        <w:rPr>
          <w:rFonts w:ascii="Calibri" w:hAnsi="Calibri"/>
          <w:spacing w:val="0"/>
        </w:rPr>
      </w:r>
      <w:r w:rsidRPr="00DF1E0C">
        <w:rPr>
          <w:rFonts w:ascii="Calibri" w:hAnsi="Calibri"/>
          <w:spacing w:val="0"/>
        </w:rPr>
        <w:fldChar w:fldCharType="separate"/>
      </w:r>
      <w:r w:rsidRPr="00DF1E0C">
        <w:rPr>
          <w:rFonts w:ascii="Calibri" w:hAnsi="Calibri"/>
          <w:noProof/>
          <w:spacing w:val="0"/>
        </w:rPr>
        <w:t>[</w:t>
      </w:r>
      <w:hyperlink w:anchor="_ENREF_80" w:tooltip="Cohen, 2011 #44" w:history="1">
        <w:r w:rsidRPr="00DF1E0C">
          <w:rPr>
            <w:rFonts w:ascii="Calibri" w:hAnsi="Calibri"/>
            <w:noProof/>
            <w:spacing w:val="0"/>
          </w:rPr>
          <w:t>80</w:t>
        </w:r>
      </w:hyperlink>
      <w:r w:rsidRPr="00DF1E0C">
        <w:rPr>
          <w:rFonts w:ascii="Calibri" w:hAnsi="Calibri"/>
          <w:noProof/>
          <w:spacing w:val="0"/>
        </w:rPr>
        <w:t xml:space="preserve">, </w:t>
      </w:r>
      <w:hyperlink w:anchor="_ENREF_81" w:tooltip="Fidler, 2013 #45" w:history="1">
        <w:r w:rsidRPr="00DF1E0C">
          <w:rPr>
            <w:rFonts w:ascii="Calibri" w:hAnsi="Calibri"/>
            <w:noProof/>
            <w:spacing w:val="0"/>
          </w:rPr>
          <w:t>81</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 In the era of effective antiretroviral therapy, which is both recommended and widely available in Australia, almost all individuals are able to achieve an undetectable blood HIV viral load.</w:t>
      </w:r>
    </w:p>
    <w:p w14:paraId="299E98C7" w14:textId="77777777" w:rsidR="002F1BC7" w:rsidRDefault="002F1BC7" w:rsidP="002F1BC7">
      <w:pPr>
        <w:pStyle w:val="BodyText"/>
        <w:widowControl/>
        <w:rPr>
          <w:rFonts w:ascii="Calibri" w:hAnsi="Calibri"/>
          <w:spacing w:val="0"/>
        </w:rPr>
      </w:pPr>
      <w:r w:rsidRPr="00DF1E0C">
        <w:rPr>
          <w:rFonts w:ascii="Calibri" w:hAnsi="Calibri"/>
          <w:spacing w:val="0"/>
        </w:rPr>
        <w:t xml:space="preserve">Conversely, the risk of transmission of HIV after sharps injury to a HCW from a HIV positive source patient who is not on cART has been calculated to be 0.23% </w:t>
      </w:r>
      <w:r w:rsidRPr="00DF1E0C">
        <w:rPr>
          <w:rFonts w:ascii="Calibri" w:hAnsi="Calibri"/>
          <w:spacing w:val="0"/>
        </w:rPr>
        <w:fldChar w:fldCharType="begin"/>
      </w:r>
      <w:r w:rsidRPr="00DF1E0C">
        <w:rPr>
          <w:rFonts w:ascii="Calibri" w:hAnsi="Calibri"/>
          <w:spacing w:val="0"/>
        </w:rPr>
        <w:instrText xml:space="preserve"> ADDIN EN.CITE &lt;EndNote&gt;&lt;Cite&gt;&lt;Author&gt;Patel&lt;/Author&gt;&lt;Year&gt;2014&lt;/Year&gt;&lt;RecNum&gt;77&lt;/RecNum&gt;&lt;DisplayText&gt;[82]&lt;/DisplayText&gt;&lt;record&gt;&lt;rec-number&gt;77&lt;/rec-number&gt;&lt;foreign-keys&gt;&lt;key app="EN" db-id="5d9ze055j2zd5revw2n50xpwd0fze9frtdxr"&gt;77&lt;/key&gt;&lt;/foreign-keys&gt;&lt;ref-type name="Journal Article"&gt;17&lt;/ref-type&gt;&lt;contributors&gt;&lt;authors&gt;&lt;author&gt;Patel, Pragna&lt;/author&gt;&lt;author&gt;Borkowf, Craig B&lt;/author&gt;&lt;author&gt;Brooks, John T&lt;/author&gt;&lt;author&gt;Lasry, Arielle&lt;/author&gt;&lt;author&gt;Lansky, Amy&lt;/author&gt;&lt;author&gt;Mermin, Jonathan&lt;/author&gt;&lt;/authors&gt;&lt;/contributors&gt;&lt;titles&gt;&lt;title&gt;Estimating per-act HIV transmission risk: a systematic review&lt;/title&gt;&lt;secondary-title&gt;Aids&lt;/secondary-title&gt;&lt;/titles&gt;&lt;periodical&gt;&lt;full-title&gt;Aids&lt;/full-title&gt;&lt;/periodical&gt;&lt;pages&gt;1509-1519&lt;/pages&gt;&lt;volume&gt;28&lt;/volume&gt;&lt;number&gt;10&lt;/number&gt;&lt;dates&gt;&lt;year&gt;2014&lt;/year&gt;&lt;/dates&gt;&lt;isbn&gt;0269-9370&lt;/isbn&gt;&lt;urls&gt;&lt;/urls&gt;&lt;/record&gt;&lt;/Cite&gt;&lt;/EndNote&gt;</w:instrText>
      </w:r>
      <w:r w:rsidRPr="00DF1E0C">
        <w:rPr>
          <w:rFonts w:ascii="Calibri" w:hAnsi="Calibri"/>
          <w:spacing w:val="0"/>
        </w:rPr>
        <w:fldChar w:fldCharType="separate"/>
      </w:r>
      <w:r w:rsidRPr="00DF1E0C">
        <w:rPr>
          <w:rFonts w:ascii="Calibri" w:hAnsi="Calibri"/>
          <w:noProof/>
          <w:spacing w:val="0"/>
        </w:rPr>
        <w:t>[</w:t>
      </w:r>
      <w:hyperlink w:anchor="_ENREF_82" w:tooltip="Patel, 2014 #77" w:history="1">
        <w:r w:rsidRPr="00DF1E0C">
          <w:rPr>
            <w:rFonts w:ascii="Calibri" w:hAnsi="Calibri"/>
            <w:noProof/>
            <w:spacing w:val="0"/>
          </w:rPr>
          <w:t>82</w:t>
        </w:r>
      </w:hyperlink>
      <w:r w:rsidRPr="00DF1E0C">
        <w:rPr>
          <w:rFonts w:ascii="Calibri" w:hAnsi="Calibri"/>
          <w:noProof/>
          <w:spacing w:val="0"/>
        </w:rPr>
        <w:t>]</w:t>
      </w:r>
      <w:r w:rsidRPr="00DF1E0C">
        <w:rPr>
          <w:rFonts w:ascii="Calibri" w:hAnsi="Calibri"/>
          <w:spacing w:val="0"/>
        </w:rPr>
        <w:fldChar w:fldCharType="end"/>
      </w:r>
      <w:r w:rsidRPr="00DF1E0C">
        <w:rPr>
          <w:rFonts w:ascii="Calibri" w:hAnsi="Calibri"/>
          <w:spacing w:val="0"/>
        </w:rPr>
        <w:t>.</w:t>
      </w:r>
    </w:p>
    <w:p w14:paraId="4457E2B5" w14:textId="77777777" w:rsidR="002F1BC7" w:rsidRDefault="002F1BC7" w:rsidP="002F1BC7">
      <w:pPr>
        <w:rPr>
          <w:rFonts w:eastAsia="Arial"/>
          <w:szCs w:val="20"/>
          <w:lang w:val="en-AU"/>
        </w:rPr>
      </w:pPr>
      <w:r>
        <w:rPr>
          <w:lang w:val="en-AU"/>
        </w:rPr>
        <w:br w:type="page"/>
      </w:r>
    </w:p>
    <w:p w14:paraId="7AA1207A" w14:textId="77777777" w:rsidR="002F1BC7" w:rsidRPr="00747247" w:rsidRDefault="002F1BC7" w:rsidP="002F1BC7">
      <w:pPr>
        <w:pStyle w:val="Heading2"/>
        <w:rPr>
          <w:rFonts w:ascii="Calibri" w:hAnsi="Calibri"/>
          <w:color w:val="FF0000"/>
          <w:sz w:val="22"/>
          <w:szCs w:val="20"/>
          <w:u w:val="single"/>
          <w:vertAlign w:val="superscript"/>
        </w:rPr>
      </w:pPr>
      <w:r w:rsidRPr="00747247">
        <w:rPr>
          <w:rFonts w:ascii="Calibri" w:hAnsi="Calibri"/>
          <w:color w:val="FF0000"/>
          <w:sz w:val="32"/>
        </w:rPr>
        <w:lastRenderedPageBreak/>
        <w:t>8.2 Management of HCWs living with HIV who perform EPPs</w:t>
      </w:r>
    </w:p>
    <w:p w14:paraId="1267E9A6" w14:textId="77777777" w:rsidR="002F1BC7" w:rsidRPr="00747247" w:rsidRDefault="002F1BC7" w:rsidP="002F1BC7">
      <w:pPr>
        <w:pStyle w:val="Heading3"/>
        <w:rPr>
          <w:rFonts w:ascii="Calibri" w:hAnsi="Calibri"/>
          <w:color w:val="FF0000"/>
        </w:rPr>
      </w:pPr>
      <w:r w:rsidRPr="00747247">
        <w:rPr>
          <w:rFonts w:ascii="Calibri" w:hAnsi="Calibri"/>
          <w:color w:val="FF0000"/>
        </w:rPr>
        <w:t>8.2.1</w:t>
      </w:r>
      <w:r w:rsidRPr="00747247">
        <w:rPr>
          <w:rFonts w:ascii="Calibri" w:hAnsi="Calibri"/>
          <w:color w:val="FF0000"/>
        </w:rPr>
        <w:tab/>
        <w:t>HCWs with HIV must meet the following criteria before they can perform EPPs:</w:t>
      </w:r>
    </w:p>
    <w:p w14:paraId="377B4C90" w14:textId="77777777" w:rsidR="002F1BC7" w:rsidRPr="00747247" w:rsidRDefault="002F1BC7" w:rsidP="002F1BC7">
      <w:pPr>
        <w:pStyle w:val="BodyText"/>
        <w:widowControl/>
        <w:numPr>
          <w:ilvl w:val="0"/>
          <w:numId w:val="39"/>
        </w:numPr>
        <w:tabs>
          <w:tab w:val="clear" w:pos="-720"/>
        </w:tabs>
        <w:suppressAutoHyphens w:val="0"/>
        <w:spacing w:after="60" w:line="280" w:lineRule="atLeast"/>
        <w:rPr>
          <w:rFonts w:ascii="Calibri" w:hAnsi="Calibri"/>
          <w:spacing w:val="0"/>
        </w:rPr>
      </w:pPr>
      <w:r w:rsidRPr="00747247">
        <w:rPr>
          <w:rFonts w:ascii="Calibri" w:hAnsi="Calibri"/>
          <w:spacing w:val="0"/>
        </w:rPr>
        <w:t xml:space="preserve">be under the regular care of a specialist in the treatment of HIV who also has an understanding of the regulatory framework for HCWs living with BBVs, </w:t>
      </w:r>
    </w:p>
    <w:p w14:paraId="10350030" w14:textId="77777777" w:rsidR="002F1BC7" w:rsidRPr="00747247" w:rsidRDefault="002F1BC7" w:rsidP="002F1BC7">
      <w:pPr>
        <w:pStyle w:val="BodyText"/>
        <w:widowControl/>
        <w:spacing w:after="60"/>
        <w:rPr>
          <w:rFonts w:ascii="Calibri" w:hAnsi="Calibri"/>
          <w:b/>
          <w:color w:val="FF0000"/>
          <w:spacing w:val="0"/>
        </w:rPr>
      </w:pPr>
      <w:r w:rsidRPr="00747247">
        <w:rPr>
          <w:rFonts w:ascii="Calibri" w:hAnsi="Calibri"/>
          <w:b/>
          <w:color w:val="FF0000"/>
          <w:spacing w:val="0"/>
        </w:rPr>
        <w:t>AND</w:t>
      </w:r>
    </w:p>
    <w:p w14:paraId="5C54FD0A" w14:textId="77777777" w:rsidR="002F1BC7" w:rsidRPr="00747247" w:rsidRDefault="002F1BC7" w:rsidP="002F1BC7">
      <w:pPr>
        <w:pStyle w:val="BodyText"/>
        <w:widowControl/>
        <w:numPr>
          <w:ilvl w:val="0"/>
          <w:numId w:val="39"/>
        </w:numPr>
        <w:tabs>
          <w:tab w:val="clear" w:pos="-720"/>
        </w:tabs>
        <w:suppressAutoHyphens w:val="0"/>
        <w:spacing w:after="120" w:line="280" w:lineRule="atLeast"/>
        <w:rPr>
          <w:rFonts w:ascii="Calibri" w:hAnsi="Calibri"/>
          <w:spacing w:val="0"/>
        </w:rPr>
      </w:pPr>
      <w:r w:rsidRPr="00747247">
        <w:rPr>
          <w:rFonts w:ascii="Calibri" w:hAnsi="Calibri"/>
          <w:spacing w:val="0"/>
        </w:rPr>
        <w:t>undergo HIV viral load monitoring every three months for the purposes of this supervision,</w:t>
      </w:r>
    </w:p>
    <w:p w14:paraId="437C4D09" w14:textId="77777777" w:rsidR="002F1BC7" w:rsidRPr="00747247" w:rsidRDefault="002F1BC7" w:rsidP="002F1BC7">
      <w:pPr>
        <w:pStyle w:val="BodyText"/>
        <w:widowControl/>
        <w:spacing w:after="60"/>
        <w:rPr>
          <w:rFonts w:ascii="Calibri" w:hAnsi="Calibri"/>
          <w:b/>
          <w:color w:val="FF0000"/>
          <w:spacing w:val="0"/>
        </w:rPr>
      </w:pPr>
      <w:r w:rsidRPr="00747247">
        <w:rPr>
          <w:rFonts w:ascii="Calibri" w:hAnsi="Calibri"/>
          <w:b/>
          <w:color w:val="FF0000"/>
          <w:spacing w:val="0"/>
        </w:rPr>
        <w:t>AND</w:t>
      </w:r>
    </w:p>
    <w:p w14:paraId="12A43B66" w14:textId="77777777" w:rsidR="002F1BC7" w:rsidRPr="00747247" w:rsidRDefault="002F1BC7" w:rsidP="002F1BC7">
      <w:pPr>
        <w:pStyle w:val="BodyText"/>
        <w:widowControl/>
        <w:spacing w:after="60"/>
        <w:rPr>
          <w:rFonts w:ascii="Calibri" w:hAnsi="Calibri"/>
          <w:spacing w:val="0"/>
        </w:rPr>
      </w:pPr>
      <w:r w:rsidRPr="00747247">
        <w:rPr>
          <w:rFonts w:ascii="Calibri" w:hAnsi="Calibri"/>
          <w:spacing w:val="0"/>
        </w:rPr>
        <w:t>Either</w:t>
      </w:r>
    </w:p>
    <w:p w14:paraId="41876576" w14:textId="77777777" w:rsidR="002F1BC7" w:rsidRPr="00747247" w:rsidRDefault="002F1BC7" w:rsidP="002F1BC7">
      <w:pPr>
        <w:pStyle w:val="BodyText"/>
        <w:widowControl/>
        <w:numPr>
          <w:ilvl w:val="0"/>
          <w:numId w:val="39"/>
        </w:numPr>
        <w:tabs>
          <w:tab w:val="clear" w:pos="-720"/>
        </w:tabs>
        <w:suppressAutoHyphens w:val="0"/>
        <w:spacing w:after="60" w:line="280" w:lineRule="atLeast"/>
        <w:rPr>
          <w:rFonts w:ascii="Calibri" w:hAnsi="Calibri"/>
          <w:spacing w:val="0"/>
        </w:rPr>
      </w:pPr>
      <w:r w:rsidRPr="00747247">
        <w:rPr>
          <w:rFonts w:ascii="Calibri" w:hAnsi="Calibri"/>
          <w:spacing w:val="0"/>
        </w:rPr>
        <w:t>be on effective cART, and</w:t>
      </w:r>
    </w:p>
    <w:p w14:paraId="024C3C8F" w14:textId="77777777" w:rsidR="002F1BC7" w:rsidRPr="00747247" w:rsidRDefault="002F1BC7" w:rsidP="002F1BC7">
      <w:pPr>
        <w:pStyle w:val="BodyText"/>
        <w:widowControl/>
        <w:numPr>
          <w:ilvl w:val="0"/>
          <w:numId w:val="39"/>
        </w:numPr>
        <w:tabs>
          <w:tab w:val="clear" w:pos="-720"/>
        </w:tabs>
        <w:suppressAutoHyphens w:val="0"/>
        <w:spacing w:after="120" w:line="280" w:lineRule="atLeast"/>
        <w:rPr>
          <w:rFonts w:ascii="Calibri" w:hAnsi="Calibri"/>
          <w:spacing w:val="0"/>
        </w:rPr>
      </w:pPr>
      <w:r w:rsidRPr="00747247">
        <w:rPr>
          <w:rFonts w:ascii="Calibri" w:hAnsi="Calibri"/>
          <w:spacing w:val="0"/>
        </w:rPr>
        <w:t xml:space="preserve">have a HIV viral load below 200 copies/mL (see section </w:t>
      </w:r>
      <w:r w:rsidRPr="009672B5">
        <w:rPr>
          <w:rFonts w:ascii="Calibri" w:hAnsi="Calibri"/>
          <w:spacing w:val="0"/>
        </w:rPr>
        <w:fldChar w:fldCharType="begin"/>
      </w:r>
      <w:r w:rsidRPr="00747247">
        <w:rPr>
          <w:rFonts w:ascii="Calibri" w:hAnsi="Calibri"/>
          <w:spacing w:val="0"/>
        </w:rPr>
        <w:instrText xml:space="preserve"> REF _Ref448477401 \h  \* MERGEFORMAT </w:instrText>
      </w:r>
      <w:r w:rsidRPr="009672B5">
        <w:rPr>
          <w:rFonts w:ascii="Calibri" w:hAnsi="Calibri"/>
          <w:spacing w:val="0"/>
        </w:rPr>
      </w:r>
      <w:r w:rsidRPr="009672B5">
        <w:rPr>
          <w:rFonts w:ascii="Calibri" w:hAnsi="Calibri"/>
          <w:spacing w:val="0"/>
        </w:rPr>
        <w:fldChar w:fldCharType="separate"/>
      </w:r>
      <w:r w:rsidRPr="00013F35">
        <w:rPr>
          <w:rFonts w:ascii="Calibri" w:hAnsi="Calibri"/>
          <w:color w:val="FF0000"/>
        </w:rPr>
        <w:t>8.2.2</w:t>
      </w:r>
      <w:r w:rsidRPr="00013F35">
        <w:rPr>
          <w:rFonts w:ascii="Calibri" w:hAnsi="Calibri"/>
          <w:color w:val="FF0000"/>
        </w:rPr>
        <w:tab/>
        <w:t>Initial health clearance for HCWs with HIV who wish to perform EPPs</w:t>
      </w:r>
      <w:r w:rsidRPr="009672B5">
        <w:rPr>
          <w:rFonts w:ascii="Calibri" w:hAnsi="Calibri"/>
          <w:spacing w:val="0"/>
        </w:rPr>
        <w:fldChar w:fldCharType="end"/>
      </w:r>
      <w:r w:rsidRPr="00747247">
        <w:rPr>
          <w:rFonts w:ascii="Calibri" w:hAnsi="Calibri"/>
          <w:spacing w:val="0"/>
        </w:rPr>
        <w:t>).</w:t>
      </w:r>
    </w:p>
    <w:p w14:paraId="41BBE183" w14:textId="77777777" w:rsidR="002F1BC7" w:rsidRPr="00747247" w:rsidRDefault="002F1BC7" w:rsidP="002F1BC7">
      <w:pPr>
        <w:pStyle w:val="BodyText"/>
        <w:widowControl/>
        <w:spacing w:after="60" w:line="240" w:lineRule="auto"/>
        <w:rPr>
          <w:rFonts w:ascii="Calibri" w:hAnsi="Calibri"/>
          <w:spacing w:val="0"/>
        </w:rPr>
      </w:pPr>
      <w:r w:rsidRPr="00747247">
        <w:rPr>
          <w:rFonts w:ascii="Calibri" w:hAnsi="Calibri"/>
          <w:spacing w:val="0"/>
        </w:rPr>
        <w:t>Or</w:t>
      </w:r>
    </w:p>
    <w:p w14:paraId="5FC734D5" w14:textId="77777777" w:rsidR="002F1BC7" w:rsidRPr="00747247" w:rsidRDefault="002F1BC7" w:rsidP="002F1BC7">
      <w:pPr>
        <w:pStyle w:val="BodyText"/>
        <w:widowControl/>
        <w:numPr>
          <w:ilvl w:val="0"/>
          <w:numId w:val="39"/>
        </w:numPr>
        <w:tabs>
          <w:tab w:val="clear" w:pos="-720"/>
        </w:tabs>
        <w:suppressAutoHyphens w:val="0"/>
        <w:spacing w:after="120" w:line="280" w:lineRule="atLeast"/>
        <w:rPr>
          <w:rFonts w:ascii="Calibri" w:hAnsi="Calibri"/>
          <w:spacing w:val="0"/>
        </w:rPr>
      </w:pPr>
      <w:r w:rsidRPr="00747247">
        <w:rPr>
          <w:rFonts w:ascii="Calibri" w:hAnsi="Calibri"/>
          <w:spacing w:val="0"/>
        </w:rPr>
        <w:t xml:space="preserve">meet the definition of an elite controller (see section </w:t>
      </w:r>
      <w:r w:rsidRPr="009672B5">
        <w:rPr>
          <w:rFonts w:ascii="Calibri" w:hAnsi="Calibri"/>
          <w:spacing w:val="0"/>
        </w:rPr>
        <w:fldChar w:fldCharType="begin"/>
      </w:r>
      <w:r w:rsidRPr="00747247">
        <w:rPr>
          <w:rFonts w:ascii="Calibri" w:hAnsi="Calibri"/>
          <w:spacing w:val="0"/>
        </w:rPr>
        <w:instrText xml:space="preserve"> REF _Ref448477568 \h  \* MERGEFORMAT </w:instrText>
      </w:r>
      <w:r w:rsidRPr="009672B5">
        <w:rPr>
          <w:rFonts w:ascii="Calibri" w:hAnsi="Calibri"/>
          <w:spacing w:val="0"/>
        </w:rPr>
      </w:r>
      <w:r w:rsidRPr="009672B5">
        <w:rPr>
          <w:rFonts w:ascii="Calibri" w:hAnsi="Calibri"/>
          <w:spacing w:val="0"/>
        </w:rPr>
        <w:fldChar w:fldCharType="separate"/>
      </w:r>
      <w:r w:rsidRPr="00013F35">
        <w:rPr>
          <w:rFonts w:ascii="Calibri" w:hAnsi="Calibri"/>
          <w:color w:val="FF0000"/>
        </w:rPr>
        <w:t>8.2.7</w:t>
      </w:r>
      <w:r w:rsidRPr="00013F35">
        <w:rPr>
          <w:rFonts w:ascii="Calibri" w:hAnsi="Calibri"/>
          <w:color w:val="FF0000"/>
        </w:rPr>
        <w:tab/>
        <w:t>Elite controllers</w:t>
      </w:r>
      <w:r w:rsidRPr="009672B5">
        <w:rPr>
          <w:rFonts w:ascii="Calibri" w:hAnsi="Calibri"/>
          <w:spacing w:val="0"/>
        </w:rPr>
        <w:fldChar w:fldCharType="end"/>
      </w:r>
      <w:r w:rsidRPr="00747247">
        <w:rPr>
          <w:rFonts w:ascii="Calibri" w:hAnsi="Calibri"/>
          <w:spacing w:val="0"/>
        </w:rPr>
        <w:t>).</w:t>
      </w:r>
    </w:p>
    <w:p w14:paraId="7842C2D7" w14:textId="77777777" w:rsidR="002F1BC7" w:rsidRPr="00747247" w:rsidRDefault="002F1BC7" w:rsidP="002F1BC7">
      <w:pPr>
        <w:pStyle w:val="Heading3"/>
        <w:rPr>
          <w:rFonts w:ascii="Calibri" w:hAnsi="Calibri"/>
          <w:color w:val="FF0000"/>
          <w:sz w:val="28"/>
        </w:rPr>
      </w:pPr>
      <w:bookmarkStart w:id="44" w:name="_Ref448477401"/>
      <w:r w:rsidRPr="00747247">
        <w:rPr>
          <w:rFonts w:ascii="Calibri" w:hAnsi="Calibri"/>
          <w:color w:val="FF0000"/>
        </w:rPr>
        <w:t>8.2.2</w:t>
      </w:r>
      <w:r w:rsidRPr="00747247">
        <w:rPr>
          <w:rFonts w:ascii="Calibri" w:hAnsi="Calibri"/>
          <w:color w:val="FF0000"/>
        </w:rPr>
        <w:tab/>
        <w:t>Initial health clearance for HCWs with HIV who wish to perform EPPs</w:t>
      </w:r>
      <w:bookmarkEnd w:id="44"/>
    </w:p>
    <w:p w14:paraId="3439AECA" w14:textId="77777777" w:rsidR="002F1BC7" w:rsidRPr="00747247" w:rsidRDefault="002F1BC7" w:rsidP="002F1BC7">
      <w:pPr>
        <w:pStyle w:val="BodyText"/>
        <w:widowControl/>
        <w:spacing w:after="60"/>
        <w:rPr>
          <w:rFonts w:ascii="Calibri" w:hAnsi="Calibri"/>
          <w:spacing w:val="0"/>
          <w:u w:val="single"/>
        </w:rPr>
      </w:pPr>
      <w:r w:rsidRPr="00747247">
        <w:rPr>
          <w:rFonts w:ascii="Calibri" w:hAnsi="Calibri"/>
          <w:spacing w:val="0"/>
          <w:u w:val="single"/>
        </w:rPr>
        <w:t>For HCWs with HIV wishing to perform EPPs:</w:t>
      </w:r>
    </w:p>
    <w:p w14:paraId="23F33874" w14:textId="77777777" w:rsidR="002F1BC7" w:rsidRPr="00747247" w:rsidRDefault="002F1BC7" w:rsidP="002F1BC7">
      <w:pPr>
        <w:pStyle w:val="Bulletsend"/>
        <w:widowControl/>
        <w:ind w:left="426"/>
        <w:rPr>
          <w:rFonts w:ascii="Calibri" w:hAnsi="Calibri"/>
          <w:spacing w:val="0"/>
          <w:sz w:val="24"/>
          <w:lang w:val="en-AU"/>
        </w:rPr>
      </w:pPr>
      <w:r w:rsidRPr="00747247">
        <w:rPr>
          <w:rFonts w:ascii="Calibri" w:hAnsi="Calibri"/>
          <w:spacing w:val="0"/>
          <w:sz w:val="24"/>
          <w:lang w:val="en-AU"/>
        </w:rPr>
        <w:t>Two test results from a NATA/RCPA accredited laboratory, taken no less than three months apart and with viral loads below 200 copies/mL are required to ensure viral load stability. At this point, a decision should be made as to whether health clearance could be given for the HCW to commence or resume EPP activities.</w:t>
      </w:r>
    </w:p>
    <w:p w14:paraId="44C96F0A" w14:textId="77777777" w:rsidR="002F1BC7" w:rsidRPr="00747247" w:rsidRDefault="002F1BC7" w:rsidP="002F1BC7">
      <w:pPr>
        <w:pStyle w:val="BodyText"/>
        <w:widowControl/>
        <w:spacing w:after="60"/>
        <w:rPr>
          <w:rFonts w:ascii="Calibri" w:hAnsi="Calibri"/>
          <w:spacing w:val="0"/>
          <w:u w:val="single"/>
        </w:rPr>
      </w:pPr>
      <w:r w:rsidRPr="00747247">
        <w:rPr>
          <w:rFonts w:ascii="Calibri" w:hAnsi="Calibri"/>
          <w:spacing w:val="0"/>
          <w:u w:val="single"/>
        </w:rPr>
        <w:t>For HCWs with HIV currently restricted from EPPs:</w:t>
      </w:r>
    </w:p>
    <w:p w14:paraId="7EB5B59C" w14:textId="77777777" w:rsidR="002F1BC7" w:rsidRPr="00DF1E0C" w:rsidRDefault="002F1BC7" w:rsidP="002F1BC7">
      <w:pPr>
        <w:pStyle w:val="Bulletsend"/>
        <w:widowControl/>
        <w:ind w:left="426" w:hanging="357"/>
        <w:rPr>
          <w:rFonts w:ascii="Calibri" w:hAnsi="Calibri"/>
          <w:spacing w:val="0"/>
          <w:sz w:val="24"/>
          <w:lang w:val="en-AU"/>
        </w:rPr>
      </w:pPr>
      <w:r w:rsidRPr="00747247">
        <w:rPr>
          <w:rFonts w:ascii="Calibri" w:hAnsi="Calibri"/>
          <w:spacing w:val="0"/>
          <w:sz w:val="24"/>
          <w:lang w:val="en-AU"/>
        </w:rPr>
        <w:t>Being on combination cART with a viral load below 200 copies/mL, measured on two occasions no less than three months apart, with the most recent result being no more than three months ago, should</w:t>
      </w:r>
      <w:r w:rsidRPr="00DF1E0C">
        <w:rPr>
          <w:rFonts w:ascii="Calibri" w:hAnsi="Calibri"/>
          <w:spacing w:val="0"/>
          <w:sz w:val="24"/>
          <w:lang w:val="en-AU"/>
        </w:rPr>
        <w:t xml:space="preserve"> be considered as consistent viral suppression by the treating doctor when considering to give health clearance for the HCW to resume EPP activities. </w:t>
      </w:r>
    </w:p>
    <w:p w14:paraId="1C051FDB" w14:textId="77777777" w:rsidR="002F1BC7" w:rsidRPr="00DF1E0C" w:rsidRDefault="002F1BC7" w:rsidP="002F1BC7">
      <w:pPr>
        <w:pStyle w:val="Bulletsend"/>
        <w:widowControl/>
        <w:ind w:left="426" w:hanging="357"/>
        <w:rPr>
          <w:rFonts w:ascii="Calibri" w:hAnsi="Calibri"/>
          <w:spacing w:val="0"/>
          <w:sz w:val="24"/>
          <w:lang w:val="en-AU"/>
        </w:rPr>
      </w:pPr>
      <w:r w:rsidRPr="00DF1E0C">
        <w:rPr>
          <w:rFonts w:ascii="Calibri" w:hAnsi="Calibri"/>
          <w:spacing w:val="0"/>
          <w:sz w:val="24"/>
          <w:lang w:val="en-AU"/>
        </w:rPr>
        <w:t>The decision to provide initial clearance for individual HCWs who have previously been excluded from work involving EPPs is the responsibility of the treating doctor. However, with more complex situations, the treating doctor may choose to consult with the relevant area of the jurisdictional health department. An example of a complex situation may include where other considerations apart from virological response are present including recency of practice</w:t>
      </w:r>
      <w:r w:rsidRPr="00DF1E0C">
        <w:rPr>
          <w:rStyle w:val="FootnoteReference"/>
          <w:rFonts w:ascii="Calibri" w:hAnsi="Calibri"/>
          <w:spacing w:val="0"/>
          <w:sz w:val="24"/>
          <w:lang w:val="en-AU"/>
        </w:rPr>
        <w:footnoteReference w:id="19"/>
      </w:r>
      <w:r w:rsidRPr="00DF1E0C">
        <w:rPr>
          <w:rFonts w:ascii="Calibri" w:hAnsi="Calibri"/>
          <w:spacing w:val="0"/>
          <w:sz w:val="24"/>
          <w:lang w:val="en-AU"/>
        </w:rPr>
        <w:t xml:space="preserve">, evidence of behaviour which could have affected the HCWs standard of practice, individual work variances etc. Consulting with the relevant area of the jurisdictional health department on these more complex issues may assist in preserving the therapeutic relationship and remove potential conflicts of interest </w:t>
      </w:r>
      <w:r w:rsidRPr="00DF1E0C">
        <w:rPr>
          <w:rFonts w:ascii="Calibri" w:hAnsi="Calibri"/>
          <w:spacing w:val="0"/>
          <w:sz w:val="24"/>
          <w:lang w:val="en-AU"/>
        </w:rPr>
        <w:lastRenderedPageBreak/>
        <w:t xml:space="preserve">between the treating doctor’s responsibilities to the HCW </w:t>
      </w:r>
      <w:r>
        <w:rPr>
          <w:rFonts w:ascii="Calibri" w:hAnsi="Calibri"/>
          <w:spacing w:val="0"/>
          <w:sz w:val="24"/>
          <w:lang w:val="en-AU"/>
        </w:rPr>
        <w:t xml:space="preserve">with HIV </w:t>
      </w:r>
      <w:r w:rsidRPr="00DF1E0C">
        <w:rPr>
          <w:rFonts w:ascii="Calibri" w:hAnsi="Calibri"/>
          <w:spacing w:val="0"/>
          <w:sz w:val="24"/>
          <w:lang w:val="en-AU"/>
        </w:rPr>
        <w:t xml:space="preserve">versus to public health. </w:t>
      </w:r>
    </w:p>
    <w:p w14:paraId="0BA3C38B" w14:textId="77777777" w:rsidR="002F1BC7" w:rsidRPr="00747247" w:rsidRDefault="002F1BC7" w:rsidP="002F1BC7">
      <w:pPr>
        <w:pStyle w:val="BodyText"/>
        <w:widowControl/>
        <w:spacing w:after="60"/>
        <w:rPr>
          <w:rFonts w:ascii="Calibri" w:hAnsi="Calibri"/>
          <w:spacing w:val="0"/>
          <w:u w:val="single"/>
        </w:rPr>
      </w:pPr>
      <w:r w:rsidRPr="00747247">
        <w:rPr>
          <w:rFonts w:ascii="Calibri" w:hAnsi="Calibri"/>
          <w:spacing w:val="0"/>
          <w:u w:val="single"/>
        </w:rPr>
        <w:t>For HCWs with HIV who are elite controllers:</w:t>
      </w:r>
    </w:p>
    <w:p w14:paraId="24915AB4" w14:textId="77777777" w:rsidR="002F1BC7" w:rsidRPr="00747247" w:rsidRDefault="002F1BC7" w:rsidP="002F1BC7">
      <w:pPr>
        <w:pStyle w:val="BulletsBody1"/>
        <w:widowControl/>
        <w:rPr>
          <w:rFonts w:ascii="Calibri" w:hAnsi="Calibri"/>
          <w:sz w:val="24"/>
          <w:lang w:val="en-AU"/>
        </w:rPr>
      </w:pPr>
      <w:r w:rsidRPr="00747247">
        <w:rPr>
          <w:rFonts w:ascii="Calibri" w:hAnsi="Calibri"/>
          <w:sz w:val="24"/>
          <w:lang w:val="en-AU"/>
        </w:rPr>
        <w:t xml:space="preserve">See section </w:t>
      </w:r>
      <w:r w:rsidRPr="009672B5">
        <w:rPr>
          <w:rFonts w:ascii="Calibri" w:hAnsi="Calibri"/>
          <w:sz w:val="24"/>
          <w:lang w:val="en-AU"/>
        </w:rPr>
        <w:fldChar w:fldCharType="begin"/>
      </w:r>
      <w:r w:rsidRPr="00747247">
        <w:rPr>
          <w:rFonts w:ascii="Calibri" w:hAnsi="Calibri"/>
          <w:sz w:val="24"/>
          <w:lang w:val="en-AU"/>
        </w:rPr>
        <w:instrText xml:space="preserve"> REF _Ref448477568 \h  \* MERGEFORMAT </w:instrText>
      </w:r>
      <w:r w:rsidRPr="009672B5">
        <w:rPr>
          <w:rFonts w:ascii="Calibri" w:hAnsi="Calibri"/>
          <w:sz w:val="24"/>
          <w:lang w:val="en-AU"/>
        </w:rPr>
      </w:r>
      <w:r w:rsidRPr="009672B5">
        <w:rPr>
          <w:rFonts w:ascii="Calibri" w:hAnsi="Calibri"/>
          <w:sz w:val="24"/>
          <w:lang w:val="en-AU"/>
        </w:rPr>
        <w:fldChar w:fldCharType="separate"/>
      </w:r>
      <w:r w:rsidRPr="00013F35">
        <w:rPr>
          <w:rFonts w:ascii="Calibri" w:hAnsi="Calibri"/>
          <w:color w:val="FF0000"/>
          <w:sz w:val="24"/>
        </w:rPr>
        <w:t>8.2.7</w:t>
      </w:r>
      <w:r w:rsidRPr="00013F35">
        <w:rPr>
          <w:rFonts w:ascii="Calibri" w:hAnsi="Calibri"/>
          <w:color w:val="FF0000"/>
          <w:sz w:val="24"/>
        </w:rPr>
        <w:tab/>
        <w:t>Elite controllers</w:t>
      </w:r>
      <w:r w:rsidRPr="009672B5">
        <w:rPr>
          <w:rFonts w:ascii="Calibri" w:hAnsi="Calibri"/>
          <w:sz w:val="24"/>
          <w:lang w:val="en-AU"/>
        </w:rPr>
        <w:fldChar w:fldCharType="end"/>
      </w:r>
      <w:r w:rsidRPr="00747247">
        <w:rPr>
          <w:rFonts w:ascii="Calibri" w:hAnsi="Calibri"/>
          <w:sz w:val="24"/>
          <w:lang w:val="en-AU"/>
        </w:rPr>
        <w:t>.</w:t>
      </w:r>
    </w:p>
    <w:p w14:paraId="77516F7F" w14:textId="77777777" w:rsidR="002F1BC7" w:rsidRPr="00747247" w:rsidRDefault="002F1BC7" w:rsidP="002F1BC7">
      <w:pPr>
        <w:pStyle w:val="Heading3"/>
        <w:rPr>
          <w:rFonts w:ascii="Calibri" w:hAnsi="Calibri"/>
          <w:color w:val="FF0000"/>
        </w:rPr>
      </w:pPr>
      <w:r w:rsidRPr="00747247">
        <w:rPr>
          <w:rFonts w:ascii="Calibri" w:hAnsi="Calibri"/>
          <w:color w:val="FF0000"/>
        </w:rPr>
        <w:t>8.2.3</w:t>
      </w:r>
      <w:r w:rsidRPr="00747247">
        <w:rPr>
          <w:rFonts w:ascii="Calibri" w:hAnsi="Calibri"/>
          <w:color w:val="FF0000"/>
        </w:rPr>
        <w:tab/>
        <w:t>Viral load monitoring and ongoing clearance for HCWs with HIV performing EPPs</w:t>
      </w:r>
    </w:p>
    <w:p w14:paraId="0A2F5F9D" w14:textId="77777777" w:rsidR="002F1BC7" w:rsidRPr="00DF1E0C" w:rsidRDefault="002F1BC7" w:rsidP="002F1BC7">
      <w:pPr>
        <w:pStyle w:val="BodyText"/>
        <w:widowControl/>
        <w:rPr>
          <w:rFonts w:ascii="Calibri" w:hAnsi="Calibri"/>
          <w:spacing w:val="0"/>
        </w:rPr>
      </w:pPr>
      <w:r w:rsidRPr="00747247">
        <w:rPr>
          <w:rFonts w:ascii="Calibri" w:hAnsi="Calibri"/>
          <w:spacing w:val="0"/>
        </w:rPr>
        <w:t>HCWs with HIV who are cleared to perform EPPs must undergo viral load testing every three months while continuing to perform such procedures. The three month period should be taken from the date the previous sample was drawn, not from the date the result was</w:t>
      </w:r>
      <w:r w:rsidRPr="00DF1E0C">
        <w:rPr>
          <w:rFonts w:ascii="Calibri" w:hAnsi="Calibri"/>
          <w:spacing w:val="0"/>
        </w:rPr>
        <w:t xml:space="preserve"> received.</w:t>
      </w:r>
    </w:p>
    <w:p w14:paraId="5673C2E8" w14:textId="77777777" w:rsidR="002F1BC7" w:rsidRPr="00DF1E0C" w:rsidRDefault="002F1BC7" w:rsidP="002F1BC7">
      <w:pPr>
        <w:pStyle w:val="BodyText"/>
        <w:widowControl/>
        <w:rPr>
          <w:rFonts w:ascii="Calibri" w:hAnsi="Calibri"/>
          <w:spacing w:val="0"/>
        </w:rPr>
      </w:pPr>
      <w:r w:rsidRPr="00DF1E0C">
        <w:rPr>
          <w:rFonts w:ascii="Calibri" w:hAnsi="Calibri"/>
          <w:spacing w:val="0"/>
        </w:rPr>
        <w:t>If a HCW’s plasma viral load rises above 1 000 copies/mL, they should be immediately restricted from carrying out EPPs until their viral load is again consistently below 200 copies/mL in at least two tests done no less than three months apart. The significance of any increase in plasma viral load above 200 copies/mL but below 1 000 copies/mL should be assessed by the treating doctor with input from experts (e.g. consultant virologist or microbiologist) if appropriate.</w:t>
      </w:r>
    </w:p>
    <w:p w14:paraId="320912F4" w14:textId="77777777" w:rsidR="002F1BC7" w:rsidRPr="00DF1E0C" w:rsidRDefault="002F1BC7" w:rsidP="002F1BC7">
      <w:pPr>
        <w:pStyle w:val="BodyText"/>
        <w:widowControl/>
        <w:rPr>
          <w:rFonts w:ascii="Calibri" w:hAnsi="Calibri"/>
          <w:spacing w:val="0"/>
        </w:rPr>
      </w:pPr>
      <w:r w:rsidRPr="00DF1E0C">
        <w:rPr>
          <w:rFonts w:ascii="Calibri" w:hAnsi="Calibri"/>
          <w:spacing w:val="0"/>
        </w:rPr>
        <w:fldChar w:fldCharType="begin"/>
      </w:r>
      <w:r w:rsidRPr="00DF1E0C">
        <w:rPr>
          <w:rFonts w:ascii="Calibri" w:hAnsi="Calibri"/>
          <w:spacing w:val="0"/>
        </w:rPr>
        <w:instrText xml:space="preserve"> REF _Ref455654694 \h  \* MERGEFORMAT </w:instrText>
      </w:r>
      <w:r w:rsidRPr="00DF1E0C">
        <w:rPr>
          <w:rFonts w:ascii="Calibri" w:hAnsi="Calibri"/>
          <w:spacing w:val="0"/>
        </w:rPr>
      </w:r>
      <w:r w:rsidRPr="00DF1E0C">
        <w:rPr>
          <w:rFonts w:ascii="Calibri" w:hAnsi="Calibri"/>
          <w:spacing w:val="0"/>
        </w:rPr>
        <w:fldChar w:fldCharType="separate"/>
      </w:r>
      <w:r w:rsidRPr="00013F35">
        <w:rPr>
          <w:rFonts w:ascii="Calibri" w:hAnsi="Calibri" w:cs="Arial"/>
        </w:rPr>
        <w:t xml:space="preserve">Table </w:t>
      </w:r>
      <w:r w:rsidRPr="00013F35">
        <w:rPr>
          <w:rFonts w:ascii="Calibri" w:hAnsi="Calibri" w:cs="Arial"/>
          <w:noProof/>
        </w:rPr>
        <w:t>3</w:t>
      </w:r>
      <w:r w:rsidRPr="00DF1E0C">
        <w:rPr>
          <w:rFonts w:ascii="Calibri" w:hAnsi="Calibri"/>
          <w:spacing w:val="0"/>
        </w:rPr>
        <w:fldChar w:fldCharType="end"/>
      </w:r>
      <w:r w:rsidRPr="00DF1E0C">
        <w:rPr>
          <w:rFonts w:ascii="Calibri" w:hAnsi="Calibri"/>
          <w:spacing w:val="0"/>
        </w:rPr>
        <w:t xml:space="preserve"> sets out the expected course of action for viral load test results below and above the level for EPP clearance (200 copies/mL).</w:t>
      </w:r>
    </w:p>
    <w:p w14:paraId="2128D7DC" w14:textId="77777777" w:rsidR="002F1BC7" w:rsidRPr="00DF1E0C" w:rsidRDefault="002F1BC7" w:rsidP="002F1BC7">
      <w:pPr>
        <w:rPr>
          <w:rFonts w:eastAsia="Arial"/>
          <w:i/>
          <w:szCs w:val="20"/>
          <w:lang w:val="en-AU"/>
        </w:rPr>
      </w:pPr>
    </w:p>
    <w:p w14:paraId="36EDD5C2" w14:textId="77777777" w:rsidR="002F1BC7" w:rsidRPr="00DF1E0C" w:rsidRDefault="002F1BC7" w:rsidP="002F1BC7">
      <w:pPr>
        <w:rPr>
          <w:rFonts w:eastAsia="Arial"/>
          <w:i/>
          <w:szCs w:val="20"/>
          <w:lang w:val="en-AU"/>
        </w:rPr>
      </w:pPr>
      <w:r w:rsidRPr="00DF1E0C">
        <w:rPr>
          <w:i/>
          <w:sz w:val="28"/>
          <w:lang w:val="en-AU"/>
        </w:rPr>
        <w:br w:type="page"/>
      </w:r>
    </w:p>
    <w:p w14:paraId="5D2E4E37" w14:textId="77777777" w:rsidR="002F1BC7" w:rsidRPr="00DF1E0C" w:rsidRDefault="002F1BC7" w:rsidP="002F1BC7">
      <w:pPr>
        <w:pStyle w:val="Caption"/>
        <w:keepNext/>
        <w:rPr>
          <w:rFonts w:ascii="Calibri" w:hAnsi="Calibri" w:cs="Arial"/>
          <w:b w:val="0"/>
          <w:i/>
          <w:sz w:val="24"/>
        </w:rPr>
      </w:pPr>
      <w:bookmarkStart w:id="45" w:name="_Ref455654694"/>
      <w:r w:rsidRPr="00DF1E0C">
        <w:rPr>
          <w:rFonts w:ascii="Calibri" w:hAnsi="Calibri" w:cs="Arial"/>
          <w:b w:val="0"/>
          <w:i/>
          <w:sz w:val="24"/>
        </w:rPr>
        <w:lastRenderedPageBreak/>
        <w:t xml:space="preserve">Table </w:t>
      </w:r>
      <w:r w:rsidRPr="00DF1E0C">
        <w:rPr>
          <w:rFonts w:ascii="Calibri" w:hAnsi="Calibri" w:cs="Arial"/>
          <w:b w:val="0"/>
          <w:i/>
          <w:sz w:val="24"/>
        </w:rPr>
        <w:fldChar w:fldCharType="begin"/>
      </w:r>
      <w:r w:rsidRPr="00DF1E0C">
        <w:rPr>
          <w:rFonts w:ascii="Calibri" w:hAnsi="Calibri" w:cs="Arial"/>
          <w:b w:val="0"/>
          <w:i/>
          <w:sz w:val="24"/>
        </w:rPr>
        <w:instrText xml:space="preserve"> SEQ Table \* ARABIC </w:instrText>
      </w:r>
      <w:r w:rsidRPr="00DF1E0C">
        <w:rPr>
          <w:rFonts w:ascii="Calibri" w:hAnsi="Calibri" w:cs="Arial"/>
          <w:b w:val="0"/>
          <w:i/>
          <w:sz w:val="24"/>
        </w:rPr>
        <w:fldChar w:fldCharType="separate"/>
      </w:r>
      <w:r>
        <w:rPr>
          <w:rFonts w:ascii="Calibri" w:hAnsi="Calibri" w:cs="Arial"/>
          <w:b w:val="0"/>
          <w:i/>
          <w:noProof/>
          <w:sz w:val="24"/>
        </w:rPr>
        <w:t>3</w:t>
      </w:r>
      <w:r w:rsidRPr="00DF1E0C">
        <w:rPr>
          <w:rFonts w:ascii="Calibri" w:hAnsi="Calibri" w:cs="Arial"/>
          <w:b w:val="0"/>
          <w:i/>
          <w:sz w:val="24"/>
        </w:rPr>
        <w:fldChar w:fldCharType="end"/>
      </w:r>
      <w:bookmarkEnd w:id="45"/>
      <w:r w:rsidRPr="00DF1E0C">
        <w:rPr>
          <w:rFonts w:ascii="Calibri" w:hAnsi="Calibri" w:cs="Arial"/>
          <w:b w:val="0"/>
          <w:i/>
          <w:sz w:val="24"/>
        </w:rPr>
        <w:t>: HIV viral load monitoring and subsequent action</w:t>
      </w:r>
    </w:p>
    <w:tbl>
      <w:tblPr>
        <w:tblW w:w="5000" w:type="pct"/>
        <w:tblBorders>
          <w:top w:val="single" w:sz="4" w:space="0" w:color="FF0000"/>
          <w:left w:val="single" w:sz="4" w:space="0" w:color="FF0000"/>
          <w:bottom w:val="single" w:sz="4" w:space="0" w:color="FF0000"/>
          <w:right w:val="single" w:sz="4" w:space="0" w:color="FF0000"/>
          <w:insideH w:val="single" w:sz="4" w:space="0" w:color="FF0000"/>
        </w:tblBorders>
        <w:tblLook w:val="01E0" w:firstRow="1" w:lastRow="1" w:firstColumn="1" w:lastColumn="1" w:noHBand="0" w:noVBand="0"/>
      </w:tblPr>
      <w:tblGrid>
        <w:gridCol w:w="4022"/>
        <w:gridCol w:w="5037"/>
      </w:tblGrid>
      <w:tr w:rsidR="002F1BC7" w:rsidRPr="003049C5" w14:paraId="01D2C89F" w14:textId="77777777" w:rsidTr="00FF0ED0">
        <w:trPr>
          <w:trHeight w:val="397"/>
        </w:trPr>
        <w:tc>
          <w:tcPr>
            <w:tcW w:w="2220" w:type="pct"/>
            <w:shd w:val="clear" w:color="auto" w:fill="FF0000"/>
          </w:tcPr>
          <w:p w14:paraId="547B6C8B" w14:textId="77777777" w:rsidR="002F1BC7" w:rsidRPr="003049C5" w:rsidRDefault="002F1BC7" w:rsidP="00FF0ED0">
            <w:pPr>
              <w:pStyle w:val="BodyText"/>
              <w:widowControl/>
              <w:spacing w:after="0"/>
              <w:rPr>
                <w:rFonts w:ascii="Calibri" w:hAnsi="Calibri"/>
                <w:b/>
                <w:bCs/>
                <w:color w:val="FFFFFF"/>
                <w:spacing w:val="0"/>
              </w:rPr>
            </w:pPr>
            <w:r w:rsidRPr="003049C5">
              <w:rPr>
                <w:rFonts w:ascii="Calibri" w:hAnsi="Calibri"/>
                <w:b/>
                <w:bCs/>
                <w:color w:val="FFFFFF"/>
                <w:spacing w:val="0"/>
              </w:rPr>
              <w:t>HIV viral load result</w:t>
            </w:r>
          </w:p>
        </w:tc>
        <w:tc>
          <w:tcPr>
            <w:tcW w:w="2780" w:type="pct"/>
            <w:shd w:val="clear" w:color="auto" w:fill="FF0000"/>
          </w:tcPr>
          <w:p w14:paraId="1E000529" w14:textId="77777777" w:rsidR="002F1BC7" w:rsidRPr="003049C5" w:rsidRDefault="002F1BC7" w:rsidP="00FF0ED0">
            <w:pPr>
              <w:pStyle w:val="BodyText"/>
              <w:widowControl/>
              <w:spacing w:after="0"/>
              <w:rPr>
                <w:rFonts w:ascii="Calibri" w:hAnsi="Calibri"/>
                <w:b/>
                <w:bCs/>
                <w:color w:val="FFFFFF"/>
                <w:spacing w:val="0"/>
              </w:rPr>
            </w:pPr>
            <w:r w:rsidRPr="003049C5">
              <w:rPr>
                <w:rFonts w:ascii="Calibri" w:hAnsi="Calibri"/>
                <w:b/>
                <w:bCs/>
                <w:color w:val="FFFFFF"/>
                <w:spacing w:val="0"/>
              </w:rPr>
              <w:t>Action</w:t>
            </w:r>
          </w:p>
        </w:tc>
      </w:tr>
      <w:tr w:rsidR="002F1BC7" w:rsidRPr="003049C5" w14:paraId="60387E03" w14:textId="77777777" w:rsidTr="00FF0ED0">
        <w:trPr>
          <w:trHeight w:val="397"/>
        </w:trPr>
        <w:tc>
          <w:tcPr>
            <w:tcW w:w="2220" w:type="pct"/>
          </w:tcPr>
          <w:p w14:paraId="0E671D42"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less than 50 copies/mL or undetectable</w:t>
            </w:r>
          </w:p>
        </w:tc>
        <w:tc>
          <w:tcPr>
            <w:tcW w:w="2780" w:type="pct"/>
          </w:tcPr>
          <w:p w14:paraId="24DA27E0"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No action – retest in three months</w:t>
            </w:r>
          </w:p>
        </w:tc>
      </w:tr>
      <w:tr w:rsidR="002F1BC7" w:rsidRPr="003049C5" w14:paraId="206D1628" w14:textId="77777777" w:rsidTr="00FF0ED0">
        <w:trPr>
          <w:trHeight w:val="397"/>
        </w:trPr>
        <w:tc>
          <w:tcPr>
            <w:tcW w:w="2220" w:type="pct"/>
          </w:tcPr>
          <w:p w14:paraId="7247176C"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50 – 200 copies/mL</w:t>
            </w:r>
          </w:p>
        </w:tc>
        <w:tc>
          <w:tcPr>
            <w:tcW w:w="2780" w:type="pct"/>
          </w:tcPr>
          <w:p w14:paraId="2C5A7E60"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 xml:space="preserve">A case-by-case approach based on clinical judgement, which may result in no action (as above) or a second test may be done 10 days later on a new blood sample to verify the first result. Further action would be informed by the subsequent test result. </w:t>
            </w:r>
          </w:p>
          <w:p w14:paraId="26AEF155"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If the second result remains in the 50 – 200 copies/mL range, considered low level viraemia, no further action is required and there are no treatment guidelines that suggest a change in antiretroviral treatment at this level. Emphasising treatment compliance to ensure the individual remains in the low level viraemia classification is important.</w:t>
            </w:r>
          </w:p>
        </w:tc>
      </w:tr>
      <w:tr w:rsidR="002F1BC7" w:rsidRPr="003049C5" w14:paraId="66153A20" w14:textId="77777777" w:rsidTr="00FF0ED0">
        <w:trPr>
          <w:trHeight w:val="397"/>
        </w:trPr>
        <w:tc>
          <w:tcPr>
            <w:tcW w:w="2220" w:type="pct"/>
          </w:tcPr>
          <w:p w14:paraId="13F7D2ED"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201 copies/mL – 999 copies/mL</w:t>
            </w:r>
          </w:p>
        </w:tc>
        <w:tc>
          <w:tcPr>
            <w:tcW w:w="2780" w:type="pct"/>
          </w:tcPr>
          <w:p w14:paraId="25639222"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 xml:space="preserve">A second test should be done 10 days later on a new blood sample to verify the first result. If the viral load is still in excess of 200 copies/mL, the HCW must cease conducting EPPs until their viral load, in two consecutive tests no less than three months apart, is reduced to below 200 copies/mL. </w:t>
            </w:r>
          </w:p>
          <w:p w14:paraId="77E9F97D"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 xml:space="preserve">A change in antiretroviral treatment may be required </w:t>
            </w:r>
            <w:r w:rsidRPr="003049C5">
              <w:rPr>
                <w:rFonts w:ascii="Calibri" w:hAnsi="Calibri"/>
                <w:b/>
                <w:bCs/>
                <w:spacing w:val="0"/>
              </w:rPr>
              <w:fldChar w:fldCharType="begin"/>
            </w:r>
            <w:r w:rsidRPr="003049C5">
              <w:rPr>
                <w:rFonts w:ascii="Calibri" w:hAnsi="Calibri"/>
                <w:b/>
                <w:bCs/>
                <w:spacing w:val="0"/>
              </w:rPr>
              <w:instrText xml:space="preserve"> ADDIN EN.CITE &lt;EndNote&gt;&lt;Cite&gt;&lt;Author&gt;Panel on Antiretroviral Guidelines for Adults and Adolescents&lt;/Author&gt;&lt;RecNum&gt;58&lt;/RecNum&gt;&lt;DisplayText&gt;[83]&lt;/DisplayText&gt;&lt;record&gt;&lt;rec-number&gt;58&lt;/rec-number&gt;&lt;foreign-keys&gt;&lt;key app="EN" db-id="5d9ze055j2zd5revw2n50xpwd0fze9frtdxr"&gt;58&lt;/key&gt;&lt;/foreign-keys&gt;&lt;ref-type name="Government Document"&gt;46&lt;/ref-type&gt;&lt;contributors&gt;&lt;authors&gt;&lt;author&gt;Panel on Antiretroviral Guidelines for Adults and Adolescents,&lt;/author&gt;&lt;/authors&gt;&lt;/contributors&gt;&lt;titles&gt;&lt;title&gt;Guidelines for the use of antiretroviral agents in HIV-1-infected adults and adolescents. Department of Health and Human Services&lt;/title&gt;&lt;/titles&gt;&lt;dates&gt;&lt;/dates&gt;&lt;urls&gt;&lt;related-urls&gt;&lt;url&gt;http://www.aidsinfo.nih.gov/ContentFiles/AdultandAdolescentGL.pdf&lt;/url&gt;&lt;/related-urls&gt;&lt;/urls&gt;&lt;access-date&gt;July 2015&lt;/access-date&gt;&lt;/record&gt;&lt;/Cite&gt;&lt;/EndNote&gt;</w:instrText>
            </w:r>
            <w:r w:rsidRPr="003049C5">
              <w:rPr>
                <w:rFonts w:ascii="Calibri" w:hAnsi="Calibri"/>
                <w:b/>
                <w:bCs/>
                <w:spacing w:val="0"/>
              </w:rPr>
              <w:fldChar w:fldCharType="separate"/>
            </w:r>
            <w:r w:rsidRPr="003049C5">
              <w:rPr>
                <w:rFonts w:ascii="Calibri" w:hAnsi="Calibri"/>
                <w:b/>
                <w:bCs/>
                <w:noProof/>
                <w:spacing w:val="0"/>
              </w:rPr>
              <w:t>[</w:t>
            </w:r>
            <w:hyperlink w:anchor="_ENREF_83" w:tooltip="Panel on Antiretroviral Guidelines for Adults and Adolescents,  #58" w:history="1">
              <w:r w:rsidRPr="003049C5">
                <w:rPr>
                  <w:rFonts w:ascii="Calibri" w:hAnsi="Calibri"/>
                  <w:b/>
                  <w:bCs/>
                  <w:noProof/>
                  <w:spacing w:val="0"/>
                </w:rPr>
                <w:t>83</w:t>
              </w:r>
            </w:hyperlink>
            <w:r w:rsidRPr="003049C5">
              <w:rPr>
                <w:rFonts w:ascii="Calibri" w:hAnsi="Calibri"/>
                <w:b/>
                <w:bCs/>
                <w:noProof/>
                <w:spacing w:val="0"/>
              </w:rPr>
              <w:t>]</w:t>
            </w:r>
            <w:r w:rsidRPr="003049C5">
              <w:rPr>
                <w:rFonts w:ascii="Calibri" w:hAnsi="Calibri"/>
                <w:b/>
                <w:bCs/>
                <w:spacing w:val="0"/>
              </w:rPr>
              <w:fldChar w:fldCharType="end"/>
            </w:r>
            <w:r w:rsidRPr="003049C5">
              <w:rPr>
                <w:rFonts w:ascii="Calibri" w:hAnsi="Calibri"/>
                <w:b/>
                <w:bCs/>
                <w:spacing w:val="0"/>
              </w:rPr>
              <w:t>.</w:t>
            </w:r>
          </w:p>
        </w:tc>
      </w:tr>
      <w:tr w:rsidR="002F1BC7" w:rsidRPr="003049C5" w14:paraId="4E602235" w14:textId="77777777" w:rsidTr="00FF0ED0">
        <w:trPr>
          <w:trHeight w:val="397"/>
        </w:trPr>
        <w:tc>
          <w:tcPr>
            <w:tcW w:w="2220" w:type="pct"/>
          </w:tcPr>
          <w:p w14:paraId="5763D86E"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1 000 copies/mL or above</w:t>
            </w:r>
          </w:p>
        </w:tc>
        <w:tc>
          <w:tcPr>
            <w:tcW w:w="2780" w:type="pct"/>
          </w:tcPr>
          <w:p w14:paraId="2C72E900"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 xml:space="preserve">The HCW must cease conducting EPPs immediately. A second test must be done on a new blood sample 10 days later to verify the first result. If the viral load is still in excess of 1 000 copies/mL, a full risk assessment should be initiated to determine the risk of HCW to patient transmission. At a minimum, this will include discussion between the treating doctor, the local communicable disease control unit or public health unit and the relevant infection control service if appropriate, on the significance of the result to the risk of HIV transmission. </w:t>
            </w:r>
          </w:p>
          <w:p w14:paraId="4F617433"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Following a risk assessment, patient notification may be indicated but would generally only be considered when a serious breach of infection prevention and control practices has been identified.</w:t>
            </w:r>
          </w:p>
          <w:p w14:paraId="68B3A224" w14:textId="77777777" w:rsidR="002F1BC7" w:rsidRPr="003049C5" w:rsidRDefault="002F1BC7" w:rsidP="00FF0ED0">
            <w:pPr>
              <w:pStyle w:val="BodyText"/>
              <w:widowControl/>
              <w:spacing w:after="0"/>
              <w:rPr>
                <w:rFonts w:ascii="Calibri" w:hAnsi="Calibri"/>
                <w:b/>
                <w:bCs/>
                <w:spacing w:val="0"/>
              </w:rPr>
            </w:pPr>
            <w:r w:rsidRPr="003049C5">
              <w:rPr>
                <w:rFonts w:ascii="Calibri" w:hAnsi="Calibri"/>
                <w:b/>
                <w:bCs/>
                <w:spacing w:val="0"/>
              </w:rPr>
              <w:t xml:space="preserve">A change in antiretroviral treatment may be required. </w:t>
            </w:r>
          </w:p>
        </w:tc>
      </w:tr>
    </w:tbl>
    <w:p w14:paraId="590D3101" w14:textId="77777777" w:rsidR="002F1BC7" w:rsidRDefault="002F1BC7" w:rsidP="002F1BC7">
      <w:pPr>
        <w:rPr>
          <w:rFonts w:eastAsia="Arial"/>
          <w:b/>
          <w:sz w:val="28"/>
          <w:lang w:val="en-AU"/>
        </w:rPr>
      </w:pPr>
    </w:p>
    <w:p w14:paraId="6A1DE6D3" w14:textId="77777777" w:rsidR="002F1BC7" w:rsidRPr="00DF1E0C" w:rsidRDefault="002F1BC7" w:rsidP="002F1BC7">
      <w:pPr>
        <w:rPr>
          <w:rFonts w:eastAsia="Arial"/>
          <w:b/>
          <w:sz w:val="28"/>
          <w:lang w:val="en-AU"/>
        </w:rPr>
      </w:pPr>
    </w:p>
    <w:p w14:paraId="182D2956" w14:textId="77777777" w:rsidR="002F1BC7" w:rsidRPr="00DF1E0C" w:rsidRDefault="002F1BC7" w:rsidP="002F1BC7">
      <w:pPr>
        <w:pStyle w:val="Heading3"/>
        <w:rPr>
          <w:rFonts w:ascii="Calibri" w:hAnsi="Calibri"/>
          <w:color w:val="FF0000"/>
        </w:rPr>
      </w:pPr>
      <w:r w:rsidRPr="00DF1E0C">
        <w:rPr>
          <w:rFonts w:ascii="Calibri" w:hAnsi="Calibri"/>
          <w:color w:val="FF0000"/>
        </w:rPr>
        <w:t>8.2.4</w:t>
      </w:r>
      <w:r w:rsidRPr="00DF1E0C">
        <w:rPr>
          <w:rFonts w:ascii="Calibri" w:hAnsi="Calibri"/>
          <w:color w:val="FF0000"/>
        </w:rPr>
        <w:tab/>
        <w:t>Resuming EPPs</w:t>
      </w:r>
    </w:p>
    <w:p w14:paraId="17978550" w14:textId="77777777" w:rsidR="002F1BC7" w:rsidRDefault="002F1BC7" w:rsidP="002F1BC7">
      <w:pPr>
        <w:pStyle w:val="BodyText"/>
        <w:widowControl/>
        <w:rPr>
          <w:color w:val="FF0000"/>
          <w:sz w:val="28"/>
        </w:rPr>
      </w:pPr>
      <w:r w:rsidRPr="00DF1E0C">
        <w:rPr>
          <w:rFonts w:ascii="Calibri" w:hAnsi="Calibri"/>
          <w:spacing w:val="0"/>
        </w:rPr>
        <w:t>Resumption of EPP activities following a period of exclusion (for whatever reason) requires demonstration of consistent viral load suppression i.e. at least two test results, with viral load levels below 200 copies/mL, no less than three months apart. Retraining and supervision for those HCWs returning to EPPs should be cons</w:t>
      </w:r>
      <w:r>
        <w:rPr>
          <w:rFonts w:ascii="Calibri" w:hAnsi="Calibri"/>
          <w:spacing w:val="0"/>
        </w:rPr>
        <w:t>idered on a case-by-case basis.</w:t>
      </w:r>
    </w:p>
    <w:p w14:paraId="2AE202F7" w14:textId="77777777" w:rsidR="002F1BC7" w:rsidRPr="00747247" w:rsidRDefault="002F1BC7" w:rsidP="002F1BC7">
      <w:pPr>
        <w:pStyle w:val="Heading3"/>
        <w:rPr>
          <w:rFonts w:ascii="Calibri" w:hAnsi="Calibri"/>
          <w:color w:val="FF0000"/>
        </w:rPr>
      </w:pPr>
      <w:r w:rsidRPr="00747247">
        <w:rPr>
          <w:rFonts w:ascii="Calibri" w:hAnsi="Calibri"/>
          <w:color w:val="FF0000"/>
        </w:rPr>
        <w:t>8.2.5</w:t>
      </w:r>
      <w:r w:rsidRPr="00747247">
        <w:rPr>
          <w:rFonts w:ascii="Calibri" w:hAnsi="Calibri"/>
          <w:color w:val="FF0000"/>
        </w:rPr>
        <w:tab/>
        <w:t>Breaks in monitoring</w:t>
      </w:r>
    </w:p>
    <w:p w14:paraId="3B987A59" w14:textId="77777777" w:rsidR="002F1BC7" w:rsidRPr="00747247" w:rsidRDefault="002F1BC7" w:rsidP="002F1BC7">
      <w:pPr>
        <w:pStyle w:val="BodyText"/>
        <w:widowControl/>
        <w:rPr>
          <w:rFonts w:ascii="Calibri" w:hAnsi="Calibri"/>
          <w:spacing w:val="0"/>
        </w:rPr>
      </w:pPr>
      <w:r w:rsidRPr="00747247">
        <w:rPr>
          <w:rFonts w:ascii="Calibri" w:hAnsi="Calibri"/>
          <w:spacing w:val="0"/>
        </w:rPr>
        <w:t xml:space="preserve">HCWs with HIV who take a career break from performing EPPs may wish to continue three monthly monitoring during this period to facilitate a return to EPP activities. Individuals with a break in their monitoring record must meet the criteria for initial clearance (See Section </w:t>
      </w:r>
      <w:r w:rsidRPr="009672B5">
        <w:rPr>
          <w:rFonts w:ascii="Calibri" w:hAnsi="Calibri"/>
          <w:spacing w:val="0"/>
        </w:rPr>
        <w:fldChar w:fldCharType="begin"/>
      </w:r>
      <w:r w:rsidRPr="00747247">
        <w:rPr>
          <w:rFonts w:ascii="Calibri" w:hAnsi="Calibri"/>
          <w:spacing w:val="0"/>
        </w:rPr>
        <w:instrText xml:space="preserve"> REF _Ref448477401 \h  \* MERGEFORMAT </w:instrText>
      </w:r>
      <w:r w:rsidRPr="009672B5">
        <w:rPr>
          <w:rFonts w:ascii="Calibri" w:hAnsi="Calibri"/>
          <w:spacing w:val="0"/>
        </w:rPr>
      </w:r>
      <w:r w:rsidRPr="009672B5">
        <w:rPr>
          <w:rFonts w:ascii="Calibri" w:hAnsi="Calibri"/>
          <w:spacing w:val="0"/>
        </w:rPr>
        <w:fldChar w:fldCharType="separate"/>
      </w:r>
      <w:r w:rsidRPr="00013F35">
        <w:rPr>
          <w:rFonts w:ascii="Calibri" w:hAnsi="Calibri"/>
          <w:color w:val="FF0000"/>
        </w:rPr>
        <w:t>8.2.2</w:t>
      </w:r>
      <w:r w:rsidRPr="00013F35">
        <w:rPr>
          <w:rFonts w:ascii="Calibri" w:hAnsi="Calibri"/>
          <w:color w:val="FF0000"/>
        </w:rPr>
        <w:tab/>
        <w:t>Initial health clearance for HCWs with HIV who wish to perform EPPs</w:t>
      </w:r>
      <w:r w:rsidRPr="009672B5">
        <w:rPr>
          <w:rFonts w:ascii="Calibri" w:hAnsi="Calibri"/>
          <w:spacing w:val="0"/>
        </w:rPr>
        <w:fldChar w:fldCharType="end"/>
      </w:r>
      <w:r w:rsidRPr="00747247">
        <w:rPr>
          <w:rFonts w:ascii="Calibri" w:hAnsi="Calibri"/>
          <w:spacing w:val="0"/>
        </w:rPr>
        <w:t>) before returning to EPP activities.</w:t>
      </w:r>
    </w:p>
    <w:p w14:paraId="639A8025" w14:textId="77777777" w:rsidR="002F1BC7" w:rsidRPr="00747247" w:rsidRDefault="002F1BC7" w:rsidP="002F1BC7">
      <w:pPr>
        <w:pStyle w:val="Heading3"/>
        <w:rPr>
          <w:rFonts w:ascii="Calibri" w:hAnsi="Calibri"/>
          <w:color w:val="FF0000"/>
        </w:rPr>
      </w:pPr>
      <w:r w:rsidRPr="00747247">
        <w:rPr>
          <w:rFonts w:ascii="Calibri" w:hAnsi="Calibri"/>
          <w:color w:val="FF0000"/>
        </w:rPr>
        <w:t>8.2.6</w:t>
      </w:r>
      <w:r w:rsidRPr="00747247">
        <w:rPr>
          <w:rFonts w:ascii="Calibri" w:hAnsi="Calibri"/>
          <w:color w:val="FF0000"/>
        </w:rPr>
        <w:tab/>
        <w:t>Treatment issues</w:t>
      </w:r>
    </w:p>
    <w:p w14:paraId="39330726" w14:textId="77777777" w:rsidR="002F1BC7" w:rsidRPr="00747247" w:rsidRDefault="002F1BC7" w:rsidP="002F1BC7">
      <w:pPr>
        <w:pStyle w:val="BodyText"/>
        <w:widowControl/>
        <w:rPr>
          <w:rFonts w:ascii="Calibri" w:hAnsi="Calibri"/>
          <w:spacing w:val="0"/>
        </w:rPr>
      </w:pPr>
      <w:r w:rsidRPr="00747247">
        <w:rPr>
          <w:rFonts w:ascii="Calibri" w:hAnsi="Calibri"/>
          <w:spacing w:val="0"/>
        </w:rPr>
        <w:t xml:space="preserve">In accordance with the </w:t>
      </w:r>
      <w:r w:rsidRPr="00747247">
        <w:rPr>
          <w:rFonts w:ascii="Calibri" w:hAnsi="Calibri"/>
          <w:i/>
          <w:spacing w:val="0"/>
        </w:rPr>
        <w:t>Australian HIV Treatment Guidelines</w:t>
      </w:r>
      <w:r w:rsidRPr="00747247">
        <w:rPr>
          <w:rFonts w:ascii="Calibri" w:hAnsi="Calibri"/>
          <w:spacing w:val="0"/>
        </w:rPr>
        <w:t xml:space="preserve"> </w:t>
      </w:r>
      <w:r w:rsidRPr="009672B5">
        <w:rPr>
          <w:rFonts w:ascii="Calibri" w:hAnsi="Calibri"/>
          <w:spacing w:val="0"/>
        </w:rPr>
        <w:fldChar w:fldCharType="begin"/>
      </w:r>
      <w:r w:rsidRPr="00747247">
        <w:rPr>
          <w:rFonts w:ascii="Calibri" w:hAnsi="Calibri"/>
          <w:spacing w:val="0"/>
        </w:rPr>
        <w:instrText xml:space="preserve"> ADDIN EN.CITE &lt;EndNote&gt;&lt;Cite&gt;&lt;Author&gt;ASHM&lt;/Author&gt;&lt;Year&gt;2015&lt;/Year&gt;&lt;RecNum&gt;220&lt;/RecNum&gt;&lt;DisplayText&gt;[84]&lt;/DisplayText&gt;&lt;record&gt;&lt;rec-number&gt;220&lt;/rec-number&gt;&lt;foreign-keys&gt;&lt;key app="EN" db-id="5d9ze055j2zd5revw2n50xpwd0fze9frtdxr"&gt;220&lt;/key&gt;&lt;/foreign-keys&gt;&lt;ref-type name="Web Page"&gt;12&lt;/ref-type&gt;&lt;contributors&gt;&lt;authors&gt;&lt;author&gt;ASHM,&lt;/author&gt;&lt;/authors&gt;&lt;/contributors&gt;&lt;titles&gt;&lt;title&gt;Antiretroviral Guidelines: US DHHS Guidelines with Australian Commentary. Clinical Guidance&lt;/title&gt;&lt;/titles&gt;&lt;number&gt;18 February 2016&lt;/number&gt;&lt;dates&gt;&lt;year&gt;2015&lt;/year&gt;&lt;/dates&gt;&lt;urls&gt;&lt;related-urls&gt;&lt;url&gt;http://arv.ashm.org.au/clinical-guidance&lt;/url&gt;&lt;/related-urls&gt;&lt;/urls&gt;&lt;/record&gt;&lt;/Cite&gt;&lt;/EndNote&gt;</w:instrText>
      </w:r>
      <w:r w:rsidRPr="009672B5">
        <w:rPr>
          <w:rFonts w:ascii="Calibri" w:hAnsi="Calibri"/>
          <w:spacing w:val="0"/>
        </w:rPr>
        <w:fldChar w:fldCharType="separate"/>
      </w:r>
      <w:r w:rsidRPr="00747247">
        <w:rPr>
          <w:rFonts w:ascii="Calibri" w:hAnsi="Calibri"/>
          <w:noProof/>
          <w:spacing w:val="0"/>
        </w:rPr>
        <w:t>[</w:t>
      </w:r>
      <w:hyperlink w:anchor="_ENREF_84" w:tooltip="ASHM, 2015 #220" w:history="1">
        <w:r w:rsidRPr="00747247">
          <w:rPr>
            <w:rFonts w:ascii="Calibri" w:hAnsi="Calibri"/>
            <w:noProof/>
            <w:spacing w:val="0"/>
          </w:rPr>
          <w:t>84</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 xml:space="preserve">, HCWs with HIV should be offered cART, irrespective of CD4 count, by their treating doctor. </w:t>
      </w:r>
    </w:p>
    <w:p w14:paraId="75A6125F" w14:textId="77777777" w:rsidR="002F1BC7" w:rsidRPr="00747247" w:rsidRDefault="002F1BC7" w:rsidP="002F1BC7">
      <w:pPr>
        <w:pStyle w:val="BodyText"/>
        <w:widowControl/>
        <w:rPr>
          <w:rFonts w:ascii="Calibri" w:hAnsi="Calibri"/>
          <w:spacing w:val="0"/>
        </w:rPr>
      </w:pPr>
      <w:r w:rsidRPr="00747247">
        <w:rPr>
          <w:rFonts w:ascii="Calibri" w:hAnsi="Calibri"/>
          <w:spacing w:val="0"/>
        </w:rPr>
        <w:t>The treating doctor should counsel the HCW about the importance of following the prescribed treatment regimen and the impact that missed doses may have on their viral load. In addition, advice on drug interactions or other factors that might influence their viral load should be provided to the HCW as soon as is practicable and before further EPPs are performed.</w:t>
      </w:r>
    </w:p>
    <w:p w14:paraId="7F1BB0FB" w14:textId="77777777" w:rsidR="002F1BC7" w:rsidRPr="00747247" w:rsidRDefault="002F1BC7" w:rsidP="002F1BC7">
      <w:pPr>
        <w:pStyle w:val="Heading3"/>
        <w:rPr>
          <w:rFonts w:ascii="Calibri" w:hAnsi="Calibri"/>
          <w:color w:val="FF0000"/>
        </w:rPr>
      </w:pPr>
      <w:bookmarkStart w:id="46" w:name="_Ref448477568"/>
      <w:r w:rsidRPr="00747247">
        <w:rPr>
          <w:rFonts w:ascii="Calibri" w:hAnsi="Calibri"/>
          <w:color w:val="FF0000"/>
        </w:rPr>
        <w:t>8.2.7</w:t>
      </w:r>
      <w:r w:rsidRPr="00747247">
        <w:rPr>
          <w:rFonts w:ascii="Calibri" w:hAnsi="Calibri"/>
          <w:color w:val="FF0000"/>
        </w:rPr>
        <w:tab/>
        <w:t>Elite controllers</w:t>
      </w:r>
      <w:bookmarkEnd w:id="46"/>
    </w:p>
    <w:p w14:paraId="646191BB" w14:textId="77777777" w:rsidR="002F1BC7" w:rsidRPr="00747247" w:rsidRDefault="002F1BC7" w:rsidP="002F1BC7">
      <w:pPr>
        <w:pStyle w:val="BodyText"/>
        <w:widowControl/>
        <w:rPr>
          <w:rFonts w:ascii="Calibri" w:hAnsi="Calibri"/>
          <w:spacing w:val="0"/>
        </w:rPr>
      </w:pPr>
      <w:r w:rsidRPr="00747247">
        <w:rPr>
          <w:rFonts w:ascii="Calibri" w:hAnsi="Calibri"/>
          <w:spacing w:val="0"/>
        </w:rPr>
        <w:t xml:space="preserve">Elite controllers represent a small proportion (0.2 – 0.55%) of all people living with HIV, who are not receiving cART yet have maintained their viral load below the limits of assay detection for at least 12 months, based on at least three separate viral load measurements </w:t>
      </w:r>
      <w:r w:rsidRPr="009672B5">
        <w:rPr>
          <w:rFonts w:ascii="Calibri" w:hAnsi="Calibri"/>
          <w:spacing w:val="0"/>
        </w:rPr>
        <w:fldChar w:fldCharType="begin"/>
      </w:r>
      <w:r w:rsidRPr="00747247">
        <w:rPr>
          <w:rFonts w:ascii="Calibri" w:hAnsi="Calibri"/>
          <w:spacing w:val="0"/>
        </w:rPr>
        <w:instrText xml:space="preserve"> ADDIN EN.CITE &lt;EndNote&gt;&lt;Cite&gt;&lt;Author&gt;Public Health England&lt;/Author&gt;&lt;RecNum&gt;35&lt;/RecNum&gt;&lt;DisplayText&gt;[71]&lt;/DisplayText&gt;&lt;record&gt;&lt;rec-number&gt;35&lt;/rec-number&gt;&lt;foreign-keys&gt;&lt;key app="EN" db-id="5d9ze055j2zd5revw2n50xpwd0fze9frtdxr"&gt;35&lt;/key&gt;&lt;/foreign-keys&gt;&lt;ref-type name="Government Document"&gt;46&lt;/ref-type&gt;&lt;contributors&gt;&lt;authors&gt;&lt;author&gt;Public Health England,&lt;/author&gt;&lt;/authors&gt;&lt;/contributors&gt;&lt;titles&gt;&lt;title&gt;The Management of HIV infected Healthcare Workers who perform exposure prone procedures: updated guidance, January 2014&lt;/title&gt;&lt;/titles&gt;&lt;dates&gt;&lt;year&gt;2014&lt;/year&gt;&lt;/dates&gt;&lt;urls&gt;&lt;related-urls&gt;&lt;url&gt;http://www.hpa.org.uk/webc/HPAwebFile/HPAweb_C/1317140704390 &lt;/url&gt;&lt;/related-urls&gt;&lt;/urls&gt;&lt;access-date&gt;April 2014&lt;/access-date&gt;&lt;/record&gt;&lt;/Cite&gt;&lt;/EndNote&gt;</w:instrText>
      </w:r>
      <w:r w:rsidRPr="009672B5">
        <w:rPr>
          <w:rFonts w:ascii="Calibri" w:hAnsi="Calibri"/>
          <w:spacing w:val="0"/>
        </w:rPr>
        <w:fldChar w:fldCharType="separate"/>
      </w:r>
      <w:r w:rsidRPr="00747247">
        <w:rPr>
          <w:rFonts w:ascii="Calibri" w:hAnsi="Calibri"/>
          <w:noProof/>
          <w:spacing w:val="0"/>
        </w:rPr>
        <w:t>[</w:t>
      </w:r>
      <w:hyperlink w:anchor="_ENREF_71" w:tooltip="Public Health England, 2014 #35" w:history="1">
        <w:r w:rsidRPr="00747247">
          <w:rPr>
            <w:rFonts w:ascii="Calibri" w:hAnsi="Calibri"/>
            <w:noProof/>
            <w:spacing w:val="0"/>
          </w:rPr>
          <w:t>71</w:t>
        </w:r>
      </w:hyperlink>
      <w:r w:rsidRPr="00747247">
        <w:rPr>
          <w:rFonts w:ascii="Calibri" w:hAnsi="Calibri"/>
          <w:noProof/>
          <w:spacing w:val="0"/>
        </w:rPr>
        <w:t>]</w:t>
      </w:r>
      <w:r w:rsidRPr="009672B5">
        <w:rPr>
          <w:rFonts w:ascii="Calibri" w:hAnsi="Calibri"/>
          <w:spacing w:val="0"/>
        </w:rPr>
        <w:fldChar w:fldCharType="end"/>
      </w:r>
      <w:r w:rsidRPr="00747247">
        <w:rPr>
          <w:rFonts w:ascii="Calibri" w:hAnsi="Calibri"/>
          <w:spacing w:val="0"/>
        </w:rPr>
        <w:t>.</w:t>
      </w:r>
    </w:p>
    <w:p w14:paraId="0E209937" w14:textId="77777777" w:rsidR="002F1BC7" w:rsidRPr="00747247" w:rsidRDefault="002F1BC7" w:rsidP="002F1BC7">
      <w:pPr>
        <w:pStyle w:val="BodyText"/>
        <w:widowControl/>
        <w:rPr>
          <w:rFonts w:ascii="Calibri" w:hAnsi="Calibri"/>
          <w:spacing w:val="0"/>
        </w:rPr>
      </w:pPr>
      <w:r w:rsidRPr="00747247">
        <w:rPr>
          <w:rFonts w:ascii="Calibri" w:hAnsi="Calibri"/>
          <w:spacing w:val="0"/>
        </w:rPr>
        <w:t>A HCW who meets the definition of being an elite controller can be cleared for EPP activities without being on treatment, but remains subject to three monthly viral load monitoring to ensure they maintain their viral load below 200 copies/mL and to identify any rebound promptly.</w:t>
      </w:r>
    </w:p>
    <w:p w14:paraId="13A28423" w14:textId="77777777" w:rsidR="002F1BC7" w:rsidRPr="00747247" w:rsidRDefault="002F1BC7" w:rsidP="002F1BC7">
      <w:pPr>
        <w:pStyle w:val="Heading3"/>
        <w:rPr>
          <w:rFonts w:ascii="Calibri" w:hAnsi="Calibri"/>
          <w:color w:val="FF0000"/>
          <w:sz w:val="28"/>
        </w:rPr>
      </w:pPr>
      <w:r w:rsidRPr="00747247">
        <w:rPr>
          <w:rFonts w:ascii="Calibri" w:hAnsi="Calibri"/>
          <w:color w:val="FF0000"/>
        </w:rPr>
        <w:t>8.2.8</w:t>
      </w:r>
      <w:r w:rsidRPr="00747247">
        <w:rPr>
          <w:rFonts w:ascii="Calibri" w:hAnsi="Calibri"/>
          <w:color w:val="FF0000"/>
        </w:rPr>
        <w:tab/>
        <w:t>Management of treatment failure or suboptimal treatment response</w:t>
      </w:r>
    </w:p>
    <w:p w14:paraId="5CB3EC2F" w14:textId="77777777" w:rsidR="002F1BC7" w:rsidRPr="00747247" w:rsidRDefault="002F1BC7" w:rsidP="002F1BC7">
      <w:pPr>
        <w:pStyle w:val="BodyText"/>
        <w:widowControl/>
        <w:rPr>
          <w:rFonts w:ascii="Calibri" w:hAnsi="Calibri"/>
          <w:spacing w:val="0"/>
        </w:rPr>
      </w:pPr>
      <w:r w:rsidRPr="00747247">
        <w:rPr>
          <w:rFonts w:ascii="Calibri" w:hAnsi="Calibri"/>
          <w:spacing w:val="0"/>
        </w:rPr>
        <w:t>If there is any suggestion that the HCW’s infection is no longer controlled by their cART treatment, the clinician overseeing their care may consider it appropriate that viral load tests are performed sooner than the next scheduled three month test.</w:t>
      </w:r>
    </w:p>
    <w:p w14:paraId="7D78AD20" w14:textId="77777777" w:rsidR="002F1BC7" w:rsidRPr="00747247" w:rsidRDefault="002F1BC7" w:rsidP="002F1BC7">
      <w:pPr>
        <w:pStyle w:val="Heading2"/>
        <w:rPr>
          <w:rFonts w:ascii="Calibri" w:hAnsi="Calibri"/>
          <w:color w:val="FF0000"/>
          <w:sz w:val="32"/>
        </w:rPr>
      </w:pPr>
      <w:r w:rsidRPr="00747247">
        <w:rPr>
          <w:rFonts w:ascii="Calibri" w:hAnsi="Calibri"/>
          <w:color w:val="FF0000"/>
          <w:sz w:val="32"/>
        </w:rPr>
        <w:t>8.3</w:t>
      </w:r>
      <w:r w:rsidRPr="00747247">
        <w:rPr>
          <w:rFonts w:ascii="Calibri" w:hAnsi="Calibri"/>
          <w:color w:val="FF0000"/>
          <w:sz w:val="32"/>
        </w:rPr>
        <w:tab/>
        <w:t xml:space="preserve">HCWs with HIV </w:t>
      </w:r>
      <w:r w:rsidRPr="009672B5">
        <w:rPr>
          <w:rFonts w:ascii="Calibri" w:hAnsi="Calibri"/>
          <w:color w:val="FF0000"/>
          <w:sz w:val="32"/>
          <w:u w:val="single"/>
        </w:rPr>
        <w:t>not</w:t>
      </w:r>
      <w:r w:rsidRPr="00747247">
        <w:rPr>
          <w:rFonts w:ascii="Calibri" w:hAnsi="Calibri"/>
          <w:color w:val="FF0000"/>
          <w:sz w:val="32"/>
        </w:rPr>
        <w:t xml:space="preserve"> performing EPPs</w:t>
      </w:r>
    </w:p>
    <w:p w14:paraId="19968D9A" w14:textId="77777777" w:rsidR="002F1BC7" w:rsidRPr="00747247" w:rsidRDefault="002F1BC7" w:rsidP="002F1BC7">
      <w:pPr>
        <w:pStyle w:val="BodyText"/>
        <w:widowControl/>
        <w:rPr>
          <w:rFonts w:ascii="Calibri" w:hAnsi="Calibri"/>
          <w:spacing w:val="0"/>
        </w:rPr>
      </w:pPr>
      <w:r w:rsidRPr="00747247">
        <w:rPr>
          <w:rFonts w:ascii="Calibri" w:hAnsi="Calibri"/>
          <w:spacing w:val="0"/>
        </w:rPr>
        <w:t xml:space="preserve">HCWs who are known to be HIV-positive and who do not perform EPPs may continue to provide clinical care to patients. They have a professional duty to remain under regular medical care in accordance with good practice. </w:t>
      </w:r>
    </w:p>
    <w:p w14:paraId="3FC312DB" w14:textId="77777777" w:rsidR="002F1BC7" w:rsidRPr="00747247" w:rsidRDefault="002F1BC7" w:rsidP="002F1BC7">
      <w:pPr>
        <w:pStyle w:val="BodyText"/>
        <w:widowControl/>
        <w:rPr>
          <w:rFonts w:ascii="Calibri" w:hAnsi="Calibri"/>
          <w:spacing w:val="0"/>
        </w:rPr>
      </w:pPr>
    </w:p>
    <w:p w14:paraId="39B72118" w14:textId="77777777" w:rsidR="002F1BC7" w:rsidRPr="00747247" w:rsidRDefault="002F1BC7" w:rsidP="002F1BC7">
      <w:bookmarkStart w:id="47" w:name="Summary_of_the_guidelines_for_the_manage"/>
      <w:bookmarkStart w:id="48" w:name="_bookmark5"/>
      <w:bookmarkEnd w:id="47"/>
      <w:bookmarkEnd w:id="48"/>
      <w:r w:rsidRPr="00747247">
        <w:rPr>
          <w:sz w:val="18"/>
          <w:szCs w:val="15"/>
        </w:rPr>
        <w:br w:type="page"/>
      </w:r>
      <w:bookmarkStart w:id="49" w:name="_Ref455738716"/>
      <w:bookmarkStart w:id="50" w:name="_Ref448392139"/>
      <w:bookmarkStart w:id="51" w:name="_Ref452625516"/>
      <w:bookmarkStart w:id="52" w:name="_Ref452625842"/>
    </w:p>
    <w:p w14:paraId="417D5EC6" w14:textId="77777777" w:rsidR="002F1BC7" w:rsidRPr="00747247" w:rsidRDefault="002F1BC7" w:rsidP="002F1BC7">
      <w:pPr>
        <w:pStyle w:val="Heading1"/>
        <w:rPr>
          <w:rFonts w:ascii="Calibri" w:hAnsi="Calibri"/>
          <w:sz w:val="40"/>
        </w:rPr>
      </w:pPr>
      <w:bookmarkStart w:id="53" w:name="_Toc480558267"/>
      <w:r w:rsidRPr="00747247">
        <w:rPr>
          <w:rFonts w:ascii="Calibri" w:hAnsi="Calibri"/>
          <w:sz w:val="40"/>
        </w:rPr>
        <w:lastRenderedPageBreak/>
        <w:t>Part B</w:t>
      </w:r>
      <w:bookmarkEnd w:id="49"/>
      <w:bookmarkEnd w:id="53"/>
    </w:p>
    <w:p w14:paraId="01A9AF98" w14:textId="77777777" w:rsidR="002F1BC7" w:rsidRPr="00DF1E0C" w:rsidRDefault="002F1BC7" w:rsidP="002F1BC7">
      <w:pPr>
        <w:pStyle w:val="Heading1"/>
        <w:rPr>
          <w:rFonts w:ascii="Calibri" w:hAnsi="Calibri"/>
          <w:sz w:val="40"/>
        </w:rPr>
      </w:pPr>
      <w:bookmarkStart w:id="54" w:name="_Toc456858819"/>
      <w:bookmarkStart w:id="55" w:name="_Toc456865126"/>
      <w:bookmarkStart w:id="56" w:name="_Toc480558268"/>
      <w:r w:rsidRPr="00747247">
        <w:rPr>
          <w:rFonts w:ascii="Calibri" w:hAnsi="Calibri"/>
          <w:sz w:val="40"/>
        </w:rPr>
        <w:t>Guidelines for Public Health Authorities Managing Healthcare Workers Living with a Blood Borne Virus</w:t>
      </w:r>
      <w:bookmarkEnd w:id="54"/>
      <w:bookmarkEnd w:id="55"/>
      <w:bookmarkEnd w:id="56"/>
    </w:p>
    <w:p w14:paraId="65C20FA4" w14:textId="77777777" w:rsidR="002F1BC7" w:rsidRPr="00DF1E0C" w:rsidRDefault="002F1BC7" w:rsidP="002F1BC7">
      <w:pPr>
        <w:rPr>
          <w:rFonts w:eastAsia="Arial"/>
          <w:b/>
          <w:bCs/>
          <w:spacing w:val="-1"/>
          <w:sz w:val="40"/>
          <w:szCs w:val="32"/>
          <w:lang w:val="en-AU"/>
        </w:rPr>
      </w:pPr>
      <w:bookmarkStart w:id="57" w:name="_Toc453757600"/>
      <w:r w:rsidRPr="00DF1E0C">
        <w:rPr>
          <w:sz w:val="28"/>
        </w:rPr>
        <w:br w:type="page"/>
      </w:r>
    </w:p>
    <w:p w14:paraId="60DEF3F9" w14:textId="77777777" w:rsidR="002F1BC7" w:rsidRPr="00747247" w:rsidRDefault="002F1BC7" w:rsidP="002F1BC7">
      <w:pPr>
        <w:pStyle w:val="Heading1"/>
        <w:spacing w:after="240"/>
        <w:rPr>
          <w:rFonts w:ascii="Calibri" w:hAnsi="Calibri"/>
          <w:sz w:val="40"/>
        </w:rPr>
      </w:pPr>
      <w:bookmarkStart w:id="58" w:name="_Toc480558269"/>
      <w:r w:rsidRPr="00747247">
        <w:rPr>
          <w:rFonts w:ascii="Calibri" w:hAnsi="Calibri"/>
          <w:sz w:val="40"/>
        </w:rPr>
        <w:lastRenderedPageBreak/>
        <w:t>9. Introduction</w:t>
      </w:r>
      <w:bookmarkEnd w:id="57"/>
      <w:bookmarkEnd w:id="58"/>
    </w:p>
    <w:p w14:paraId="64428440" w14:textId="77777777" w:rsidR="002F1BC7" w:rsidRPr="00747247" w:rsidRDefault="002F1BC7" w:rsidP="002F1BC7">
      <w:pPr>
        <w:pStyle w:val="BodyText"/>
        <w:widowControl/>
        <w:rPr>
          <w:rFonts w:ascii="Calibri" w:hAnsi="Calibri"/>
          <w:spacing w:val="0"/>
        </w:rPr>
      </w:pPr>
      <w:r w:rsidRPr="00747247">
        <w:rPr>
          <w:rFonts w:ascii="Calibri" w:hAnsi="Calibri"/>
          <w:spacing w:val="0"/>
        </w:rPr>
        <w:t>All Australian health departments are committed to providing an environment which is as safe as possible for patients and HCWs. These Guidelines provide information and recommendations for use in relation to HCWs living with HBV, HCV or HIV and provide the basis for development of detailed policy relevant to particular settings in jurisdictions. This part of the Guidelines provide</w:t>
      </w:r>
      <w:r w:rsidRPr="00747247">
        <w:rPr>
          <w:rFonts w:ascii="Calibri" w:hAnsi="Calibri"/>
          <w:color w:val="1F497D"/>
          <w:spacing w:val="0"/>
        </w:rPr>
        <w:t>s</w:t>
      </w:r>
      <w:r w:rsidRPr="00747247">
        <w:rPr>
          <w:rFonts w:ascii="Calibri" w:hAnsi="Calibri"/>
          <w:spacing w:val="0"/>
        </w:rPr>
        <w:t xml:space="preserve"> advice and recommendations for public health authorities (PHA’s) managing or investigating a HCW with a BBV, when to consult with EACs or the National Expert </w:t>
      </w:r>
      <w:r>
        <w:rPr>
          <w:rFonts w:ascii="Calibri" w:hAnsi="Calibri"/>
          <w:spacing w:val="0"/>
        </w:rPr>
        <w:t>Reference Panel (NER</w:t>
      </w:r>
      <w:r w:rsidRPr="00747247">
        <w:rPr>
          <w:rFonts w:ascii="Calibri" w:hAnsi="Calibri"/>
          <w:spacing w:val="0"/>
        </w:rPr>
        <w:t>P), and when and how to conduct a lookback exercise. Part B of the Guidelines should be read in conjunction with Part A of the Guidelines. All states and territories should have implementation procedures that are consistent with these Guidelines.</w:t>
      </w:r>
    </w:p>
    <w:p w14:paraId="66D8818F" w14:textId="77777777" w:rsidR="002F1BC7" w:rsidRPr="00747247" w:rsidRDefault="002F1BC7" w:rsidP="002F1BC7">
      <w:pPr>
        <w:pStyle w:val="BodyText"/>
        <w:widowControl/>
        <w:rPr>
          <w:rFonts w:ascii="Calibri" w:hAnsi="Calibri"/>
          <w:spacing w:val="0"/>
        </w:rPr>
      </w:pPr>
    </w:p>
    <w:p w14:paraId="1AEF43E3" w14:textId="77777777" w:rsidR="002F1BC7" w:rsidRPr="00747247" w:rsidRDefault="002F1BC7" w:rsidP="002F1BC7">
      <w:pPr>
        <w:pStyle w:val="Heading1"/>
        <w:spacing w:after="240"/>
        <w:rPr>
          <w:rFonts w:ascii="Calibri" w:hAnsi="Calibri"/>
          <w:sz w:val="40"/>
        </w:rPr>
      </w:pPr>
      <w:bookmarkStart w:id="59" w:name="_Toc453757601"/>
      <w:bookmarkStart w:id="60" w:name="_Toc480558270"/>
      <w:r w:rsidRPr="00747247">
        <w:rPr>
          <w:rFonts w:ascii="Calibri" w:hAnsi="Calibri"/>
          <w:sz w:val="40"/>
        </w:rPr>
        <w:t>10. Managing HCWs living with BBVs</w:t>
      </w:r>
      <w:bookmarkEnd w:id="59"/>
      <w:bookmarkEnd w:id="60"/>
      <w:r w:rsidRPr="00747247">
        <w:rPr>
          <w:rFonts w:ascii="Calibri" w:hAnsi="Calibri"/>
          <w:sz w:val="40"/>
        </w:rPr>
        <w:t xml:space="preserve"> </w:t>
      </w:r>
    </w:p>
    <w:p w14:paraId="680C1562" w14:textId="77777777" w:rsidR="002F1BC7" w:rsidRPr="00747247" w:rsidRDefault="002F1BC7" w:rsidP="002F1BC7">
      <w:pPr>
        <w:pStyle w:val="BodyText"/>
        <w:widowControl/>
        <w:rPr>
          <w:rFonts w:ascii="Calibri" w:hAnsi="Calibri"/>
          <w:spacing w:val="0"/>
        </w:rPr>
      </w:pPr>
      <w:r w:rsidRPr="00747247">
        <w:rPr>
          <w:rFonts w:ascii="Calibri" w:hAnsi="Calibri"/>
          <w:spacing w:val="0"/>
        </w:rPr>
        <w:t xml:space="preserve">State and territory health departments are the primary agencies responsible for surveillance of, and response to, notifiable diseases. This encompasses preventative programs, such as immunisation, BBV policy and program responses, contact tracing where appropriate, surveillance of disease trends and, in some jurisdictions, infection control coordination. </w:t>
      </w:r>
    </w:p>
    <w:p w14:paraId="329D3A1A" w14:textId="77777777" w:rsidR="002F1BC7" w:rsidRPr="00747247" w:rsidRDefault="002F1BC7" w:rsidP="002F1BC7">
      <w:pPr>
        <w:pStyle w:val="BodyText"/>
        <w:widowControl/>
        <w:rPr>
          <w:rFonts w:ascii="Calibri" w:hAnsi="Calibri"/>
          <w:spacing w:val="0"/>
        </w:rPr>
      </w:pPr>
      <w:r w:rsidRPr="00747247">
        <w:rPr>
          <w:rFonts w:ascii="Calibri" w:hAnsi="Calibri"/>
          <w:spacing w:val="0"/>
        </w:rPr>
        <w:t xml:space="preserve">Jurisdictional health departments may also be requested to provide advice or guidance on complex situations involving a HCW with a BBV or issues of non-compliance with these Guidelines. </w:t>
      </w:r>
    </w:p>
    <w:p w14:paraId="54CAC7B1" w14:textId="77777777" w:rsidR="002F1BC7" w:rsidRPr="00747247" w:rsidRDefault="002F1BC7" w:rsidP="002F1BC7">
      <w:pPr>
        <w:pStyle w:val="Heading2"/>
        <w:rPr>
          <w:rFonts w:ascii="Calibri" w:hAnsi="Calibri"/>
          <w:sz w:val="32"/>
          <w:szCs w:val="24"/>
          <w:lang w:val="en-AU"/>
        </w:rPr>
      </w:pPr>
      <w:r w:rsidRPr="00747247">
        <w:rPr>
          <w:rFonts w:ascii="Calibri" w:hAnsi="Calibri"/>
          <w:sz w:val="32"/>
          <w:szCs w:val="24"/>
          <w:lang w:val="en-AU"/>
        </w:rPr>
        <w:t xml:space="preserve">10.1 Establishment of EACs or panels </w:t>
      </w:r>
    </w:p>
    <w:p w14:paraId="025BBFC0" w14:textId="77777777" w:rsidR="002F1BC7" w:rsidRPr="00747247" w:rsidRDefault="002F1BC7" w:rsidP="002F1BC7">
      <w:pPr>
        <w:pStyle w:val="BodyText"/>
        <w:widowControl/>
        <w:rPr>
          <w:rFonts w:ascii="Calibri" w:hAnsi="Calibri"/>
          <w:spacing w:val="0"/>
        </w:rPr>
      </w:pPr>
      <w:r w:rsidRPr="00747247">
        <w:rPr>
          <w:rFonts w:ascii="Calibri" w:hAnsi="Calibri"/>
          <w:spacing w:val="0"/>
        </w:rPr>
        <w:t>Jurisdictions may form an EAC or equivalent to provide expert advice when required. This may include when an exposure incident occurs involving a HCW with a BBV who is not complying with these Guidelines. The relevant area of the jurisdictional health department should be responsible for convening the EAC.</w:t>
      </w:r>
    </w:p>
    <w:p w14:paraId="14D7D230" w14:textId="77777777" w:rsidR="002F1BC7" w:rsidRPr="00747247" w:rsidRDefault="002F1BC7" w:rsidP="002F1BC7">
      <w:pPr>
        <w:pStyle w:val="BodyText"/>
        <w:widowControl/>
        <w:rPr>
          <w:rFonts w:ascii="Calibri" w:hAnsi="Calibri"/>
          <w:spacing w:val="0"/>
        </w:rPr>
      </w:pPr>
      <w:r>
        <w:rPr>
          <w:rFonts w:ascii="Calibri" w:hAnsi="Calibri"/>
          <w:spacing w:val="0"/>
        </w:rPr>
        <w:t>A NER</w:t>
      </w:r>
      <w:r w:rsidRPr="00747247">
        <w:rPr>
          <w:rFonts w:ascii="Calibri" w:hAnsi="Calibri"/>
          <w:spacing w:val="0"/>
        </w:rPr>
        <w:t>P will provide advice and support to EACs, if required, on issues related to these Guidelines, including the management of individual workers with a BBV and advice on risk assessments</w:t>
      </w:r>
      <w:r w:rsidRPr="00747247">
        <w:rPr>
          <w:rStyle w:val="FootnoteReference"/>
          <w:rFonts w:ascii="Calibri" w:eastAsiaTheme="majorEastAsia" w:hAnsi="Calibri"/>
          <w:spacing w:val="0"/>
        </w:rPr>
        <w:footnoteReference w:id="20"/>
      </w:r>
      <w:r w:rsidRPr="00747247">
        <w:rPr>
          <w:rFonts w:ascii="Calibri" w:hAnsi="Calibri"/>
          <w:spacing w:val="0"/>
        </w:rPr>
        <w:t xml:space="preserve"> and lookbacks</w:t>
      </w:r>
      <w:r w:rsidRPr="00747247">
        <w:rPr>
          <w:rStyle w:val="FootnoteReference"/>
          <w:rFonts w:ascii="Calibri" w:eastAsiaTheme="majorEastAsia" w:hAnsi="Calibri"/>
          <w:spacing w:val="0"/>
        </w:rPr>
        <w:footnoteReference w:id="21"/>
      </w:r>
      <w:r w:rsidRPr="00747247">
        <w:rPr>
          <w:rFonts w:ascii="Calibri" w:hAnsi="Calibri"/>
          <w:spacing w:val="0"/>
        </w:rPr>
        <w:t xml:space="preserve"> in t</w:t>
      </w:r>
      <w:r>
        <w:rPr>
          <w:rFonts w:ascii="Calibri" w:hAnsi="Calibri"/>
          <w:spacing w:val="0"/>
        </w:rPr>
        <w:t>he event of an incident. The NER</w:t>
      </w:r>
      <w:r w:rsidRPr="00747247">
        <w:rPr>
          <w:rFonts w:ascii="Calibri" w:hAnsi="Calibri"/>
          <w:spacing w:val="0"/>
        </w:rPr>
        <w:t>P can also provide this support and advice to jurisdictions that do not have an EAC on request, and will guide nationally consistent decision making.</w:t>
      </w:r>
    </w:p>
    <w:p w14:paraId="36A74013" w14:textId="77777777" w:rsidR="002F1BC7" w:rsidRPr="00747247" w:rsidRDefault="002F1BC7" w:rsidP="002F1BC7">
      <w:pPr>
        <w:pStyle w:val="BodyText"/>
        <w:widowControl/>
        <w:rPr>
          <w:rFonts w:ascii="Calibri" w:hAnsi="Calibri"/>
          <w:spacing w:val="0"/>
        </w:rPr>
      </w:pPr>
      <w:r w:rsidRPr="00747247">
        <w:rPr>
          <w:rFonts w:ascii="Calibri" w:hAnsi="Calibri"/>
          <w:spacing w:val="0"/>
        </w:rPr>
        <w:t xml:space="preserve">The role and </w:t>
      </w:r>
      <w:r>
        <w:rPr>
          <w:rFonts w:ascii="Calibri" w:hAnsi="Calibri"/>
          <w:spacing w:val="0"/>
        </w:rPr>
        <w:t>definition of an EAC and the NER</w:t>
      </w:r>
      <w:r w:rsidRPr="00747247">
        <w:rPr>
          <w:rFonts w:ascii="Calibri" w:hAnsi="Calibri"/>
          <w:spacing w:val="0"/>
        </w:rPr>
        <w:t xml:space="preserve">P is further detailed in </w:t>
      </w:r>
      <w:r w:rsidRPr="009672B5">
        <w:rPr>
          <w:rFonts w:ascii="Calibri" w:hAnsi="Calibri"/>
          <w:spacing w:val="0"/>
        </w:rPr>
        <w:fldChar w:fldCharType="begin"/>
      </w:r>
      <w:r w:rsidRPr="00747247">
        <w:rPr>
          <w:rFonts w:ascii="Calibri" w:hAnsi="Calibri"/>
          <w:spacing w:val="0"/>
        </w:rPr>
        <w:instrText xml:space="preserve"> REF _Ref455648809 \h  \* MERGEFORMAT </w:instrText>
      </w:r>
      <w:r w:rsidRPr="009672B5">
        <w:rPr>
          <w:rFonts w:ascii="Calibri" w:hAnsi="Calibri"/>
          <w:spacing w:val="0"/>
        </w:rPr>
      </w:r>
      <w:r w:rsidRPr="009672B5">
        <w:rPr>
          <w:rFonts w:ascii="Calibri" w:hAnsi="Calibri"/>
          <w:spacing w:val="0"/>
        </w:rPr>
        <w:fldChar w:fldCharType="separate"/>
      </w:r>
      <w:r w:rsidRPr="00013F35">
        <w:rPr>
          <w:rFonts w:ascii="Calibri" w:hAnsi="Calibri"/>
        </w:rPr>
        <w:t>Appendix 2: Roles</w:t>
      </w:r>
      <w:r w:rsidRPr="009672B5">
        <w:rPr>
          <w:rFonts w:ascii="Calibri" w:hAnsi="Calibri"/>
          <w:spacing w:val="0"/>
        </w:rPr>
        <w:fldChar w:fldCharType="end"/>
      </w:r>
      <w:r w:rsidRPr="00747247">
        <w:rPr>
          <w:rFonts w:ascii="Calibri" w:hAnsi="Calibri"/>
          <w:spacing w:val="0"/>
        </w:rPr>
        <w:t xml:space="preserve">. </w:t>
      </w:r>
    </w:p>
    <w:p w14:paraId="4951F211" w14:textId="77777777" w:rsidR="002F1BC7" w:rsidRPr="00747247" w:rsidRDefault="002F1BC7" w:rsidP="002F1BC7">
      <w:pPr>
        <w:pStyle w:val="Heading2"/>
        <w:rPr>
          <w:rFonts w:ascii="Calibri" w:hAnsi="Calibri"/>
          <w:sz w:val="32"/>
          <w:szCs w:val="24"/>
          <w:lang w:val="en-AU"/>
        </w:rPr>
      </w:pPr>
      <w:r w:rsidRPr="00747247">
        <w:rPr>
          <w:rFonts w:ascii="Calibri" w:hAnsi="Calibri"/>
          <w:sz w:val="32"/>
          <w:szCs w:val="24"/>
          <w:lang w:val="en-AU"/>
        </w:rPr>
        <w:lastRenderedPageBreak/>
        <w:t>10.2 When the jurisdiction</w:t>
      </w:r>
      <w:r>
        <w:rPr>
          <w:rFonts w:ascii="Calibri" w:hAnsi="Calibri"/>
          <w:sz w:val="32"/>
          <w:szCs w:val="24"/>
          <w:lang w:val="en-AU"/>
        </w:rPr>
        <w:t>al health department, EAC or NER</w:t>
      </w:r>
      <w:r w:rsidRPr="00747247">
        <w:rPr>
          <w:rFonts w:ascii="Calibri" w:hAnsi="Calibri"/>
          <w:sz w:val="32"/>
          <w:szCs w:val="24"/>
          <w:lang w:val="en-AU"/>
        </w:rPr>
        <w:t xml:space="preserve">P may be consulted for advice </w:t>
      </w:r>
    </w:p>
    <w:p w14:paraId="67C055DB" w14:textId="77777777" w:rsidR="002F1BC7" w:rsidRPr="00747247" w:rsidRDefault="002F1BC7" w:rsidP="002F1BC7">
      <w:pPr>
        <w:pStyle w:val="BodyText"/>
        <w:widowControl/>
        <w:rPr>
          <w:rFonts w:ascii="Calibri" w:hAnsi="Calibri"/>
        </w:rPr>
      </w:pPr>
      <w:r w:rsidRPr="00747247">
        <w:rPr>
          <w:rFonts w:ascii="Calibri" w:hAnsi="Calibri"/>
        </w:rPr>
        <w:t>When managing HCWs with BBVs, complex situations may arise. In these situations, examples of which are detailed below, the treating doctor can consult with a jurisdictional health department who may then decide t</w:t>
      </w:r>
      <w:r>
        <w:rPr>
          <w:rFonts w:ascii="Calibri" w:hAnsi="Calibri"/>
        </w:rPr>
        <w:t>o consult with an EAC or the NER</w:t>
      </w:r>
      <w:r w:rsidRPr="00747247">
        <w:rPr>
          <w:rFonts w:ascii="Calibri" w:hAnsi="Calibri"/>
        </w:rPr>
        <w:t xml:space="preserve">P for advice. </w:t>
      </w:r>
    </w:p>
    <w:p w14:paraId="58AAB109" w14:textId="77777777" w:rsidR="002F1BC7" w:rsidRPr="00747247" w:rsidRDefault="002F1BC7" w:rsidP="002F1BC7">
      <w:pPr>
        <w:pStyle w:val="Heading3"/>
        <w:rPr>
          <w:rFonts w:ascii="Calibri" w:hAnsi="Calibri"/>
        </w:rPr>
      </w:pPr>
      <w:r w:rsidRPr="00747247">
        <w:rPr>
          <w:rFonts w:ascii="Calibri" w:hAnsi="Calibri"/>
        </w:rPr>
        <w:t xml:space="preserve">10.2.1 Initial health clearance for HCWs with a BBV who wish to perform EPPs </w:t>
      </w:r>
    </w:p>
    <w:p w14:paraId="2756977D" w14:textId="77777777" w:rsidR="002F1BC7" w:rsidRPr="00747247" w:rsidRDefault="002F1BC7" w:rsidP="002F1BC7">
      <w:pPr>
        <w:pStyle w:val="BodyText"/>
        <w:widowControl/>
        <w:spacing w:after="60"/>
        <w:rPr>
          <w:rFonts w:ascii="Calibri" w:hAnsi="Calibri"/>
          <w:spacing w:val="0"/>
        </w:rPr>
      </w:pPr>
      <w:r w:rsidRPr="00747247">
        <w:rPr>
          <w:rFonts w:ascii="Calibri" w:hAnsi="Calibri"/>
          <w:spacing w:val="0"/>
        </w:rPr>
        <w:t xml:space="preserve">The decision to provide initial clearance for individual HCWs who have been previously excluded from work involving EPPs is the responsibility of the treating doctor. However, with more complex situations, the treating doctor may choose to consult with the relevant area of the jurisdictional health department who may then also refer the request onto the local EAC. An example of a complex situation may include where other considerations apart from virological response are present and further advice may be required including recency of practice, evidence of behaviour which could have affected the HCWs standard of practice, individual work variances etc. </w:t>
      </w:r>
    </w:p>
    <w:p w14:paraId="3FFE5B7F" w14:textId="77777777" w:rsidR="002F1BC7" w:rsidRPr="00747247" w:rsidRDefault="002F1BC7" w:rsidP="002F1BC7">
      <w:pPr>
        <w:pStyle w:val="BodyText"/>
        <w:widowControl/>
        <w:spacing w:after="60"/>
        <w:rPr>
          <w:rFonts w:ascii="Calibri" w:hAnsi="Calibri"/>
          <w:spacing w:val="0"/>
          <w:u w:val="single"/>
        </w:rPr>
      </w:pPr>
      <w:r w:rsidRPr="00747247">
        <w:rPr>
          <w:rFonts w:ascii="Calibri" w:hAnsi="Calibri"/>
          <w:spacing w:val="0"/>
        </w:rPr>
        <w:t xml:space="preserve">Advice provided by the jurisdictional health department at this time may assist where there is a potential conflict of interest between the treating doctor’s responsibilities to the HCW with a BBV versus to public health. </w:t>
      </w:r>
    </w:p>
    <w:p w14:paraId="1C08DCBF" w14:textId="77777777" w:rsidR="002F1BC7" w:rsidRPr="00747247" w:rsidRDefault="002F1BC7" w:rsidP="002F1BC7">
      <w:pPr>
        <w:pStyle w:val="Heading3"/>
        <w:rPr>
          <w:rFonts w:ascii="Calibri" w:hAnsi="Calibri"/>
        </w:rPr>
      </w:pPr>
      <w:r w:rsidRPr="00747247">
        <w:rPr>
          <w:rFonts w:ascii="Calibri" w:hAnsi="Calibri"/>
        </w:rPr>
        <w:t>10.2.2 Failure of a HCW with a BBV to attend appointments or refusal to be tested</w:t>
      </w:r>
    </w:p>
    <w:p w14:paraId="1B095B6A" w14:textId="77777777" w:rsidR="002F1BC7" w:rsidRPr="00F27224" w:rsidRDefault="002F1BC7" w:rsidP="002F1BC7">
      <w:pPr>
        <w:pStyle w:val="BodyText"/>
        <w:widowControl/>
        <w:spacing w:after="60"/>
        <w:rPr>
          <w:rFonts w:ascii="Calibri" w:hAnsi="Calibri"/>
          <w:spacing w:val="0"/>
        </w:rPr>
      </w:pPr>
      <w:r w:rsidRPr="00F27224">
        <w:rPr>
          <w:rFonts w:ascii="Calibri" w:hAnsi="Calibri"/>
          <w:spacing w:val="0"/>
        </w:rPr>
        <w:t xml:space="preserve">As well as informing AHPRA, the treating doctor may inform the relevant area of the jurisdictional health department when a HCW is no longer cleared to perform EPPs. Situations when this may arise include when a HCW with a BBV: </w:t>
      </w:r>
    </w:p>
    <w:p w14:paraId="5104A4AF" w14:textId="77777777" w:rsidR="002F1BC7" w:rsidRPr="00747247" w:rsidRDefault="002F1BC7" w:rsidP="002F1BC7">
      <w:pPr>
        <w:pStyle w:val="BodyText"/>
        <w:widowControl/>
        <w:numPr>
          <w:ilvl w:val="0"/>
          <w:numId w:val="45"/>
        </w:numPr>
        <w:tabs>
          <w:tab w:val="clear" w:pos="-720"/>
        </w:tabs>
        <w:suppressAutoHyphens w:val="0"/>
        <w:spacing w:after="120" w:line="280" w:lineRule="atLeast"/>
        <w:rPr>
          <w:rFonts w:ascii="Calibri" w:hAnsi="Calibri"/>
          <w:spacing w:val="0"/>
        </w:rPr>
      </w:pPr>
      <w:r w:rsidRPr="00F27224">
        <w:rPr>
          <w:rFonts w:ascii="Calibri" w:hAnsi="Calibri"/>
          <w:spacing w:val="0"/>
        </w:rPr>
        <w:t>does not attend their appointments or fails to be tested within the prescribed</w:t>
      </w:r>
      <w:r w:rsidRPr="00747247">
        <w:rPr>
          <w:rFonts w:ascii="Calibri" w:hAnsi="Calibri"/>
          <w:spacing w:val="0"/>
        </w:rPr>
        <w:t xml:space="preserve"> timeframe without prior notification and adequate justification to their doctor, </w:t>
      </w:r>
    </w:p>
    <w:p w14:paraId="3A2EA9BD" w14:textId="77777777" w:rsidR="002F1BC7" w:rsidRPr="00747247" w:rsidRDefault="002F1BC7" w:rsidP="002F1BC7">
      <w:pPr>
        <w:pStyle w:val="BodyText"/>
        <w:widowControl/>
        <w:numPr>
          <w:ilvl w:val="0"/>
          <w:numId w:val="45"/>
        </w:numPr>
        <w:tabs>
          <w:tab w:val="clear" w:pos="-720"/>
        </w:tabs>
        <w:suppressAutoHyphens w:val="0"/>
        <w:spacing w:after="120" w:line="280" w:lineRule="atLeast"/>
        <w:rPr>
          <w:rFonts w:ascii="Calibri" w:hAnsi="Calibri"/>
          <w:spacing w:val="0"/>
        </w:rPr>
      </w:pPr>
      <w:r w:rsidRPr="00747247">
        <w:rPr>
          <w:rFonts w:ascii="Calibri" w:hAnsi="Calibri"/>
          <w:spacing w:val="0"/>
        </w:rPr>
        <w:t>refuses to have their viral load tested, or</w:t>
      </w:r>
    </w:p>
    <w:p w14:paraId="2B327B2C" w14:textId="77777777" w:rsidR="002F1BC7" w:rsidRPr="00747247" w:rsidRDefault="002F1BC7" w:rsidP="002F1BC7">
      <w:pPr>
        <w:pStyle w:val="BodyText"/>
        <w:widowControl/>
        <w:numPr>
          <w:ilvl w:val="0"/>
          <w:numId w:val="45"/>
        </w:numPr>
        <w:tabs>
          <w:tab w:val="clear" w:pos="-720"/>
        </w:tabs>
        <w:suppressAutoHyphens w:val="0"/>
        <w:spacing w:after="120" w:line="280" w:lineRule="atLeast"/>
        <w:rPr>
          <w:rFonts w:ascii="Calibri" w:hAnsi="Calibri"/>
          <w:spacing w:val="0"/>
        </w:rPr>
      </w:pPr>
      <w:r w:rsidRPr="00747247">
        <w:rPr>
          <w:rFonts w:ascii="Calibri" w:hAnsi="Calibri"/>
          <w:spacing w:val="0"/>
        </w:rPr>
        <w:t xml:space="preserve">continues to perform EPPs when excluded by these Guidelines. </w:t>
      </w:r>
    </w:p>
    <w:p w14:paraId="4AAC13B6" w14:textId="77777777" w:rsidR="002F1BC7" w:rsidRPr="00747247" w:rsidRDefault="002F1BC7" w:rsidP="002F1BC7">
      <w:pPr>
        <w:pStyle w:val="BodyText"/>
        <w:widowControl/>
        <w:rPr>
          <w:rFonts w:ascii="Calibri" w:hAnsi="Calibri"/>
          <w:spacing w:val="0"/>
        </w:rPr>
      </w:pPr>
    </w:p>
    <w:p w14:paraId="467D06F5" w14:textId="77777777" w:rsidR="002F1BC7" w:rsidRPr="00747247" w:rsidRDefault="002F1BC7" w:rsidP="002F1BC7">
      <w:pPr>
        <w:pStyle w:val="Heading1"/>
        <w:spacing w:after="240"/>
        <w:rPr>
          <w:rFonts w:ascii="Calibri" w:hAnsi="Calibri"/>
          <w:sz w:val="40"/>
        </w:rPr>
      </w:pPr>
      <w:bookmarkStart w:id="61" w:name="_Toc453757602"/>
      <w:bookmarkStart w:id="62" w:name="_Toc480558271"/>
      <w:r w:rsidRPr="00747247">
        <w:rPr>
          <w:rFonts w:ascii="Calibri" w:hAnsi="Calibri"/>
          <w:sz w:val="40"/>
        </w:rPr>
        <w:t>11. Recommendations for responding to patient exposure (possible or realised) to the blood or bodily fluid</w:t>
      </w:r>
      <w:bookmarkEnd w:id="61"/>
      <w:r w:rsidRPr="00747247">
        <w:rPr>
          <w:rFonts w:ascii="Calibri" w:hAnsi="Calibri"/>
          <w:sz w:val="40"/>
        </w:rPr>
        <w:t xml:space="preserve"> of a HCW with a BBV</w:t>
      </w:r>
      <w:bookmarkEnd w:id="62"/>
    </w:p>
    <w:p w14:paraId="4580B6AD" w14:textId="77777777" w:rsidR="002F1BC7" w:rsidRPr="00747247" w:rsidRDefault="002F1BC7" w:rsidP="002F1BC7">
      <w:pPr>
        <w:pStyle w:val="Heading2"/>
        <w:rPr>
          <w:rFonts w:ascii="Calibri" w:hAnsi="Calibri"/>
          <w:sz w:val="32"/>
          <w:szCs w:val="22"/>
          <w:lang w:val="en-AU"/>
        </w:rPr>
      </w:pPr>
      <w:r w:rsidRPr="00747247">
        <w:rPr>
          <w:rFonts w:ascii="Calibri" w:hAnsi="Calibri"/>
          <w:sz w:val="32"/>
          <w:szCs w:val="22"/>
          <w:lang w:val="en-AU"/>
        </w:rPr>
        <w:t>11.1 Management of patients following exposure to the blood and/or body fluid of a HCW with a BBV</w:t>
      </w:r>
    </w:p>
    <w:p w14:paraId="75ECE43C" w14:textId="77777777" w:rsidR="002F1BC7" w:rsidRPr="00747247" w:rsidRDefault="002F1BC7" w:rsidP="002F1BC7">
      <w:pPr>
        <w:pStyle w:val="BodyText"/>
        <w:widowControl/>
        <w:rPr>
          <w:rFonts w:ascii="Calibri" w:hAnsi="Calibri"/>
          <w:spacing w:val="0"/>
        </w:rPr>
      </w:pPr>
      <w:r w:rsidRPr="00747247">
        <w:rPr>
          <w:rFonts w:ascii="Calibri" w:hAnsi="Calibri"/>
          <w:spacing w:val="0"/>
        </w:rPr>
        <w:t>When a HCW with a BBV accidentally exposes a patient to their blood, the incident should be reported to the appropriate person according to local policies.</w:t>
      </w:r>
    </w:p>
    <w:p w14:paraId="1BFCC663" w14:textId="77777777" w:rsidR="002F1BC7" w:rsidRPr="00747247" w:rsidRDefault="002F1BC7" w:rsidP="002F1BC7">
      <w:pPr>
        <w:pStyle w:val="BodyText"/>
        <w:widowControl/>
        <w:rPr>
          <w:rFonts w:ascii="Calibri" w:hAnsi="Calibri"/>
          <w:spacing w:val="0"/>
        </w:rPr>
      </w:pPr>
      <w:r w:rsidRPr="00747247">
        <w:rPr>
          <w:rFonts w:ascii="Calibri" w:hAnsi="Calibri"/>
          <w:spacing w:val="0"/>
        </w:rPr>
        <w:t>A detailed risk assessment should be performed by the designated person</w:t>
      </w:r>
      <w:r>
        <w:rPr>
          <w:rFonts w:ascii="Calibri" w:hAnsi="Calibri"/>
          <w:spacing w:val="0"/>
        </w:rPr>
        <w:t>,</w:t>
      </w:r>
      <w:r w:rsidRPr="00747247">
        <w:rPr>
          <w:rFonts w:ascii="Calibri" w:hAnsi="Calibri"/>
          <w:spacing w:val="0"/>
        </w:rPr>
        <w:t xml:space="preserve"> in discussion with the HCW’s treating doctor that includes:</w:t>
      </w:r>
    </w:p>
    <w:p w14:paraId="4B538FB8" w14:textId="77777777" w:rsidR="002F1BC7" w:rsidRPr="00747247" w:rsidRDefault="002F1BC7" w:rsidP="002F1BC7">
      <w:pPr>
        <w:pStyle w:val="BodyText"/>
        <w:widowControl/>
        <w:numPr>
          <w:ilvl w:val="0"/>
          <w:numId w:val="33"/>
        </w:numPr>
        <w:tabs>
          <w:tab w:val="clear" w:pos="-720"/>
        </w:tabs>
        <w:suppressAutoHyphens w:val="0"/>
        <w:spacing w:after="60" w:line="280" w:lineRule="atLeast"/>
        <w:ind w:left="993"/>
        <w:rPr>
          <w:rFonts w:ascii="Calibri" w:hAnsi="Calibri"/>
          <w:spacing w:val="0"/>
        </w:rPr>
      </w:pPr>
      <w:r w:rsidRPr="00747247">
        <w:rPr>
          <w:rFonts w:ascii="Calibri" w:hAnsi="Calibri"/>
          <w:spacing w:val="0"/>
        </w:rPr>
        <w:t>assessment of the significance of the exposure</w:t>
      </w:r>
    </w:p>
    <w:p w14:paraId="5FBD51D2" w14:textId="77777777" w:rsidR="002F1BC7" w:rsidRPr="00747247" w:rsidRDefault="002F1BC7" w:rsidP="002F1BC7">
      <w:pPr>
        <w:pStyle w:val="BodyText"/>
        <w:widowControl/>
        <w:numPr>
          <w:ilvl w:val="0"/>
          <w:numId w:val="33"/>
        </w:numPr>
        <w:tabs>
          <w:tab w:val="clear" w:pos="-720"/>
        </w:tabs>
        <w:suppressAutoHyphens w:val="0"/>
        <w:spacing w:after="60" w:line="280" w:lineRule="atLeast"/>
        <w:ind w:left="993"/>
        <w:rPr>
          <w:rFonts w:ascii="Calibri" w:hAnsi="Calibri"/>
          <w:spacing w:val="0"/>
        </w:rPr>
      </w:pPr>
      <w:r w:rsidRPr="00747247">
        <w:rPr>
          <w:rFonts w:ascii="Calibri" w:hAnsi="Calibri"/>
          <w:spacing w:val="0"/>
        </w:rPr>
        <w:t>the status of the exposed patient</w:t>
      </w:r>
    </w:p>
    <w:p w14:paraId="7CF8C62B" w14:textId="77777777" w:rsidR="002F1BC7" w:rsidRPr="00747247" w:rsidRDefault="002F1BC7" w:rsidP="002F1BC7">
      <w:pPr>
        <w:pStyle w:val="BodyText"/>
        <w:widowControl/>
        <w:numPr>
          <w:ilvl w:val="0"/>
          <w:numId w:val="33"/>
        </w:numPr>
        <w:tabs>
          <w:tab w:val="clear" w:pos="-720"/>
        </w:tabs>
        <w:suppressAutoHyphens w:val="0"/>
        <w:spacing w:after="60" w:line="280" w:lineRule="atLeast"/>
        <w:ind w:left="993"/>
        <w:rPr>
          <w:rFonts w:ascii="Calibri" w:hAnsi="Calibri"/>
          <w:spacing w:val="0"/>
        </w:rPr>
      </w:pPr>
      <w:r w:rsidRPr="00747247">
        <w:rPr>
          <w:rFonts w:ascii="Calibri" w:hAnsi="Calibri"/>
          <w:spacing w:val="0"/>
        </w:rPr>
        <w:lastRenderedPageBreak/>
        <w:t>the status of the HCW with a BBV, in particular their current viral load, and</w:t>
      </w:r>
    </w:p>
    <w:p w14:paraId="6ED75A80" w14:textId="77777777" w:rsidR="002F1BC7" w:rsidRPr="00747247" w:rsidRDefault="002F1BC7" w:rsidP="002F1BC7">
      <w:pPr>
        <w:pStyle w:val="BodyText"/>
        <w:widowControl/>
        <w:numPr>
          <w:ilvl w:val="0"/>
          <w:numId w:val="33"/>
        </w:numPr>
        <w:tabs>
          <w:tab w:val="clear" w:pos="-720"/>
        </w:tabs>
        <w:suppressAutoHyphens w:val="0"/>
        <w:spacing w:after="60" w:line="280" w:lineRule="atLeast"/>
        <w:ind w:left="993"/>
        <w:rPr>
          <w:rFonts w:ascii="Calibri" w:hAnsi="Calibri"/>
          <w:spacing w:val="0"/>
        </w:rPr>
      </w:pPr>
      <w:r w:rsidRPr="00747247">
        <w:rPr>
          <w:rFonts w:ascii="Calibri" w:hAnsi="Calibri"/>
          <w:spacing w:val="0"/>
        </w:rPr>
        <w:t xml:space="preserve">the history of the HCW with a BBV including their adherence to treatment, the frequency and magnitude (if any) of fluctuations in their viral load and the presence of factors which might increase the HCW’s viral load.  </w:t>
      </w:r>
    </w:p>
    <w:p w14:paraId="56B7DC81" w14:textId="77777777" w:rsidR="002F1BC7" w:rsidRPr="00DF1E0C" w:rsidRDefault="002F1BC7" w:rsidP="002F1BC7">
      <w:pPr>
        <w:pStyle w:val="BodyText"/>
        <w:widowControl/>
        <w:rPr>
          <w:rFonts w:ascii="Calibri" w:hAnsi="Calibri"/>
          <w:spacing w:val="0"/>
        </w:rPr>
      </w:pPr>
      <w:r w:rsidRPr="00747247">
        <w:rPr>
          <w:rFonts w:ascii="Calibri" w:hAnsi="Calibri"/>
          <w:spacing w:val="0"/>
        </w:rPr>
        <w:t>Standard procedure, as dictated in local policies, should be followed to</w:t>
      </w:r>
      <w:r w:rsidRPr="00DF1E0C">
        <w:rPr>
          <w:rFonts w:ascii="Calibri" w:hAnsi="Calibri"/>
          <w:spacing w:val="0"/>
        </w:rPr>
        <w:t xml:space="preserve"> evaluate the significance of the exposure and then determine the follow-up required for both the HCW and patient. </w:t>
      </w:r>
    </w:p>
    <w:p w14:paraId="66933261" w14:textId="77777777" w:rsidR="002F1BC7" w:rsidRPr="00DF1E0C" w:rsidRDefault="002F1BC7" w:rsidP="002F1BC7">
      <w:pPr>
        <w:pStyle w:val="BodyText"/>
        <w:widowControl/>
        <w:rPr>
          <w:rFonts w:ascii="Calibri" w:hAnsi="Calibri"/>
          <w:spacing w:val="0"/>
        </w:rPr>
      </w:pPr>
      <w:r w:rsidRPr="00DF1E0C">
        <w:rPr>
          <w:rFonts w:ascii="Calibri" w:hAnsi="Calibri"/>
          <w:spacing w:val="0"/>
        </w:rPr>
        <w:t xml:space="preserve">When completing the risk assessment, the following information should also be considered: </w:t>
      </w:r>
    </w:p>
    <w:p w14:paraId="38009432" w14:textId="77777777" w:rsidR="002F1BC7" w:rsidRPr="00747247" w:rsidRDefault="002F1BC7" w:rsidP="002F1BC7">
      <w:pPr>
        <w:pStyle w:val="BodyText"/>
        <w:widowControl/>
        <w:numPr>
          <w:ilvl w:val="0"/>
          <w:numId w:val="33"/>
        </w:numPr>
        <w:tabs>
          <w:tab w:val="clear" w:pos="-720"/>
        </w:tabs>
        <w:suppressAutoHyphens w:val="0"/>
        <w:spacing w:after="60" w:line="280" w:lineRule="atLeast"/>
        <w:ind w:left="993"/>
        <w:rPr>
          <w:rFonts w:ascii="Calibri" w:hAnsi="Calibri"/>
          <w:spacing w:val="0"/>
        </w:rPr>
      </w:pPr>
      <w:r w:rsidRPr="00DF1E0C">
        <w:rPr>
          <w:rFonts w:ascii="Calibri" w:hAnsi="Calibri"/>
          <w:spacing w:val="0"/>
        </w:rPr>
        <w:t xml:space="preserve">exposure to the blood or bodily fluids of </w:t>
      </w:r>
      <w:r w:rsidRPr="00747247">
        <w:rPr>
          <w:rFonts w:ascii="Calibri" w:hAnsi="Calibri"/>
          <w:spacing w:val="0"/>
        </w:rPr>
        <w:t xml:space="preserve">a HCW with a BBV, who has been complying with these Guidelines would pose an extremely low risk of transmission of a BBV to a patient. </w:t>
      </w:r>
    </w:p>
    <w:p w14:paraId="09421DA8" w14:textId="77777777" w:rsidR="002F1BC7" w:rsidRPr="00747247" w:rsidRDefault="002F1BC7" w:rsidP="002F1BC7">
      <w:pPr>
        <w:pStyle w:val="BodyText"/>
        <w:widowControl/>
        <w:numPr>
          <w:ilvl w:val="0"/>
          <w:numId w:val="33"/>
        </w:numPr>
        <w:tabs>
          <w:tab w:val="clear" w:pos="-720"/>
        </w:tabs>
        <w:suppressAutoHyphens w:val="0"/>
        <w:spacing w:after="60" w:line="280" w:lineRule="atLeast"/>
        <w:ind w:left="993"/>
        <w:rPr>
          <w:rFonts w:ascii="Calibri" w:hAnsi="Calibri"/>
          <w:spacing w:val="0"/>
        </w:rPr>
      </w:pPr>
      <w:r w:rsidRPr="00747247">
        <w:rPr>
          <w:rFonts w:ascii="Calibri" w:hAnsi="Calibri"/>
          <w:spacing w:val="0"/>
        </w:rPr>
        <w:t xml:space="preserve">if there is concern that the viral load of the HCW is above what is stipulated in the Guidelines (200 copies/mL for HIV, 200 IU/mL for HBV or HCV RNA positive), the HCW’s viral load should be tested immediately, and local policies should be followed in regard to offering appropriate post exposure prophylaxis and follow-up to the patient(s). </w:t>
      </w:r>
    </w:p>
    <w:p w14:paraId="48786131" w14:textId="77777777" w:rsidR="002F1BC7" w:rsidRPr="00747247" w:rsidRDefault="002F1BC7" w:rsidP="002F1BC7">
      <w:pPr>
        <w:pStyle w:val="Heading2"/>
        <w:rPr>
          <w:rFonts w:ascii="Calibri" w:hAnsi="Calibri"/>
          <w:sz w:val="32"/>
          <w:szCs w:val="22"/>
          <w:lang w:val="en-AU"/>
        </w:rPr>
      </w:pPr>
      <w:r w:rsidRPr="00747247">
        <w:rPr>
          <w:rFonts w:ascii="Calibri" w:hAnsi="Calibri"/>
          <w:sz w:val="32"/>
          <w:szCs w:val="22"/>
          <w:lang w:val="en-AU"/>
        </w:rPr>
        <w:t xml:space="preserve">11.2 Indications for investigation and/or lookback exercises </w:t>
      </w:r>
    </w:p>
    <w:p w14:paraId="4D356041" w14:textId="77777777" w:rsidR="002F1BC7" w:rsidRPr="00747247" w:rsidRDefault="002F1BC7" w:rsidP="002F1BC7">
      <w:pPr>
        <w:pStyle w:val="BodyText"/>
        <w:widowControl/>
        <w:tabs>
          <w:tab w:val="left" w:pos="567"/>
        </w:tabs>
        <w:spacing w:before="240"/>
        <w:rPr>
          <w:rFonts w:ascii="Calibri" w:hAnsi="Calibri"/>
          <w:spacing w:val="0"/>
          <w:szCs w:val="22"/>
          <w:u w:val="single"/>
        </w:rPr>
      </w:pPr>
      <w:r w:rsidRPr="00747247">
        <w:rPr>
          <w:rFonts w:ascii="Calibri" w:hAnsi="Calibri"/>
          <w:spacing w:val="0"/>
          <w:szCs w:val="22"/>
          <w:u w:val="single"/>
        </w:rPr>
        <w:t>Potential iatrogenic BBV transmission</w:t>
      </w:r>
    </w:p>
    <w:p w14:paraId="13BA7415" w14:textId="77777777" w:rsidR="002F1BC7" w:rsidRPr="00747247" w:rsidRDefault="002F1BC7" w:rsidP="002F1BC7">
      <w:pPr>
        <w:pStyle w:val="BodyText"/>
        <w:widowControl/>
        <w:spacing w:before="60" w:after="60"/>
        <w:rPr>
          <w:rFonts w:ascii="Calibri" w:hAnsi="Calibri"/>
          <w:spacing w:val="0"/>
        </w:rPr>
      </w:pPr>
      <w:r w:rsidRPr="00747247">
        <w:rPr>
          <w:rFonts w:ascii="Calibri" w:hAnsi="Calibri"/>
          <w:spacing w:val="0"/>
        </w:rPr>
        <w:t xml:space="preserve">If a patient presents with an acute BBV infection after undergoing an EPP, and the origin of the infection is unclear, the need for a full risk assessment should be decided in consultation with the relevant area of the jurisdictional health department, who may choose to consult their </w:t>
      </w:r>
      <w:r>
        <w:rPr>
          <w:rFonts w:ascii="Calibri" w:hAnsi="Calibri"/>
          <w:spacing w:val="0"/>
        </w:rPr>
        <w:t>EAC (where available) or the NER</w:t>
      </w:r>
      <w:r w:rsidRPr="00747247">
        <w:rPr>
          <w:rFonts w:ascii="Calibri" w:hAnsi="Calibri"/>
          <w:spacing w:val="0"/>
        </w:rPr>
        <w:t>P.</w:t>
      </w:r>
    </w:p>
    <w:p w14:paraId="730414A1" w14:textId="77777777" w:rsidR="002F1BC7" w:rsidRDefault="002F1BC7" w:rsidP="002F1BC7">
      <w:pPr>
        <w:pStyle w:val="BodyText"/>
        <w:widowControl/>
        <w:spacing w:after="60"/>
        <w:rPr>
          <w:rFonts w:ascii="Calibri" w:hAnsi="Calibri"/>
          <w:spacing w:val="0"/>
        </w:rPr>
      </w:pPr>
      <w:r w:rsidRPr="00747247">
        <w:rPr>
          <w:rFonts w:ascii="Calibri" w:hAnsi="Calibri"/>
          <w:spacing w:val="0"/>
        </w:rPr>
        <w:t>This should include an investigation into the circumstances of the transmission including possible system failures (such as staff to patient ratios, acuity of area/situation, faulty equipment, poor HCW training or supervision), HCW factors (such as inexperience, inappropriate deployment), and patient factors.</w:t>
      </w:r>
    </w:p>
    <w:p w14:paraId="7E985DDE" w14:textId="77777777" w:rsidR="002F1BC7" w:rsidRPr="0000358D" w:rsidRDefault="002F1BC7" w:rsidP="002F1BC7">
      <w:pPr>
        <w:pStyle w:val="BodyText"/>
        <w:widowControl/>
        <w:spacing w:before="60" w:after="60"/>
        <w:rPr>
          <w:rFonts w:ascii="Calibri" w:hAnsi="Calibri"/>
        </w:rPr>
      </w:pPr>
      <w:r w:rsidRPr="00747247">
        <w:rPr>
          <w:rFonts w:ascii="Calibri" w:eastAsia="Calibri" w:hAnsi="Calibri" w:cs="Arial"/>
          <w:spacing w:val="0"/>
        </w:rPr>
        <w:t xml:space="preserve">If there is evidence of iatrogenic transmission of a BBV from a HCW, a lookback must be conducted. </w:t>
      </w:r>
    </w:p>
    <w:p w14:paraId="365617BE" w14:textId="77777777" w:rsidR="002F1BC7" w:rsidRPr="00747247" w:rsidRDefault="002F1BC7" w:rsidP="002F1BC7">
      <w:pPr>
        <w:pStyle w:val="BodyText"/>
        <w:widowControl/>
        <w:tabs>
          <w:tab w:val="left" w:pos="567"/>
        </w:tabs>
        <w:spacing w:before="240"/>
        <w:rPr>
          <w:rFonts w:ascii="Calibri" w:hAnsi="Calibri"/>
          <w:spacing w:val="0"/>
          <w:szCs w:val="22"/>
          <w:u w:val="single"/>
        </w:rPr>
      </w:pPr>
      <w:r w:rsidRPr="00747247">
        <w:rPr>
          <w:rFonts w:ascii="Calibri" w:hAnsi="Calibri"/>
          <w:spacing w:val="0"/>
          <w:szCs w:val="22"/>
          <w:u w:val="single"/>
        </w:rPr>
        <w:t>New BBV diagnosis in a HCW who performs EPPs</w:t>
      </w:r>
    </w:p>
    <w:p w14:paraId="1FD9A4E0" w14:textId="77777777" w:rsidR="002F1BC7" w:rsidRPr="00747247" w:rsidRDefault="002F1BC7" w:rsidP="002F1BC7">
      <w:pPr>
        <w:shd w:val="clear" w:color="auto" w:fill="FFFFFF"/>
        <w:spacing w:after="120" w:line="280" w:lineRule="atLeast"/>
        <w:rPr>
          <w:rFonts w:cs="Arial"/>
          <w:b/>
          <w:szCs w:val="20"/>
        </w:rPr>
      </w:pPr>
      <w:r w:rsidRPr="00747247">
        <w:rPr>
          <w:rFonts w:cs="Arial"/>
          <w:szCs w:val="20"/>
        </w:rPr>
        <w:t>When a HCW is diagnosed with a BBV infection, but no iatrogenic transmission to a patient has been identified, the decision on whether a lookback should be undertaken on all or some patients who have undergone an EPP</w:t>
      </w:r>
      <w:r w:rsidRPr="00747247">
        <w:rPr>
          <w:rStyle w:val="FootnoteReference"/>
          <w:rFonts w:cs="Arial"/>
          <w:szCs w:val="20"/>
        </w:rPr>
        <w:footnoteReference w:id="22"/>
      </w:r>
      <w:r w:rsidRPr="00747247">
        <w:rPr>
          <w:rFonts w:cs="Arial"/>
          <w:szCs w:val="20"/>
        </w:rPr>
        <w:t xml:space="preserve">  performed by the HCW should be made on a case</w:t>
      </w:r>
      <w:r w:rsidRPr="00747247">
        <w:rPr>
          <w:rFonts w:cs="Arial"/>
          <w:szCs w:val="20"/>
        </w:rPr>
        <w:noBreakHyphen/>
        <w:t>by</w:t>
      </w:r>
      <w:r w:rsidRPr="00747247">
        <w:rPr>
          <w:rFonts w:cs="Arial"/>
          <w:szCs w:val="20"/>
        </w:rPr>
        <w:noBreakHyphen/>
        <w:t xml:space="preserve">case basis using the following assessment criteria: </w:t>
      </w:r>
    </w:p>
    <w:p w14:paraId="7B96D879" w14:textId="77777777" w:rsidR="002F1BC7" w:rsidRPr="00747247" w:rsidRDefault="002F1BC7" w:rsidP="002F1BC7">
      <w:pPr>
        <w:pStyle w:val="ColorfulList-Accent11"/>
        <w:widowControl/>
        <w:numPr>
          <w:ilvl w:val="0"/>
          <w:numId w:val="36"/>
        </w:numPr>
        <w:shd w:val="clear" w:color="auto" w:fill="FFFFFF"/>
        <w:spacing w:after="120" w:line="280" w:lineRule="atLeast"/>
        <w:contextualSpacing/>
        <w:rPr>
          <w:rFonts w:cs="Arial"/>
          <w:sz w:val="24"/>
          <w:szCs w:val="20"/>
        </w:rPr>
      </w:pPr>
      <w:r w:rsidRPr="00747247">
        <w:rPr>
          <w:rFonts w:cs="Arial"/>
          <w:sz w:val="24"/>
          <w:szCs w:val="20"/>
        </w:rPr>
        <w:t>the nature and history of the clinical practice of the HCW, including the type of procedural practice</w:t>
      </w:r>
    </w:p>
    <w:p w14:paraId="64FB9583" w14:textId="77777777" w:rsidR="002F1BC7" w:rsidRPr="00747247" w:rsidRDefault="002F1BC7" w:rsidP="002F1BC7">
      <w:pPr>
        <w:pStyle w:val="ColorfulList-Accent11"/>
        <w:widowControl/>
        <w:numPr>
          <w:ilvl w:val="0"/>
          <w:numId w:val="36"/>
        </w:numPr>
        <w:shd w:val="clear" w:color="auto" w:fill="FFFFFF"/>
        <w:spacing w:after="120" w:line="280" w:lineRule="atLeast"/>
        <w:contextualSpacing/>
        <w:rPr>
          <w:rFonts w:cs="Arial"/>
          <w:sz w:val="24"/>
          <w:szCs w:val="20"/>
        </w:rPr>
      </w:pPr>
      <w:r w:rsidRPr="00747247">
        <w:rPr>
          <w:rFonts w:cs="Arial"/>
          <w:sz w:val="24"/>
          <w:szCs w:val="20"/>
        </w:rPr>
        <w:t>HCW medical considerations such as viral load</w:t>
      </w:r>
    </w:p>
    <w:p w14:paraId="22A3B0A9" w14:textId="77777777" w:rsidR="002F1BC7" w:rsidRPr="00747247" w:rsidRDefault="002F1BC7" w:rsidP="002F1BC7">
      <w:pPr>
        <w:pStyle w:val="ColorfulList-Accent11"/>
        <w:widowControl/>
        <w:numPr>
          <w:ilvl w:val="1"/>
          <w:numId w:val="41"/>
        </w:numPr>
        <w:shd w:val="clear" w:color="auto" w:fill="FFFFFF"/>
        <w:spacing w:after="120" w:line="280" w:lineRule="atLeast"/>
        <w:contextualSpacing/>
        <w:rPr>
          <w:rFonts w:cs="Arial"/>
          <w:sz w:val="24"/>
          <w:szCs w:val="20"/>
        </w:rPr>
      </w:pPr>
      <w:r w:rsidRPr="00747247">
        <w:rPr>
          <w:rFonts w:cs="Arial"/>
          <w:sz w:val="24"/>
          <w:szCs w:val="20"/>
        </w:rPr>
        <w:lastRenderedPageBreak/>
        <w:t>lookback exercises connected with HCWs with HIV on cART should generally only be considered in circumstances in which their viral load had risen above 1 000 copies/mL</w:t>
      </w:r>
    </w:p>
    <w:p w14:paraId="7CBD16B6" w14:textId="77777777" w:rsidR="002F1BC7" w:rsidRPr="00747247" w:rsidRDefault="002F1BC7" w:rsidP="002F1BC7">
      <w:pPr>
        <w:pStyle w:val="ColorfulList-Accent11"/>
        <w:widowControl/>
        <w:numPr>
          <w:ilvl w:val="0"/>
          <w:numId w:val="36"/>
        </w:numPr>
        <w:shd w:val="clear" w:color="auto" w:fill="FFFFFF"/>
        <w:spacing w:after="120" w:line="280" w:lineRule="atLeast"/>
        <w:contextualSpacing/>
        <w:rPr>
          <w:rFonts w:cs="Arial"/>
          <w:sz w:val="24"/>
          <w:szCs w:val="20"/>
        </w:rPr>
      </w:pPr>
      <w:r w:rsidRPr="00747247">
        <w:rPr>
          <w:rFonts w:cs="Arial"/>
          <w:sz w:val="24"/>
          <w:szCs w:val="20"/>
        </w:rPr>
        <w:t>evidence of physical or mental impairment or behaviour which could have affected the HCW’s standard of practice</w:t>
      </w:r>
    </w:p>
    <w:p w14:paraId="7D1D43B7" w14:textId="77777777" w:rsidR="002F1BC7" w:rsidRPr="00747247" w:rsidRDefault="002F1BC7" w:rsidP="002F1BC7">
      <w:pPr>
        <w:pStyle w:val="ColorfulList-Accent11"/>
        <w:widowControl/>
        <w:numPr>
          <w:ilvl w:val="0"/>
          <w:numId w:val="36"/>
        </w:numPr>
        <w:shd w:val="clear" w:color="auto" w:fill="FFFFFF"/>
        <w:spacing w:after="120" w:line="280" w:lineRule="atLeast"/>
        <w:contextualSpacing/>
        <w:rPr>
          <w:rFonts w:cs="Arial"/>
          <w:sz w:val="24"/>
          <w:szCs w:val="20"/>
        </w:rPr>
      </w:pPr>
      <w:r w:rsidRPr="00747247">
        <w:rPr>
          <w:rFonts w:cs="Arial"/>
          <w:sz w:val="24"/>
          <w:szCs w:val="20"/>
        </w:rPr>
        <w:t>evidence of poor infection prevention and control practice by the HCW or at the relevant healthcare setting during the time the HCW was probably infected with the BBV</w:t>
      </w:r>
    </w:p>
    <w:p w14:paraId="66BBD092" w14:textId="77777777" w:rsidR="002F1BC7" w:rsidRPr="00DF1E0C" w:rsidRDefault="002F1BC7" w:rsidP="002F1BC7">
      <w:pPr>
        <w:pStyle w:val="ColorfulList-Accent11"/>
        <w:widowControl/>
        <w:numPr>
          <w:ilvl w:val="0"/>
          <w:numId w:val="36"/>
        </w:numPr>
        <w:shd w:val="clear" w:color="auto" w:fill="FFFFFF"/>
        <w:spacing w:after="120" w:line="280" w:lineRule="atLeast"/>
        <w:contextualSpacing/>
        <w:rPr>
          <w:rFonts w:cs="Arial"/>
          <w:sz w:val="24"/>
          <w:szCs w:val="20"/>
        </w:rPr>
      </w:pPr>
      <w:r w:rsidRPr="00DF1E0C">
        <w:rPr>
          <w:rFonts w:cs="Arial"/>
          <w:sz w:val="24"/>
          <w:szCs w:val="20"/>
        </w:rPr>
        <w:t>known episodes of high risk exposure to a patient, for example sharps injuries, and</w:t>
      </w:r>
    </w:p>
    <w:p w14:paraId="4E3D4C14" w14:textId="77777777" w:rsidR="002F1BC7" w:rsidRPr="00DF1E0C" w:rsidRDefault="002F1BC7" w:rsidP="002F1BC7">
      <w:pPr>
        <w:pStyle w:val="ColorfulList-Accent11"/>
        <w:widowControl/>
        <w:numPr>
          <w:ilvl w:val="0"/>
          <w:numId w:val="36"/>
        </w:numPr>
        <w:shd w:val="clear" w:color="auto" w:fill="FFFFFF"/>
        <w:spacing w:after="120" w:line="280" w:lineRule="atLeast"/>
        <w:contextualSpacing/>
        <w:rPr>
          <w:rFonts w:cs="Arial"/>
          <w:sz w:val="24"/>
          <w:szCs w:val="20"/>
        </w:rPr>
      </w:pPr>
      <w:r w:rsidRPr="00DF1E0C">
        <w:rPr>
          <w:rFonts w:cs="Arial"/>
          <w:sz w:val="24"/>
          <w:szCs w:val="20"/>
        </w:rPr>
        <w:t xml:space="preserve">any other relevant considerations. </w:t>
      </w:r>
    </w:p>
    <w:p w14:paraId="209C6958" w14:textId="77777777" w:rsidR="002F1BC7" w:rsidRPr="00DF1E0C" w:rsidRDefault="002F1BC7" w:rsidP="002F1BC7">
      <w:pPr>
        <w:pStyle w:val="BodyText"/>
        <w:widowControl/>
        <w:rPr>
          <w:rFonts w:ascii="Calibri" w:hAnsi="Calibri" w:cs="Arial"/>
        </w:rPr>
      </w:pPr>
      <w:r w:rsidRPr="00DF1E0C">
        <w:rPr>
          <w:rFonts w:ascii="Calibri" w:hAnsi="Calibri" w:cs="Arial"/>
        </w:rPr>
        <w:t>Any investigation should be purposeful, practical and proportionate to the risk of transmission.</w:t>
      </w:r>
    </w:p>
    <w:p w14:paraId="2B8212C9" w14:textId="77777777" w:rsidR="002F1BC7" w:rsidRPr="00DF1E0C" w:rsidRDefault="002F1BC7" w:rsidP="002F1BC7">
      <w:pPr>
        <w:pStyle w:val="Heading2"/>
        <w:rPr>
          <w:rFonts w:ascii="Calibri" w:hAnsi="Calibri"/>
          <w:sz w:val="32"/>
          <w:szCs w:val="22"/>
        </w:rPr>
      </w:pPr>
      <w:r w:rsidRPr="00DF1E0C">
        <w:rPr>
          <w:rFonts w:ascii="Calibri" w:hAnsi="Calibri"/>
          <w:sz w:val="32"/>
          <w:szCs w:val="22"/>
          <w:lang w:val="en-AU"/>
        </w:rPr>
        <w:t>11.3 Significant risk of transmission identified</w:t>
      </w:r>
    </w:p>
    <w:p w14:paraId="38177D3D" w14:textId="77777777" w:rsidR="002F1BC7" w:rsidRDefault="002F1BC7" w:rsidP="002F1BC7">
      <w:pPr>
        <w:pStyle w:val="BodyText"/>
        <w:widowControl/>
        <w:spacing w:after="60"/>
        <w:rPr>
          <w:sz w:val="32"/>
        </w:rPr>
      </w:pPr>
      <w:r w:rsidRPr="00DF1E0C">
        <w:rPr>
          <w:rFonts w:ascii="Calibri" w:hAnsi="Calibri"/>
          <w:spacing w:val="0"/>
        </w:rPr>
        <w:t>In instances where the risk assessment and subsequent lookback identifies significant risk, the patient notification exercise may include contacting the patients, offering a pre-test discussion and encouraging testing for the relevant virus(es). The decision on how far back patient notification should go should be dete</w:t>
      </w:r>
      <w:r>
        <w:rPr>
          <w:rFonts w:ascii="Calibri" w:hAnsi="Calibri"/>
          <w:spacing w:val="0"/>
        </w:rPr>
        <w:t>rmined on a case-by-case basis.</w:t>
      </w:r>
    </w:p>
    <w:p w14:paraId="782C6D4A" w14:textId="77777777" w:rsidR="002F1BC7" w:rsidRPr="001E48BB" w:rsidRDefault="002F1BC7" w:rsidP="002F1BC7">
      <w:pPr>
        <w:pStyle w:val="Heading2"/>
        <w:rPr>
          <w:rFonts w:ascii="Calibri" w:hAnsi="Calibri"/>
          <w:sz w:val="32"/>
          <w:szCs w:val="22"/>
          <w:lang w:val="en-AU"/>
        </w:rPr>
      </w:pPr>
      <w:r w:rsidRPr="00DF1E0C">
        <w:rPr>
          <w:rFonts w:ascii="Calibri" w:hAnsi="Calibri"/>
          <w:sz w:val="32"/>
          <w:szCs w:val="22"/>
          <w:lang w:val="en-AU"/>
        </w:rPr>
        <w:t xml:space="preserve">11.4 HCW confidentiality </w:t>
      </w:r>
    </w:p>
    <w:p w14:paraId="5B69B1CF" w14:textId="77777777" w:rsidR="002F1BC7" w:rsidRPr="00DF1E0C" w:rsidRDefault="002F1BC7" w:rsidP="002F1BC7">
      <w:pPr>
        <w:pStyle w:val="BodyText"/>
        <w:widowControl/>
        <w:spacing w:after="60"/>
        <w:rPr>
          <w:rFonts w:ascii="Calibri" w:hAnsi="Calibri"/>
          <w:spacing w:val="0"/>
        </w:rPr>
      </w:pPr>
      <w:r w:rsidRPr="00747247">
        <w:rPr>
          <w:rFonts w:ascii="Calibri" w:hAnsi="Calibri"/>
          <w:spacing w:val="0"/>
        </w:rPr>
        <w:t>The disclosure of the identity of a HCW to a patient should not be necessary and the right to confidentiality of the HCW should be respected, even if the HCW with a BBV has died or has already been identified publicly. Healthcare facilities should provide an environment in which HCWs living with a BBV know their privacy and confidentiality</w:t>
      </w:r>
      <w:r>
        <w:rPr>
          <w:rFonts w:ascii="Calibri" w:hAnsi="Calibri"/>
          <w:spacing w:val="0"/>
        </w:rPr>
        <w:t xml:space="preserve"> will be respected and maintained. </w:t>
      </w:r>
    </w:p>
    <w:p w14:paraId="00D72AD8" w14:textId="77777777" w:rsidR="002F1BC7" w:rsidRPr="00DF1E0C" w:rsidRDefault="002F1BC7" w:rsidP="002F1BC7">
      <w:pPr>
        <w:pStyle w:val="Heading1"/>
        <w:rPr>
          <w:rFonts w:ascii="Calibri" w:hAnsi="Calibri"/>
          <w:sz w:val="40"/>
        </w:rPr>
      </w:pPr>
      <w:r w:rsidRPr="00DF1E0C">
        <w:rPr>
          <w:rFonts w:ascii="Calibri" w:hAnsi="Calibri"/>
          <w:sz w:val="40"/>
        </w:rPr>
        <w:br w:type="page"/>
      </w:r>
    </w:p>
    <w:p w14:paraId="59934F5F" w14:textId="77777777" w:rsidR="002F1BC7" w:rsidRPr="00DF1E0C" w:rsidRDefault="002F1BC7" w:rsidP="002F1BC7">
      <w:pPr>
        <w:pStyle w:val="Heading1"/>
        <w:spacing w:after="240"/>
        <w:rPr>
          <w:rFonts w:ascii="Calibri" w:hAnsi="Calibri"/>
          <w:sz w:val="40"/>
        </w:rPr>
      </w:pPr>
      <w:bookmarkStart w:id="63" w:name="_bookmark7"/>
      <w:bookmarkStart w:id="64" w:name="Examples_of_advice_on_Exposure_Prone_Pro"/>
      <w:bookmarkStart w:id="65" w:name="_bookmark8"/>
      <w:bookmarkStart w:id="66" w:name="_Ref456701092"/>
      <w:bookmarkStart w:id="67" w:name="_Toc480558272"/>
      <w:bookmarkEnd w:id="50"/>
      <w:bookmarkEnd w:id="51"/>
      <w:bookmarkEnd w:id="52"/>
      <w:bookmarkEnd w:id="63"/>
      <w:bookmarkEnd w:id="64"/>
      <w:bookmarkEnd w:id="65"/>
      <w:r w:rsidRPr="00DF1E0C">
        <w:rPr>
          <w:rFonts w:ascii="Calibri" w:hAnsi="Calibri"/>
          <w:sz w:val="40"/>
        </w:rPr>
        <w:lastRenderedPageBreak/>
        <w:t>Appendix 1: Definitions and examples of EPPs</w:t>
      </w:r>
      <w:bookmarkEnd w:id="66"/>
      <w:bookmarkEnd w:id="67"/>
    </w:p>
    <w:p w14:paraId="0358E47B" w14:textId="77777777" w:rsidR="002F1BC7" w:rsidRPr="00DF1E0C" w:rsidRDefault="002F1BC7" w:rsidP="002F1BC7">
      <w:pPr>
        <w:pStyle w:val="BodyText"/>
        <w:widowControl/>
        <w:rPr>
          <w:rFonts w:ascii="Calibri" w:hAnsi="Calibri"/>
          <w:spacing w:val="0"/>
        </w:rPr>
      </w:pPr>
      <w:r w:rsidRPr="00DF1E0C">
        <w:rPr>
          <w:rFonts w:ascii="Calibri" w:hAnsi="Calibri"/>
          <w:b/>
          <w:spacing w:val="0"/>
        </w:rPr>
        <w:t xml:space="preserve">Non-exposure prone procedures (non-EPPs) </w:t>
      </w:r>
      <w:r w:rsidRPr="00DF1E0C">
        <w:rPr>
          <w:rFonts w:ascii="Calibri" w:hAnsi="Calibri"/>
          <w:spacing w:val="0"/>
        </w:rPr>
        <w:t xml:space="preserve">are procedures where the hands and fingers of the HCW are visible and outside of the body at all times and procedures or internal examinations that do not involve possible injury to the HCW’s hands by sharp instruments and/or tissues, provided routine infection prevention and control procedures are adhered to at all times. </w:t>
      </w:r>
    </w:p>
    <w:p w14:paraId="0441F005" w14:textId="77777777" w:rsidR="002F1BC7" w:rsidRPr="00DF1E0C" w:rsidRDefault="002F1BC7" w:rsidP="002F1BC7">
      <w:pPr>
        <w:pStyle w:val="BodyText"/>
        <w:widowControl/>
        <w:rPr>
          <w:rFonts w:ascii="Calibri" w:hAnsi="Calibri"/>
          <w:spacing w:val="0"/>
        </w:rPr>
      </w:pPr>
      <w:r w:rsidRPr="00DF1E0C">
        <w:rPr>
          <w:rFonts w:ascii="Calibri" w:hAnsi="Calibri"/>
          <w:spacing w:val="0"/>
        </w:rPr>
        <w:t>Examples of non-EPPs include routine oral examination (gloved with mirror and/or tongue depressor); vaginal and rectal examinations (except where there is a possibility of pelvic fractures in trauma); insertion and maintenance of intravenous or central lines; incision of superficial abscesses and incision and drainage of superficial haematomas</w:t>
      </w:r>
      <w:r>
        <w:rPr>
          <w:rFonts w:ascii="Calibri" w:hAnsi="Calibri"/>
          <w:spacing w:val="0"/>
        </w:rPr>
        <w:t>;</w:t>
      </w:r>
      <w:r w:rsidRPr="00DF1E0C">
        <w:rPr>
          <w:rFonts w:ascii="Calibri" w:hAnsi="Calibri"/>
          <w:spacing w:val="0"/>
        </w:rPr>
        <w:t xml:space="preserve"> percutaneous drainage of abscesses and haematoma under radiation or ultrasound guidance; minor suturing of uncomplicated skin lacerations; risk from handling sharps (such as handling needles and scalpels outside of a patient’s body). </w:t>
      </w:r>
    </w:p>
    <w:p w14:paraId="70A19F2B" w14:textId="77777777" w:rsidR="002F1BC7" w:rsidRPr="00973E6B" w:rsidRDefault="002F1BC7" w:rsidP="002F1BC7">
      <w:pPr>
        <w:pStyle w:val="BodyText"/>
        <w:widowControl/>
        <w:spacing w:after="240"/>
        <w:rPr>
          <w:rFonts w:ascii="Calibri" w:hAnsi="Calibri"/>
          <w:spacing w:val="0"/>
        </w:rPr>
      </w:pPr>
      <w:r w:rsidRPr="00DF1E0C">
        <w:rPr>
          <w:rFonts w:ascii="Calibri" w:hAnsi="Calibri"/>
          <w:b/>
          <w:spacing w:val="0"/>
        </w:rPr>
        <w:t>Exposure prone procedures (EPPs)</w:t>
      </w:r>
      <w:r w:rsidRPr="00DF1E0C">
        <w:rPr>
          <w:rFonts w:ascii="Calibri" w:hAnsi="Calibri"/>
          <w:spacing w:val="0"/>
        </w:rPr>
        <w:t xml:space="preserve"> are procedures where there is a risk of injury to the HCW resulting in exposure of the patient’s open tissues to the blood of the HCW. These procedures include those where the HCW’s hands (whether gloved or not) may be in contact with sharp instruments, needle tips or sharp tissues (spicules of bone or teeth) inside a patient’s open body cavity, wound or confined anatomical space where the hands or fingertips may not be completely visible at all times. </w:t>
      </w:r>
      <w:r w:rsidRPr="00973E6B">
        <w:rPr>
          <w:rFonts w:ascii="Calibri" w:hAnsi="Calibri"/>
        </w:rPr>
        <w:fldChar w:fldCharType="begin"/>
      </w:r>
      <w:r w:rsidRPr="00973E6B">
        <w:rPr>
          <w:rFonts w:ascii="Calibri" w:hAnsi="Calibri"/>
        </w:rPr>
        <w:instrText xml:space="preserve"> ADDIN EN.CITE &lt;EndNote&gt;&lt;Cite&gt;&lt;Author&gt;Department of Health/Health Protection Division/General Health Protection&lt;/Author&gt;&lt;Year&gt;2005&lt;/Year&gt;&lt;RecNum&gt;40&lt;/RecNum&gt;&lt;DisplayText&gt;[5, 76]&lt;/DisplayText&gt;&lt;record&gt;&lt;rec-number&gt;40&lt;/rec-number&gt;&lt;foreign-keys&gt;&lt;key app="EN" db-id="5d9ze055j2zd5revw2n50xpwd0fze9frtdxr"&gt;40&lt;/key&gt;&lt;/foreign-keys&gt;&lt;ref-type name="Government Document"&gt;46&lt;/ref-type&gt;&lt;contributors&gt;&lt;authors&gt;&lt;author&gt;Department of Health/Health Protection Division/General Health Protection,&lt;/author&gt;&lt;/authors&gt;&lt;/contributors&gt;&lt;titles&gt;&lt;title&gt;HIV infected Health Care Workers: Guidance on management and patient notification&lt;/title&gt;&lt;/titles&gt;&lt;dates&gt;&lt;year&gt;2005&lt;/year&gt;&lt;/dates&gt;&lt;pub-location&gt;London&lt;/pub-location&gt;&lt;urls&gt;&lt;related-urls&gt;&lt;url&gt;http://webarchive.nationalarchives.gov.uk/20130107105354/http:/www.dh.gov.uk/prod_consum_dh/groups/dh_digitalassets/@dh/@en/documents/digitalasset/dh_4116416.pdf&lt;/url&gt;&lt;/related-urls&gt;&lt;/urls&gt;&lt;access-date&gt;July 2015&lt;/access-date&gt;&lt;/record&gt;&lt;/Cite&gt;&lt;Cite&gt;&lt;Author&gt;NHMRC&lt;/Author&gt;&lt;Year&gt;2010&lt;/Year&gt;&lt;RecNum&gt;10&lt;/RecNum&gt;&lt;record&gt;&lt;rec-number&gt;10&lt;/rec-number&gt;&lt;foreign-keys&gt;&lt;key app="EN" db-id="5d9ze055j2zd5revw2n50xpwd0fze9frtdxr"&gt;10&lt;/key&gt;&lt;/foreign-keys&gt;&lt;ref-type name="Government Document"&gt;46&lt;/ref-type&gt;&lt;contributors&gt;&lt;authors&gt;&lt;author&gt;NHMRC&lt;/author&gt;&lt;/authors&gt;&lt;/contributors&gt;&lt;titles&gt;&lt;title&gt;Australian Guidelines for the Prevention and Control of Infection in Healthcare&lt;/title&gt;&lt;/titles&gt;&lt;dates&gt;&lt;year&gt;2010&lt;/year&gt;&lt;/dates&gt;&lt;publisher&gt;Commonwealth of Australia&lt;/publisher&gt;&lt;urls&gt;&lt;related-urls&gt;&lt;url&gt;http://www.nhmrc.gov.au/guidelines/publications/cd33&lt;/url&gt;&lt;/related-urls&gt;&lt;/urls&gt;&lt;access-date&gt;July 2015&lt;/access-date&gt;&lt;/record&gt;&lt;/Cite&gt;&lt;/EndNote&gt;</w:instrText>
      </w:r>
      <w:r w:rsidRPr="00973E6B">
        <w:rPr>
          <w:rFonts w:ascii="Calibri" w:hAnsi="Calibri"/>
        </w:rPr>
        <w:fldChar w:fldCharType="separate"/>
      </w:r>
      <w:r w:rsidRPr="00973E6B">
        <w:rPr>
          <w:rFonts w:ascii="Calibri" w:hAnsi="Calibri"/>
          <w:noProof/>
        </w:rPr>
        <w:t>[</w:t>
      </w:r>
      <w:hyperlink w:anchor="_ENREF_5" w:tooltip="NHMRC, 2010 #10" w:history="1">
        <w:r w:rsidRPr="00973E6B">
          <w:rPr>
            <w:rFonts w:ascii="Calibri" w:hAnsi="Calibri"/>
            <w:noProof/>
          </w:rPr>
          <w:t>5</w:t>
        </w:r>
      </w:hyperlink>
      <w:r w:rsidRPr="00973E6B">
        <w:rPr>
          <w:rFonts w:ascii="Calibri" w:hAnsi="Calibri"/>
          <w:noProof/>
        </w:rPr>
        <w:t xml:space="preserve">, </w:t>
      </w:r>
      <w:hyperlink w:anchor="_ENREF_76" w:tooltip="Department of Health/Health Protection Division/General Health Protection, 2005 #40" w:history="1">
        <w:r w:rsidRPr="00973E6B">
          <w:rPr>
            <w:rFonts w:ascii="Calibri" w:hAnsi="Calibri"/>
            <w:noProof/>
          </w:rPr>
          <w:t>76</w:t>
        </w:r>
      </w:hyperlink>
      <w:r w:rsidRPr="00973E6B">
        <w:rPr>
          <w:rFonts w:ascii="Calibri" w:hAnsi="Calibri"/>
          <w:noProof/>
        </w:rPr>
        <w:t>]</w:t>
      </w:r>
      <w:r w:rsidRPr="00973E6B">
        <w:rPr>
          <w:rFonts w:ascii="Calibri" w:hAnsi="Calibri"/>
        </w:rPr>
        <w:fldChar w:fldCharType="end"/>
      </w:r>
      <w:r w:rsidRPr="00973E6B">
        <w:rPr>
          <w:rFonts w:ascii="Calibri" w:hAnsi="Calibri"/>
          <w:spacing w:val="0"/>
        </w:rPr>
        <w:t>.</w:t>
      </w:r>
    </w:p>
    <w:p w14:paraId="03642D09" w14:textId="77777777" w:rsidR="002F1BC7" w:rsidRPr="00DF1E0C" w:rsidRDefault="002F1BC7" w:rsidP="002F1BC7">
      <w:pPr>
        <w:pStyle w:val="BodyText"/>
        <w:widowControl/>
        <w:rPr>
          <w:rFonts w:ascii="Calibri" w:hAnsi="Calibri"/>
          <w:spacing w:val="0"/>
        </w:rPr>
      </w:pPr>
      <w:r w:rsidRPr="00DF1E0C">
        <w:rPr>
          <w:rFonts w:ascii="Calibri" w:hAnsi="Calibri"/>
          <w:spacing w:val="0"/>
        </w:rPr>
        <w:t>Examples of EPPs include:</w:t>
      </w:r>
    </w:p>
    <w:p w14:paraId="352061DA" w14:textId="77777777" w:rsidR="002F1BC7" w:rsidRPr="00DF1E0C" w:rsidRDefault="002F1BC7" w:rsidP="002F1BC7">
      <w:pPr>
        <w:pStyle w:val="ColorfulList-Accent11"/>
        <w:widowControl/>
        <w:numPr>
          <w:ilvl w:val="0"/>
          <w:numId w:val="37"/>
        </w:numPr>
        <w:tabs>
          <w:tab w:val="left" w:pos="720"/>
        </w:tabs>
        <w:spacing w:after="60" w:line="280" w:lineRule="atLeast"/>
        <w:ind w:left="357" w:hanging="357"/>
        <w:rPr>
          <w:rFonts w:cs="Arial"/>
          <w:sz w:val="24"/>
        </w:rPr>
      </w:pPr>
      <w:r w:rsidRPr="00DF1E0C">
        <w:rPr>
          <w:rFonts w:cs="Arial"/>
          <w:b/>
          <w:sz w:val="24"/>
        </w:rPr>
        <w:t xml:space="preserve">Cardiothoracic surgery: </w:t>
      </w:r>
      <w:r w:rsidRPr="00DF1E0C">
        <w:rPr>
          <w:rFonts w:cs="Arial"/>
          <w:sz w:val="24"/>
        </w:rPr>
        <w:t>generally all cardiothoracic procedures.</w:t>
      </w:r>
    </w:p>
    <w:p w14:paraId="3656A8C9" w14:textId="77777777" w:rsidR="002F1BC7" w:rsidRPr="00DF1E0C" w:rsidRDefault="002F1BC7" w:rsidP="002F1BC7">
      <w:pPr>
        <w:pStyle w:val="ColorfulList-Accent11"/>
        <w:widowControl/>
        <w:numPr>
          <w:ilvl w:val="0"/>
          <w:numId w:val="37"/>
        </w:numPr>
        <w:tabs>
          <w:tab w:val="left" w:pos="720"/>
        </w:tabs>
        <w:spacing w:after="60" w:line="280" w:lineRule="atLeast"/>
        <w:ind w:left="357" w:hanging="357"/>
        <w:rPr>
          <w:rFonts w:cs="Arial"/>
          <w:b/>
          <w:sz w:val="24"/>
        </w:rPr>
      </w:pPr>
      <w:r w:rsidRPr="00DF1E0C">
        <w:rPr>
          <w:rFonts w:cs="Arial"/>
          <w:b/>
          <w:sz w:val="24"/>
        </w:rPr>
        <w:t xml:space="preserve">Dentistry: </w:t>
      </w:r>
      <w:r w:rsidRPr="00DF1E0C">
        <w:rPr>
          <w:rFonts w:cs="Arial"/>
          <w:sz w:val="24"/>
        </w:rPr>
        <w:t>including maxillofacial surgery and oral surgical procedures, including the extraction of teeth (but excluding extraction of highly mobile or exfoliating teeth), periodontal surgical procedures, endodontic surgical procedures, implant surgical procedures.</w:t>
      </w:r>
    </w:p>
    <w:p w14:paraId="3595F086" w14:textId="77777777" w:rsidR="002F1BC7" w:rsidRPr="00DF1E0C" w:rsidRDefault="002F1BC7" w:rsidP="002F1BC7">
      <w:pPr>
        <w:pStyle w:val="ColorfulList-Accent11"/>
        <w:widowControl/>
        <w:numPr>
          <w:ilvl w:val="0"/>
          <w:numId w:val="37"/>
        </w:numPr>
        <w:tabs>
          <w:tab w:val="left" w:pos="720"/>
        </w:tabs>
        <w:spacing w:after="60" w:line="280" w:lineRule="atLeast"/>
        <w:ind w:left="357" w:hanging="357"/>
        <w:rPr>
          <w:rFonts w:cs="Arial"/>
          <w:b/>
          <w:sz w:val="24"/>
        </w:rPr>
      </w:pPr>
      <w:r w:rsidRPr="00DF1E0C">
        <w:rPr>
          <w:rFonts w:cs="Arial"/>
          <w:b/>
          <w:sz w:val="24"/>
        </w:rPr>
        <w:t xml:space="preserve">Gynaecological surgery: </w:t>
      </w:r>
      <w:r w:rsidRPr="00DF1E0C">
        <w:rPr>
          <w:rFonts w:cs="Arial"/>
          <w:sz w:val="24"/>
        </w:rPr>
        <w:t>including perineal surgery, trans-vaginal surgery, and open abdominal gynaecological surgery.</w:t>
      </w:r>
    </w:p>
    <w:p w14:paraId="543925C9" w14:textId="77777777" w:rsidR="002F1BC7" w:rsidRPr="00DF1E0C" w:rsidRDefault="002F1BC7" w:rsidP="002F1BC7">
      <w:pPr>
        <w:pStyle w:val="ColorfulList-Accent11"/>
        <w:widowControl/>
        <w:numPr>
          <w:ilvl w:val="0"/>
          <w:numId w:val="37"/>
        </w:numPr>
        <w:tabs>
          <w:tab w:val="left" w:pos="720"/>
        </w:tabs>
        <w:spacing w:after="60" w:line="280" w:lineRule="atLeast"/>
        <w:ind w:left="357" w:hanging="357"/>
        <w:rPr>
          <w:rFonts w:cs="Arial"/>
          <w:sz w:val="24"/>
        </w:rPr>
      </w:pPr>
      <w:r w:rsidRPr="00DF1E0C">
        <w:rPr>
          <w:rFonts w:cs="Arial"/>
          <w:b/>
          <w:sz w:val="24"/>
        </w:rPr>
        <w:t xml:space="preserve">Neurosurgery: </w:t>
      </w:r>
      <w:r w:rsidRPr="00DF1E0C">
        <w:rPr>
          <w:rFonts w:cs="Arial"/>
          <w:sz w:val="24"/>
        </w:rPr>
        <w:t>that involves exposure to sharp bone fragments e</w:t>
      </w:r>
      <w:r>
        <w:rPr>
          <w:rFonts w:cs="Arial"/>
          <w:sz w:val="24"/>
        </w:rPr>
        <w:t>.</w:t>
      </w:r>
      <w:r w:rsidRPr="00DF1E0C">
        <w:rPr>
          <w:rFonts w:cs="Arial"/>
          <w:sz w:val="24"/>
        </w:rPr>
        <w:t>g. trauma and some spinal surgery.</w:t>
      </w:r>
    </w:p>
    <w:p w14:paraId="2F6B7972" w14:textId="77777777" w:rsidR="002F1BC7" w:rsidRPr="00DF1E0C" w:rsidRDefault="002F1BC7" w:rsidP="002F1BC7">
      <w:pPr>
        <w:pStyle w:val="ColorfulList-Accent11"/>
        <w:widowControl/>
        <w:numPr>
          <w:ilvl w:val="0"/>
          <w:numId w:val="37"/>
        </w:numPr>
        <w:tabs>
          <w:tab w:val="left" w:pos="720"/>
        </w:tabs>
        <w:spacing w:after="60" w:line="280" w:lineRule="atLeast"/>
        <w:ind w:left="357" w:hanging="357"/>
        <w:rPr>
          <w:rFonts w:cs="Arial"/>
          <w:b/>
          <w:sz w:val="24"/>
        </w:rPr>
      </w:pPr>
      <w:r w:rsidRPr="00DF1E0C">
        <w:rPr>
          <w:rFonts w:cs="Arial"/>
          <w:b/>
          <w:sz w:val="24"/>
        </w:rPr>
        <w:t xml:space="preserve">Obstetric or midwifery procedures: </w:t>
      </w:r>
      <w:r w:rsidRPr="00DF1E0C">
        <w:rPr>
          <w:rFonts w:cs="Arial"/>
          <w:sz w:val="24"/>
        </w:rPr>
        <w:t>including caesarean birth, instrumental birth, infiltration of the perineum with local anaesthetic, episiotomy, repair of an episiotomy or perineal/vaginal tear, application of a fetal scalp electrode, and fetal blood sampling.</w:t>
      </w:r>
    </w:p>
    <w:p w14:paraId="491ED3B2" w14:textId="77777777" w:rsidR="002F1BC7" w:rsidRPr="00DF1E0C" w:rsidRDefault="002F1BC7" w:rsidP="002F1BC7">
      <w:pPr>
        <w:pStyle w:val="ColorfulList-Accent11"/>
        <w:widowControl/>
        <w:numPr>
          <w:ilvl w:val="0"/>
          <w:numId w:val="37"/>
        </w:numPr>
        <w:tabs>
          <w:tab w:val="left" w:pos="720"/>
        </w:tabs>
        <w:spacing w:after="60" w:line="280" w:lineRule="atLeast"/>
        <w:ind w:left="357" w:hanging="357"/>
        <w:rPr>
          <w:rFonts w:cs="Arial"/>
          <w:b/>
          <w:sz w:val="24"/>
        </w:rPr>
      </w:pPr>
      <w:r w:rsidRPr="00DF1E0C">
        <w:rPr>
          <w:rFonts w:cs="Arial"/>
          <w:b/>
          <w:sz w:val="24"/>
        </w:rPr>
        <w:t xml:space="preserve">Open surgical procedures: </w:t>
      </w:r>
      <w:r w:rsidRPr="00DF1E0C">
        <w:rPr>
          <w:rFonts w:cs="Arial"/>
          <w:sz w:val="24"/>
        </w:rPr>
        <w:t>including open abdominal or thoracic general surgery, open abdominal or thoracic vascular surgery and open urological procedures.</w:t>
      </w:r>
    </w:p>
    <w:p w14:paraId="3EAC1FDE" w14:textId="77777777" w:rsidR="002F1BC7" w:rsidRPr="00DF1E0C" w:rsidRDefault="002F1BC7" w:rsidP="002F1BC7">
      <w:pPr>
        <w:pStyle w:val="ColorfulList-Accent11"/>
        <w:widowControl/>
        <w:numPr>
          <w:ilvl w:val="0"/>
          <w:numId w:val="37"/>
        </w:numPr>
        <w:tabs>
          <w:tab w:val="left" w:pos="720"/>
        </w:tabs>
        <w:spacing w:after="60" w:line="280" w:lineRule="atLeast"/>
        <w:ind w:left="357" w:hanging="357"/>
        <w:rPr>
          <w:rFonts w:cs="Arial"/>
          <w:b/>
          <w:sz w:val="24"/>
        </w:rPr>
      </w:pPr>
      <w:r w:rsidRPr="00DF1E0C">
        <w:rPr>
          <w:rFonts w:cs="Arial"/>
          <w:b/>
          <w:sz w:val="24"/>
        </w:rPr>
        <w:t xml:space="preserve">Orthopaedic procedures: </w:t>
      </w:r>
      <w:r w:rsidRPr="00DF1E0C">
        <w:rPr>
          <w:rFonts w:cs="Arial"/>
          <w:sz w:val="24"/>
        </w:rPr>
        <w:t>including procedures involving the cutting or fixation of bones or the distant transfer of tissues from a second site (such as in a thumb reconstruction), and open surgical procedures where there is the possibility of bone fragments and/or bone spicules, mechanical drilling is involved, or the procedure involves deep tunneling using sharp instruments.</w:t>
      </w:r>
    </w:p>
    <w:p w14:paraId="6C4F5712" w14:textId="77777777" w:rsidR="002F1BC7" w:rsidRPr="00DF1E0C" w:rsidRDefault="002F1BC7" w:rsidP="002F1BC7">
      <w:pPr>
        <w:pStyle w:val="BulletsBody1"/>
        <w:widowControl/>
        <w:numPr>
          <w:ilvl w:val="0"/>
          <w:numId w:val="37"/>
        </w:numPr>
        <w:rPr>
          <w:rFonts w:ascii="Calibri" w:hAnsi="Calibri"/>
          <w:b/>
          <w:sz w:val="24"/>
        </w:rPr>
      </w:pPr>
      <w:r w:rsidRPr="00DF1E0C">
        <w:rPr>
          <w:rFonts w:ascii="Calibri" w:hAnsi="Calibri"/>
          <w:b/>
          <w:sz w:val="24"/>
        </w:rPr>
        <w:t xml:space="preserve">Otolaryngology, head and neck surgery: </w:t>
      </w:r>
      <w:r w:rsidRPr="00DF1E0C">
        <w:rPr>
          <w:rFonts w:ascii="Calibri" w:hAnsi="Calibri"/>
          <w:sz w:val="24"/>
          <w:lang w:val="en-AU"/>
        </w:rPr>
        <w:t>in particular bony facial reconstructive surgery (elective or after trauma).</w:t>
      </w:r>
    </w:p>
    <w:p w14:paraId="3ACC3C0F" w14:textId="77777777" w:rsidR="002F1BC7" w:rsidRPr="00DF1E0C" w:rsidRDefault="002F1BC7" w:rsidP="002F1BC7">
      <w:pPr>
        <w:pStyle w:val="ColorfulList-Accent11"/>
        <w:widowControl/>
        <w:numPr>
          <w:ilvl w:val="0"/>
          <w:numId w:val="37"/>
        </w:numPr>
        <w:tabs>
          <w:tab w:val="left" w:pos="720"/>
        </w:tabs>
        <w:spacing w:after="60" w:line="280" w:lineRule="atLeast"/>
        <w:ind w:left="357" w:hanging="357"/>
        <w:rPr>
          <w:rFonts w:cs="Arial"/>
          <w:sz w:val="24"/>
        </w:rPr>
      </w:pPr>
      <w:r w:rsidRPr="00DF1E0C">
        <w:rPr>
          <w:rFonts w:cs="Arial"/>
          <w:b/>
          <w:sz w:val="24"/>
        </w:rPr>
        <w:lastRenderedPageBreak/>
        <w:t xml:space="preserve">Plastic surgery: </w:t>
      </w:r>
      <w:r w:rsidRPr="00DF1E0C">
        <w:rPr>
          <w:rFonts w:cs="Arial"/>
          <w:sz w:val="24"/>
        </w:rPr>
        <w:t>where it involves extensive cosmetic procedures that involve bony reconstruction or free tissue transfer involving bone or in the thorax.</w:t>
      </w:r>
    </w:p>
    <w:p w14:paraId="4828E24A" w14:textId="77777777" w:rsidR="002F1BC7" w:rsidRPr="00DF1E0C" w:rsidRDefault="002F1BC7" w:rsidP="002F1BC7">
      <w:pPr>
        <w:pStyle w:val="BulletsBody1"/>
        <w:widowControl/>
        <w:rPr>
          <w:rFonts w:ascii="Calibri" w:hAnsi="Calibri"/>
          <w:b/>
          <w:sz w:val="28"/>
          <w:lang w:val="en-AU"/>
        </w:rPr>
      </w:pPr>
      <w:r w:rsidRPr="00DF1E0C">
        <w:rPr>
          <w:rFonts w:ascii="Calibri" w:hAnsi="Calibri"/>
          <w:b/>
          <w:sz w:val="24"/>
        </w:rPr>
        <w:t>Trauma</w:t>
      </w:r>
      <w:r w:rsidRPr="00DF1E0C">
        <w:rPr>
          <w:rFonts w:ascii="Calibri" w:hAnsi="Calibri"/>
          <w:b/>
          <w:sz w:val="28"/>
          <w:lang w:val="en-AU"/>
        </w:rPr>
        <w:t xml:space="preserve">: </w:t>
      </w:r>
      <w:r w:rsidRPr="00DF1E0C">
        <w:rPr>
          <w:rFonts w:ascii="Calibri" w:eastAsia="Calibri" w:hAnsi="Calibri" w:cs="Arial"/>
          <w:spacing w:val="0"/>
          <w:sz w:val="24"/>
          <w:szCs w:val="22"/>
        </w:rPr>
        <w:t>including open head injuries, facial and jaw fracture reductions, extensive soft tissue trauma, rectal examination in the presence of suspected pelvic fracture, deep suturing to arrest haemorrhage and internal cardiac massage.</w:t>
      </w:r>
      <w:r w:rsidRPr="00DF1E0C">
        <w:rPr>
          <w:rFonts w:ascii="Calibri" w:hAnsi="Calibri"/>
          <w:sz w:val="28"/>
          <w:lang w:val="en-AU"/>
        </w:rPr>
        <w:t xml:space="preserve"> </w:t>
      </w:r>
    </w:p>
    <w:p w14:paraId="637E1EBA" w14:textId="77777777" w:rsidR="002F1BC7" w:rsidRPr="00DF1E0C" w:rsidRDefault="002F1BC7" w:rsidP="002F1BC7">
      <w:pPr>
        <w:tabs>
          <w:tab w:val="left" w:pos="720"/>
        </w:tabs>
        <w:spacing w:after="60" w:line="280" w:lineRule="atLeast"/>
        <w:rPr>
          <w:sz w:val="28"/>
          <w:lang w:val="en-AU"/>
        </w:rPr>
      </w:pPr>
    </w:p>
    <w:p w14:paraId="786DAA59" w14:textId="77777777" w:rsidR="002F1BC7" w:rsidRPr="00DF1E0C" w:rsidRDefault="002F1BC7" w:rsidP="002F1BC7">
      <w:pPr>
        <w:tabs>
          <w:tab w:val="left" w:pos="720"/>
        </w:tabs>
        <w:spacing w:after="60" w:line="280" w:lineRule="atLeast"/>
        <w:rPr>
          <w:rFonts w:cs="Arial"/>
        </w:rPr>
      </w:pPr>
      <w:r w:rsidRPr="00DF1E0C">
        <w:rPr>
          <w:rFonts w:cs="Arial"/>
        </w:rPr>
        <w:t>Examples of procedures that are generally considered to be non</w:t>
      </w:r>
      <w:r w:rsidRPr="00DF1E0C">
        <w:rPr>
          <w:rFonts w:cs="Arial"/>
        </w:rPr>
        <w:noBreakHyphen/>
        <w:t>EPP but have the potential to escalate to open or trauma procedures that will require access to a colleague who can perform EPPs include:</w:t>
      </w:r>
    </w:p>
    <w:p w14:paraId="222CFDF0" w14:textId="77777777" w:rsidR="002F1BC7" w:rsidRPr="00DF1E0C" w:rsidRDefault="002F1BC7" w:rsidP="002F1BC7">
      <w:pPr>
        <w:pStyle w:val="ColorfulList-Accent11"/>
        <w:widowControl/>
        <w:numPr>
          <w:ilvl w:val="0"/>
          <w:numId w:val="37"/>
        </w:numPr>
        <w:tabs>
          <w:tab w:val="left" w:pos="720"/>
        </w:tabs>
        <w:spacing w:after="60" w:line="280" w:lineRule="atLeast"/>
        <w:ind w:left="357" w:hanging="357"/>
        <w:rPr>
          <w:sz w:val="28"/>
          <w:lang w:val="en-AU"/>
        </w:rPr>
      </w:pPr>
      <w:r w:rsidRPr="00DF1E0C">
        <w:rPr>
          <w:rFonts w:cs="Arial"/>
          <w:b/>
          <w:sz w:val="24"/>
        </w:rPr>
        <w:t xml:space="preserve">Minimally invasive procedures: </w:t>
      </w:r>
      <w:r w:rsidRPr="00DF1E0C">
        <w:rPr>
          <w:rFonts w:cs="Arial"/>
          <w:sz w:val="24"/>
        </w:rPr>
        <w:t xml:space="preserve">including laparoscopy, endovascular procedures, thoracoscopic procedures, Natural Orifice Transluminal Endoscopic Surgery (NOTES), cystoscopic procedures, arthroscopic procedures, and robotic surgery. </w:t>
      </w:r>
    </w:p>
    <w:p w14:paraId="33169F5A" w14:textId="77777777" w:rsidR="002F1BC7" w:rsidRPr="00DF1E0C" w:rsidRDefault="002F1BC7" w:rsidP="002F1BC7">
      <w:pPr>
        <w:pStyle w:val="ColorfulList-Accent11"/>
        <w:widowControl/>
        <w:numPr>
          <w:ilvl w:val="0"/>
          <w:numId w:val="37"/>
        </w:numPr>
        <w:tabs>
          <w:tab w:val="left" w:pos="720"/>
        </w:tabs>
        <w:spacing w:after="60" w:line="280" w:lineRule="atLeast"/>
        <w:ind w:left="357" w:hanging="357"/>
        <w:rPr>
          <w:sz w:val="28"/>
          <w:lang w:val="en-AU"/>
        </w:rPr>
      </w:pPr>
      <w:r w:rsidRPr="00DF1E0C">
        <w:rPr>
          <w:rFonts w:cs="Arial"/>
          <w:b/>
          <w:sz w:val="24"/>
        </w:rPr>
        <w:t>Trauma/emergency situations:</w:t>
      </w:r>
      <w:r w:rsidRPr="00DF1E0C">
        <w:rPr>
          <w:rFonts w:cs="Arial"/>
          <w:sz w:val="24"/>
        </w:rPr>
        <w:t xml:space="preserve"> there is the risk in trauma/emergency situations that a previously non-EPP may escalate (and quickly) into an EPP. This context must be considered for paramedics, emergency department staff, and HCWs who work in rural or remote areas. </w:t>
      </w:r>
    </w:p>
    <w:p w14:paraId="05EC1E42" w14:textId="77777777" w:rsidR="002F1BC7" w:rsidRPr="00DF1E0C" w:rsidRDefault="002F1BC7" w:rsidP="002F1BC7">
      <w:pPr>
        <w:tabs>
          <w:tab w:val="left" w:pos="720"/>
        </w:tabs>
        <w:spacing w:after="60" w:line="280" w:lineRule="atLeast"/>
        <w:rPr>
          <w:sz w:val="28"/>
          <w:lang w:val="en-AU"/>
        </w:rPr>
      </w:pPr>
    </w:p>
    <w:p w14:paraId="4E51864B" w14:textId="77777777" w:rsidR="002F1BC7" w:rsidRPr="00DF1E0C" w:rsidRDefault="002F1BC7" w:rsidP="002F1BC7">
      <w:pPr>
        <w:pStyle w:val="BodyText"/>
        <w:widowControl/>
        <w:pBdr>
          <w:top w:val="single" w:sz="4" w:space="1" w:color="auto"/>
          <w:left w:val="single" w:sz="4" w:space="4" w:color="auto"/>
          <w:bottom w:val="single" w:sz="4" w:space="1" w:color="auto"/>
          <w:right w:val="single" w:sz="4" w:space="4" w:color="auto"/>
        </w:pBdr>
        <w:rPr>
          <w:rFonts w:ascii="Calibri" w:hAnsi="Calibri"/>
          <w:spacing w:val="0"/>
        </w:rPr>
      </w:pPr>
      <w:r w:rsidRPr="00DF1E0C">
        <w:rPr>
          <w:rFonts w:ascii="Calibri" w:hAnsi="Calibri"/>
          <w:spacing w:val="0"/>
        </w:rPr>
        <w:t>These lists are intended as a guide only and do not cover all eventualities and must be interpreted with caution. Moreover, it is recognised that variations in practice may exist in Australia, and may change over time. It is therefore recommended that the over-arching EPP definition given is used as the primary guidance when deciding whether a particular practice/procedure is exposure prone or not. The relevant specialist College can provide more detailed information about what procedures are considered exposure prone in their specialities</w:t>
      </w:r>
      <w:r>
        <w:rPr>
          <w:rFonts w:ascii="Calibri" w:hAnsi="Calibri"/>
          <w:spacing w:val="0"/>
        </w:rPr>
        <w:t>. The relevant specialist Colleges may recommend a greater frequency of BBV testing for their speciality, particularly when high risk EPPs are commonly performed</w:t>
      </w:r>
      <w:r w:rsidRPr="00DF1E0C">
        <w:rPr>
          <w:rFonts w:ascii="Calibri" w:hAnsi="Calibri"/>
          <w:spacing w:val="0"/>
        </w:rPr>
        <w:t xml:space="preserve">, and their contact details are provided in </w:t>
      </w:r>
      <w:r w:rsidRPr="00DF1E0C">
        <w:rPr>
          <w:rFonts w:ascii="Calibri" w:hAnsi="Calibri"/>
          <w:spacing w:val="0"/>
        </w:rPr>
        <w:fldChar w:fldCharType="begin"/>
      </w:r>
      <w:r w:rsidRPr="00DF1E0C">
        <w:rPr>
          <w:rFonts w:ascii="Calibri" w:hAnsi="Calibri"/>
          <w:spacing w:val="0"/>
        </w:rPr>
        <w:instrText xml:space="preserve"> REF _Ref455649918 \h  \* MERGEFORMAT </w:instrText>
      </w:r>
      <w:r w:rsidRPr="00DF1E0C">
        <w:rPr>
          <w:rFonts w:ascii="Calibri" w:hAnsi="Calibri"/>
          <w:spacing w:val="0"/>
        </w:rPr>
      </w:r>
      <w:r w:rsidRPr="00DF1E0C">
        <w:rPr>
          <w:rFonts w:ascii="Calibri" w:hAnsi="Calibri"/>
          <w:spacing w:val="0"/>
        </w:rPr>
        <w:fldChar w:fldCharType="separate"/>
      </w:r>
      <w:r w:rsidRPr="00013F35">
        <w:rPr>
          <w:rFonts w:ascii="Calibri" w:hAnsi="Calibri"/>
        </w:rPr>
        <w:t>Appendix 2: Roles</w:t>
      </w:r>
      <w:r w:rsidRPr="00DF1E0C">
        <w:rPr>
          <w:rFonts w:ascii="Calibri" w:hAnsi="Calibri"/>
          <w:spacing w:val="0"/>
        </w:rPr>
        <w:fldChar w:fldCharType="end"/>
      </w:r>
      <w:r w:rsidRPr="00DF1E0C">
        <w:rPr>
          <w:rFonts w:ascii="Calibri" w:hAnsi="Calibri"/>
          <w:spacing w:val="0"/>
        </w:rPr>
        <w:t xml:space="preserve"> of these </w:t>
      </w:r>
      <w:r>
        <w:rPr>
          <w:rFonts w:ascii="Calibri" w:hAnsi="Calibri"/>
          <w:spacing w:val="0"/>
        </w:rPr>
        <w:t>Guidelines</w:t>
      </w:r>
      <w:r w:rsidRPr="00DF1E0C">
        <w:rPr>
          <w:rFonts w:ascii="Calibri" w:hAnsi="Calibri"/>
          <w:spacing w:val="0"/>
        </w:rPr>
        <w:t xml:space="preserve">. </w:t>
      </w:r>
    </w:p>
    <w:p w14:paraId="2899CD8E" w14:textId="77777777" w:rsidR="002F1BC7" w:rsidRPr="00DF1E0C" w:rsidRDefault="002F1BC7" w:rsidP="002F1BC7">
      <w:pPr>
        <w:pStyle w:val="BodyText"/>
        <w:widowControl/>
        <w:rPr>
          <w:rFonts w:ascii="Calibri" w:hAnsi="Calibri" w:cs="Arial"/>
          <w:bCs/>
          <w:spacing w:val="0"/>
          <w:szCs w:val="16"/>
        </w:rPr>
      </w:pPr>
      <w:r w:rsidRPr="00DF1E0C">
        <w:rPr>
          <w:rFonts w:ascii="Calibri" w:hAnsi="Calibri"/>
        </w:rPr>
        <w:br w:type="page"/>
      </w:r>
    </w:p>
    <w:p w14:paraId="2F6F800D" w14:textId="77777777" w:rsidR="002F1BC7" w:rsidRPr="00DF1E0C" w:rsidRDefault="002F1BC7" w:rsidP="002F1BC7">
      <w:pPr>
        <w:rPr>
          <w:rFonts w:eastAsia="Arial"/>
          <w:szCs w:val="20"/>
          <w:lang w:val="en-AU"/>
        </w:rPr>
      </w:pPr>
    </w:p>
    <w:p w14:paraId="639046CA" w14:textId="77777777" w:rsidR="002F1BC7" w:rsidRPr="00DF1E0C" w:rsidRDefault="002F1BC7" w:rsidP="002F1BC7">
      <w:pPr>
        <w:pStyle w:val="Heading1"/>
        <w:spacing w:after="240"/>
        <w:rPr>
          <w:rFonts w:ascii="Calibri" w:hAnsi="Calibri"/>
          <w:sz w:val="40"/>
        </w:rPr>
      </w:pPr>
      <w:bookmarkStart w:id="68" w:name="Appendix_3"/>
      <w:bookmarkStart w:id="69" w:name="_bookmark9"/>
      <w:bookmarkStart w:id="70" w:name="_Toc453757604"/>
      <w:bookmarkStart w:id="71" w:name="_Ref455648809"/>
      <w:bookmarkStart w:id="72" w:name="_Ref455649918"/>
      <w:bookmarkStart w:id="73" w:name="_Ref455657847"/>
      <w:bookmarkStart w:id="74" w:name="_Ref455736651"/>
      <w:bookmarkStart w:id="75" w:name="_Ref456692674"/>
      <w:bookmarkStart w:id="76" w:name="_Toc480558273"/>
      <w:bookmarkEnd w:id="68"/>
      <w:bookmarkEnd w:id="69"/>
      <w:r w:rsidRPr="00DF1E0C">
        <w:rPr>
          <w:rFonts w:ascii="Calibri" w:hAnsi="Calibri"/>
          <w:sz w:val="40"/>
        </w:rPr>
        <w:t>Appendix 2: Roles</w:t>
      </w:r>
      <w:bookmarkEnd w:id="70"/>
      <w:bookmarkEnd w:id="71"/>
      <w:bookmarkEnd w:id="72"/>
      <w:bookmarkEnd w:id="73"/>
      <w:bookmarkEnd w:id="74"/>
      <w:bookmarkEnd w:id="75"/>
      <w:bookmarkEnd w:id="76"/>
    </w:p>
    <w:p w14:paraId="30F8ABF2" w14:textId="77777777" w:rsidR="002F1BC7" w:rsidRPr="00DF1E0C" w:rsidRDefault="002F1BC7" w:rsidP="002F1BC7">
      <w:pPr>
        <w:pStyle w:val="Heading2"/>
        <w:rPr>
          <w:rFonts w:ascii="Calibri" w:hAnsi="Calibri"/>
          <w:sz w:val="32"/>
          <w:lang w:val="en-AU"/>
        </w:rPr>
      </w:pPr>
      <w:r w:rsidRPr="00DF1E0C">
        <w:rPr>
          <w:rFonts w:ascii="Calibri" w:hAnsi="Calibri"/>
          <w:sz w:val="32"/>
          <w:lang w:val="en-AU"/>
        </w:rPr>
        <w:t>Communicable Diseases Network Australia (CDNA)</w:t>
      </w:r>
    </w:p>
    <w:p w14:paraId="4EE9205B" w14:textId="77777777" w:rsidR="002F1BC7" w:rsidRPr="00DF1E0C" w:rsidRDefault="002F1BC7" w:rsidP="002F1BC7">
      <w:pPr>
        <w:pStyle w:val="BodyText"/>
        <w:widowControl/>
        <w:rPr>
          <w:rFonts w:ascii="Calibri" w:hAnsi="Calibri"/>
          <w:spacing w:val="0"/>
        </w:rPr>
      </w:pPr>
      <w:r w:rsidRPr="00DF1E0C">
        <w:rPr>
          <w:rFonts w:ascii="Calibri" w:hAnsi="Calibri"/>
          <w:spacing w:val="0"/>
        </w:rPr>
        <w:t>CDNA is the national expert advisory committee on communicable disease surveillance, prevention and control and offers strategic advice to governments and other key bodies on public health actions to minimise the impact of communicable diseases.</w:t>
      </w:r>
    </w:p>
    <w:p w14:paraId="608B1ACC" w14:textId="77777777" w:rsidR="002F1BC7" w:rsidRPr="00DF1E0C" w:rsidRDefault="002F1BC7" w:rsidP="002F1BC7">
      <w:pPr>
        <w:pStyle w:val="Heading2"/>
        <w:rPr>
          <w:rFonts w:ascii="Calibri" w:hAnsi="Calibri"/>
          <w:sz w:val="32"/>
          <w:lang w:val="en-AU"/>
        </w:rPr>
      </w:pPr>
      <w:r w:rsidRPr="00DF1E0C">
        <w:rPr>
          <w:rFonts w:ascii="Calibri" w:hAnsi="Calibri"/>
          <w:sz w:val="32"/>
          <w:lang w:val="en-AU"/>
        </w:rPr>
        <w:t>Expert Advisory Committee (EAC)</w:t>
      </w:r>
    </w:p>
    <w:p w14:paraId="538FF8D9" w14:textId="77777777" w:rsidR="002F1BC7" w:rsidRPr="00747247" w:rsidRDefault="002F1BC7" w:rsidP="002F1BC7">
      <w:pPr>
        <w:pStyle w:val="BodyText"/>
        <w:widowControl/>
        <w:rPr>
          <w:rFonts w:ascii="Calibri" w:hAnsi="Calibri"/>
        </w:rPr>
      </w:pPr>
      <w:r w:rsidRPr="00747247">
        <w:rPr>
          <w:rFonts w:ascii="Calibri" w:hAnsi="Calibri"/>
        </w:rPr>
        <w:t xml:space="preserve">Jurisdictions may form an EAC or equivalent to provide expert advice when an incident involving a HCW with a BBV occurs or in other specific situations where advice is required. The relevant area of the jurisdictional health department is responsible for convening the EAC. </w:t>
      </w:r>
    </w:p>
    <w:p w14:paraId="554A7685" w14:textId="77777777" w:rsidR="002F1BC7" w:rsidRPr="00747247" w:rsidRDefault="002F1BC7" w:rsidP="002F1BC7">
      <w:pPr>
        <w:pStyle w:val="Heading2"/>
        <w:rPr>
          <w:rFonts w:ascii="Calibri" w:hAnsi="Calibri"/>
          <w:sz w:val="32"/>
          <w:lang w:val="en-AU"/>
        </w:rPr>
      </w:pPr>
      <w:r w:rsidRPr="00747247">
        <w:rPr>
          <w:rFonts w:ascii="Calibri" w:hAnsi="Calibri"/>
          <w:sz w:val="32"/>
          <w:lang w:val="en-AU"/>
        </w:rPr>
        <w:t>Jurisdictional health departments</w:t>
      </w:r>
    </w:p>
    <w:p w14:paraId="24B1B66B" w14:textId="77777777" w:rsidR="002F1BC7" w:rsidRPr="00747247" w:rsidRDefault="002F1BC7" w:rsidP="002F1BC7">
      <w:pPr>
        <w:pStyle w:val="BodyText"/>
        <w:widowControl/>
        <w:rPr>
          <w:rFonts w:ascii="Calibri" w:hAnsi="Calibri"/>
          <w:spacing w:val="0"/>
        </w:rPr>
      </w:pPr>
      <w:r w:rsidRPr="00747247">
        <w:rPr>
          <w:rFonts w:ascii="Calibri" w:hAnsi="Calibri"/>
          <w:spacing w:val="0"/>
        </w:rPr>
        <w:t>State and territory health departments are the primary agencies responsible for surveillance of, and response to, notifiable diseases. This encompasses preventative programs, such as immunisation, BBV policy and program responses, contact tracing where appropriate, surveillance of disease trends and, in some jurisdictions, infection control coordination. Jurisdictional health departments should be consulted for advice on complex situations when managing HCWs with a BBV.</w:t>
      </w:r>
    </w:p>
    <w:p w14:paraId="50AFE224" w14:textId="77777777" w:rsidR="002F1BC7" w:rsidRPr="00747247" w:rsidRDefault="002F1BC7" w:rsidP="002F1BC7">
      <w:pPr>
        <w:pStyle w:val="Heading2"/>
        <w:rPr>
          <w:rFonts w:ascii="Calibri" w:hAnsi="Calibri"/>
          <w:sz w:val="32"/>
          <w:lang w:val="en-AU"/>
        </w:rPr>
      </w:pPr>
      <w:r w:rsidRPr="00747247">
        <w:rPr>
          <w:rFonts w:ascii="Calibri" w:hAnsi="Calibri"/>
          <w:sz w:val="32"/>
          <w:lang w:val="en-AU"/>
        </w:rPr>
        <w:t>Nat</w:t>
      </w:r>
      <w:r>
        <w:rPr>
          <w:rFonts w:ascii="Calibri" w:hAnsi="Calibri"/>
          <w:sz w:val="32"/>
          <w:lang w:val="en-AU"/>
        </w:rPr>
        <w:t>ional Expert Reference Panel (NER</w:t>
      </w:r>
      <w:r w:rsidRPr="00747247">
        <w:rPr>
          <w:rFonts w:ascii="Calibri" w:hAnsi="Calibri"/>
          <w:sz w:val="32"/>
          <w:lang w:val="en-AU"/>
        </w:rPr>
        <w:t>P)</w:t>
      </w:r>
    </w:p>
    <w:p w14:paraId="06834C8F" w14:textId="77777777" w:rsidR="002F1BC7" w:rsidRPr="00DF1E0C" w:rsidRDefault="002F1BC7" w:rsidP="002F1BC7">
      <w:pPr>
        <w:pStyle w:val="BodyText"/>
        <w:widowControl/>
        <w:rPr>
          <w:rFonts w:ascii="Calibri" w:hAnsi="Calibri"/>
          <w:spacing w:val="0"/>
        </w:rPr>
      </w:pPr>
      <w:r>
        <w:rPr>
          <w:rFonts w:ascii="Calibri" w:hAnsi="Calibri"/>
          <w:spacing w:val="0"/>
        </w:rPr>
        <w:t>If requested, the NER</w:t>
      </w:r>
      <w:r w:rsidRPr="00747247">
        <w:rPr>
          <w:rFonts w:ascii="Calibri" w:hAnsi="Calibri"/>
          <w:spacing w:val="0"/>
        </w:rPr>
        <w:t>P can provide advice on issues related to these Guidelines, including the management of individual workers with a BBV and on risk assessments and lookbacks in t</w:t>
      </w:r>
      <w:r>
        <w:rPr>
          <w:rFonts w:ascii="Calibri" w:hAnsi="Calibri"/>
          <w:spacing w:val="0"/>
        </w:rPr>
        <w:t>he event of an incident. The NER</w:t>
      </w:r>
      <w:r w:rsidRPr="00747247">
        <w:rPr>
          <w:rFonts w:ascii="Calibri" w:hAnsi="Calibri"/>
          <w:spacing w:val="0"/>
        </w:rPr>
        <w:t>P can also provide support to EACs and to jurisdictions that do not have an EAC when requested by state and territory health authorities, and will also guide nationally con</w:t>
      </w:r>
      <w:r>
        <w:rPr>
          <w:rFonts w:ascii="Calibri" w:hAnsi="Calibri"/>
          <w:spacing w:val="0"/>
        </w:rPr>
        <w:t>sistent decision making. The NER</w:t>
      </w:r>
      <w:r w:rsidRPr="00747247">
        <w:rPr>
          <w:rFonts w:ascii="Calibri" w:hAnsi="Calibri"/>
          <w:spacing w:val="0"/>
        </w:rPr>
        <w:t>P will meet regularly and will include expertise in public health, relevant clinical areas including treatment, infection control and policy and legal aspects of communicable disease control, as well as representatives</w:t>
      </w:r>
      <w:r>
        <w:rPr>
          <w:rFonts w:ascii="Calibri" w:hAnsi="Calibri"/>
          <w:spacing w:val="0"/>
        </w:rPr>
        <w:t xml:space="preserve"> from local EACs. The NER</w:t>
      </w:r>
      <w:r w:rsidRPr="00DF1E0C">
        <w:rPr>
          <w:rFonts w:ascii="Calibri" w:hAnsi="Calibri"/>
          <w:spacing w:val="0"/>
        </w:rPr>
        <w:t xml:space="preserve">P may also second expert members from specific areas of practice as required. </w:t>
      </w:r>
    </w:p>
    <w:p w14:paraId="761CB661" w14:textId="77777777" w:rsidR="002F1BC7" w:rsidRPr="00F27224" w:rsidRDefault="002F1BC7" w:rsidP="002F1BC7">
      <w:pPr>
        <w:pStyle w:val="Heading2"/>
        <w:rPr>
          <w:rFonts w:ascii="Calibri" w:hAnsi="Calibri"/>
          <w:sz w:val="32"/>
          <w:lang w:val="en-AU"/>
        </w:rPr>
      </w:pPr>
      <w:r w:rsidRPr="00DF1E0C">
        <w:rPr>
          <w:rFonts w:ascii="Calibri" w:hAnsi="Calibri"/>
          <w:sz w:val="32"/>
          <w:lang w:val="en-AU"/>
        </w:rPr>
        <w:t xml:space="preserve">Australian Health Practitioner Regulation Agency (AHPRA) and the </w:t>
      </w:r>
      <w:r w:rsidRPr="00F27224">
        <w:rPr>
          <w:rFonts w:ascii="Calibri" w:hAnsi="Calibri"/>
          <w:sz w:val="32"/>
          <w:lang w:val="en-AU"/>
        </w:rPr>
        <w:t>National Health Practitioner Boards</w:t>
      </w:r>
    </w:p>
    <w:p w14:paraId="468D9C6D" w14:textId="77777777" w:rsidR="002F1BC7" w:rsidRPr="00DF1E0C" w:rsidRDefault="002F1BC7" w:rsidP="002F1BC7">
      <w:pPr>
        <w:pStyle w:val="BodyText"/>
        <w:widowControl/>
        <w:rPr>
          <w:rFonts w:ascii="Calibri" w:hAnsi="Calibri"/>
          <w:spacing w:val="0"/>
        </w:rPr>
      </w:pPr>
      <w:r w:rsidRPr="00F27224">
        <w:rPr>
          <w:rFonts w:ascii="Calibri" w:hAnsi="Calibri"/>
          <w:spacing w:val="0"/>
        </w:rPr>
        <w:t xml:space="preserve">AHPRA supports the National Boards that are responsible for regulating registered health practitioners. The primary role of the National Boards is to protect the public; additionally, they set standards and policies that all registered health practitioners must meet. On behalf of the National Boards, AHPRA manages investigations into the professional conduct, performance or health of registered health practitioners, except in NSW and Queensland who are co-regulatory authorities. The National Boards have developed </w:t>
      </w:r>
      <w:r w:rsidRPr="00F27224">
        <w:rPr>
          <w:rFonts w:ascii="Calibri" w:hAnsi="Calibri"/>
          <w:i/>
          <w:spacing w:val="0"/>
        </w:rPr>
        <w:t xml:space="preserve">Guidelines for the regulatory management of registered health practitioners and students infected with blood borne viruses (under development). </w:t>
      </w:r>
      <w:r w:rsidRPr="00F27224">
        <w:rPr>
          <w:rFonts w:ascii="Calibri" w:hAnsi="Calibri"/>
          <w:spacing w:val="0"/>
        </w:rPr>
        <w:t>Rather than reproducing guidance, AHPRA refers to these Guidelines and informs practitioners that they are required to comply with them.</w:t>
      </w:r>
      <w:r w:rsidRPr="00DF1E0C">
        <w:rPr>
          <w:rFonts w:ascii="Calibri" w:hAnsi="Calibri"/>
          <w:spacing w:val="0"/>
        </w:rPr>
        <w:t xml:space="preserve"> </w:t>
      </w:r>
    </w:p>
    <w:p w14:paraId="41B6DEBC" w14:textId="77777777" w:rsidR="002F1BC7" w:rsidRPr="00013F35" w:rsidRDefault="002F1BC7" w:rsidP="002F1BC7">
      <w:pPr>
        <w:spacing w:after="120" w:line="280" w:lineRule="atLeast"/>
        <w:rPr>
          <w:rFonts w:eastAsia="Arial"/>
          <w:szCs w:val="20"/>
          <w:lang w:val="en-AU"/>
        </w:rPr>
      </w:pPr>
      <w:r w:rsidRPr="00013F35">
        <w:rPr>
          <w:rFonts w:eastAsia="Arial"/>
          <w:szCs w:val="20"/>
          <w:lang w:val="en-AU"/>
        </w:rPr>
        <w:t>Contact details:</w:t>
      </w:r>
    </w:p>
    <w:p w14:paraId="1F8BA3AC" w14:textId="77777777" w:rsidR="002F1BC7" w:rsidRPr="00013F35" w:rsidRDefault="00616FD1" w:rsidP="002F1BC7">
      <w:pPr>
        <w:numPr>
          <w:ilvl w:val="0"/>
          <w:numId w:val="47"/>
        </w:numPr>
        <w:spacing w:after="120" w:line="280" w:lineRule="atLeast"/>
        <w:rPr>
          <w:rFonts w:eastAsia="Arial"/>
          <w:szCs w:val="20"/>
          <w:lang w:val="en-AU"/>
        </w:rPr>
      </w:pPr>
      <w:hyperlink r:id="rId24" w:history="1">
        <w:r w:rsidR="002F1BC7" w:rsidRPr="00013F35">
          <w:rPr>
            <w:rFonts w:eastAsia="Arial"/>
            <w:color w:val="0000FF"/>
            <w:szCs w:val="20"/>
            <w:u w:val="single"/>
            <w:lang w:val="en-AU"/>
          </w:rPr>
          <w:t>Australian Health Practitioner Regulation Agency</w:t>
        </w:r>
      </w:hyperlink>
      <w:r w:rsidR="002F1BC7" w:rsidRPr="00013F35">
        <w:rPr>
          <w:rFonts w:eastAsia="Arial"/>
          <w:szCs w:val="20"/>
          <w:lang w:val="en-AU"/>
        </w:rPr>
        <w:t xml:space="preserve"> (AHPRA)</w:t>
      </w:r>
    </w:p>
    <w:p w14:paraId="4B12BB00" w14:textId="77777777" w:rsidR="002F1BC7" w:rsidRPr="00013F35" w:rsidRDefault="002F1BC7" w:rsidP="002F1BC7">
      <w:pPr>
        <w:numPr>
          <w:ilvl w:val="1"/>
          <w:numId w:val="47"/>
        </w:numPr>
        <w:spacing w:after="120" w:line="280" w:lineRule="atLeast"/>
        <w:rPr>
          <w:rFonts w:eastAsia="Arial"/>
          <w:szCs w:val="20"/>
          <w:lang w:val="en-AU"/>
        </w:rPr>
      </w:pPr>
      <w:r w:rsidRPr="00013F35">
        <w:rPr>
          <w:rFonts w:eastAsia="Arial"/>
          <w:szCs w:val="20"/>
          <w:lang w:val="en-AU"/>
        </w:rPr>
        <w:t>1300 419 495</w:t>
      </w:r>
      <w:bookmarkStart w:id="77" w:name="_Ref455650422"/>
    </w:p>
    <w:p w14:paraId="289CCDB6" w14:textId="77777777" w:rsidR="002F1BC7" w:rsidRPr="00013F35" w:rsidRDefault="002F1BC7" w:rsidP="002F1BC7">
      <w:pPr>
        <w:spacing w:before="240" w:after="240"/>
        <w:outlineLvl w:val="1"/>
        <w:rPr>
          <w:rFonts w:eastAsia="Arial"/>
          <w:b/>
          <w:bCs/>
          <w:sz w:val="32"/>
          <w:szCs w:val="28"/>
          <w:lang w:val="en-AU"/>
        </w:rPr>
      </w:pPr>
      <w:r w:rsidRPr="00013F35">
        <w:rPr>
          <w:rFonts w:eastAsia="Arial"/>
          <w:b/>
          <w:bCs/>
          <w:sz w:val="32"/>
          <w:szCs w:val="28"/>
          <w:lang w:val="en-AU"/>
        </w:rPr>
        <w:t>Australasian Society for HIV, Viral Hepatitis and Sexual Health Medicine</w:t>
      </w:r>
    </w:p>
    <w:p w14:paraId="228C8960" w14:textId="77777777" w:rsidR="002F1BC7" w:rsidRPr="00013F35" w:rsidRDefault="002F1BC7" w:rsidP="002F1BC7">
      <w:pPr>
        <w:spacing w:after="120" w:line="280" w:lineRule="atLeast"/>
        <w:rPr>
          <w:rFonts w:eastAsia="Arial"/>
          <w:spacing w:val="-1"/>
          <w:szCs w:val="20"/>
          <w:lang w:val="en-AU"/>
        </w:rPr>
      </w:pPr>
      <w:r w:rsidRPr="00013F35">
        <w:rPr>
          <w:rFonts w:eastAsia="Arial"/>
          <w:spacing w:val="-1"/>
          <w:szCs w:val="20"/>
          <w:lang w:val="en-AU"/>
        </w:rPr>
        <w:t>The Australasian Society for HIV, Viral Hepatitis and Sexual Health Medicine (ASHM) supports the health workforce in HIV, viral hepatitis and sexually transmissible infections, and can provide expert clinical advice and referral for HCWs who are living with a BBV.</w:t>
      </w:r>
    </w:p>
    <w:p w14:paraId="047EDB94" w14:textId="77777777" w:rsidR="002F1BC7" w:rsidRPr="00013F35" w:rsidRDefault="002F1BC7" w:rsidP="002F1BC7">
      <w:pPr>
        <w:spacing w:after="120" w:line="280" w:lineRule="atLeast"/>
        <w:rPr>
          <w:rFonts w:eastAsia="Arial"/>
          <w:spacing w:val="-1"/>
          <w:szCs w:val="20"/>
          <w:lang w:val="en-AU"/>
        </w:rPr>
      </w:pPr>
      <w:r w:rsidRPr="00013F35">
        <w:rPr>
          <w:rFonts w:eastAsia="Arial"/>
          <w:spacing w:val="-1"/>
          <w:szCs w:val="20"/>
          <w:lang w:val="en-AU"/>
        </w:rPr>
        <w:t xml:space="preserve">Contact details: </w:t>
      </w:r>
    </w:p>
    <w:p w14:paraId="11BA7CFB" w14:textId="77777777" w:rsidR="002F1BC7" w:rsidRPr="00013F35" w:rsidRDefault="00616FD1" w:rsidP="002F1BC7">
      <w:pPr>
        <w:numPr>
          <w:ilvl w:val="0"/>
          <w:numId w:val="47"/>
        </w:numPr>
        <w:spacing w:after="120" w:line="280" w:lineRule="atLeast"/>
        <w:rPr>
          <w:rFonts w:eastAsia="Arial"/>
          <w:szCs w:val="20"/>
          <w:lang w:val="en-AU"/>
        </w:rPr>
      </w:pPr>
      <w:hyperlink r:id="rId25" w:history="1">
        <w:r w:rsidR="002F1BC7" w:rsidRPr="00013F35">
          <w:rPr>
            <w:rFonts w:eastAsia="Arial"/>
            <w:color w:val="0000FF"/>
            <w:szCs w:val="20"/>
            <w:u w:val="single"/>
            <w:lang w:val="en-AU"/>
          </w:rPr>
          <w:t>Australasian Society for HIV, Viral Hepatitis and Sexual Health Medicine</w:t>
        </w:r>
      </w:hyperlink>
    </w:p>
    <w:p w14:paraId="3A597636" w14:textId="77777777" w:rsidR="002F1BC7" w:rsidRPr="00013F35" w:rsidRDefault="002F1BC7" w:rsidP="002F1BC7">
      <w:pPr>
        <w:numPr>
          <w:ilvl w:val="1"/>
          <w:numId w:val="47"/>
        </w:numPr>
        <w:spacing w:after="120" w:line="280" w:lineRule="atLeast"/>
        <w:rPr>
          <w:rFonts w:eastAsia="Arial"/>
          <w:szCs w:val="20"/>
          <w:lang w:val="en-AU"/>
        </w:rPr>
      </w:pPr>
      <w:r w:rsidRPr="00013F35">
        <w:rPr>
          <w:rFonts w:ascii="Arial" w:eastAsia="Arial" w:hAnsi="Arial"/>
          <w:spacing w:val="-1"/>
          <w:sz w:val="20"/>
          <w:szCs w:val="20"/>
        </w:rPr>
        <w:t xml:space="preserve">Email: </w:t>
      </w:r>
      <w:hyperlink r:id="rId26" w:history="1">
        <w:r w:rsidRPr="00013F35">
          <w:rPr>
            <w:rFonts w:eastAsia="Arial"/>
            <w:color w:val="0000FF"/>
            <w:szCs w:val="20"/>
            <w:u w:val="single"/>
            <w:lang w:val="en-AU"/>
          </w:rPr>
          <w:t>ashm@ashm.org.au</w:t>
        </w:r>
      </w:hyperlink>
      <w:r w:rsidRPr="00013F35">
        <w:rPr>
          <w:rFonts w:eastAsia="Arial"/>
          <w:szCs w:val="20"/>
          <w:lang w:val="en-AU"/>
        </w:rPr>
        <w:t xml:space="preserve"> </w:t>
      </w:r>
    </w:p>
    <w:p w14:paraId="1518C4F8" w14:textId="77777777" w:rsidR="002F1BC7" w:rsidRPr="00013F35" w:rsidRDefault="002F1BC7" w:rsidP="002F1BC7">
      <w:pPr>
        <w:numPr>
          <w:ilvl w:val="1"/>
          <w:numId w:val="47"/>
        </w:numPr>
        <w:spacing w:after="120" w:line="280" w:lineRule="atLeast"/>
        <w:rPr>
          <w:rFonts w:eastAsia="Arial"/>
          <w:szCs w:val="20"/>
          <w:lang w:val="en-AU"/>
        </w:rPr>
      </w:pPr>
      <w:r w:rsidRPr="00013F35">
        <w:rPr>
          <w:rFonts w:eastAsia="Arial"/>
          <w:szCs w:val="20"/>
          <w:lang w:val="en-AU"/>
        </w:rPr>
        <w:t>(02) 8204 0700</w:t>
      </w:r>
    </w:p>
    <w:p w14:paraId="72491F47" w14:textId="77777777" w:rsidR="002F1BC7" w:rsidRPr="00013F35" w:rsidRDefault="002F1BC7" w:rsidP="002F1BC7">
      <w:pPr>
        <w:spacing w:before="240" w:after="240"/>
        <w:outlineLvl w:val="1"/>
        <w:rPr>
          <w:rFonts w:eastAsia="Arial"/>
          <w:b/>
          <w:bCs/>
          <w:sz w:val="32"/>
          <w:szCs w:val="28"/>
          <w:lang w:val="en-AU"/>
        </w:rPr>
      </w:pPr>
      <w:r w:rsidRPr="00013F35">
        <w:rPr>
          <w:rFonts w:eastAsia="Arial"/>
          <w:b/>
          <w:bCs/>
          <w:sz w:val="32"/>
          <w:szCs w:val="28"/>
          <w:lang w:val="en-AU"/>
        </w:rPr>
        <w:t>Relevant Specialist Colleges</w:t>
      </w:r>
      <w:bookmarkEnd w:id="77"/>
    </w:p>
    <w:p w14:paraId="7A41E80B" w14:textId="77777777" w:rsidR="002F1BC7" w:rsidRPr="00013F35" w:rsidRDefault="002F1BC7" w:rsidP="002F1BC7">
      <w:pPr>
        <w:spacing w:after="120" w:line="280" w:lineRule="atLeast"/>
        <w:rPr>
          <w:rFonts w:eastAsia="Arial"/>
          <w:szCs w:val="20"/>
          <w:lang w:val="en-AU"/>
        </w:rPr>
      </w:pPr>
      <w:r w:rsidRPr="00013F35">
        <w:rPr>
          <w:rFonts w:eastAsia="Arial"/>
          <w:spacing w:val="-1"/>
          <w:szCs w:val="20"/>
          <w:lang w:val="en-AU"/>
        </w:rPr>
        <w:t xml:space="preserve">The relevant specialist Colleges can provide advice and guidance on which procedures in their particular specialties constitute an EPP. The relevant specialist Colleges can also provide advice on the risk of EPPs and appropriate testing frequency for their associated specialities. Furthermore, support and advice to HCWs </w:t>
      </w:r>
      <w:r w:rsidRPr="00013F35">
        <w:rPr>
          <w:rFonts w:eastAsia="Arial"/>
          <w:szCs w:val="20"/>
          <w:lang w:val="en-AU"/>
        </w:rPr>
        <w:t>living with a BBV is available from their relevant specialist College.</w:t>
      </w:r>
    </w:p>
    <w:p w14:paraId="4D6FD493" w14:textId="77777777" w:rsidR="002F1BC7" w:rsidRPr="00013F35" w:rsidRDefault="002F1BC7" w:rsidP="002F1BC7">
      <w:pPr>
        <w:spacing w:after="120" w:line="280" w:lineRule="atLeast"/>
        <w:rPr>
          <w:rFonts w:eastAsia="Arial"/>
          <w:szCs w:val="20"/>
          <w:lang w:val="en-AU"/>
        </w:rPr>
      </w:pPr>
      <w:r w:rsidRPr="00013F35">
        <w:rPr>
          <w:rFonts w:eastAsia="Arial"/>
          <w:szCs w:val="20"/>
          <w:lang w:val="en-AU"/>
        </w:rPr>
        <w:t>Contact details:</w:t>
      </w:r>
    </w:p>
    <w:p w14:paraId="563AD881" w14:textId="77777777" w:rsidR="002F1BC7" w:rsidRPr="00013F35" w:rsidRDefault="00616FD1" w:rsidP="002F1BC7">
      <w:pPr>
        <w:numPr>
          <w:ilvl w:val="0"/>
          <w:numId w:val="43"/>
        </w:numPr>
        <w:spacing w:after="120" w:line="160" w:lineRule="atLeast"/>
        <w:ind w:hanging="357"/>
        <w:rPr>
          <w:rFonts w:eastAsia="Arial"/>
          <w:spacing w:val="-1"/>
          <w:szCs w:val="20"/>
        </w:rPr>
      </w:pPr>
      <w:hyperlink r:id="rId27" w:history="1">
        <w:r w:rsidR="002F1BC7" w:rsidRPr="00013F35">
          <w:rPr>
            <w:rFonts w:eastAsia="Arial"/>
            <w:color w:val="0000FF"/>
            <w:spacing w:val="-1"/>
            <w:szCs w:val="20"/>
            <w:u w:val="single"/>
          </w:rPr>
          <w:t>Australasian College for Emergency Medicine</w:t>
        </w:r>
      </w:hyperlink>
      <w:r w:rsidR="002F1BC7" w:rsidRPr="00013F35">
        <w:rPr>
          <w:rFonts w:eastAsia="Arial"/>
          <w:spacing w:val="-1"/>
          <w:szCs w:val="20"/>
        </w:rPr>
        <w:t xml:space="preserve"> (ACEM)</w:t>
      </w:r>
    </w:p>
    <w:p w14:paraId="2A90A32F" w14:textId="77777777" w:rsidR="002F1BC7" w:rsidRPr="00013F35" w:rsidRDefault="002F1BC7" w:rsidP="002F1BC7">
      <w:pPr>
        <w:numPr>
          <w:ilvl w:val="1"/>
          <w:numId w:val="43"/>
        </w:numPr>
        <w:spacing w:after="120" w:line="160" w:lineRule="atLeast"/>
        <w:ind w:hanging="357"/>
        <w:rPr>
          <w:rFonts w:eastAsia="Arial"/>
          <w:spacing w:val="-1"/>
          <w:szCs w:val="20"/>
        </w:rPr>
      </w:pPr>
      <w:r w:rsidRPr="00013F35">
        <w:rPr>
          <w:rFonts w:eastAsia="Arial"/>
          <w:spacing w:val="-1"/>
          <w:szCs w:val="20"/>
        </w:rPr>
        <w:t xml:space="preserve"> (03) 9320 0444</w:t>
      </w:r>
    </w:p>
    <w:p w14:paraId="09D0FF25" w14:textId="77777777" w:rsidR="002F1BC7" w:rsidRPr="00013F35" w:rsidRDefault="00616FD1" w:rsidP="002F1BC7">
      <w:pPr>
        <w:numPr>
          <w:ilvl w:val="0"/>
          <w:numId w:val="43"/>
        </w:numPr>
        <w:spacing w:after="120" w:line="160" w:lineRule="atLeast"/>
        <w:rPr>
          <w:rFonts w:eastAsia="Arial"/>
          <w:spacing w:val="-1"/>
          <w:szCs w:val="20"/>
        </w:rPr>
      </w:pPr>
      <w:hyperlink r:id="rId28" w:history="1">
        <w:r w:rsidR="002F1BC7" w:rsidRPr="00013F35">
          <w:rPr>
            <w:rFonts w:eastAsia="Arial"/>
            <w:color w:val="0000FF"/>
            <w:spacing w:val="-1"/>
            <w:szCs w:val="20"/>
            <w:u w:val="single"/>
          </w:rPr>
          <w:t>Australasian College of Dermatologists</w:t>
        </w:r>
      </w:hyperlink>
      <w:r w:rsidR="002F1BC7" w:rsidRPr="00013F35">
        <w:rPr>
          <w:rFonts w:eastAsia="Arial"/>
          <w:spacing w:val="-1"/>
          <w:szCs w:val="20"/>
        </w:rPr>
        <w:t xml:space="preserve"> (ACD)</w:t>
      </w:r>
    </w:p>
    <w:p w14:paraId="31D8E358"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 xml:space="preserve"> (02) 9736 2194 </w:t>
      </w:r>
    </w:p>
    <w:p w14:paraId="68966395" w14:textId="77777777" w:rsidR="002F1BC7" w:rsidRPr="00013F35" w:rsidRDefault="00616FD1" w:rsidP="002F1BC7">
      <w:pPr>
        <w:numPr>
          <w:ilvl w:val="0"/>
          <w:numId w:val="43"/>
        </w:numPr>
        <w:spacing w:after="120" w:line="160" w:lineRule="atLeast"/>
        <w:rPr>
          <w:rFonts w:eastAsia="Arial"/>
          <w:spacing w:val="-1"/>
          <w:szCs w:val="20"/>
        </w:rPr>
      </w:pPr>
      <w:hyperlink r:id="rId29" w:history="1">
        <w:r w:rsidR="002F1BC7" w:rsidRPr="00013F35">
          <w:rPr>
            <w:rFonts w:eastAsia="Arial"/>
            <w:color w:val="0000FF"/>
            <w:spacing w:val="-1"/>
            <w:szCs w:val="20"/>
            <w:u w:val="single"/>
          </w:rPr>
          <w:t>Australasian College of Podiatric Surgeons</w:t>
        </w:r>
      </w:hyperlink>
      <w:r w:rsidR="002F1BC7" w:rsidRPr="00013F35">
        <w:rPr>
          <w:rFonts w:eastAsia="Arial"/>
          <w:spacing w:val="-1"/>
          <w:szCs w:val="20"/>
        </w:rPr>
        <w:t xml:space="preserve"> (ACPS)</w:t>
      </w:r>
    </w:p>
    <w:p w14:paraId="6C77494E" w14:textId="77777777" w:rsidR="002F1BC7" w:rsidRPr="00013F35" w:rsidRDefault="002F1BC7" w:rsidP="002F1BC7">
      <w:pPr>
        <w:numPr>
          <w:ilvl w:val="1"/>
          <w:numId w:val="43"/>
        </w:numPr>
        <w:spacing w:after="120" w:line="160" w:lineRule="atLeast"/>
        <w:rPr>
          <w:rFonts w:eastAsia="Arial"/>
          <w:spacing w:val="-1"/>
          <w:szCs w:val="20"/>
        </w:rPr>
      </w:pPr>
      <w:r w:rsidRPr="00013F35">
        <w:rPr>
          <w:rFonts w:ascii="Arial" w:eastAsia="Arial" w:hAnsi="Arial"/>
          <w:spacing w:val="-1"/>
          <w:sz w:val="20"/>
          <w:szCs w:val="20"/>
        </w:rPr>
        <w:t xml:space="preserve">Email:  </w:t>
      </w:r>
      <w:hyperlink r:id="rId30" w:history="1">
        <w:r w:rsidRPr="00013F35">
          <w:rPr>
            <w:rFonts w:eastAsia="Arial"/>
            <w:color w:val="0000FF"/>
            <w:spacing w:val="-1"/>
            <w:szCs w:val="20"/>
            <w:u w:val="single"/>
          </w:rPr>
          <w:t>podiatric.surgeons@rsm.com.au</w:t>
        </w:r>
      </w:hyperlink>
    </w:p>
    <w:p w14:paraId="3744310B"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(03) 9286 8188</w:t>
      </w:r>
    </w:p>
    <w:p w14:paraId="4E1A48A3" w14:textId="77777777" w:rsidR="002F1BC7" w:rsidRPr="00013F35" w:rsidRDefault="00616FD1" w:rsidP="002F1BC7">
      <w:pPr>
        <w:numPr>
          <w:ilvl w:val="0"/>
          <w:numId w:val="43"/>
        </w:numPr>
        <w:spacing w:after="120" w:line="160" w:lineRule="atLeast"/>
        <w:rPr>
          <w:rFonts w:eastAsia="Arial"/>
          <w:spacing w:val="-1"/>
          <w:szCs w:val="20"/>
        </w:rPr>
      </w:pPr>
      <w:hyperlink r:id="rId31" w:history="1">
        <w:r w:rsidR="002F1BC7" w:rsidRPr="00013F35">
          <w:rPr>
            <w:rFonts w:eastAsia="Arial"/>
            <w:color w:val="0000FF"/>
            <w:spacing w:val="-1"/>
            <w:szCs w:val="20"/>
            <w:u w:val="single"/>
          </w:rPr>
          <w:t>Australian College of Emergency Nursing</w:t>
        </w:r>
      </w:hyperlink>
      <w:r w:rsidR="002F1BC7" w:rsidRPr="00013F35">
        <w:rPr>
          <w:rFonts w:eastAsia="Arial"/>
          <w:spacing w:val="-1"/>
          <w:szCs w:val="20"/>
        </w:rPr>
        <w:t xml:space="preserve"> (ACEN)</w:t>
      </w:r>
    </w:p>
    <w:p w14:paraId="616186A8" w14:textId="77777777" w:rsidR="002F1BC7" w:rsidRPr="00013F35" w:rsidRDefault="002F1BC7" w:rsidP="002F1BC7">
      <w:pPr>
        <w:numPr>
          <w:ilvl w:val="1"/>
          <w:numId w:val="43"/>
        </w:numPr>
        <w:spacing w:after="120" w:line="160" w:lineRule="atLeast"/>
        <w:rPr>
          <w:rFonts w:eastAsia="Arial"/>
          <w:spacing w:val="-1"/>
          <w:szCs w:val="20"/>
        </w:rPr>
      </w:pPr>
      <w:r w:rsidRPr="00013F35">
        <w:rPr>
          <w:rFonts w:ascii="Arial" w:eastAsia="Arial" w:hAnsi="Arial"/>
          <w:spacing w:val="-1"/>
          <w:sz w:val="20"/>
          <w:szCs w:val="20"/>
        </w:rPr>
        <w:t xml:space="preserve">Email:  </w:t>
      </w:r>
      <w:hyperlink r:id="rId32" w:history="1">
        <w:r w:rsidRPr="00013F35">
          <w:rPr>
            <w:rFonts w:eastAsia="Arial"/>
            <w:color w:val="0000FF"/>
            <w:spacing w:val="-1"/>
            <w:szCs w:val="20"/>
            <w:u w:val="single"/>
          </w:rPr>
          <w:t>admin@acen.com.au</w:t>
        </w:r>
      </w:hyperlink>
    </w:p>
    <w:p w14:paraId="7577B504"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(02) 9629 8688</w:t>
      </w:r>
    </w:p>
    <w:p w14:paraId="0C68606E" w14:textId="77777777" w:rsidR="002F1BC7" w:rsidRPr="00013F35" w:rsidRDefault="00616FD1" w:rsidP="002F1BC7">
      <w:pPr>
        <w:numPr>
          <w:ilvl w:val="0"/>
          <w:numId w:val="43"/>
        </w:numPr>
        <w:spacing w:after="120" w:line="160" w:lineRule="atLeast"/>
        <w:rPr>
          <w:rFonts w:eastAsia="Arial"/>
          <w:spacing w:val="-1"/>
          <w:szCs w:val="20"/>
        </w:rPr>
      </w:pPr>
      <w:hyperlink r:id="rId33" w:history="1">
        <w:r w:rsidR="002F1BC7" w:rsidRPr="00013F35">
          <w:rPr>
            <w:rFonts w:eastAsia="Arial"/>
            <w:color w:val="0000FF"/>
            <w:spacing w:val="-1"/>
            <w:szCs w:val="20"/>
            <w:u w:val="single"/>
          </w:rPr>
          <w:t>Australian and New Zealand College of Anaesthetists</w:t>
        </w:r>
      </w:hyperlink>
      <w:r w:rsidR="002F1BC7" w:rsidRPr="00013F35">
        <w:rPr>
          <w:rFonts w:eastAsia="Arial"/>
          <w:spacing w:val="-1"/>
          <w:szCs w:val="20"/>
        </w:rPr>
        <w:t xml:space="preserve"> (ANZCA)</w:t>
      </w:r>
    </w:p>
    <w:p w14:paraId="1B4806BF"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 xml:space="preserve"> (03) 9510 6299</w:t>
      </w:r>
    </w:p>
    <w:p w14:paraId="35379C5D" w14:textId="77777777" w:rsidR="002F1BC7" w:rsidRPr="00013F35" w:rsidRDefault="00616FD1" w:rsidP="002F1BC7">
      <w:pPr>
        <w:numPr>
          <w:ilvl w:val="0"/>
          <w:numId w:val="43"/>
        </w:numPr>
        <w:spacing w:after="120" w:line="160" w:lineRule="atLeast"/>
        <w:rPr>
          <w:rFonts w:eastAsia="Arial"/>
          <w:spacing w:val="-1"/>
          <w:szCs w:val="20"/>
        </w:rPr>
      </w:pPr>
      <w:hyperlink r:id="rId34" w:history="1">
        <w:r w:rsidR="002F1BC7" w:rsidRPr="00013F35">
          <w:rPr>
            <w:rFonts w:eastAsia="Arial"/>
            <w:color w:val="0000FF"/>
            <w:spacing w:val="-1"/>
            <w:szCs w:val="20"/>
            <w:u w:val="single"/>
          </w:rPr>
          <w:t>Australian College of Midwives</w:t>
        </w:r>
      </w:hyperlink>
      <w:r w:rsidR="002F1BC7" w:rsidRPr="00013F35">
        <w:rPr>
          <w:rFonts w:eastAsia="Arial"/>
          <w:spacing w:val="-1"/>
          <w:szCs w:val="20"/>
        </w:rPr>
        <w:t xml:space="preserve"> (ACM)</w:t>
      </w:r>
    </w:p>
    <w:p w14:paraId="3176607F" w14:textId="77777777" w:rsidR="002F1BC7" w:rsidRPr="00013F35" w:rsidRDefault="002F1BC7" w:rsidP="002F1BC7">
      <w:pPr>
        <w:numPr>
          <w:ilvl w:val="1"/>
          <w:numId w:val="43"/>
        </w:numPr>
        <w:spacing w:after="120" w:line="160" w:lineRule="atLeast"/>
        <w:rPr>
          <w:rFonts w:eastAsia="Arial"/>
          <w:spacing w:val="-1"/>
          <w:szCs w:val="20"/>
        </w:rPr>
      </w:pPr>
      <w:r w:rsidRPr="00013F35">
        <w:rPr>
          <w:rFonts w:ascii="Arial" w:eastAsia="Arial" w:hAnsi="Arial"/>
          <w:spacing w:val="-1"/>
          <w:sz w:val="20"/>
          <w:szCs w:val="20"/>
        </w:rPr>
        <w:t xml:space="preserve">Email:  </w:t>
      </w:r>
      <w:hyperlink r:id="rId35" w:history="1">
        <w:r w:rsidRPr="00013F35">
          <w:rPr>
            <w:rFonts w:eastAsia="Arial"/>
            <w:color w:val="0000FF"/>
            <w:spacing w:val="-1"/>
            <w:szCs w:val="20"/>
            <w:u w:val="single"/>
          </w:rPr>
          <w:t>admin@midwive.org.au</w:t>
        </w:r>
      </w:hyperlink>
    </w:p>
    <w:p w14:paraId="2560B145"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(02) 6230 7333</w:t>
      </w:r>
    </w:p>
    <w:p w14:paraId="097D6256" w14:textId="77777777" w:rsidR="002F1BC7" w:rsidRPr="00013F35" w:rsidRDefault="00616FD1" w:rsidP="002F1BC7">
      <w:pPr>
        <w:numPr>
          <w:ilvl w:val="0"/>
          <w:numId w:val="43"/>
        </w:numPr>
        <w:spacing w:after="120" w:line="160" w:lineRule="atLeast"/>
        <w:rPr>
          <w:rFonts w:eastAsia="Arial"/>
          <w:spacing w:val="-1"/>
          <w:szCs w:val="20"/>
        </w:rPr>
      </w:pPr>
      <w:hyperlink r:id="rId36" w:history="1">
        <w:r w:rsidR="002F1BC7" w:rsidRPr="00013F35">
          <w:rPr>
            <w:rFonts w:eastAsia="Arial"/>
            <w:color w:val="0000FF"/>
            <w:spacing w:val="-1"/>
            <w:szCs w:val="20"/>
            <w:u w:val="single"/>
          </w:rPr>
          <w:t>Australian College of Nursing</w:t>
        </w:r>
      </w:hyperlink>
      <w:r w:rsidR="002F1BC7" w:rsidRPr="00013F35">
        <w:rPr>
          <w:rFonts w:ascii="Arial" w:eastAsia="Arial" w:hAnsi="Arial"/>
          <w:spacing w:val="-1"/>
          <w:sz w:val="20"/>
          <w:szCs w:val="20"/>
        </w:rPr>
        <w:t xml:space="preserve"> (ACN)</w:t>
      </w:r>
    </w:p>
    <w:p w14:paraId="2A322E8C" w14:textId="77777777" w:rsidR="002F1BC7" w:rsidRPr="00013F35" w:rsidRDefault="002F1BC7" w:rsidP="002F1BC7">
      <w:pPr>
        <w:numPr>
          <w:ilvl w:val="1"/>
          <w:numId w:val="43"/>
        </w:numPr>
        <w:spacing w:after="120" w:line="160" w:lineRule="atLeast"/>
        <w:rPr>
          <w:rFonts w:eastAsia="Arial"/>
          <w:spacing w:val="-1"/>
          <w:szCs w:val="20"/>
        </w:rPr>
      </w:pPr>
      <w:r w:rsidRPr="00013F35">
        <w:rPr>
          <w:rFonts w:ascii="Arial" w:eastAsia="Arial" w:hAnsi="Arial"/>
          <w:spacing w:val="-1"/>
          <w:sz w:val="20"/>
          <w:szCs w:val="20"/>
        </w:rPr>
        <w:t xml:space="preserve">Email:  </w:t>
      </w:r>
      <w:hyperlink r:id="rId37" w:history="1">
        <w:r w:rsidRPr="00013F35">
          <w:rPr>
            <w:rFonts w:eastAsia="Arial"/>
            <w:color w:val="0000FF"/>
            <w:spacing w:val="-1"/>
            <w:szCs w:val="20"/>
            <w:u w:val="single"/>
          </w:rPr>
          <w:t>acn@acn.edu.au</w:t>
        </w:r>
      </w:hyperlink>
    </w:p>
    <w:p w14:paraId="62307844"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(02) 6283 3400</w:t>
      </w:r>
    </w:p>
    <w:p w14:paraId="7882A683" w14:textId="77777777" w:rsidR="002F1BC7" w:rsidRPr="00013F35" w:rsidRDefault="00616FD1" w:rsidP="002F1BC7">
      <w:pPr>
        <w:numPr>
          <w:ilvl w:val="0"/>
          <w:numId w:val="43"/>
        </w:numPr>
        <w:spacing w:after="120" w:line="160" w:lineRule="atLeast"/>
        <w:rPr>
          <w:rFonts w:eastAsia="Arial"/>
          <w:spacing w:val="-1"/>
          <w:szCs w:val="20"/>
        </w:rPr>
      </w:pPr>
      <w:hyperlink r:id="rId38" w:history="1">
        <w:r w:rsidR="002F1BC7" w:rsidRPr="00013F35">
          <w:rPr>
            <w:rFonts w:eastAsia="Arial"/>
            <w:color w:val="0000FF"/>
            <w:spacing w:val="-1"/>
            <w:szCs w:val="20"/>
            <w:u w:val="single"/>
          </w:rPr>
          <w:t>Australian College of Perioperative Nurses</w:t>
        </w:r>
      </w:hyperlink>
      <w:r w:rsidR="002F1BC7" w:rsidRPr="00013F35">
        <w:rPr>
          <w:rFonts w:eastAsia="Arial"/>
          <w:spacing w:val="-1"/>
          <w:szCs w:val="20"/>
        </w:rPr>
        <w:t xml:space="preserve"> (ACORN)</w:t>
      </w:r>
    </w:p>
    <w:p w14:paraId="473AD950" w14:textId="77777777" w:rsidR="002F1BC7" w:rsidRPr="00013F35" w:rsidRDefault="002F1BC7" w:rsidP="002F1BC7">
      <w:pPr>
        <w:numPr>
          <w:ilvl w:val="1"/>
          <w:numId w:val="43"/>
        </w:numPr>
        <w:spacing w:after="120" w:line="160" w:lineRule="atLeast"/>
        <w:rPr>
          <w:rFonts w:eastAsia="Arial"/>
          <w:spacing w:val="-1"/>
          <w:szCs w:val="20"/>
        </w:rPr>
      </w:pPr>
      <w:r w:rsidRPr="00013F35">
        <w:rPr>
          <w:rFonts w:ascii="Arial" w:eastAsia="Arial" w:hAnsi="Arial"/>
          <w:spacing w:val="-1"/>
          <w:sz w:val="20"/>
          <w:szCs w:val="20"/>
        </w:rPr>
        <w:t xml:space="preserve">Email:  </w:t>
      </w:r>
      <w:hyperlink r:id="rId39" w:history="1">
        <w:r w:rsidRPr="00013F35">
          <w:rPr>
            <w:rFonts w:eastAsia="Arial"/>
            <w:color w:val="0000FF"/>
            <w:spacing w:val="-1"/>
            <w:szCs w:val="20"/>
            <w:u w:val="single"/>
          </w:rPr>
          <w:t>administrator@acorn.org.au</w:t>
        </w:r>
      </w:hyperlink>
    </w:p>
    <w:p w14:paraId="37AFB74B"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1300 781 924</w:t>
      </w:r>
    </w:p>
    <w:p w14:paraId="6B177AEE" w14:textId="77777777" w:rsidR="002F1BC7" w:rsidRPr="00013F35" w:rsidRDefault="00616FD1" w:rsidP="002F1BC7">
      <w:pPr>
        <w:numPr>
          <w:ilvl w:val="0"/>
          <w:numId w:val="43"/>
        </w:numPr>
        <w:spacing w:after="120" w:line="160" w:lineRule="atLeast"/>
        <w:rPr>
          <w:rFonts w:eastAsia="Arial"/>
          <w:spacing w:val="-1"/>
          <w:szCs w:val="20"/>
        </w:rPr>
      </w:pPr>
      <w:hyperlink r:id="rId40" w:history="1">
        <w:r w:rsidR="002F1BC7" w:rsidRPr="00013F35">
          <w:rPr>
            <w:rFonts w:eastAsia="Arial"/>
            <w:color w:val="0000FF"/>
            <w:spacing w:val="-1"/>
            <w:szCs w:val="20"/>
            <w:u w:val="single"/>
          </w:rPr>
          <w:t>Australian College of Rural and Remote Medicine</w:t>
        </w:r>
      </w:hyperlink>
      <w:r w:rsidR="002F1BC7" w:rsidRPr="00013F35">
        <w:rPr>
          <w:rFonts w:eastAsia="Arial"/>
          <w:spacing w:val="-1"/>
          <w:szCs w:val="20"/>
        </w:rPr>
        <w:t xml:space="preserve"> (ACRRM)</w:t>
      </w:r>
    </w:p>
    <w:p w14:paraId="7ED3EF9F"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 xml:space="preserve"> (07) 3105 8200</w:t>
      </w:r>
    </w:p>
    <w:p w14:paraId="239CAE02" w14:textId="77777777" w:rsidR="002F1BC7" w:rsidRPr="00013F35" w:rsidRDefault="00616FD1" w:rsidP="002F1BC7">
      <w:pPr>
        <w:numPr>
          <w:ilvl w:val="0"/>
          <w:numId w:val="43"/>
        </w:numPr>
        <w:spacing w:after="120" w:line="160" w:lineRule="atLeast"/>
        <w:rPr>
          <w:rFonts w:eastAsia="Arial"/>
          <w:spacing w:val="-1"/>
          <w:szCs w:val="20"/>
        </w:rPr>
      </w:pPr>
      <w:hyperlink r:id="rId41" w:history="1">
        <w:r w:rsidR="002F1BC7" w:rsidRPr="00013F35">
          <w:rPr>
            <w:rFonts w:eastAsia="Arial"/>
            <w:color w:val="0000FF"/>
            <w:spacing w:val="-1"/>
            <w:szCs w:val="20"/>
            <w:u w:val="single"/>
          </w:rPr>
          <w:t>College of Emergency Nursing Australasia</w:t>
        </w:r>
      </w:hyperlink>
      <w:r w:rsidR="002F1BC7" w:rsidRPr="00013F35">
        <w:rPr>
          <w:rFonts w:eastAsia="Arial"/>
          <w:spacing w:val="-1"/>
          <w:szCs w:val="20"/>
        </w:rPr>
        <w:t xml:space="preserve"> (CENA)</w:t>
      </w:r>
    </w:p>
    <w:p w14:paraId="4CCC5752" w14:textId="77777777" w:rsidR="002F1BC7" w:rsidRPr="00013F35" w:rsidRDefault="002F1BC7" w:rsidP="002F1BC7">
      <w:pPr>
        <w:numPr>
          <w:ilvl w:val="1"/>
          <w:numId w:val="43"/>
        </w:numPr>
        <w:spacing w:after="120" w:line="160" w:lineRule="atLeast"/>
        <w:rPr>
          <w:rFonts w:eastAsia="Arial"/>
          <w:spacing w:val="-1"/>
          <w:szCs w:val="20"/>
        </w:rPr>
      </w:pPr>
      <w:r w:rsidRPr="00013F35">
        <w:rPr>
          <w:rFonts w:ascii="Arial" w:eastAsia="Arial" w:hAnsi="Arial"/>
          <w:spacing w:val="-1"/>
          <w:sz w:val="20"/>
          <w:szCs w:val="20"/>
        </w:rPr>
        <w:t xml:space="preserve">Email:  </w:t>
      </w:r>
      <w:hyperlink r:id="rId42" w:history="1">
        <w:r w:rsidRPr="00013F35">
          <w:rPr>
            <w:rFonts w:eastAsia="Arial"/>
            <w:color w:val="0000FF"/>
            <w:spacing w:val="-1"/>
            <w:szCs w:val="20"/>
            <w:u w:val="single"/>
          </w:rPr>
          <w:t>national@cena.org.au</w:t>
        </w:r>
      </w:hyperlink>
    </w:p>
    <w:p w14:paraId="563EC166"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(03) 6231 2722</w:t>
      </w:r>
    </w:p>
    <w:p w14:paraId="408E5360" w14:textId="77777777" w:rsidR="002F1BC7" w:rsidRPr="00013F35" w:rsidRDefault="00616FD1" w:rsidP="002F1BC7">
      <w:pPr>
        <w:numPr>
          <w:ilvl w:val="0"/>
          <w:numId w:val="43"/>
        </w:numPr>
        <w:spacing w:after="120" w:line="160" w:lineRule="atLeast"/>
        <w:rPr>
          <w:rFonts w:eastAsia="Arial"/>
          <w:spacing w:val="-1"/>
          <w:szCs w:val="20"/>
        </w:rPr>
      </w:pPr>
      <w:hyperlink r:id="rId43" w:history="1">
        <w:r w:rsidR="002F1BC7" w:rsidRPr="00013F35">
          <w:rPr>
            <w:rFonts w:eastAsia="Arial"/>
            <w:color w:val="0000FF"/>
            <w:spacing w:val="-1"/>
            <w:szCs w:val="20"/>
            <w:u w:val="single"/>
          </w:rPr>
          <w:t>College of Intensive Care Medicine of Australian and New Zealand</w:t>
        </w:r>
      </w:hyperlink>
      <w:r w:rsidR="002F1BC7" w:rsidRPr="00013F35">
        <w:rPr>
          <w:rFonts w:eastAsia="Arial"/>
          <w:spacing w:val="-1"/>
          <w:szCs w:val="20"/>
        </w:rPr>
        <w:t xml:space="preserve"> (CICM)</w:t>
      </w:r>
    </w:p>
    <w:p w14:paraId="2F21643D" w14:textId="77777777" w:rsidR="002F1BC7" w:rsidRPr="00013F35" w:rsidRDefault="002F1BC7" w:rsidP="002F1BC7">
      <w:pPr>
        <w:numPr>
          <w:ilvl w:val="1"/>
          <w:numId w:val="43"/>
        </w:numPr>
        <w:spacing w:after="120" w:line="160" w:lineRule="atLeast"/>
        <w:rPr>
          <w:rFonts w:eastAsia="Arial"/>
          <w:spacing w:val="-1"/>
          <w:szCs w:val="20"/>
        </w:rPr>
      </w:pPr>
      <w:r w:rsidRPr="00013F35">
        <w:rPr>
          <w:rFonts w:ascii="Arial" w:eastAsia="Arial" w:hAnsi="Arial"/>
          <w:spacing w:val="-1"/>
          <w:sz w:val="20"/>
          <w:szCs w:val="20"/>
        </w:rPr>
        <w:t xml:space="preserve">Email:  </w:t>
      </w:r>
      <w:hyperlink r:id="rId44" w:history="1">
        <w:r w:rsidRPr="00013F35">
          <w:rPr>
            <w:rFonts w:eastAsia="Arial"/>
            <w:color w:val="0000FF"/>
            <w:spacing w:val="-1"/>
            <w:szCs w:val="20"/>
            <w:u w:val="single"/>
          </w:rPr>
          <w:t>cicm@cicm.org.au</w:t>
        </w:r>
      </w:hyperlink>
      <w:r w:rsidRPr="00013F35">
        <w:rPr>
          <w:rFonts w:eastAsia="Arial"/>
          <w:spacing w:val="-1"/>
          <w:szCs w:val="20"/>
        </w:rPr>
        <w:t xml:space="preserve"> </w:t>
      </w:r>
    </w:p>
    <w:p w14:paraId="2F0F5440"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(03) 9514 2888</w:t>
      </w:r>
    </w:p>
    <w:p w14:paraId="7A1FD7CA" w14:textId="77777777" w:rsidR="002F1BC7" w:rsidRPr="00013F35" w:rsidRDefault="00616FD1" w:rsidP="002F1BC7">
      <w:pPr>
        <w:numPr>
          <w:ilvl w:val="0"/>
          <w:numId w:val="43"/>
        </w:numPr>
        <w:spacing w:after="120" w:line="160" w:lineRule="atLeast"/>
        <w:ind w:hanging="357"/>
        <w:rPr>
          <w:rFonts w:eastAsia="Arial"/>
          <w:spacing w:val="-1"/>
          <w:szCs w:val="20"/>
        </w:rPr>
      </w:pPr>
      <w:hyperlink r:id="rId45" w:history="1">
        <w:r w:rsidR="002F1BC7" w:rsidRPr="00013F35">
          <w:rPr>
            <w:rFonts w:eastAsia="Arial"/>
            <w:color w:val="0000FF"/>
            <w:spacing w:val="-1"/>
            <w:szCs w:val="20"/>
            <w:u w:val="single"/>
          </w:rPr>
          <w:t>Royal Australasian College of Dental Surgeons</w:t>
        </w:r>
      </w:hyperlink>
      <w:r w:rsidR="002F1BC7" w:rsidRPr="00013F35">
        <w:rPr>
          <w:rFonts w:eastAsia="Arial"/>
          <w:spacing w:val="-1"/>
          <w:szCs w:val="20"/>
        </w:rPr>
        <w:t xml:space="preserve"> (RACDS)</w:t>
      </w:r>
    </w:p>
    <w:p w14:paraId="32A65798" w14:textId="77777777" w:rsidR="002F1BC7" w:rsidRPr="00013F35" w:rsidRDefault="002F1BC7" w:rsidP="002F1BC7">
      <w:pPr>
        <w:numPr>
          <w:ilvl w:val="1"/>
          <w:numId w:val="43"/>
        </w:numPr>
        <w:spacing w:after="120" w:line="160" w:lineRule="atLeast"/>
        <w:ind w:hanging="357"/>
        <w:rPr>
          <w:rFonts w:eastAsia="Arial"/>
          <w:spacing w:val="-1"/>
          <w:szCs w:val="20"/>
        </w:rPr>
      </w:pPr>
      <w:r w:rsidRPr="00013F35">
        <w:rPr>
          <w:rFonts w:eastAsia="Arial"/>
          <w:spacing w:val="-1"/>
          <w:szCs w:val="20"/>
        </w:rPr>
        <w:t xml:space="preserve"> (02) 9262 6044</w:t>
      </w:r>
    </w:p>
    <w:p w14:paraId="327B3BC2" w14:textId="77777777" w:rsidR="002F1BC7" w:rsidRPr="00013F35" w:rsidRDefault="00616FD1" w:rsidP="002F1BC7">
      <w:pPr>
        <w:numPr>
          <w:ilvl w:val="0"/>
          <w:numId w:val="43"/>
        </w:numPr>
        <w:spacing w:after="120" w:line="160" w:lineRule="atLeast"/>
        <w:ind w:hanging="357"/>
        <w:rPr>
          <w:rFonts w:eastAsia="Arial"/>
          <w:spacing w:val="-1"/>
          <w:szCs w:val="20"/>
        </w:rPr>
      </w:pPr>
      <w:hyperlink r:id="rId46" w:history="1">
        <w:r w:rsidR="002F1BC7" w:rsidRPr="00013F35">
          <w:rPr>
            <w:rFonts w:eastAsia="Arial"/>
            <w:color w:val="0000FF"/>
            <w:spacing w:val="-1"/>
            <w:szCs w:val="20"/>
            <w:u w:val="single"/>
          </w:rPr>
          <w:t>Royal Australasian College of Surgeons</w:t>
        </w:r>
      </w:hyperlink>
      <w:r w:rsidR="002F1BC7" w:rsidRPr="00013F35">
        <w:rPr>
          <w:rFonts w:eastAsia="Arial"/>
          <w:spacing w:val="-1"/>
          <w:szCs w:val="20"/>
        </w:rPr>
        <w:t xml:space="preserve"> (RACS)</w:t>
      </w:r>
    </w:p>
    <w:p w14:paraId="3CB05DA4" w14:textId="77777777" w:rsidR="002F1BC7" w:rsidRPr="00013F35" w:rsidRDefault="002F1BC7" w:rsidP="002F1BC7">
      <w:pPr>
        <w:numPr>
          <w:ilvl w:val="1"/>
          <w:numId w:val="43"/>
        </w:numPr>
        <w:spacing w:after="120" w:line="160" w:lineRule="atLeast"/>
        <w:ind w:hanging="357"/>
        <w:rPr>
          <w:rFonts w:eastAsia="Arial"/>
          <w:spacing w:val="-1"/>
          <w:szCs w:val="20"/>
        </w:rPr>
      </w:pPr>
      <w:r w:rsidRPr="00013F35">
        <w:rPr>
          <w:rFonts w:ascii="Arial" w:eastAsia="Arial" w:hAnsi="Arial"/>
          <w:spacing w:val="-1"/>
          <w:sz w:val="20"/>
          <w:szCs w:val="20"/>
        </w:rPr>
        <w:t xml:space="preserve">Email:  </w:t>
      </w:r>
      <w:hyperlink r:id="rId47" w:history="1">
        <w:r w:rsidRPr="00013F35">
          <w:rPr>
            <w:rFonts w:eastAsia="Arial"/>
            <w:color w:val="0000FF"/>
            <w:spacing w:val="-1"/>
            <w:szCs w:val="20"/>
            <w:u w:val="single"/>
          </w:rPr>
          <w:t>college.sec@surgeons.org</w:t>
        </w:r>
      </w:hyperlink>
    </w:p>
    <w:p w14:paraId="55052016" w14:textId="77777777" w:rsidR="002F1BC7" w:rsidRPr="00013F35" w:rsidRDefault="002F1BC7" w:rsidP="002F1BC7">
      <w:pPr>
        <w:numPr>
          <w:ilvl w:val="1"/>
          <w:numId w:val="43"/>
        </w:numPr>
        <w:spacing w:after="120" w:line="160" w:lineRule="atLeast"/>
        <w:ind w:hanging="357"/>
        <w:rPr>
          <w:rFonts w:eastAsia="Arial"/>
          <w:spacing w:val="-1"/>
          <w:szCs w:val="20"/>
        </w:rPr>
      </w:pPr>
      <w:r w:rsidRPr="00013F35">
        <w:rPr>
          <w:rFonts w:eastAsia="Arial"/>
          <w:spacing w:val="-1"/>
          <w:szCs w:val="20"/>
        </w:rPr>
        <w:t>(03) 9249 1200</w:t>
      </w:r>
    </w:p>
    <w:p w14:paraId="40ACDF15" w14:textId="77777777" w:rsidR="002F1BC7" w:rsidRPr="00013F35" w:rsidRDefault="00616FD1" w:rsidP="002F1BC7">
      <w:pPr>
        <w:numPr>
          <w:ilvl w:val="0"/>
          <w:numId w:val="43"/>
        </w:numPr>
        <w:spacing w:after="120" w:line="160" w:lineRule="atLeast"/>
        <w:ind w:hanging="357"/>
        <w:rPr>
          <w:rFonts w:eastAsia="Arial"/>
          <w:spacing w:val="-1"/>
          <w:szCs w:val="20"/>
        </w:rPr>
      </w:pPr>
      <w:hyperlink r:id="rId48" w:history="1">
        <w:r w:rsidR="002F1BC7" w:rsidRPr="00013F35">
          <w:rPr>
            <w:rFonts w:eastAsia="Arial"/>
            <w:color w:val="0000FF"/>
            <w:spacing w:val="-1"/>
            <w:szCs w:val="20"/>
            <w:u w:val="single"/>
          </w:rPr>
          <w:t>Royal Australian and New Zealand College of Obstetricians and Gynaecologists</w:t>
        </w:r>
      </w:hyperlink>
      <w:r w:rsidR="002F1BC7" w:rsidRPr="00013F35">
        <w:rPr>
          <w:rFonts w:eastAsia="Arial"/>
          <w:spacing w:val="-1"/>
          <w:szCs w:val="20"/>
        </w:rPr>
        <w:t xml:space="preserve"> (RANZCOG)</w:t>
      </w:r>
    </w:p>
    <w:p w14:paraId="42F70278" w14:textId="77777777" w:rsidR="002F1BC7" w:rsidRPr="00013F35" w:rsidRDefault="002F1BC7" w:rsidP="002F1BC7">
      <w:pPr>
        <w:numPr>
          <w:ilvl w:val="1"/>
          <w:numId w:val="43"/>
        </w:numPr>
        <w:spacing w:after="120" w:line="160" w:lineRule="atLeast"/>
        <w:ind w:hanging="357"/>
        <w:rPr>
          <w:rFonts w:eastAsia="Arial"/>
          <w:spacing w:val="-1"/>
          <w:szCs w:val="20"/>
        </w:rPr>
      </w:pPr>
      <w:r w:rsidRPr="00013F35">
        <w:rPr>
          <w:rFonts w:ascii="Arial" w:eastAsia="Arial" w:hAnsi="Arial"/>
          <w:spacing w:val="-1"/>
          <w:sz w:val="20"/>
          <w:szCs w:val="20"/>
        </w:rPr>
        <w:t xml:space="preserve">Email:  </w:t>
      </w:r>
      <w:hyperlink r:id="rId49" w:history="1">
        <w:r w:rsidRPr="00013F35">
          <w:rPr>
            <w:rFonts w:eastAsia="Arial"/>
            <w:color w:val="0000FF"/>
            <w:spacing w:val="-1"/>
            <w:szCs w:val="20"/>
            <w:u w:val="single"/>
          </w:rPr>
          <w:t>ranzcog@ranzcog.edu.au</w:t>
        </w:r>
      </w:hyperlink>
    </w:p>
    <w:p w14:paraId="19268745" w14:textId="77777777" w:rsidR="002F1BC7" w:rsidRPr="00013F35" w:rsidRDefault="002F1BC7" w:rsidP="002F1BC7">
      <w:pPr>
        <w:numPr>
          <w:ilvl w:val="1"/>
          <w:numId w:val="43"/>
        </w:numPr>
        <w:spacing w:after="120" w:line="160" w:lineRule="atLeast"/>
        <w:ind w:hanging="357"/>
        <w:rPr>
          <w:rFonts w:eastAsia="Arial"/>
          <w:spacing w:val="-1"/>
          <w:szCs w:val="20"/>
        </w:rPr>
      </w:pPr>
      <w:r w:rsidRPr="00013F35">
        <w:rPr>
          <w:rFonts w:eastAsia="Arial"/>
          <w:spacing w:val="-1"/>
          <w:szCs w:val="20"/>
        </w:rPr>
        <w:t>(03) 9417 1699</w:t>
      </w:r>
    </w:p>
    <w:p w14:paraId="76201517" w14:textId="77777777" w:rsidR="002F1BC7" w:rsidRPr="00013F35" w:rsidRDefault="00616FD1" w:rsidP="002F1BC7">
      <w:pPr>
        <w:numPr>
          <w:ilvl w:val="0"/>
          <w:numId w:val="43"/>
        </w:numPr>
        <w:spacing w:after="120" w:line="160" w:lineRule="atLeast"/>
        <w:rPr>
          <w:rFonts w:eastAsia="Arial"/>
          <w:spacing w:val="-1"/>
          <w:szCs w:val="20"/>
        </w:rPr>
      </w:pPr>
      <w:hyperlink r:id="rId50" w:history="1">
        <w:r w:rsidR="002F1BC7" w:rsidRPr="00013F35">
          <w:rPr>
            <w:rFonts w:eastAsia="Arial"/>
            <w:color w:val="0000FF"/>
            <w:spacing w:val="-1"/>
            <w:szCs w:val="20"/>
            <w:u w:val="single"/>
          </w:rPr>
          <w:t>Royal Australian College of General Practitioners</w:t>
        </w:r>
      </w:hyperlink>
      <w:r w:rsidR="002F1BC7" w:rsidRPr="00013F35">
        <w:rPr>
          <w:rFonts w:eastAsia="Arial"/>
          <w:spacing w:val="-1"/>
          <w:szCs w:val="20"/>
        </w:rPr>
        <w:t xml:space="preserve"> (RACGP)</w:t>
      </w:r>
    </w:p>
    <w:p w14:paraId="47D607F2" w14:textId="77777777" w:rsidR="002F1BC7" w:rsidRPr="00013F35" w:rsidRDefault="002F1BC7" w:rsidP="002F1BC7">
      <w:pPr>
        <w:numPr>
          <w:ilvl w:val="1"/>
          <w:numId w:val="43"/>
        </w:numPr>
        <w:spacing w:after="120" w:line="160" w:lineRule="atLeast"/>
        <w:rPr>
          <w:rFonts w:eastAsia="Arial"/>
          <w:spacing w:val="-1"/>
          <w:szCs w:val="20"/>
        </w:rPr>
      </w:pPr>
      <w:r w:rsidRPr="00013F35">
        <w:rPr>
          <w:rFonts w:ascii="Arial" w:eastAsia="Arial" w:hAnsi="Arial"/>
          <w:spacing w:val="-1"/>
          <w:sz w:val="20"/>
          <w:szCs w:val="20"/>
        </w:rPr>
        <w:t xml:space="preserve">Email:  </w:t>
      </w:r>
      <w:hyperlink r:id="rId51" w:history="1">
        <w:r w:rsidRPr="00013F35">
          <w:rPr>
            <w:rFonts w:eastAsia="Arial"/>
            <w:color w:val="0000FF"/>
            <w:spacing w:val="-1"/>
            <w:szCs w:val="20"/>
            <w:u w:val="single"/>
          </w:rPr>
          <w:t>racgp@racgp.org.au</w:t>
        </w:r>
      </w:hyperlink>
      <w:r w:rsidRPr="00013F35">
        <w:rPr>
          <w:rFonts w:eastAsia="Arial"/>
          <w:spacing w:val="-1"/>
          <w:szCs w:val="20"/>
        </w:rPr>
        <w:t xml:space="preserve"> </w:t>
      </w:r>
    </w:p>
    <w:p w14:paraId="78FB9AAA" w14:textId="77777777" w:rsidR="002F1BC7" w:rsidRPr="00013F35" w:rsidRDefault="002F1BC7" w:rsidP="002F1BC7">
      <w:pPr>
        <w:numPr>
          <w:ilvl w:val="1"/>
          <w:numId w:val="43"/>
        </w:numPr>
        <w:spacing w:after="120" w:line="160" w:lineRule="atLeast"/>
        <w:rPr>
          <w:rFonts w:eastAsia="Arial"/>
          <w:spacing w:val="-1"/>
          <w:szCs w:val="20"/>
        </w:rPr>
      </w:pPr>
      <w:r w:rsidRPr="00013F35">
        <w:rPr>
          <w:rFonts w:eastAsia="Arial"/>
          <w:spacing w:val="-1"/>
          <w:szCs w:val="20"/>
        </w:rPr>
        <w:t>1800 472 247</w:t>
      </w:r>
    </w:p>
    <w:p w14:paraId="67695E19" w14:textId="77777777" w:rsidR="002F1BC7" w:rsidRPr="00DF1E0C" w:rsidRDefault="002F1BC7" w:rsidP="002F1BC7">
      <w:pPr>
        <w:rPr>
          <w:rFonts w:eastAsia="Arial"/>
          <w:b/>
          <w:bCs/>
          <w:sz w:val="40"/>
          <w:szCs w:val="32"/>
          <w:lang w:val="en-AU"/>
        </w:rPr>
      </w:pPr>
      <w:r w:rsidRPr="00DF1E0C">
        <w:rPr>
          <w:sz w:val="28"/>
        </w:rPr>
        <w:br w:type="page"/>
      </w:r>
    </w:p>
    <w:p w14:paraId="504BC61D" w14:textId="77777777" w:rsidR="002F1BC7" w:rsidRPr="00F95189" w:rsidRDefault="002F1BC7" w:rsidP="002F1BC7">
      <w:pPr>
        <w:pStyle w:val="Heading1"/>
        <w:spacing w:after="240"/>
        <w:rPr>
          <w:rFonts w:ascii="Calibri" w:hAnsi="Calibri"/>
          <w:sz w:val="40"/>
        </w:rPr>
      </w:pPr>
      <w:bookmarkStart w:id="78" w:name="_Ref455739095"/>
      <w:bookmarkStart w:id="79" w:name="_Toc480558274"/>
      <w:r w:rsidRPr="00F95189">
        <w:rPr>
          <w:rFonts w:ascii="Calibri" w:hAnsi="Calibri"/>
          <w:sz w:val="40"/>
        </w:rPr>
        <w:lastRenderedPageBreak/>
        <w:t>Appendix 3: Results of published lookback investigations</w:t>
      </w:r>
      <w:bookmarkEnd w:id="78"/>
      <w:bookmarkEnd w:id="79"/>
    </w:p>
    <w:p w14:paraId="05FC28FF" w14:textId="77777777" w:rsidR="002F1BC7" w:rsidRPr="00F71DE4" w:rsidRDefault="002F1BC7" w:rsidP="002F1BC7">
      <w:pPr>
        <w:pStyle w:val="Caption"/>
        <w:keepNext/>
        <w:rPr>
          <w:rFonts w:ascii="Calibri" w:hAnsi="Calibri" w:cs="Arial"/>
          <w:b w:val="0"/>
          <w:i/>
        </w:rPr>
      </w:pPr>
      <w:bookmarkStart w:id="80" w:name="Results_of_lookback_investigations"/>
      <w:bookmarkStart w:id="81" w:name="_bookmark10"/>
      <w:bookmarkStart w:id="82" w:name="_Ref455752106"/>
      <w:bookmarkEnd w:id="80"/>
      <w:bookmarkEnd w:id="81"/>
      <w:r w:rsidRPr="00F71DE4">
        <w:rPr>
          <w:rFonts w:ascii="Calibri" w:hAnsi="Calibri" w:cs="Arial"/>
          <w:b w:val="0"/>
          <w:i/>
        </w:rPr>
        <w:t xml:space="preserve">Table </w:t>
      </w:r>
      <w:r w:rsidRPr="00F71DE4">
        <w:rPr>
          <w:rFonts w:ascii="Calibri" w:hAnsi="Calibri" w:cs="Arial"/>
          <w:b w:val="0"/>
          <w:i/>
        </w:rPr>
        <w:fldChar w:fldCharType="begin"/>
      </w:r>
      <w:r w:rsidRPr="00F71DE4">
        <w:rPr>
          <w:rFonts w:ascii="Calibri" w:hAnsi="Calibri" w:cs="Arial"/>
          <w:b w:val="0"/>
          <w:i/>
        </w:rPr>
        <w:instrText xml:space="preserve"> SEQ Table \* ARABIC </w:instrText>
      </w:r>
      <w:r w:rsidRPr="00F71DE4">
        <w:rPr>
          <w:rFonts w:ascii="Calibri" w:hAnsi="Calibri" w:cs="Arial"/>
          <w:b w:val="0"/>
          <w:i/>
        </w:rPr>
        <w:fldChar w:fldCharType="separate"/>
      </w:r>
      <w:r>
        <w:rPr>
          <w:rFonts w:ascii="Calibri" w:hAnsi="Calibri" w:cs="Arial"/>
          <w:b w:val="0"/>
          <w:i/>
          <w:noProof/>
        </w:rPr>
        <w:t>4</w:t>
      </w:r>
      <w:r w:rsidRPr="00F71DE4">
        <w:rPr>
          <w:rFonts w:ascii="Calibri" w:hAnsi="Calibri" w:cs="Arial"/>
          <w:b w:val="0"/>
          <w:i/>
        </w:rPr>
        <w:fldChar w:fldCharType="end"/>
      </w:r>
      <w:bookmarkEnd w:id="82"/>
      <w:r w:rsidRPr="00F71DE4">
        <w:rPr>
          <w:rFonts w:ascii="Calibri" w:hAnsi="Calibri" w:cs="Arial"/>
          <w:b w:val="0"/>
          <w:i/>
        </w:rPr>
        <w:t xml:space="preserve">: Worldwide cases of </w:t>
      </w:r>
      <w:r w:rsidRPr="00997D63">
        <w:rPr>
          <w:rFonts w:ascii="Calibri" w:hAnsi="Calibri" w:cs="Arial"/>
          <w:b w:val="0"/>
          <w:i/>
        </w:rPr>
        <w:t>infected HCW</w:t>
      </w:r>
      <w:r>
        <w:rPr>
          <w:rFonts w:ascii="Calibri" w:hAnsi="Calibri" w:cs="Arial"/>
          <w:b w:val="0"/>
          <w:i/>
        </w:rPr>
        <w:t xml:space="preserve"> to </w:t>
      </w:r>
      <w:r w:rsidRPr="00F71DE4">
        <w:rPr>
          <w:rFonts w:ascii="Calibri" w:hAnsi="Calibri" w:cs="Arial"/>
          <w:b w:val="0"/>
          <w:i/>
        </w:rPr>
        <w:t>patient transmission of HBV, 1991- 2015</w:t>
      </w:r>
    </w:p>
    <w:tbl>
      <w:tblPr>
        <w:tblW w:w="10381" w:type="dxa"/>
        <w:tblInd w:w="-649"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1A0" w:firstRow="1" w:lastRow="0" w:firstColumn="1" w:lastColumn="1" w:noHBand="0" w:noVBand="0"/>
      </w:tblPr>
      <w:tblGrid>
        <w:gridCol w:w="1342"/>
        <w:gridCol w:w="552"/>
        <w:gridCol w:w="1295"/>
        <w:gridCol w:w="2218"/>
        <w:gridCol w:w="1211"/>
        <w:gridCol w:w="1116"/>
        <w:gridCol w:w="1185"/>
        <w:gridCol w:w="1462"/>
      </w:tblGrid>
      <w:tr w:rsidR="002F1BC7" w:rsidRPr="003049C5" w14:paraId="18DE6DA9" w14:textId="77777777" w:rsidTr="00FF0ED0">
        <w:trPr>
          <w:trHeight w:val="1134"/>
        </w:trPr>
        <w:tc>
          <w:tcPr>
            <w:tcW w:w="1342" w:type="dxa"/>
            <w:shd w:val="clear" w:color="auto" w:fill="4F81BD"/>
            <w:vAlign w:val="center"/>
          </w:tcPr>
          <w:p w14:paraId="35BD65AD"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Lookback timeframe</w:t>
            </w:r>
          </w:p>
        </w:tc>
        <w:tc>
          <w:tcPr>
            <w:tcW w:w="552" w:type="dxa"/>
            <w:tcBorders>
              <w:top w:val="single" w:sz="8" w:space="0" w:color="4F81BD"/>
              <w:left w:val="single" w:sz="8" w:space="0" w:color="4F81BD"/>
              <w:right w:val="single" w:sz="8" w:space="0" w:color="4F81BD"/>
            </w:tcBorders>
            <w:shd w:val="clear" w:color="auto" w:fill="4F81BD"/>
            <w:vAlign w:val="center"/>
          </w:tcPr>
          <w:p w14:paraId="3DF269AD"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Ref</w:t>
            </w:r>
          </w:p>
        </w:tc>
        <w:tc>
          <w:tcPr>
            <w:tcW w:w="1295" w:type="dxa"/>
            <w:shd w:val="clear" w:color="auto" w:fill="4F81BD"/>
            <w:vAlign w:val="center"/>
          </w:tcPr>
          <w:p w14:paraId="17CCE4CC"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Country</w:t>
            </w:r>
          </w:p>
        </w:tc>
        <w:tc>
          <w:tcPr>
            <w:tcW w:w="2218" w:type="dxa"/>
            <w:tcBorders>
              <w:top w:val="single" w:sz="8" w:space="0" w:color="4F81BD"/>
              <w:left w:val="single" w:sz="8" w:space="0" w:color="4F81BD"/>
              <w:right w:val="single" w:sz="8" w:space="0" w:color="4F81BD"/>
            </w:tcBorders>
            <w:shd w:val="clear" w:color="auto" w:fill="4F81BD"/>
            <w:vAlign w:val="center"/>
          </w:tcPr>
          <w:p w14:paraId="2A721C82"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Occupation</w:t>
            </w:r>
          </w:p>
        </w:tc>
        <w:tc>
          <w:tcPr>
            <w:tcW w:w="1211" w:type="dxa"/>
            <w:shd w:val="clear" w:color="auto" w:fill="4F81BD"/>
            <w:vAlign w:val="center"/>
          </w:tcPr>
          <w:p w14:paraId="76BC7C1E"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Patients infected (probable, possible)^</w:t>
            </w:r>
          </w:p>
        </w:tc>
        <w:tc>
          <w:tcPr>
            <w:tcW w:w="1116" w:type="dxa"/>
            <w:tcBorders>
              <w:top w:val="single" w:sz="8" w:space="0" w:color="4F81BD"/>
              <w:left w:val="single" w:sz="8" w:space="0" w:color="4F81BD"/>
              <w:right w:val="single" w:sz="8" w:space="0" w:color="4F81BD"/>
            </w:tcBorders>
            <w:shd w:val="clear" w:color="auto" w:fill="4F81BD"/>
            <w:vAlign w:val="center"/>
          </w:tcPr>
          <w:p w14:paraId="37F28362"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Patients tested/</w:t>
            </w:r>
          </w:p>
        </w:tc>
        <w:tc>
          <w:tcPr>
            <w:tcW w:w="1185" w:type="dxa"/>
            <w:shd w:val="clear" w:color="auto" w:fill="4F81BD"/>
            <w:vAlign w:val="center"/>
          </w:tcPr>
          <w:p w14:paraId="6DA7236F"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 patients confirmed</w:t>
            </w:r>
          </w:p>
          <w:p w14:paraId="40075B8D"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infected (all)</w:t>
            </w:r>
          </w:p>
        </w:tc>
        <w:tc>
          <w:tcPr>
            <w:tcW w:w="1462" w:type="dxa"/>
            <w:shd w:val="clear" w:color="auto" w:fill="4F81BD"/>
            <w:vAlign w:val="center"/>
          </w:tcPr>
          <w:p w14:paraId="754FFE5F"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Viral load of HCW</w:t>
            </w:r>
          </w:p>
        </w:tc>
      </w:tr>
      <w:tr w:rsidR="002F1BC7" w:rsidRPr="003049C5" w14:paraId="2AF42A0A" w14:textId="77777777" w:rsidTr="00FF0ED0">
        <w:trPr>
          <w:trHeight w:val="397"/>
        </w:trPr>
        <w:tc>
          <w:tcPr>
            <w:tcW w:w="1342" w:type="dxa"/>
            <w:tcBorders>
              <w:top w:val="single" w:sz="8" w:space="0" w:color="4F81BD"/>
              <w:left w:val="single" w:sz="8" w:space="0" w:color="4F81BD"/>
              <w:bottom w:val="single" w:sz="8" w:space="0" w:color="4F81BD"/>
            </w:tcBorders>
            <w:vAlign w:val="center"/>
          </w:tcPr>
          <w:p w14:paraId="2821BCA5"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1991</w:t>
            </w:r>
          </w:p>
        </w:tc>
        <w:tc>
          <w:tcPr>
            <w:tcW w:w="552" w:type="dxa"/>
            <w:tcBorders>
              <w:top w:val="single" w:sz="8" w:space="0" w:color="4F81BD"/>
              <w:left w:val="single" w:sz="8" w:space="0" w:color="4F81BD"/>
              <w:bottom w:val="single" w:sz="8" w:space="0" w:color="4F81BD"/>
              <w:right w:val="single" w:sz="8" w:space="0" w:color="4F81BD"/>
            </w:tcBorders>
            <w:vAlign w:val="center"/>
          </w:tcPr>
          <w:p w14:paraId="314ECE0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&lt;EndNote&gt;&lt;Cite&gt;&lt;Author&gt;Johnston BL&lt;/Author&gt;&lt;Year&gt;1992&lt;/Year&gt;&lt;RecNum&gt;179&lt;/RecNum&gt;&lt;DisplayText&gt;[85]&lt;/DisplayText&gt;&lt;record&gt;&lt;rec-number&gt;179&lt;/rec-number&gt;&lt;foreign-keys&gt;&lt;key app="EN" db-id="5d9ze055j2zd5revw2n50xpwd0fze9frtdxr"&gt;179&lt;/key&gt;&lt;/foreign-keys&gt;&lt;ref-type name="Journal Article"&gt;17&lt;/ref-type&gt;&lt;contributors&gt;&lt;authors&gt;&lt;author&gt;Johnston BL,&lt;/author&gt;&lt;author&gt;MacDonald S,&lt;/author&gt;&lt;author&gt;Lee S,&lt;/author&gt;&lt;author&gt;LeBlanc JC,&lt;/author&gt;&lt;author&gt;Gross M,&lt;/author&gt;&lt;author&gt;Schlech WF,&lt;/author&gt;&lt;author&gt;Chaudhary R, Langille D,&lt;/author&gt;&lt;/authors&gt;&lt;/contributors&gt;&lt;titles&gt;&lt;title&gt;Nosocomial hepatitis B associated with orthopedic surgery -- Nova Scotia&lt;/title&gt;&lt;secondary-title&gt;Canada Communicable Disease Report&lt;/secondary-title&gt;&lt;/titles&gt;&lt;periodical&gt;&lt;full-title&gt;Canada Communicable Disease Report&lt;/full-title&gt;&lt;/periodical&gt;&lt;pages&gt;89-90&lt;/pages&gt;&lt;volume&gt;18&lt;/volume&gt;&lt;dates&gt;&lt;year&gt;1992&lt;/year&gt;&lt;/dates&gt;&lt;urls&gt;&lt;/urls&gt;&lt;/record&gt;&lt;/Cite&gt;&lt;/EndNote&gt;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85" w:tooltip="Johnston BL, 1992 #179" w:history="1">
              <w:r w:rsidRPr="003049C5">
                <w:rPr>
                  <w:rFonts w:eastAsia="Arial" w:cs="Arial"/>
                  <w:noProof/>
                  <w:sz w:val="20"/>
                  <w:szCs w:val="20"/>
                  <w:lang w:val="en-AU"/>
                </w:rPr>
                <w:t>85</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tcBorders>
              <w:top w:val="single" w:sz="8" w:space="0" w:color="4F81BD"/>
              <w:bottom w:val="single" w:sz="8" w:space="0" w:color="4F81BD"/>
            </w:tcBorders>
            <w:vAlign w:val="center"/>
          </w:tcPr>
          <w:p w14:paraId="37428BF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Canada</w:t>
            </w:r>
          </w:p>
        </w:tc>
        <w:tc>
          <w:tcPr>
            <w:tcW w:w="2218" w:type="dxa"/>
            <w:tcBorders>
              <w:top w:val="single" w:sz="8" w:space="0" w:color="4F81BD"/>
              <w:left w:val="single" w:sz="8" w:space="0" w:color="4F81BD"/>
              <w:bottom w:val="single" w:sz="8" w:space="0" w:color="4F81BD"/>
              <w:right w:val="single" w:sz="8" w:space="0" w:color="4F81BD"/>
            </w:tcBorders>
            <w:vAlign w:val="center"/>
          </w:tcPr>
          <w:p w14:paraId="0F00E0D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Orthopaedic surgeon</w:t>
            </w:r>
          </w:p>
        </w:tc>
        <w:tc>
          <w:tcPr>
            <w:tcW w:w="1211" w:type="dxa"/>
            <w:tcBorders>
              <w:top w:val="single" w:sz="8" w:space="0" w:color="4F81BD"/>
              <w:bottom w:val="single" w:sz="8" w:space="0" w:color="4F81BD"/>
            </w:tcBorders>
            <w:vAlign w:val="center"/>
          </w:tcPr>
          <w:p w14:paraId="2FBD9A74"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 (1,1)</w:t>
            </w:r>
          </w:p>
        </w:tc>
        <w:tc>
          <w:tcPr>
            <w:tcW w:w="1116" w:type="dxa"/>
            <w:tcBorders>
              <w:top w:val="single" w:sz="8" w:space="0" w:color="4F81BD"/>
              <w:left w:val="single" w:sz="8" w:space="0" w:color="4F81BD"/>
              <w:bottom w:val="single" w:sz="8" w:space="0" w:color="4F81BD"/>
              <w:right w:val="single" w:sz="8" w:space="0" w:color="4F81BD"/>
            </w:tcBorders>
            <w:vAlign w:val="center"/>
          </w:tcPr>
          <w:p w14:paraId="17DB168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n/a</w:t>
            </w:r>
          </w:p>
        </w:tc>
        <w:tc>
          <w:tcPr>
            <w:tcW w:w="1185" w:type="dxa"/>
            <w:tcBorders>
              <w:top w:val="single" w:sz="8" w:space="0" w:color="4F81BD"/>
              <w:bottom w:val="single" w:sz="8" w:space="0" w:color="4F81BD"/>
            </w:tcBorders>
            <w:vAlign w:val="center"/>
          </w:tcPr>
          <w:p w14:paraId="4AFC105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n/a</w:t>
            </w:r>
          </w:p>
        </w:tc>
        <w:tc>
          <w:tcPr>
            <w:tcW w:w="1462" w:type="dxa"/>
            <w:tcBorders>
              <w:top w:val="single" w:sz="8" w:space="0" w:color="4F81BD"/>
              <w:bottom w:val="single" w:sz="8" w:space="0" w:color="4F81BD"/>
              <w:right w:val="single" w:sz="8" w:space="0" w:color="4F81BD"/>
            </w:tcBorders>
            <w:vAlign w:val="center"/>
          </w:tcPr>
          <w:p w14:paraId="430B7E2C"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n/a</w:t>
            </w:r>
          </w:p>
        </w:tc>
      </w:tr>
      <w:tr w:rsidR="002F1BC7" w:rsidRPr="003049C5" w14:paraId="158F5626" w14:textId="77777777" w:rsidTr="00FF0ED0">
        <w:trPr>
          <w:trHeight w:val="397"/>
        </w:trPr>
        <w:tc>
          <w:tcPr>
            <w:tcW w:w="1342" w:type="dxa"/>
            <w:vAlign w:val="center"/>
          </w:tcPr>
          <w:p w14:paraId="73FD831E"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1991-1992</w:t>
            </w:r>
          </w:p>
        </w:tc>
        <w:tc>
          <w:tcPr>
            <w:tcW w:w="552" w:type="dxa"/>
            <w:tcBorders>
              <w:left w:val="single" w:sz="8" w:space="0" w:color="4F81BD"/>
              <w:right w:val="single" w:sz="8" w:space="0" w:color="4F81BD"/>
            </w:tcBorders>
            <w:vAlign w:val="center"/>
          </w:tcPr>
          <w:p w14:paraId="5F9C0CA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&lt;EndNote&gt;&lt;Cite&gt;&lt;Author&gt;Harpaz&lt;/Author&gt;&lt;Year&gt;1996&lt;/Year&gt;&lt;RecNum&gt;12&lt;/RecNum&gt;&lt;DisplayText&gt;[17]&lt;/DisplayText&gt;&lt;record&gt;&lt;rec-number&gt;12&lt;/rec-number&gt;&lt;foreign-keys&gt;&lt;key app="EN" db-id="5d9ze055j2zd5revw2n50xpwd0fze9frtdxr"&gt;12&lt;/key&gt;&lt;/foreign-keys&gt;&lt;ref-type name="Journal Article"&gt;17&lt;/ref-type&gt;&lt;contributors&gt;&lt;authors&gt;&lt;author&gt;Harpaz, Rafael&lt;/author&gt;&lt;author&gt;Von Seidlein, Lorenz&lt;/author&gt;&lt;author&gt;Averhoff, Francisco M&lt;/author&gt;&lt;author&gt;Tormey, Michael P&lt;/author&gt;&lt;author&gt;Sinha, Saswati D&lt;/author&gt;&lt;author&gt;Kotsopoulou, Konstantina&lt;/author&gt;&lt;author&gt;Lambert, Stephen B&lt;/author&gt;&lt;author&gt;Robertson, Betty H&lt;/author&gt;&lt;author&gt;Cherry, James D&lt;/author&gt;&lt;author&gt;Shapiro, Craig N&lt;/author&gt;&lt;/authors&gt;&lt;/contributors&gt;&lt;titles&gt;&lt;title&gt;Transmission of hepatitis B virus to multiple patients from a surgeon without evidence of inadequate infection control&lt;/title&gt;&lt;secondary-title&gt;New England Journal of Medicine&lt;/secondary-title&gt;&lt;/titles&gt;&lt;periodical&gt;&lt;full-title&gt;New England Journal of Medicine&lt;/full-title&gt;&lt;/periodical&gt;&lt;pages&gt;549-554&lt;/pages&gt;&lt;volume&gt;334&lt;/volume&gt;&lt;number&gt;9&lt;/number&gt;&lt;dates&gt;&lt;year&gt;1996&lt;/year&gt;&lt;/dates&gt;&lt;isbn&gt;0028-4793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17" w:tooltip="Harpaz, 1996 #12" w:history="1">
              <w:r w:rsidRPr="003049C5">
                <w:rPr>
                  <w:rFonts w:eastAsia="Arial" w:cs="Arial"/>
                  <w:noProof/>
                  <w:sz w:val="20"/>
                  <w:szCs w:val="20"/>
                  <w:lang w:val="en-AU"/>
                </w:rPr>
                <w:t>17</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vAlign w:val="center"/>
          </w:tcPr>
          <w:p w14:paraId="009E857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USA</w:t>
            </w:r>
          </w:p>
        </w:tc>
        <w:tc>
          <w:tcPr>
            <w:tcW w:w="2218" w:type="dxa"/>
            <w:tcBorders>
              <w:left w:val="single" w:sz="8" w:space="0" w:color="4F81BD"/>
              <w:right w:val="single" w:sz="8" w:space="0" w:color="4F81BD"/>
            </w:tcBorders>
            <w:vAlign w:val="center"/>
          </w:tcPr>
          <w:p w14:paraId="5C73DAE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Cardiothoracic surgeon</w:t>
            </w:r>
          </w:p>
        </w:tc>
        <w:tc>
          <w:tcPr>
            <w:tcW w:w="1211" w:type="dxa"/>
            <w:vAlign w:val="center"/>
          </w:tcPr>
          <w:p w14:paraId="63A2EA7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9 (4,6)</w:t>
            </w:r>
          </w:p>
        </w:tc>
        <w:tc>
          <w:tcPr>
            <w:tcW w:w="1116" w:type="dxa"/>
            <w:tcBorders>
              <w:left w:val="single" w:sz="8" w:space="0" w:color="4F81BD"/>
              <w:right w:val="single" w:sz="8" w:space="0" w:color="4F81BD"/>
            </w:tcBorders>
            <w:vAlign w:val="center"/>
          </w:tcPr>
          <w:p w14:paraId="7C092B1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144</w:t>
            </w:r>
          </w:p>
        </w:tc>
        <w:tc>
          <w:tcPr>
            <w:tcW w:w="1185" w:type="dxa"/>
            <w:vAlign w:val="center"/>
          </w:tcPr>
          <w:p w14:paraId="06C7387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6.25 (13.19)</w:t>
            </w:r>
          </w:p>
        </w:tc>
        <w:tc>
          <w:tcPr>
            <w:tcW w:w="1462" w:type="dxa"/>
            <w:vAlign w:val="center"/>
          </w:tcPr>
          <w:p w14:paraId="23CD49A7"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n/a</w:t>
            </w:r>
          </w:p>
        </w:tc>
      </w:tr>
      <w:tr w:rsidR="002F1BC7" w:rsidRPr="003049C5" w14:paraId="127B57B2" w14:textId="77777777" w:rsidTr="00FF0ED0">
        <w:trPr>
          <w:trHeight w:val="397"/>
        </w:trPr>
        <w:tc>
          <w:tcPr>
            <w:tcW w:w="1342" w:type="dxa"/>
            <w:tcBorders>
              <w:top w:val="single" w:sz="8" w:space="0" w:color="4F81BD"/>
              <w:left w:val="single" w:sz="8" w:space="0" w:color="4F81BD"/>
              <w:bottom w:val="single" w:sz="8" w:space="0" w:color="4F81BD"/>
            </w:tcBorders>
            <w:vAlign w:val="center"/>
          </w:tcPr>
          <w:p w14:paraId="36E8B869"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1991-1993</w:t>
            </w:r>
          </w:p>
        </w:tc>
        <w:tc>
          <w:tcPr>
            <w:tcW w:w="552" w:type="dxa"/>
            <w:tcBorders>
              <w:top w:val="single" w:sz="8" w:space="0" w:color="4F81BD"/>
              <w:left w:val="single" w:sz="8" w:space="0" w:color="4F81BD"/>
              <w:bottom w:val="single" w:sz="8" w:space="0" w:color="4F81BD"/>
              <w:right w:val="single" w:sz="8" w:space="0" w:color="4F81BD"/>
            </w:tcBorders>
            <w:vAlign w:val="center"/>
          </w:tcPr>
          <w:p w14:paraId="18F76E5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&lt;EndNote&gt;&lt;Cite&gt;&lt;Author&gt;Heptonstall&lt;/Author&gt;&lt;Year&gt;1996&lt;/Year&gt;&lt;RecNum&gt;152&lt;/RecNum&gt;&lt;DisplayText&gt;[15]&lt;/DisplayText&gt;&lt;record&gt;&lt;rec-number&gt;152&lt;/rec-number&gt;&lt;foreign-keys&gt;&lt;key app="EN" db-id="5d9ze055j2zd5revw2n50xpwd0fze9frtdxr"&gt;152&lt;/key&gt;&lt;/foreign-keys&gt;&lt;ref-type name="Journal Article"&gt;17&lt;/ref-type&gt;&lt;contributors&gt;&lt;authors&gt;&lt;author&gt;Heptonstall, J&lt;/author&gt;&lt;/authors&gt;&lt;/contributors&gt;&lt;titles&gt;&lt;title&gt;Lessons from two linked clusters of acute hepatitis B in cardiothoracic surgery patients&lt;/title&gt;&lt;secondary-title&gt;Communicable Disease Report. CDR review&lt;/secondary-title&gt;&lt;/titles&gt;&lt;periodical&gt;&lt;full-title&gt;Communicable disease report. CDR review&lt;/full-title&gt;&lt;/periodical&gt;&lt;pages&gt;R119-25&lt;/pages&gt;&lt;volume&gt;6&lt;/volume&gt;&lt;number&gt;9&lt;/number&gt;&lt;dates&gt;&lt;year&gt;1996&lt;/year&gt;&lt;/dates&gt;&lt;isbn&gt;1350-9349&lt;/isbn&gt;&lt;urls&gt;&lt;/urls&gt;&lt;/record&gt;&lt;/Cite&gt;&lt;Cite&gt;&lt;Author&gt;Heptonstall&lt;/Author&gt;&lt;Year&gt;1996&lt;/Year&gt;&lt;RecNum&gt;152&lt;/RecNum&gt;&lt;record&gt;&lt;rec-number&gt;152&lt;/rec-number&gt;&lt;foreign-keys&gt;&lt;key app="EN" db-id="5d9ze055j2zd5revw2n50xpwd0fze9frtdxr"&gt;152&lt;/key&gt;&lt;/foreign-keys&gt;&lt;ref-type name="Journal Article"&gt;17&lt;/ref-type&gt;&lt;contributors&gt;&lt;authors&gt;&lt;author&gt;Heptonstall, J&lt;/author&gt;&lt;/authors&gt;&lt;/contributors&gt;&lt;titles&gt;&lt;title&gt;Lessons from two linked clusters of acute hepatitis B in cardiothoracic surgery patients&lt;/title&gt;&lt;secondary-title&gt;Communicable Disease Report. CDR review&lt;/secondary-title&gt;&lt;/titles&gt;&lt;periodical&gt;&lt;full-title&gt;Communicable disease report. CDR review&lt;/full-title&gt;&lt;/periodical&gt;&lt;pages&gt;R119-25&lt;/pages&gt;&lt;volume&gt;6&lt;/volume&gt;&lt;number&gt;9&lt;/number&gt;&lt;dates&gt;&lt;year&gt;1996&lt;/year&gt;&lt;/dates&gt;&lt;isbn&gt;1350-9349&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15" w:tooltip="Heptonstall, 1996 #152" w:history="1">
              <w:r w:rsidRPr="003049C5">
                <w:rPr>
                  <w:rFonts w:eastAsia="Arial" w:cs="Arial"/>
                  <w:noProof/>
                  <w:sz w:val="20"/>
                  <w:szCs w:val="20"/>
                  <w:lang w:val="en-AU"/>
                </w:rPr>
                <w:t>15</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tcBorders>
              <w:top w:val="single" w:sz="8" w:space="0" w:color="4F81BD"/>
              <w:bottom w:val="single" w:sz="8" w:space="0" w:color="4F81BD"/>
            </w:tcBorders>
            <w:vAlign w:val="center"/>
          </w:tcPr>
          <w:p w14:paraId="67518D9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2218" w:type="dxa"/>
            <w:tcBorders>
              <w:top w:val="single" w:sz="8" w:space="0" w:color="4F81BD"/>
              <w:left w:val="single" w:sz="8" w:space="0" w:color="4F81BD"/>
              <w:bottom w:val="single" w:sz="8" w:space="0" w:color="4F81BD"/>
              <w:right w:val="single" w:sz="8" w:space="0" w:color="4F81BD"/>
            </w:tcBorders>
            <w:vAlign w:val="center"/>
          </w:tcPr>
          <w:p w14:paraId="3EB10530"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Cardiothoracic surgeon</w:t>
            </w:r>
          </w:p>
        </w:tc>
        <w:tc>
          <w:tcPr>
            <w:tcW w:w="1211" w:type="dxa"/>
            <w:tcBorders>
              <w:top w:val="single" w:sz="8" w:space="0" w:color="4F81BD"/>
              <w:bottom w:val="single" w:sz="8" w:space="0" w:color="4F81BD"/>
            </w:tcBorders>
            <w:vAlign w:val="center"/>
          </w:tcPr>
          <w:p w14:paraId="2820D28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20</w:t>
            </w:r>
          </w:p>
        </w:tc>
        <w:tc>
          <w:tcPr>
            <w:tcW w:w="1116" w:type="dxa"/>
            <w:tcBorders>
              <w:top w:val="single" w:sz="8" w:space="0" w:color="4F81BD"/>
              <w:left w:val="single" w:sz="8" w:space="0" w:color="4F81BD"/>
              <w:bottom w:val="single" w:sz="8" w:space="0" w:color="4F81BD"/>
              <w:right w:val="single" w:sz="8" w:space="0" w:color="4F81BD"/>
            </w:tcBorders>
            <w:vAlign w:val="center"/>
          </w:tcPr>
          <w:p w14:paraId="0E39B24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310</w:t>
            </w:r>
          </w:p>
        </w:tc>
        <w:tc>
          <w:tcPr>
            <w:tcW w:w="1185" w:type="dxa"/>
            <w:tcBorders>
              <w:top w:val="single" w:sz="8" w:space="0" w:color="4F81BD"/>
              <w:bottom w:val="single" w:sz="8" w:space="0" w:color="4F81BD"/>
            </w:tcBorders>
            <w:vAlign w:val="center"/>
          </w:tcPr>
          <w:p w14:paraId="567925D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6.45</w:t>
            </w:r>
          </w:p>
        </w:tc>
        <w:tc>
          <w:tcPr>
            <w:tcW w:w="1462" w:type="dxa"/>
            <w:tcBorders>
              <w:top w:val="single" w:sz="8" w:space="0" w:color="4F81BD"/>
              <w:bottom w:val="single" w:sz="8" w:space="0" w:color="4F81BD"/>
              <w:right w:val="single" w:sz="8" w:space="0" w:color="4F81BD"/>
            </w:tcBorders>
            <w:vAlign w:val="center"/>
          </w:tcPr>
          <w:p w14:paraId="00AD46A2"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n/a</w:t>
            </w:r>
          </w:p>
        </w:tc>
      </w:tr>
      <w:tr w:rsidR="002F1BC7" w:rsidRPr="003049C5" w14:paraId="6E05E264" w14:textId="77777777" w:rsidTr="00FF0ED0">
        <w:trPr>
          <w:trHeight w:val="397"/>
        </w:trPr>
        <w:tc>
          <w:tcPr>
            <w:tcW w:w="1342" w:type="dxa"/>
            <w:vAlign w:val="center"/>
          </w:tcPr>
          <w:p w14:paraId="20E00CE7"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1990-1996</w:t>
            </w:r>
          </w:p>
        </w:tc>
        <w:tc>
          <w:tcPr>
            <w:tcW w:w="552" w:type="dxa"/>
            <w:tcBorders>
              <w:left w:val="single" w:sz="8" w:space="0" w:color="4F81BD"/>
              <w:right w:val="single" w:sz="8" w:space="0" w:color="4F81BD"/>
            </w:tcBorders>
            <w:vAlign w:val="center"/>
          </w:tcPr>
          <w:p w14:paraId="4E5BB29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&lt;EndNote&gt;&lt;Cite&gt;&lt;Author&gt;Bell&lt;/Author&gt;&lt;Year&gt;2000&lt;/Year&gt;&lt;RecNum&gt;173&lt;/RecNum&gt;&lt;DisplayText&gt;[86]&lt;/DisplayText&gt;&lt;record&gt;&lt;rec-number&gt;173&lt;/rec-number&gt;&lt;foreign-keys&gt;&lt;key app="EN" db-id="5d9ze055j2zd5revw2n50xpwd0fze9frtdxr"&gt;173&lt;/key&gt;&lt;/foreign-keys&gt;&lt;ref-type name="Journal Article"&gt;17&lt;/ref-type&gt;&lt;contributors&gt;&lt;authors&gt;&lt;author&gt;Bell, Beth&lt;/author&gt;&lt;/authors&gt;&lt;/contributors&gt;&lt;titles&gt;&lt;title&gt;An outbreak of hepatitis B associated with reusable subdermal electroencephalogram electrodes&lt;/title&gt;&lt;secondary-title&gt;Canadian Medical Association. Journal&lt;/secondary-title&gt;&lt;/titles&gt;&lt;periodical&gt;&lt;full-title&gt;Canadian Medical Association. Journal&lt;/full-title&gt;&lt;/periodical&gt;&lt;pages&gt;1127&lt;/pages&gt;&lt;volume&gt;162&lt;/volume&gt;&lt;number&gt;8&lt;/number&gt;&lt;dates&gt;&lt;year&gt;2000&lt;/year&gt;&lt;/dates&gt;&lt;isbn&gt;0820-3946&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86" w:tooltip="Bell, 2000 #173" w:history="1">
              <w:r w:rsidRPr="003049C5">
                <w:rPr>
                  <w:rFonts w:eastAsia="Arial" w:cs="Arial"/>
                  <w:noProof/>
                  <w:sz w:val="20"/>
                  <w:szCs w:val="20"/>
                  <w:lang w:val="en-AU"/>
                </w:rPr>
                <w:t>86</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vAlign w:val="center"/>
          </w:tcPr>
          <w:p w14:paraId="2EDF9460"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Canada</w:t>
            </w:r>
          </w:p>
        </w:tc>
        <w:tc>
          <w:tcPr>
            <w:tcW w:w="2218" w:type="dxa"/>
            <w:tcBorders>
              <w:left w:val="single" w:sz="8" w:space="0" w:color="4F81BD"/>
              <w:right w:val="single" w:sz="8" w:space="0" w:color="4F81BD"/>
            </w:tcBorders>
            <w:vAlign w:val="center"/>
          </w:tcPr>
          <w:p w14:paraId="524C018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Electroencephalogram technician</w:t>
            </w:r>
          </w:p>
        </w:tc>
        <w:tc>
          <w:tcPr>
            <w:tcW w:w="1211" w:type="dxa"/>
            <w:vAlign w:val="center"/>
          </w:tcPr>
          <w:p w14:paraId="48E3DCB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4 (0,71)</w:t>
            </w:r>
          </w:p>
        </w:tc>
        <w:tc>
          <w:tcPr>
            <w:tcW w:w="1116" w:type="dxa"/>
            <w:tcBorders>
              <w:left w:val="single" w:sz="8" w:space="0" w:color="4F81BD"/>
              <w:right w:val="single" w:sz="8" w:space="0" w:color="4F81BD"/>
            </w:tcBorders>
            <w:vAlign w:val="center"/>
          </w:tcPr>
          <w:p w14:paraId="6897C45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10244</w:t>
            </w:r>
          </w:p>
        </w:tc>
        <w:tc>
          <w:tcPr>
            <w:tcW w:w="1185" w:type="dxa"/>
            <w:vAlign w:val="center"/>
          </w:tcPr>
          <w:p w14:paraId="2154A96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0.04 (0.73)</w:t>
            </w:r>
          </w:p>
        </w:tc>
        <w:tc>
          <w:tcPr>
            <w:tcW w:w="1462" w:type="dxa"/>
            <w:vAlign w:val="center"/>
          </w:tcPr>
          <w:p w14:paraId="47F3C629"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n/a</w:t>
            </w:r>
          </w:p>
        </w:tc>
      </w:tr>
      <w:tr w:rsidR="002F1BC7" w:rsidRPr="003049C5" w14:paraId="6FA555ED" w14:textId="77777777" w:rsidTr="00FF0ED0">
        <w:trPr>
          <w:trHeight w:val="397"/>
        </w:trPr>
        <w:tc>
          <w:tcPr>
            <w:tcW w:w="1342" w:type="dxa"/>
            <w:tcBorders>
              <w:top w:val="single" w:sz="8" w:space="0" w:color="4F81BD"/>
              <w:left w:val="single" w:sz="8" w:space="0" w:color="4F81BD"/>
              <w:bottom w:val="single" w:sz="8" w:space="0" w:color="4F81BD"/>
            </w:tcBorders>
            <w:vAlign w:val="center"/>
          </w:tcPr>
          <w:p w14:paraId="72CB0BD0"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1992-1993</w:t>
            </w:r>
          </w:p>
        </w:tc>
        <w:tc>
          <w:tcPr>
            <w:tcW w:w="552" w:type="dxa"/>
            <w:tcBorders>
              <w:top w:val="single" w:sz="8" w:space="0" w:color="4F81BD"/>
              <w:left w:val="single" w:sz="8" w:space="0" w:color="4F81BD"/>
              <w:bottom w:val="single" w:sz="8" w:space="0" w:color="4F81BD"/>
              <w:right w:val="single" w:sz="8" w:space="0" w:color="4F81BD"/>
            </w:tcBorders>
            <w:vAlign w:val="center"/>
          </w:tcPr>
          <w:p w14:paraId="7291239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&lt;EndNote&gt;&lt;Cite&gt;&lt;Author&gt;Heptonstall&lt;/Author&gt;&lt;Year&gt;1996&lt;/Year&gt;&lt;RecNum&gt;152&lt;/RecNum&gt;&lt;DisplayText&gt;[15]&lt;/DisplayText&gt;&lt;record&gt;&lt;rec-number&gt;152&lt;/rec-number&gt;&lt;foreign-keys&gt;&lt;key app="EN" db-id="5d9ze055j2zd5revw2n50xpwd0fze9frtdxr"&gt;152&lt;/key&gt;&lt;/foreign-keys&gt;&lt;ref-type name="Journal Article"&gt;17&lt;/ref-type&gt;&lt;contributors&gt;&lt;authors&gt;&lt;author&gt;Heptonstall, J&lt;/author&gt;&lt;/authors&gt;&lt;/contributors&gt;&lt;titles&gt;&lt;title&gt;Lessons from two linked clusters of acute hepatitis B in cardiothoracic surgery patients&lt;/title&gt;&lt;secondary-title&gt;Communicable Disease Report. CDR review&lt;/secondary-title&gt;&lt;/titles&gt;&lt;periodical&gt;&lt;full-title&gt;Communicable disease report. CDR review&lt;/full-title&gt;&lt;/periodical&gt;&lt;pages&gt;R119-25&lt;/pages&gt;&lt;volume&gt;6&lt;/volume&gt;&lt;number&gt;9&lt;/number&gt;&lt;dates&gt;&lt;year&gt;1996&lt;/year&gt;&lt;/dates&gt;&lt;isbn&gt;1350-9349&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15" w:tooltip="Heptonstall, 1996 #152" w:history="1">
              <w:r w:rsidRPr="003049C5">
                <w:rPr>
                  <w:rFonts w:eastAsia="Arial" w:cs="Arial"/>
                  <w:noProof/>
                  <w:sz w:val="20"/>
                  <w:szCs w:val="20"/>
                  <w:lang w:val="en-AU"/>
                </w:rPr>
                <w:t>15</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tcBorders>
              <w:top w:val="single" w:sz="8" w:space="0" w:color="4F81BD"/>
              <w:bottom w:val="single" w:sz="8" w:space="0" w:color="4F81BD"/>
            </w:tcBorders>
            <w:vAlign w:val="center"/>
          </w:tcPr>
          <w:p w14:paraId="450E7F5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2218" w:type="dxa"/>
            <w:tcBorders>
              <w:top w:val="single" w:sz="8" w:space="0" w:color="4F81BD"/>
              <w:left w:val="single" w:sz="8" w:space="0" w:color="4F81BD"/>
              <w:bottom w:val="single" w:sz="8" w:space="0" w:color="4F81BD"/>
              <w:right w:val="single" w:sz="8" w:space="0" w:color="4F81BD"/>
            </w:tcBorders>
            <w:vAlign w:val="center"/>
          </w:tcPr>
          <w:p w14:paraId="5838FF3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Cardiothoracic surgeon</w:t>
            </w:r>
          </w:p>
        </w:tc>
        <w:tc>
          <w:tcPr>
            <w:tcW w:w="1211" w:type="dxa"/>
            <w:tcBorders>
              <w:top w:val="single" w:sz="8" w:space="0" w:color="4F81BD"/>
              <w:bottom w:val="single" w:sz="8" w:space="0" w:color="4F81BD"/>
            </w:tcBorders>
            <w:vAlign w:val="center"/>
          </w:tcPr>
          <w:p w14:paraId="1DA367B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20</w:t>
            </w:r>
          </w:p>
        </w:tc>
        <w:tc>
          <w:tcPr>
            <w:tcW w:w="1116" w:type="dxa"/>
            <w:tcBorders>
              <w:top w:val="single" w:sz="8" w:space="0" w:color="4F81BD"/>
              <w:left w:val="single" w:sz="8" w:space="0" w:color="4F81BD"/>
              <w:bottom w:val="single" w:sz="8" w:space="0" w:color="4F81BD"/>
              <w:right w:val="single" w:sz="8" w:space="0" w:color="4F81BD"/>
            </w:tcBorders>
            <w:vAlign w:val="center"/>
          </w:tcPr>
          <w:p w14:paraId="20CF0B6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310</w:t>
            </w:r>
          </w:p>
        </w:tc>
        <w:tc>
          <w:tcPr>
            <w:tcW w:w="1185" w:type="dxa"/>
            <w:tcBorders>
              <w:top w:val="single" w:sz="8" w:space="0" w:color="4F81BD"/>
              <w:bottom w:val="single" w:sz="8" w:space="0" w:color="4F81BD"/>
            </w:tcBorders>
            <w:vAlign w:val="center"/>
          </w:tcPr>
          <w:p w14:paraId="41F48D0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6.57</w:t>
            </w:r>
          </w:p>
        </w:tc>
        <w:tc>
          <w:tcPr>
            <w:tcW w:w="1462" w:type="dxa"/>
            <w:tcBorders>
              <w:top w:val="single" w:sz="8" w:space="0" w:color="4F81BD"/>
              <w:bottom w:val="single" w:sz="8" w:space="0" w:color="4F81BD"/>
              <w:right w:val="single" w:sz="8" w:space="0" w:color="4F81BD"/>
            </w:tcBorders>
            <w:vAlign w:val="center"/>
          </w:tcPr>
          <w:p w14:paraId="5DD280D5"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n/a</w:t>
            </w:r>
          </w:p>
        </w:tc>
      </w:tr>
      <w:tr w:rsidR="002F1BC7" w:rsidRPr="003049C5" w14:paraId="2AB83642" w14:textId="77777777" w:rsidTr="00FF0ED0">
        <w:trPr>
          <w:trHeight w:val="397"/>
        </w:trPr>
        <w:tc>
          <w:tcPr>
            <w:tcW w:w="1342" w:type="dxa"/>
            <w:vAlign w:val="center"/>
          </w:tcPr>
          <w:p w14:paraId="34DE4A2D"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1993</w:t>
            </w:r>
          </w:p>
        </w:tc>
        <w:tc>
          <w:tcPr>
            <w:tcW w:w="552" w:type="dxa"/>
            <w:tcBorders>
              <w:left w:val="single" w:sz="8" w:space="0" w:color="4F81BD"/>
              <w:right w:val="single" w:sz="8" w:space="0" w:color="4F81BD"/>
            </w:tcBorders>
            <w:vAlign w:val="center"/>
          </w:tcPr>
          <w:p w14:paraId="4ED07B89"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&lt;EndNote&gt;&lt;Cite&gt;&lt;Author&gt;Mukerjee&lt;/Author&gt;&lt;Year&gt;1996&lt;/Year&gt;&lt;RecNum&gt;151&lt;/RecNum&gt;&lt;DisplayText&gt;[16]&lt;/DisplayText&gt;&lt;record&gt;&lt;rec-number&gt;151&lt;/rec-number&gt;&lt;foreign-keys&gt;&lt;key app="EN" db-id="5d9ze055j2zd5revw2n50xpwd0fze9frtdxr"&gt;151&lt;/key&gt;&lt;/foreign-keys&gt;&lt;ref-type name="Journal Article"&gt;17&lt;/ref-type&gt;&lt;contributors&gt;&lt;authors&gt;&lt;author&gt;Mukerjee, AK&lt;/author&gt;&lt;author&gt;Westmoreland, D&lt;/author&gt;&lt;author&gt;Rees, HG&lt;/author&gt;&lt;/authors&gt;&lt;/contributors&gt;&lt;titles&gt;&lt;title&gt;Response to the discovery of two practising surgeons infected with hepatitis B&lt;/title&gt;&lt;secondary-title&gt;Communicable Disease Report. CDR review&lt;/secondary-title&gt;&lt;/titles&gt;&lt;periodical&gt;&lt;full-title&gt;Communicable disease report. CDR review&lt;/full-title&gt;&lt;/periodical&gt;&lt;pages&gt;R126-8&lt;/pages&gt;&lt;volume&gt;6&lt;/volume&gt;&lt;number&gt;9&lt;/number&gt;&lt;dates&gt;&lt;year&gt;1996&lt;/year&gt;&lt;/dates&gt;&lt;isbn&gt;1350-9349&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16" w:tooltip="Mukerjee, 1996 #151" w:history="1">
              <w:r w:rsidRPr="003049C5">
                <w:rPr>
                  <w:rFonts w:eastAsia="Arial" w:cs="Arial"/>
                  <w:noProof/>
                  <w:sz w:val="20"/>
                  <w:szCs w:val="20"/>
                  <w:lang w:val="en-AU"/>
                </w:rPr>
                <w:t>16</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vAlign w:val="center"/>
          </w:tcPr>
          <w:p w14:paraId="2F2012C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2218" w:type="dxa"/>
            <w:tcBorders>
              <w:left w:val="single" w:sz="8" w:space="0" w:color="4F81BD"/>
              <w:right w:val="single" w:sz="8" w:space="0" w:color="4F81BD"/>
            </w:tcBorders>
            <w:vAlign w:val="center"/>
          </w:tcPr>
          <w:p w14:paraId="7C7D5E9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General surgeon</w:t>
            </w:r>
          </w:p>
        </w:tc>
        <w:tc>
          <w:tcPr>
            <w:tcW w:w="1211" w:type="dxa"/>
            <w:vAlign w:val="center"/>
          </w:tcPr>
          <w:p w14:paraId="70A2C22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w:t>
            </w:r>
          </w:p>
        </w:tc>
        <w:tc>
          <w:tcPr>
            <w:tcW w:w="1116" w:type="dxa"/>
            <w:tcBorders>
              <w:left w:val="single" w:sz="8" w:space="0" w:color="4F81BD"/>
              <w:right w:val="single" w:sz="8" w:space="0" w:color="4F81BD"/>
            </w:tcBorders>
            <w:vAlign w:val="center"/>
          </w:tcPr>
          <w:p w14:paraId="2F0084A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16</w:t>
            </w:r>
          </w:p>
        </w:tc>
        <w:tc>
          <w:tcPr>
            <w:tcW w:w="1185" w:type="dxa"/>
            <w:vAlign w:val="center"/>
          </w:tcPr>
          <w:p w14:paraId="41EEC79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12.5</w:t>
            </w:r>
          </w:p>
        </w:tc>
        <w:tc>
          <w:tcPr>
            <w:tcW w:w="1462" w:type="dxa"/>
            <w:vAlign w:val="center"/>
          </w:tcPr>
          <w:p w14:paraId="006B2D5F"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n/a</w:t>
            </w:r>
          </w:p>
        </w:tc>
      </w:tr>
      <w:tr w:rsidR="002F1BC7" w:rsidRPr="003049C5" w14:paraId="2E308007" w14:textId="77777777" w:rsidTr="00FF0ED0">
        <w:trPr>
          <w:trHeight w:val="397"/>
        </w:trPr>
        <w:tc>
          <w:tcPr>
            <w:tcW w:w="1342" w:type="dxa"/>
            <w:tcBorders>
              <w:top w:val="single" w:sz="8" w:space="0" w:color="4F81BD"/>
              <w:left w:val="single" w:sz="8" w:space="0" w:color="4F81BD"/>
              <w:bottom w:val="single" w:sz="8" w:space="0" w:color="4F81BD"/>
            </w:tcBorders>
            <w:vAlign w:val="center"/>
          </w:tcPr>
          <w:p w14:paraId="780643E9"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1993</w:t>
            </w:r>
          </w:p>
        </w:tc>
        <w:tc>
          <w:tcPr>
            <w:tcW w:w="552" w:type="dxa"/>
            <w:tcBorders>
              <w:top w:val="single" w:sz="8" w:space="0" w:color="4F81BD"/>
              <w:left w:val="single" w:sz="8" w:space="0" w:color="4F81BD"/>
              <w:bottom w:val="single" w:sz="8" w:space="0" w:color="4F81BD"/>
              <w:right w:val="single" w:sz="8" w:space="0" w:color="4F81BD"/>
            </w:tcBorders>
            <w:vAlign w:val="center"/>
          </w:tcPr>
          <w:p w14:paraId="2368475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&lt;EndNote&gt;&lt;Cite&gt;&lt;Author&gt;The Incident Investigation Teams and Others&lt;/Author&gt;&lt;Year&gt;1997&lt;/Year&gt;&lt;RecNum&gt;13&lt;/RecNum&gt;&lt;DisplayText&gt;[18]&lt;/DisplayText&gt;&lt;record&gt;&lt;rec-number&gt;13&lt;/rec-number&gt;&lt;foreign-keys&gt;&lt;key app="EN" db-id="5d9ze055j2zd5revw2n50xpwd0fze9frtdxr"&gt;13&lt;/key&gt;&lt;/foreign-keys&gt;&lt;ref-type name="Journal Article"&gt;17&lt;/ref-type&gt;&lt;contributors&gt;&lt;authors&gt;&lt;author&gt;The Incident Investigation Teams and Others,&lt;/author&gt;&lt;/authors&gt;&lt;/contributors&gt;&lt;titles&gt;&lt;title&gt;Transmission of hepatitis B to patients from four infected surgeons without hepatitis B e antigen&lt;/title&gt;&lt;secondary-title&gt;New England Journal of Medicine&lt;/secondary-title&gt;&lt;/titles&gt;&lt;periodical&gt;&lt;full-title&gt;New England Journal of Medicine&lt;/full-title&gt;&lt;/periodical&gt;&lt;pages&gt;178-185&lt;/pages&gt;&lt;volume&gt;1997&lt;/volume&gt;&lt;number&gt;336&lt;/number&gt;&lt;dates&gt;&lt;year&gt;1997&lt;/year&gt;&lt;/dates&gt;&lt;urls&gt;&lt;/urls&gt;&lt;/record&gt;&lt;/Cite&gt;&lt;/EndNote&gt;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18" w:tooltip="The Incident Investigation Teams and Others, 1997 #13" w:history="1">
              <w:r w:rsidRPr="003049C5">
                <w:rPr>
                  <w:rFonts w:eastAsia="Arial" w:cs="Arial"/>
                  <w:noProof/>
                  <w:sz w:val="20"/>
                  <w:szCs w:val="20"/>
                  <w:lang w:val="en-AU"/>
                </w:rPr>
                <w:t>18</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tcBorders>
              <w:top w:val="single" w:sz="8" w:space="0" w:color="4F81BD"/>
              <w:bottom w:val="single" w:sz="8" w:space="0" w:color="4F81BD"/>
            </w:tcBorders>
            <w:vAlign w:val="center"/>
          </w:tcPr>
          <w:p w14:paraId="72863A1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2218" w:type="dxa"/>
            <w:tcBorders>
              <w:top w:val="single" w:sz="8" w:space="0" w:color="4F81BD"/>
              <w:left w:val="single" w:sz="8" w:space="0" w:color="4F81BD"/>
              <w:bottom w:val="single" w:sz="8" w:space="0" w:color="4F81BD"/>
              <w:right w:val="single" w:sz="8" w:space="0" w:color="4F81BD"/>
            </w:tcBorders>
            <w:vAlign w:val="center"/>
          </w:tcPr>
          <w:p w14:paraId="22702C0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Obstetrics trainee</w:t>
            </w:r>
          </w:p>
        </w:tc>
        <w:tc>
          <w:tcPr>
            <w:tcW w:w="1211" w:type="dxa"/>
            <w:tcBorders>
              <w:top w:val="single" w:sz="8" w:space="0" w:color="4F81BD"/>
              <w:bottom w:val="single" w:sz="8" w:space="0" w:color="4F81BD"/>
            </w:tcBorders>
            <w:vAlign w:val="center"/>
          </w:tcPr>
          <w:p w14:paraId="4455B2B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 (2)</w:t>
            </w:r>
          </w:p>
        </w:tc>
        <w:tc>
          <w:tcPr>
            <w:tcW w:w="1116" w:type="dxa"/>
            <w:tcBorders>
              <w:top w:val="single" w:sz="8" w:space="0" w:color="4F81BD"/>
              <w:left w:val="single" w:sz="8" w:space="0" w:color="4F81BD"/>
              <w:bottom w:val="single" w:sz="8" w:space="0" w:color="4F81BD"/>
              <w:right w:val="single" w:sz="8" w:space="0" w:color="4F81BD"/>
            </w:tcBorders>
            <w:vAlign w:val="center"/>
          </w:tcPr>
          <w:p w14:paraId="26B66D8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92</w:t>
            </w:r>
          </w:p>
        </w:tc>
        <w:tc>
          <w:tcPr>
            <w:tcW w:w="1185" w:type="dxa"/>
            <w:tcBorders>
              <w:top w:val="single" w:sz="8" w:space="0" w:color="4F81BD"/>
              <w:bottom w:val="single" w:sz="8" w:space="0" w:color="4F81BD"/>
            </w:tcBorders>
            <w:vAlign w:val="center"/>
          </w:tcPr>
          <w:p w14:paraId="3F94935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1.09 (3.26)</w:t>
            </w:r>
          </w:p>
        </w:tc>
        <w:tc>
          <w:tcPr>
            <w:tcW w:w="1462" w:type="dxa"/>
            <w:tcBorders>
              <w:top w:val="single" w:sz="8" w:space="0" w:color="4F81BD"/>
              <w:bottom w:val="single" w:sz="8" w:space="0" w:color="4F81BD"/>
              <w:right w:val="single" w:sz="8" w:space="0" w:color="4F81BD"/>
            </w:tcBorders>
            <w:vAlign w:val="center"/>
          </w:tcPr>
          <w:p w14:paraId="41E5F68E"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~8.1x10</w:t>
            </w:r>
            <w:r w:rsidRPr="003049C5">
              <w:rPr>
                <w:rFonts w:eastAsia="Arial" w:cs="Arial"/>
                <w:b/>
                <w:bCs/>
                <w:sz w:val="20"/>
                <w:szCs w:val="20"/>
                <w:vertAlign w:val="superscript"/>
                <w:lang w:val="en-AU"/>
              </w:rPr>
              <w:t>5</w:t>
            </w:r>
            <w:r w:rsidRPr="003049C5">
              <w:rPr>
                <w:rFonts w:eastAsia="Arial" w:cs="Arial"/>
                <w:b/>
                <w:bCs/>
                <w:sz w:val="20"/>
                <w:szCs w:val="20"/>
                <w:lang w:val="en-AU"/>
              </w:rPr>
              <w:t xml:space="preserve"> IU/mL*</w:t>
            </w:r>
          </w:p>
        </w:tc>
      </w:tr>
      <w:tr w:rsidR="002F1BC7" w:rsidRPr="003049C5" w14:paraId="76C2A8B3" w14:textId="77777777" w:rsidTr="00FF0ED0">
        <w:trPr>
          <w:trHeight w:val="397"/>
        </w:trPr>
        <w:tc>
          <w:tcPr>
            <w:tcW w:w="1342" w:type="dxa"/>
            <w:vAlign w:val="center"/>
          </w:tcPr>
          <w:p w14:paraId="15AC493D"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1993-1994</w:t>
            </w:r>
          </w:p>
        </w:tc>
        <w:tc>
          <w:tcPr>
            <w:tcW w:w="552" w:type="dxa"/>
            <w:tcBorders>
              <w:left w:val="single" w:sz="8" w:space="0" w:color="4F81BD"/>
              <w:right w:val="single" w:sz="8" w:space="0" w:color="4F81BD"/>
            </w:tcBorders>
            <w:vAlign w:val="center"/>
          </w:tcPr>
          <w:p w14:paraId="0D82619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&lt;EndNote&gt;&lt;Cite&gt;&lt;Author&gt;The Incident Investigation Teams and Others&lt;/Author&gt;&lt;Year&gt;1997&lt;/Year&gt;&lt;RecNum&gt;13&lt;/RecNum&gt;&lt;DisplayText&gt;[18]&lt;/DisplayText&gt;&lt;record&gt;&lt;rec-number&gt;13&lt;/rec-number&gt;&lt;foreign-keys&gt;&lt;key app="EN" db-id="5d9ze055j2zd5revw2n50xpwd0fze9frtdxr"&gt;13&lt;/key&gt;&lt;/foreign-keys&gt;&lt;ref-type name="Journal Article"&gt;17&lt;/ref-type&gt;&lt;contributors&gt;&lt;authors&gt;&lt;author&gt;The Incident Investigation Teams and Others,&lt;/author&gt;&lt;/authors&gt;&lt;/contributors&gt;&lt;titles&gt;&lt;title&gt;Transmission of hepatitis B to patients from four infected surgeons without hepatitis B e antigen&lt;/title&gt;&lt;secondary-title&gt;New England Journal of Medicine&lt;/secondary-title&gt;&lt;/titles&gt;&lt;periodical&gt;&lt;full-title&gt;New England Journal of Medicine&lt;/full-title&gt;&lt;/periodical&gt;&lt;pages&gt;178-185&lt;/pages&gt;&lt;volume&gt;1997&lt;/volume&gt;&lt;number&gt;336&lt;/number&gt;&lt;dates&gt;&lt;year&gt;1997&lt;/year&gt;&lt;/dates&gt;&lt;urls&gt;&lt;/urls&gt;&lt;/record&gt;&lt;/Cite&gt;&lt;/EndNote&gt;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18" w:tooltip="The Incident Investigation Teams and Others, 1997 #13" w:history="1">
              <w:r w:rsidRPr="003049C5">
                <w:rPr>
                  <w:rFonts w:eastAsia="Arial" w:cs="Arial"/>
                  <w:noProof/>
                  <w:sz w:val="20"/>
                  <w:szCs w:val="20"/>
                  <w:lang w:val="en-AU"/>
                </w:rPr>
                <w:t>18</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vAlign w:val="center"/>
          </w:tcPr>
          <w:p w14:paraId="5DE6625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2218" w:type="dxa"/>
            <w:tcBorders>
              <w:left w:val="single" w:sz="8" w:space="0" w:color="4F81BD"/>
              <w:right w:val="single" w:sz="8" w:space="0" w:color="4F81BD"/>
            </w:tcBorders>
            <w:vAlign w:val="center"/>
          </w:tcPr>
          <w:p w14:paraId="6A57ECA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Obstetrics trainee</w:t>
            </w:r>
          </w:p>
        </w:tc>
        <w:tc>
          <w:tcPr>
            <w:tcW w:w="1211" w:type="dxa"/>
            <w:vAlign w:val="center"/>
          </w:tcPr>
          <w:p w14:paraId="4A1E102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 (0,4)</w:t>
            </w:r>
          </w:p>
        </w:tc>
        <w:tc>
          <w:tcPr>
            <w:tcW w:w="1116" w:type="dxa"/>
            <w:tcBorders>
              <w:left w:val="single" w:sz="8" w:space="0" w:color="4F81BD"/>
              <w:right w:val="single" w:sz="8" w:space="0" w:color="4F81BD"/>
            </w:tcBorders>
            <w:vAlign w:val="center"/>
          </w:tcPr>
          <w:p w14:paraId="7E5F0B1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111</w:t>
            </w:r>
          </w:p>
        </w:tc>
        <w:tc>
          <w:tcPr>
            <w:tcW w:w="1185" w:type="dxa"/>
            <w:vAlign w:val="center"/>
          </w:tcPr>
          <w:p w14:paraId="1F3AABB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0.9</w:t>
            </w:r>
          </w:p>
        </w:tc>
        <w:tc>
          <w:tcPr>
            <w:tcW w:w="1462" w:type="dxa"/>
            <w:vAlign w:val="center"/>
          </w:tcPr>
          <w:p w14:paraId="28DB0E5C"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~1x10</w:t>
            </w:r>
            <w:r w:rsidRPr="003049C5">
              <w:rPr>
                <w:rFonts w:eastAsia="Arial" w:cs="Arial"/>
                <w:b/>
                <w:bCs/>
                <w:sz w:val="20"/>
                <w:szCs w:val="20"/>
                <w:vertAlign w:val="superscript"/>
                <w:lang w:val="en-AU"/>
              </w:rPr>
              <w:t xml:space="preserve">6 </w:t>
            </w:r>
            <w:r w:rsidRPr="003049C5">
              <w:rPr>
                <w:rFonts w:eastAsia="Arial" w:cs="Arial"/>
                <w:b/>
                <w:bCs/>
                <w:sz w:val="20"/>
                <w:szCs w:val="20"/>
                <w:lang w:val="en-AU"/>
              </w:rPr>
              <w:t>IU/mL</w:t>
            </w:r>
          </w:p>
        </w:tc>
      </w:tr>
      <w:tr w:rsidR="002F1BC7" w:rsidRPr="003049C5" w14:paraId="72A3BA3F" w14:textId="77777777" w:rsidTr="00FF0ED0">
        <w:trPr>
          <w:trHeight w:val="397"/>
        </w:trPr>
        <w:tc>
          <w:tcPr>
            <w:tcW w:w="1342" w:type="dxa"/>
            <w:tcBorders>
              <w:top w:val="single" w:sz="8" w:space="0" w:color="4F81BD"/>
              <w:left w:val="single" w:sz="8" w:space="0" w:color="4F81BD"/>
              <w:bottom w:val="single" w:sz="8" w:space="0" w:color="4F81BD"/>
            </w:tcBorders>
            <w:vAlign w:val="center"/>
          </w:tcPr>
          <w:p w14:paraId="24CECD98"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1993-1994</w:t>
            </w:r>
          </w:p>
        </w:tc>
        <w:tc>
          <w:tcPr>
            <w:tcW w:w="552" w:type="dxa"/>
            <w:tcBorders>
              <w:top w:val="single" w:sz="8" w:space="0" w:color="4F81BD"/>
              <w:left w:val="single" w:sz="8" w:space="0" w:color="4F81BD"/>
              <w:bottom w:val="single" w:sz="8" w:space="0" w:color="4F81BD"/>
              <w:right w:val="single" w:sz="8" w:space="0" w:color="4F81BD"/>
            </w:tcBorders>
            <w:vAlign w:val="center"/>
          </w:tcPr>
          <w:p w14:paraId="2CB20FB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&lt;EndNote&gt;&lt;Cite&gt;&lt;Author&gt;Oliver&lt;/Author&gt;&lt;Year&gt;1999&lt;/Year&gt;&lt;RecNum&gt;15&lt;/RecNum&gt;&lt;DisplayText&gt;[20]&lt;/DisplayText&gt;&lt;record&gt;&lt;rec-number&gt;15&lt;/rec-number&gt;&lt;foreign-keys&gt;&lt;key app="EN" db-id="5d9ze055j2zd5revw2n50xpwd0fze9frtdxr"&gt;15&lt;/key&gt;&lt;/foreign-keys&gt;&lt;ref-type name="Journal Article"&gt;17&lt;/ref-type&gt;&lt;contributors&gt;&lt;authors&gt;&lt;author&gt;Oliver, SE&lt;/author&gt;&lt;author&gt;Woodhouse, J&lt;/author&gt;&lt;author&gt;Hollyoak, V&lt;/author&gt;&lt;/authors&gt;&lt;/contributors&gt;&lt;titles&gt;&lt;title&gt;Lessons from patient notification exercises following the identification of hepatitis B e antigen positive surgeons in an English health region&lt;/title&gt;&lt;secondary-title&gt;Communicable Disease and Public Health&lt;/secondary-title&gt;&lt;/titles&gt;&lt;periodical&gt;&lt;full-title&gt;Communicable Disease and Public Health&lt;/full-title&gt;&lt;/periodical&gt;&lt;pages&gt;130&lt;/pages&gt;&lt;volume&gt;2&lt;/volume&gt;&lt;number&gt;2&lt;/number&gt;&lt;dates&gt;&lt;year&gt;1999&lt;/year&gt;&lt;/dates&gt;&lt;isbn&gt;1462-1843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20" w:tooltip="Oliver, 1999 #15" w:history="1">
              <w:r w:rsidRPr="003049C5">
                <w:rPr>
                  <w:rFonts w:eastAsia="Arial" w:cs="Arial"/>
                  <w:noProof/>
                  <w:sz w:val="20"/>
                  <w:szCs w:val="20"/>
                  <w:lang w:val="en-AU"/>
                </w:rPr>
                <w:t>20</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tcBorders>
              <w:top w:val="single" w:sz="8" w:space="0" w:color="4F81BD"/>
              <w:bottom w:val="single" w:sz="8" w:space="0" w:color="4F81BD"/>
            </w:tcBorders>
            <w:vAlign w:val="center"/>
          </w:tcPr>
          <w:p w14:paraId="4611D4F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2218" w:type="dxa"/>
            <w:tcBorders>
              <w:top w:val="single" w:sz="8" w:space="0" w:color="4F81BD"/>
              <w:left w:val="single" w:sz="8" w:space="0" w:color="4F81BD"/>
              <w:bottom w:val="single" w:sz="8" w:space="0" w:color="4F81BD"/>
              <w:right w:val="single" w:sz="8" w:space="0" w:color="4F81BD"/>
            </w:tcBorders>
            <w:vAlign w:val="center"/>
          </w:tcPr>
          <w:p w14:paraId="352400B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General surgeon trainee</w:t>
            </w:r>
          </w:p>
        </w:tc>
        <w:tc>
          <w:tcPr>
            <w:tcW w:w="1211" w:type="dxa"/>
            <w:tcBorders>
              <w:top w:val="single" w:sz="8" w:space="0" w:color="4F81BD"/>
              <w:bottom w:val="single" w:sz="8" w:space="0" w:color="4F81BD"/>
            </w:tcBorders>
            <w:vAlign w:val="center"/>
          </w:tcPr>
          <w:p w14:paraId="413D39E9"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 (0,10)</w:t>
            </w:r>
          </w:p>
        </w:tc>
        <w:tc>
          <w:tcPr>
            <w:tcW w:w="1116" w:type="dxa"/>
            <w:tcBorders>
              <w:top w:val="single" w:sz="8" w:space="0" w:color="4F81BD"/>
              <w:left w:val="single" w:sz="8" w:space="0" w:color="4F81BD"/>
              <w:bottom w:val="single" w:sz="8" w:space="0" w:color="4F81BD"/>
              <w:right w:val="single" w:sz="8" w:space="0" w:color="4F81BD"/>
            </w:tcBorders>
            <w:vAlign w:val="center"/>
          </w:tcPr>
          <w:p w14:paraId="64E3850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390</w:t>
            </w:r>
          </w:p>
        </w:tc>
        <w:tc>
          <w:tcPr>
            <w:tcW w:w="1185" w:type="dxa"/>
            <w:tcBorders>
              <w:top w:val="single" w:sz="8" w:space="0" w:color="4F81BD"/>
              <w:bottom w:val="single" w:sz="8" w:space="0" w:color="4F81BD"/>
            </w:tcBorders>
            <w:vAlign w:val="center"/>
          </w:tcPr>
          <w:p w14:paraId="077307C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0.26 (2.82)</w:t>
            </w:r>
          </w:p>
        </w:tc>
        <w:tc>
          <w:tcPr>
            <w:tcW w:w="1462" w:type="dxa"/>
            <w:tcBorders>
              <w:top w:val="single" w:sz="8" w:space="0" w:color="4F81BD"/>
              <w:bottom w:val="single" w:sz="8" w:space="0" w:color="4F81BD"/>
              <w:right w:val="single" w:sz="8" w:space="0" w:color="4F81BD"/>
            </w:tcBorders>
            <w:vAlign w:val="center"/>
          </w:tcPr>
          <w:p w14:paraId="62FF2E65"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n/a</w:t>
            </w:r>
          </w:p>
        </w:tc>
      </w:tr>
      <w:tr w:rsidR="002F1BC7" w:rsidRPr="003049C5" w14:paraId="2AD52F68" w14:textId="77777777" w:rsidTr="00FF0ED0">
        <w:trPr>
          <w:trHeight w:val="397"/>
        </w:trPr>
        <w:tc>
          <w:tcPr>
            <w:tcW w:w="1342" w:type="dxa"/>
            <w:vAlign w:val="center"/>
          </w:tcPr>
          <w:p w14:paraId="0E2CEFC3"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1994</w:t>
            </w:r>
          </w:p>
        </w:tc>
        <w:tc>
          <w:tcPr>
            <w:tcW w:w="552" w:type="dxa"/>
            <w:tcBorders>
              <w:left w:val="single" w:sz="8" w:space="0" w:color="4F81BD"/>
              <w:right w:val="single" w:sz="8" w:space="0" w:color="4F81BD"/>
            </w:tcBorders>
            <w:vAlign w:val="center"/>
          </w:tcPr>
          <w:p w14:paraId="6CF6BC7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&lt;EndNote&gt;&lt;Cite&gt;&lt;Author&gt;Oliver&lt;/Author&gt;&lt;Year&gt;1999&lt;/Year&gt;&lt;RecNum&gt;15&lt;/RecNum&gt;&lt;DisplayText&gt;[20]&lt;/DisplayText&gt;&lt;record&gt;&lt;rec-number&gt;15&lt;/rec-number&gt;&lt;foreign-keys&gt;&lt;key app="EN" db-id="5d9ze055j2zd5revw2n50xpwd0fze9frtdxr"&gt;15&lt;/key&gt;&lt;/foreign-keys&gt;&lt;ref-type name="Journal Article"&gt;17&lt;/ref-type&gt;&lt;contributors&gt;&lt;authors&gt;&lt;author&gt;Oliver, SE&lt;/author&gt;&lt;author&gt;Woodhouse, J&lt;/author&gt;&lt;author&gt;Hollyoak, V&lt;/author&gt;&lt;/authors&gt;&lt;/contributors&gt;&lt;titles&gt;&lt;title&gt;Lessons from patient notification exercises following the identification of hepatitis B e antigen positive surgeons in an English health region&lt;/title&gt;&lt;secondary-title&gt;Communicable Disease and Public Health&lt;/secondary-title&gt;&lt;/titles&gt;&lt;periodical&gt;&lt;full-title&gt;Communicable Disease and Public Health&lt;/full-title&gt;&lt;/periodical&gt;&lt;pages&gt;130&lt;/pages&gt;&lt;volume&gt;2&lt;/volume&gt;&lt;number&gt;2&lt;/number&gt;&lt;dates&gt;&lt;year&gt;1999&lt;/year&gt;&lt;/dates&gt;&lt;isbn&gt;1462-1843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20" w:tooltip="Oliver, 1999 #15" w:history="1">
              <w:r w:rsidRPr="003049C5">
                <w:rPr>
                  <w:rFonts w:eastAsia="Arial" w:cs="Arial"/>
                  <w:noProof/>
                  <w:sz w:val="20"/>
                  <w:szCs w:val="20"/>
                  <w:lang w:val="en-AU"/>
                </w:rPr>
                <w:t>20</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vAlign w:val="center"/>
          </w:tcPr>
          <w:p w14:paraId="50A91D0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2218" w:type="dxa"/>
            <w:tcBorders>
              <w:left w:val="single" w:sz="8" w:space="0" w:color="4F81BD"/>
              <w:right w:val="single" w:sz="8" w:space="0" w:color="4F81BD"/>
            </w:tcBorders>
            <w:vAlign w:val="center"/>
          </w:tcPr>
          <w:p w14:paraId="02CAD8A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General surgeon trainee</w:t>
            </w:r>
          </w:p>
        </w:tc>
        <w:tc>
          <w:tcPr>
            <w:tcW w:w="1211" w:type="dxa"/>
            <w:vAlign w:val="center"/>
          </w:tcPr>
          <w:p w14:paraId="3AE5587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 (0,2)</w:t>
            </w:r>
          </w:p>
        </w:tc>
        <w:tc>
          <w:tcPr>
            <w:tcW w:w="1116" w:type="dxa"/>
            <w:tcBorders>
              <w:left w:val="single" w:sz="8" w:space="0" w:color="4F81BD"/>
              <w:right w:val="single" w:sz="8" w:space="0" w:color="4F81BD"/>
            </w:tcBorders>
            <w:vAlign w:val="center"/>
          </w:tcPr>
          <w:p w14:paraId="0B801ED0"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96</w:t>
            </w:r>
          </w:p>
        </w:tc>
        <w:tc>
          <w:tcPr>
            <w:tcW w:w="1185" w:type="dxa"/>
            <w:vAlign w:val="center"/>
          </w:tcPr>
          <w:p w14:paraId="4D2AB78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(2.08)</w:t>
            </w:r>
          </w:p>
        </w:tc>
        <w:tc>
          <w:tcPr>
            <w:tcW w:w="1462" w:type="dxa"/>
            <w:vAlign w:val="center"/>
          </w:tcPr>
          <w:p w14:paraId="7AD07994"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n/a</w:t>
            </w:r>
          </w:p>
        </w:tc>
      </w:tr>
      <w:tr w:rsidR="002F1BC7" w:rsidRPr="003049C5" w14:paraId="707F24A2" w14:textId="77777777" w:rsidTr="00FF0ED0">
        <w:trPr>
          <w:trHeight w:val="397"/>
        </w:trPr>
        <w:tc>
          <w:tcPr>
            <w:tcW w:w="1342" w:type="dxa"/>
            <w:tcBorders>
              <w:top w:val="single" w:sz="8" w:space="0" w:color="4F81BD"/>
              <w:left w:val="single" w:sz="8" w:space="0" w:color="4F81BD"/>
              <w:bottom w:val="single" w:sz="8" w:space="0" w:color="4F81BD"/>
            </w:tcBorders>
            <w:vAlign w:val="center"/>
          </w:tcPr>
          <w:p w14:paraId="4F88805F"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1994</w:t>
            </w:r>
          </w:p>
        </w:tc>
        <w:tc>
          <w:tcPr>
            <w:tcW w:w="552" w:type="dxa"/>
            <w:tcBorders>
              <w:top w:val="single" w:sz="8" w:space="0" w:color="4F81BD"/>
              <w:left w:val="single" w:sz="8" w:space="0" w:color="4F81BD"/>
              <w:bottom w:val="single" w:sz="8" w:space="0" w:color="4F81BD"/>
              <w:right w:val="single" w:sz="8" w:space="0" w:color="4F81BD"/>
            </w:tcBorders>
            <w:vAlign w:val="center"/>
          </w:tcPr>
          <w:p w14:paraId="42B1A350"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&lt;EndNote&gt;&lt;Cite&gt;&lt;Author&gt;Oliver&lt;/Author&gt;&lt;Year&gt;1999&lt;/Year&gt;&lt;RecNum&gt;15&lt;/RecNum&gt;&lt;DisplayText&gt;[20]&lt;/DisplayText&gt;&lt;record&gt;&lt;rec-number&gt;15&lt;/rec-number&gt;&lt;foreign-keys&gt;&lt;key app="EN" db-id="5d9ze055j2zd5revw2n50xpwd0fze9frtdxr"&gt;15&lt;/key&gt;&lt;/foreign-keys&gt;&lt;ref-type name="Journal Article"&gt;17&lt;/ref-type&gt;&lt;contributors&gt;&lt;authors&gt;&lt;author&gt;Oliver, SE&lt;/author&gt;&lt;author&gt;Woodhouse, J&lt;/author&gt;&lt;author&gt;Hollyoak, V&lt;/author&gt;&lt;/authors&gt;&lt;/contributors&gt;&lt;titles&gt;&lt;title&gt;Lessons from patient notification exercises following the identification of hepatitis B e antigen positive surgeons in an English health region&lt;/title&gt;&lt;secondary-title&gt;Communicable Disease and Public Health&lt;/secondary-title&gt;&lt;/titles&gt;&lt;periodical&gt;&lt;full-title&gt;Communicable Disease and Public Health&lt;/full-title&gt;&lt;/periodical&gt;&lt;pages&gt;130&lt;/pages&gt;&lt;volume&gt;2&lt;/volume&gt;&lt;number&gt;2&lt;/number&gt;&lt;dates&gt;&lt;year&gt;1999&lt;/year&gt;&lt;/dates&gt;&lt;isbn&gt;1462-1843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20" w:tooltip="Oliver, 1999 #15" w:history="1">
              <w:r w:rsidRPr="003049C5">
                <w:rPr>
                  <w:rFonts w:eastAsia="Arial" w:cs="Arial"/>
                  <w:noProof/>
                  <w:sz w:val="20"/>
                  <w:szCs w:val="20"/>
                  <w:lang w:val="en-AU"/>
                </w:rPr>
                <w:t>20</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tcBorders>
              <w:top w:val="single" w:sz="8" w:space="0" w:color="4F81BD"/>
              <w:bottom w:val="single" w:sz="8" w:space="0" w:color="4F81BD"/>
            </w:tcBorders>
            <w:vAlign w:val="center"/>
          </w:tcPr>
          <w:p w14:paraId="33D315F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2218" w:type="dxa"/>
            <w:tcBorders>
              <w:top w:val="single" w:sz="8" w:space="0" w:color="4F81BD"/>
              <w:left w:val="single" w:sz="8" w:space="0" w:color="4F81BD"/>
              <w:bottom w:val="single" w:sz="8" w:space="0" w:color="4F81BD"/>
              <w:right w:val="single" w:sz="8" w:space="0" w:color="4F81BD"/>
            </w:tcBorders>
            <w:vAlign w:val="center"/>
          </w:tcPr>
          <w:p w14:paraId="43FF9A9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Urologist trainee</w:t>
            </w:r>
          </w:p>
        </w:tc>
        <w:tc>
          <w:tcPr>
            <w:tcW w:w="1211" w:type="dxa"/>
            <w:tcBorders>
              <w:top w:val="single" w:sz="8" w:space="0" w:color="4F81BD"/>
              <w:bottom w:val="single" w:sz="8" w:space="0" w:color="4F81BD"/>
            </w:tcBorders>
            <w:vAlign w:val="center"/>
          </w:tcPr>
          <w:p w14:paraId="3FDBAE70"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 (0,1)</w:t>
            </w:r>
          </w:p>
        </w:tc>
        <w:tc>
          <w:tcPr>
            <w:tcW w:w="1116" w:type="dxa"/>
            <w:tcBorders>
              <w:top w:val="single" w:sz="8" w:space="0" w:color="4F81BD"/>
              <w:left w:val="single" w:sz="8" w:space="0" w:color="4F81BD"/>
              <w:bottom w:val="single" w:sz="8" w:space="0" w:color="4F81BD"/>
              <w:right w:val="single" w:sz="8" w:space="0" w:color="4F81BD"/>
            </w:tcBorders>
            <w:vAlign w:val="center"/>
          </w:tcPr>
          <w:p w14:paraId="69BFCF0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28</w:t>
            </w:r>
          </w:p>
        </w:tc>
        <w:tc>
          <w:tcPr>
            <w:tcW w:w="1185" w:type="dxa"/>
            <w:tcBorders>
              <w:top w:val="single" w:sz="8" w:space="0" w:color="4F81BD"/>
              <w:bottom w:val="single" w:sz="8" w:space="0" w:color="4F81BD"/>
            </w:tcBorders>
            <w:vAlign w:val="center"/>
          </w:tcPr>
          <w:p w14:paraId="7E75752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(3.57)</w:t>
            </w:r>
          </w:p>
        </w:tc>
        <w:tc>
          <w:tcPr>
            <w:tcW w:w="1462" w:type="dxa"/>
            <w:tcBorders>
              <w:top w:val="single" w:sz="8" w:space="0" w:color="4F81BD"/>
              <w:bottom w:val="single" w:sz="8" w:space="0" w:color="4F81BD"/>
              <w:right w:val="single" w:sz="8" w:space="0" w:color="4F81BD"/>
            </w:tcBorders>
            <w:vAlign w:val="center"/>
          </w:tcPr>
          <w:p w14:paraId="7B1BB1C1"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n/a</w:t>
            </w:r>
          </w:p>
        </w:tc>
      </w:tr>
      <w:tr w:rsidR="002F1BC7" w:rsidRPr="003049C5" w14:paraId="4B3DD27F" w14:textId="77777777" w:rsidTr="00FF0ED0">
        <w:trPr>
          <w:trHeight w:val="397"/>
        </w:trPr>
        <w:tc>
          <w:tcPr>
            <w:tcW w:w="1342" w:type="dxa"/>
            <w:vAlign w:val="center"/>
          </w:tcPr>
          <w:p w14:paraId="58AD4DDE"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1994-1995</w:t>
            </w:r>
          </w:p>
        </w:tc>
        <w:tc>
          <w:tcPr>
            <w:tcW w:w="552" w:type="dxa"/>
            <w:tcBorders>
              <w:left w:val="single" w:sz="8" w:space="0" w:color="4F81BD"/>
              <w:right w:val="single" w:sz="8" w:space="0" w:color="4F81BD"/>
            </w:tcBorders>
            <w:vAlign w:val="center"/>
          </w:tcPr>
          <w:p w14:paraId="0B911099"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&lt;EndNote&gt;&lt;Cite&gt;&lt;Author&gt;The Incident Investigation Teams and Others&lt;/Author&gt;&lt;Year&gt;1997&lt;/Year&gt;&lt;RecNum&gt;13&lt;/RecNum&gt;&lt;DisplayText&gt;[18]&lt;/DisplayText&gt;&lt;record&gt;&lt;rec-number&gt;13&lt;/rec-number&gt;&lt;foreign-keys&gt;&lt;key app="EN" db-id="5d9ze055j2zd5revw2n50xpwd0fze9frtdxr"&gt;13&lt;/key&gt;&lt;/foreign-keys&gt;&lt;ref-type name="Journal Article"&gt;17&lt;/ref-type&gt;&lt;contributors&gt;&lt;authors&gt;&lt;author&gt;The Incident Investigation Teams and Others,&lt;/author&gt;&lt;/authors&gt;&lt;/contributors&gt;&lt;titles&gt;&lt;title&gt;Transmission of hepatitis B to patients from four infected surgeons without hepatitis B e antigen&lt;/title&gt;&lt;secondary-title&gt;New England Journal of Medicine&lt;/secondary-title&gt;&lt;/titles&gt;&lt;periodical&gt;&lt;full-title&gt;New England Journal of Medicine&lt;/full-title&gt;&lt;/periodical&gt;&lt;pages&gt;178-185&lt;/pages&gt;&lt;volume&gt;1997&lt;/volume&gt;&lt;number&gt;336&lt;/number&gt;&lt;dates&gt;&lt;year&gt;1997&lt;/year&gt;&lt;/dates&gt;&lt;urls&gt;&lt;/urls&gt;&lt;/record&gt;&lt;/Cite&gt;&lt;/EndNote&gt;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18" w:tooltip="The Incident Investigation Teams and Others, 1997 #13" w:history="1">
              <w:r w:rsidRPr="003049C5">
                <w:rPr>
                  <w:rFonts w:eastAsia="Arial" w:cs="Arial"/>
                  <w:noProof/>
                  <w:sz w:val="20"/>
                  <w:szCs w:val="20"/>
                  <w:lang w:val="en-AU"/>
                </w:rPr>
                <w:t>18</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vAlign w:val="center"/>
          </w:tcPr>
          <w:p w14:paraId="573673F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2218" w:type="dxa"/>
            <w:tcBorders>
              <w:left w:val="single" w:sz="8" w:space="0" w:color="4F81BD"/>
              <w:right w:val="single" w:sz="8" w:space="0" w:color="4F81BD"/>
            </w:tcBorders>
            <w:vAlign w:val="center"/>
          </w:tcPr>
          <w:p w14:paraId="5F0C391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 xml:space="preserve">General surgical </w:t>
            </w:r>
          </w:p>
        </w:tc>
        <w:tc>
          <w:tcPr>
            <w:tcW w:w="1211" w:type="dxa"/>
            <w:vAlign w:val="center"/>
          </w:tcPr>
          <w:p w14:paraId="72F6866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w:t>
            </w:r>
          </w:p>
        </w:tc>
        <w:tc>
          <w:tcPr>
            <w:tcW w:w="1116" w:type="dxa"/>
            <w:tcBorders>
              <w:left w:val="single" w:sz="8" w:space="0" w:color="4F81BD"/>
              <w:right w:val="single" w:sz="8" w:space="0" w:color="4F81BD"/>
            </w:tcBorders>
            <w:vAlign w:val="center"/>
          </w:tcPr>
          <w:p w14:paraId="768E60C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21</w:t>
            </w:r>
          </w:p>
        </w:tc>
        <w:tc>
          <w:tcPr>
            <w:tcW w:w="1185" w:type="dxa"/>
            <w:vAlign w:val="center"/>
          </w:tcPr>
          <w:p w14:paraId="4F247469"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4.76</w:t>
            </w:r>
          </w:p>
        </w:tc>
        <w:tc>
          <w:tcPr>
            <w:tcW w:w="1462" w:type="dxa"/>
            <w:vAlign w:val="center"/>
          </w:tcPr>
          <w:p w14:paraId="4492B530"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4.6x10</w:t>
            </w:r>
            <w:r w:rsidRPr="003049C5">
              <w:rPr>
                <w:rFonts w:eastAsia="Arial" w:cs="Arial"/>
                <w:b/>
                <w:bCs/>
                <w:sz w:val="20"/>
                <w:szCs w:val="20"/>
                <w:vertAlign w:val="superscript"/>
                <w:lang w:val="en-AU"/>
              </w:rPr>
              <w:t xml:space="preserve">4 </w:t>
            </w:r>
            <w:r w:rsidRPr="003049C5">
              <w:rPr>
                <w:rFonts w:eastAsia="Arial" w:cs="Arial"/>
                <w:b/>
                <w:bCs/>
                <w:sz w:val="20"/>
                <w:szCs w:val="20"/>
                <w:lang w:val="en-AU"/>
              </w:rPr>
              <w:t>IU/mL</w:t>
            </w:r>
          </w:p>
        </w:tc>
      </w:tr>
      <w:tr w:rsidR="002F1BC7" w:rsidRPr="003049C5" w14:paraId="082586F5" w14:textId="77777777" w:rsidTr="00FF0ED0">
        <w:trPr>
          <w:trHeight w:val="397"/>
        </w:trPr>
        <w:tc>
          <w:tcPr>
            <w:tcW w:w="1342" w:type="dxa"/>
            <w:tcBorders>
              <w:top w:val="single" w:sz="8" w:space="0" w:color="4F81BD"/>
              <w:left w:val="single" w:sz="8" w:space="0" w:color="4F81BD"/>
              <w:bottom w:val="single" w:sz="8" w:space="0" w:color="4F81BD"/>
            </w:tcBorders>
            <w:vAlign w:val="center"/>
          </w:tcPr>
          <w:p w14:paraId="1DC126BC"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1995-1999</w:t>
            </w:r>
          </w:p>
        </w:tc>
        <w:tc>
          <w:tcPr>
            <w:tcW w:w="552" w:type="dxa"/>
            <w:tcBorders>
              <w:top w:val="single" w:sz="8" w:space="0" w:color="4F81BD"/>
              <w:left w:val="single" w:sz="8" w:space="0" w:color="4F81BD"/>
              <w:bottom w:val="single" w:sz="8" w:space="0" w:color="4F81BD"/>
              <w:right w:val="single" w:sz="8" w:space="0" w:color="4F81BD"/>
            </w:tcBorders>
            <w:vAlign w:val="center"/>
          </w:tcPr>
          <w:p w14:paraId="15F7B08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&lt;EndNote&gt;&lt;Cite&gt;&lt;Author&gt;Spijkerman&lt;/Author&gt;&lt;Year&gt;2002&lt;/Year&gt;&lt;RecNum&gt;14&lt;/RecNum&gt;&lt;DisplayText&gt;[22]&lt;/DisplayText&gt;&lt;record&gt;&lt;rec-number&gt;14&lt;/rec-number&gt;&lt;foreign-keys&gt;&lt;key app="EN" db-id="5d9ze055j2zd5revw2n50xpwd0fze9frtdxr"&gt;14&lt;/key&gt;&lt;/foreign-keys&gt;&lt;ref-type name="Journal Article"&gt;17&lt;/ref-type&gt;&lt;contributors&gt;&lt;authors&gt;&lt;author&gt;Spijkerman, Ingrid JB&lt;/author&gt;&lt;author&gt;van Doorn, Leen-Jan&lt;/author&gt;&lt;author&gt;Janssen, Maria HW&lt;/author&gt;&lt;author&gt;Wijkmans, Clementine J&lt;/author&gt;&lt;author&gt;Bilkert-Mooiman, Marijke AJ&lt;/author&gt;&lt;author&gt;Coutinho, Roel A&lt;/author&gt;&lt;author&gt;Weers-Pothoff, Gezina&lt;/author&gt;&lt;/authors&gt;&lt;/contributors&gt;&lt;titles&gt;&lt;title&gt;Transmission of hepatitis B virus from a surgeon to his patients during high-risk and low-risk surgical procedures during 4 years&lt;/title&gt;&lt;secondary-title&gt;Infection Control and Hospital Epidemiology&lt;/secondary-title&gt;&lt;/titles&gt;&lt;periodical&gt;&lt;full-title&gt;Infection Control and Hospital Epidemiology&lt;/full-title&gt;&lt;/periodical&gt;&lt;pages&gt;306-312&lt;/pages&gt;&lt;volume&gt;23&lt;/volume&gt;&lt;number&gt;06&lt;/number&gt;&lt;dates&gt;&lt;year&gt;2002&lt;/year&gt;&lt;/dates&gt;&lt;isbn&gt;1559-6834&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22" w:tooltip="Spijkerman, 2002 #14" w:history="1">
              <w:r w:rsidRPr="003049C5">
                <w:rPr>
                  <w:rFonts w:eastAsia="Arial" w:cs="Arial"/>
                  <w:noProof/>
                  <w:sz w:val="20"/>
                  <w:szCs w:val="20"/>
                  <w:lang w:val="en-AU"/>
                </w:rPr>
                <w:t>22</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tcBorders>
              <w:top w:val="single" w:sz="8" w:space="0" w:color="4F81BD"/>
              <w:bottom w:val="single" w:sz="8" w:space="0" w:color="4F81BD"/>
            </w:tcBorders>
            <w:vAlign w:val="center"/>
          </w:tcPr>
          <w:p w14:paraId="5A3CB1D1"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Netherlands</w:t>
            </w:r>
          </w:p>
        </w:tc>
        <w:tc>
          <w:tcPr>
            <w:tcW w:w="2218" w:type="dxa"/>
            <w:tcBorders>
              <w:top w:val="single" w:sz="8" w:space="0" w:color="4F81BD"/>
              <w:left w:val="single" w:sz="8" w:space="0" w:color="4F81BD"/>
              <w:bottom w:val="single" w:sz="8" w:space="0" w:color="4F81BD"/>
              <w:right w:val="single" w:sz="8" w:space="0" w:color="4F81BD"/>
            </w:tcBorders>
            <w:vAlign w:val="center"/>
          </w:tcPr>
          <w:p w14:paraId="657E794A"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General surgeon</w:t>
            </w:r>
          </w:p>
        </w:tc>
        <w:tc>
          <w:tcPr>
            <w:tcW w:w="1211" w:type="dxa"/>
            <w:tcBorders>
              <w:top w:val="single" w:sz="8" w:space="0" w:color="4F81BD"/>
              <w:bottom w:val="single" w:sz="8" w:space="0" w:color="4F81BD"/>
            </w:tcBorders>
            <w:vAlign w:val="center"/>
          </w:tcPr>
          <w:p w14:paraId="3FFFE7F8"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8 (2,18)</w:t>
            </w:r>
          </w:p>
        </w:tc>
        <w:tc>
          <w:tcPr>
            <w:tcW w:w="1116" w:type="dxa"/>
            <w:tcBorders>
              <w:top w:val="single" w:sz="8" w:space="0" w:color="4F81BD"/>
              <w:left w:val="single" w:sz="8" w:space="0" w:color="4F81BD"/>
              <w:bottom w:val="single" w:sz="8" w:space="0" w:color="4F81BD"/>
              <w:right w:val="single" w:sz="8" w:space="0" w:color="4F81BD"/>
            </w:tcBorders>
            <w:vAlign w:val="center"/>
          </w:tcPr>
          <w:p w14:paraId="5772F7FF"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1564</w:t>
            </w:r>
          </w:p>
        </w:tc>
        <w:tc>
          <w:tcPr>
            <w:tcW w:w="1185" w:type="dxa"/>
            <w:tcBorders>
              <w:top w:val="single" w:sz="8" w:space="0" w:color="4F81BD"/>
              <w:bottom w:val="single" w:sz="8" w:space="0" w:color="4F81BD"/>
            </w:tcBorders>
            <w:vAlign w:val="center"/>
          </w:tcPr>
          <w:p w14:paraId="70A0E8D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 xml:space="preserve">0.51 </w:t>
            </w:r>
            <w:r w:rsidRPr="003049C5">
              <w:rPr>
                <w:rFonts w:eastAsia="Arial" w:cs="Arial"/>
                <w:sz w:val="20"/>
                <w:szCs w:val="20"/>
                <w:lang w:val="en-AU"/>
              </w:rPr>
              <w:br/>
              <w:t>(1.79)</w:t>
            </w:r>
          </w:p>
        </w:tc>
        <w:tc>
          <w:tcPr>
            <w:tcW w:w="1462" w:type="dxa"/>
            <w:tcBorders>
              <w:top w:val="single" w:sz="8" w:space="0" w:color="4F81BD"/>
              <w:bottom w:val="single" w:sz="8" w:space="0" w:color="4F81BD"/>
              <w:right w:val="single" w:sz="8" w:space="0" w:color="4F81BD"/>
            </w:tcBorders>
            <w:vAlign w:val="center"/>
          </w:tcPr>
          <w:p w14:paraId="6811A64B"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~9.3x10</w:t>
            </w:r>
            <w:r w:rsidRPr="003049C5">
              <w:rPr>
                <w:rFonts w:eastAsia="Arial" w:cs="Arial"/>
                <w:b/>
                <w:bCs/>
                <w:sz w:val="20"/>
                <w:szCs w:val="20"/>
                <w:vertAlign w:val="superscript"/>
                <w:lang w:val="en-AU"/>
              </w:rPr>
              <w:t>8</w:t>
            </w:r>
            <w:r w:rsidRPr="003049C5">
              <w:rPr>
                <w:rFonts w:eastAsia="Arial" w:cs="Arial"/>
                <w:b/>
                <w:bCs/>
                <w:sz w:val="20"/>
                <w:szCs w:val="20"/>
                <w:lang w:val="en-AU"/>
              </w:rPr>
              <w:t xml:space="preserve"> IU/mL</w:t>
            </w:r>
          </w:p>
        </w:tc>
      </w:tr>
      <w:tr w:rsidR="002F1BC7" w:rsidRPr="003049C5" w14:paraId="29333132" w14:textId="77777777" w:rsidTr="00FF0ED0">
        <w:trPr>
          <w:trHeight w:val="397"/>
        </w:trPr>
        <w:tc>
          <w:tcPr>
            <w:tcW w:w="1342" w:type="dxa"/>
            <w:vAlign w:val="center"/>
          </w:tcPr>
          <w:p w14:paraId="22B71436"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1996</w:t>
            </w:r>
          </w:p>
        </w:tc>
        <w:tc>
          <w:tcPr>
            <w:tcW w:w="552" w:type="dxa"/>
            <w:tcBorders>
              <w:left w:val="single" w:sz="8" w:space="0" w:color="4F81BD"/>
              <w:right w:val="single" w:sz="8" w:space="0" w:color="4F81BD"/>
            </w:tcBorders>
            <w:vAlign w:val="center"/>
          </w:tcPr>
          <w:p w14:paraId="648F1FB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&lt;EndNote&gt;&lt;Cite&gt;&lt;Author&gt;Sundkvist&lt;/Author&gt;&lt;Year&gt;1998&lt;/Year&gt;&lt;RecNum&gt;16&lt;/RecNum&gt;&lt;DisplayText&gt;[19]&lt;/DisplayText&gt;&lt;record&gt;&lt;rec-number&gt;16&lt;/rec-number&gt;&lt;foreign-keys&gt;&lt;key app="EN" db-id="5d9ze055j2zd5revw2n50xpwd0fze9frtdxr"&gt;16&lt;/key&gt;&lt;/foreign-keys&gt;&lt;ref-type name="Journal Article"&gt;17&lt;/ref-type&gt;&lt;contributors&gt;&lt;authors&gt;&lt;author&gt;Sundkvist, T&lt;/author&gt;&lt;author&gt;Hamilton, GR&lt;/author&gt;&lt;author&gt;Rimmer, D&lt;/author&gt;&lt;author&gt;Evans, BG&lt;/author&gt;&lt;author&gt;Teo, CG&lt;/author&gt;&lt;/authors&gt;&lt;/contributors&gt;&lt;titles&gt;&lt;title&gt;Fatal outcome of transmission of hepatitis B from an e antigen negative surgeon&lt;/title&gt;&lt;secondary-title&gt;Communicable disease and public health/PHLS&lt;/secondary-title&gt;&lt;/titles&gt;&lt;periodical&gt;&lt;full-title&gt;Communicable disease and public health/PHLS&lt;/full-title&gt;&lt;/periodical&gt;&lt;pages&gt;48-50&lt;/pages&gt;&lt;volume&gt;1&lt;/volume&gt;&lt;number&gt;1&lt;/number&gt;&lt;dates&gt;&lt;year&gt;1998&lt;/year&gt;&lt;/dates&gt;&lt;isbn&gt;1462-1843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19" w:tooltip="Sundkvist, 1998 #16" w:history="1">
              <w:r w:rsidRPr="003049C5">
                <w:rPr>
                  <w:rFonts w:eastAsia="Arial" w:cs="Arial"/>
                  <w:noProof/>
                  <w:sz w:val="20"/>
                  <w:szCs w:val="20"/>
                  <w:lang w:val="en-AU"/>
                </w:rPr>
                <w:t>19</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vAlign w:val="center"/>
          </w:tcPr>
          <w:p w14:paraId="61C100AE"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UK</w:t>
            </w:r>
          </w:p>
        </w:tc>
        <w:tc>
          <w:tcPr>
            <w:tcW w:w="2218" w:type="dxa"/>
            <w:tcBorders>
              <w:left w:val="single" w:sz="8" w:space="0" w:color="4F81BD"/>
              <w:right w:val="single" w:sz="8" w:space="0" w:color="4F81BD"/>
            </w:tcBorders>
            <w:vAlign w:val="center"/>
          </w:tcPr>
          <w:p w14:paraId="4443F272"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Orthopaedic surgeon</w:t>
            </w:r>
          </w:p>
        </w:tc>
        <w:tc>
          <w:tcPr>
            <w:tcW w:w="1211" w:type="dxa"/>
            <w:vAlign w:val="center"/>
          </w:tcPr>
          <w:p w14:paraId="7DB8D414"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1</w:t>
            </w:r>
          </w:p>
        </w:tc>
        <w:tc>
          <w:tcPr>
            <w:tcW w:w="1116" w:type="dxa"/>
            <w:tcBorders>
              <w:left w:val="single" w:sz="8" w:space="0" w:color="4F81BD"/>
              <w:right w:val="single" w:sz="8" w:space="0" w:color="4F81BD"/>
            </w:tcBorders>
            <w:vAlign w:val="center"/>
          </w:tcPr>
          <w:p w14:paraId="36AD0D3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189</w:t>
            </w:r>
          </w:p>
        </w:tc>
        <w:tc>
          <w:tcPr>
            <w:tcW w:w="1185" w:type="dxa"/>
            <w:vAlign w:val="center"/>
          </w:tcPr>
          <w:p w14:paraId="27E0938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0.53</w:t>
            </w:r>
          </w:p>
        </w:tc>
        <w:tc>
          <w:tcPr>
            <w:tcW w:w="1462" w:type="dxa"/>
            <w:vAlign w:val="center"/>
          </w:tcPr>
          <w:p w14:paraId="6D8883BF"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n/a</w:t>
            </w:r>
          </w:p>
        </w:tc>
      </w:tr>
      <w:tr w:rsidR="002F1BC7" w:rsidRPr="003049C5" w14:paraId="1FD207FA" w14:textId="77777777" w:rsidTr="00FF0ED0">
        <w:trPr>
          <w:trHeight w:val="397"/>
        </w:trPr>
        <w:tc>
          <w:tcPr>
            <w:tcW w:w="1342" w:type="dxa"/>
            <w:tcBorders>
              <w:top w:val="single" w:sz="8" w:space="0" w:color="4F81BD"/>
              <w:left w:val="single" w:sz="8" w:space="0" w:color="4F81BD"/>
              <w:bottom w:val="single" w:sz="8" w:space="0" w:color="4F81BD"/>
            </w:tcBorders>
            <w:vAlign w:val="center"/>
          </w:tcPr>
          <w:p w14:paraId="2BF319EA"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1999</w:t>
            </w:r>
          </w:p>
        </w:tc>
        <w:tc>
          <w:tcPr>
            <w:tcW w:w="552" w:type="dxa"/>
            <w:tcBorders>
              <w:top w:val="single" w:sz="8" w:space="0" w:color="4F81BD"/>
              <w:left w:val="single" w:sz="8" w:space="0" w:color="4F81BD"/>
              <w:bottom w:val="single" w:sz="8" w:space="0" w:color="4F81BD"/>
              <w:right w:val="single" w:sz="8" w:space="0" w:color="4F81BD"/>
            </w:tcBorders>
            <w:vAlign w:val="center"/>
          </w:tcPr>
          <w:p w14:paraId="2835FC2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&lt;EndNote&gt;&lt;Cite&gt;&lt;Author&gt;Molyneaux&lt;/Author&gt;&lt;Year&gt;2000&lt;/Year&gt;&lt;RecNum&gt;63&lt;/RecNum&gt;&lt;DisplayText&gt;[21]&lt;/DisplayText&gt;&lt;record&gt;&lt;rec-number&gt;63&lt;/rec-number&gt;&lt;foreign-keys&gt;&lt;key app="EN" db-id="5d9ze055j2zd5revw2n50xpwd0fze9frtdxr"&gt;63&lt;/key&gt;&lt;/foreign-keys&gt;&lt;ref-type name="Journal Article"&gt;17&lt;/ref-type&gt;&lt;contributors&gt;&lt;authors&gt;&lt;author&gt;Molyneaux, P&lt;/author&gt;&lt;author&gt;Reid, TM&lt;/author&gt;&lt;author&gt;Collacott, I&lt;/author&gt;&lt;author&gt;Mcintyre, PG&lt;/author&gt;&lt;author&gt;Dillon, JF&lt;/author&gt;&lt;author&gt;Laing, RB&lt;/author&gt;&lt;/authors&gt;&lt;/contributors&gt;&lt;titles&gt;&lt;title&gt;Acute hepatitis B in two patients transmitted from an e antigen negative cardiothoracic surgeon&lt;/title&gt;&lt;secondary-title&gt;Communicable Disease and Public Health&lt;/secondary-title&gt;&lt;/titles&gt;&lt;periodical&gt;&lt;full-title&gt;Communicable Disease and Public Health&lt;/full-title&gt;&lt;/periodical&gt;&lt;pages&gt;250-252&lt;/pages&gt;&lt;volume&gt;3&lt;/volume&gt;&lt;dates&gt;&lt;year&gt;2000&lt;/year&gt;&lt;/dates&gt;&lt;isbn&gt;1462-1843&lt;/isbn&gt;&lt;urls&gt;&lt;/urls&gt;&lt;/record&gt;&lt;/Cite&gt;&lt;/EndNote&gt;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21" w:tooltip="Molyneaux, 2000 #63" w:history="1">
              <w:r w:rsidRPr="003049C5">
                <w:rPr>
                  <w:rFonts w:eastAsia="Arial" w:cs="Arial"/>
                  <w:noProof/>
                  <w:sz w:val="20"/>
                  <w:szCs w:val="20"/>
                  <w:lang w:val="en-AU"/>
                </w:rPr>
                <w:t>21</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tcBorders>
              <w:top w:val="single" w:sz="8" w:space="0" w:color="4F81BD"/>
              <w:bottom w:val="single" w:sz="8" w:space="0" w:color="4F81BD"/>
            </w:tcBorders>
            <w:vAlign w:val="center"/>
          </w:tcPr>
          <w:p w14:paraId="3A181FD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2218" w:type="dxa"/>
            <w:tcBorders>
              <w:top w:val="single" w:sz="8" w:space="0" w:color="4F81BD"/>
              <w:left w:val="single" w:sz="8" w:space="0" w:color="4F81BD"/>
              <w:bottom w:val="single" w:sz="8" w:space="0" w:color="4F81BD"/>
              <w:right w:val="single" w:sz="8" w:space="0" w:color="4F81BD"/>
            </w:tcBorders>
            <w:vAlign w:val="center"/>
          </w:tcPr>
          <w:p w14:paraId="4A8A5E9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Cardiothoracic surgeon</w:t>
            </w:r>
          </w:p>
        </w:tc>
        <w:tc>
          <w:tcPr>
            <w:tcW w:w="1211" w:type="dxa"/>
            <w:tcBorders>
              <w:top w:val="single" w:sz="8" w:space="0" w:color="4F81BD"/>
              <w:bottom w:val="single" w:sz="8" w:space="0" w:color="4F81BD"/>
            </w:tcBorders>
            <w:vAlign w:val="center"/>
          </w:tcPr>
          <w:p w14:paraId="395C68E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w:t>
            </w:r>
          </w:p>
        </w:tc>
        <w:tc>
          <w:tcPr>
            <w:tcW w:w="1116" w:type="dxa"/>
            <w:tcBorders>
              <w:top w:val="single" w:sz="8" w:space="0" w:color="4F81BD"/>
              <w:left w:val="single" w:sz="8" w:space="0" w:color="4F81BD"/>
              <w:bottom w:val="single" w:sz="8" w:space="0" w:color="4F81BD"/>
              <w:right w:val="single" w:sz="8" w:space="0" w:color="4F81BD"/>
            </w:tcBorders>
            <w:vAlign w:val="center"/>
          </w:tcPr>
          <w:p w14:paraId="293144C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123</w:t>
            </w:r>
          </w:p>
        </w:tc>
        <w:tc>
          <w:tcPr>
            <w:tcW w:w="1185" w:type="dxa"/>
            <w:tcBorders>
              <w:top w:val="single" w:sz="8" w:space="0" w:color="4F81BD"/>
              <w:bottom w:val="single" w:sz="8" w:space="0" w:color="4F81BD"/>
            </w:tcBorders>
            <w:vAlign w:val="center"/>
          </w:tcPr>
          <w:p w14:paraId="62285E7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1.63</w:t>
            </w:r>
          </w:p>
        </w:tc>
        <w:tc>
          <w:tcPr>
            <w:tcW w:w="1462" w:type="dxa"/>
            <w:tcBorders>
              <w:top w:val="single" w:sz="8" w:space="0" w:color="4F81BD"/>
              <w:bottom w:val="single" w:sz="8" w:space="0" w:color="4F81BD"/>
              <w:right w:val="single" w:sz="8" w:space="0" w:color="4F81BD"/>
            </w:tcBorders>
            <w:vAlign w:val="center"/>
          </w:tcPr>
          <w:p w14:paraId="41BD8CDE"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~1.9x10</w:t>
            </w:r>
            <w:r w:rsidRPr="003049C5">
              <w:rPr>
                <w:rFonts w:eastAsia="Arial" w:cs="Arial"/>
                <w:b/>
                <w:bCs/>
                <w:sz w:val="20"/>
                <w:szCs w:val="20"/>
                <w:vertAlign w:val="superscript"/>
                <w:lang w:val="en-AU"/>
              </w:rPr>
              <w:t>5</w:t>
            </w:r>
            <w:r w:rsidRPr="003049C5">
              <w:rPr>
                <w:rFonts w:eastAsia="Arial" w:cs="Arial"/>
                <w:b/>
                <w:bCs/>
                <w:sz w:val="20"/>
                <w:szCs w:val="20"/>
                <w:lang w:val="en-AU"/>
              </w:rPr>
              <w:t xml:space="preserve">  IU/mL</w:t>
            </w:r>
          </w:p>
        </w:tc>
      </w:tr>
      <w:tr w:rsidR="002F1BC7" w:rsidRPr="003049C5" w14:paraId="7F510B2C" w14:textId="77777777" w:rsidTr="00FF0ED0">
        <w:trPr>
          <w:trHeight w:val="397"/>
        </w:trPr>
        <w:tc>
          <w:tcPr>
            <w:tcW w:w="1342" w:type="dxa"/>
            <w:vAlign w:val="center"/>
          </w:tcPr>
          <w:p w14:paraId="5788C7CD"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2001</w:t>
            </w:r>
          </w:p>
        </w:tc>
        <w:tc>
          <w:tcPr>
            <w:tcW w:w="552" w:type="dxa"/>
            <w:tcBorders>
              <w:left w:val="single" w:sz="8" w:space="0" w:color="4F81BD"/>
              <w:right w:val="single" w:sz="8" w:space="0" w:color="4F81BD"/>
            </w:tcBorders>
            <w:vAlign w:val="center"/>
          </w:tcPr>
          <w:p w14:paraId="3565F65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&lt;EndNote&gt;&lt;Cite&gt;&lt;Author&gt;Laurenson&lt;/Author&gt;&lt;RecNum&gt;175&lt;/RecNum&gt;&lt;DisplayText&gt;[87]&lt;/DisplayText&gt;&lt;record&gt;&lt;rec-number&gt;175&lt;/rec-number&gt;&lt;foreign-keys&gt;&lt;key app="EN" db-id="5d9ze055j2zd5revw2n50xpwd0fze9frtdxr"&gt;175&lt;/key&gt;&lt;/foreign-keys&gt;&lt;ref-type name="Journal Article"&gt;17&lt;/ref-type&gt;&lt;contributors&gt;&lt;authors&gt;&lt;author&gt;Laurenson, I. F.&lt;/author&gt;&lt;author&gt;Jones, D. G.&lt;/author&gt;&lt;author&gt;Hallam, N. F.&lt;/author&gt;&lt;author&gt;Saunders, C. J. P.&lt;/author&gt;&lt;author&gt;Fraser, D. M.&lt;/author&gt;&lt;author&gt;Carman, W. F.&lt;/author&gt;&lt;/authors&gt;&lt;/contributors&gt;&lt;titles&gt;&lt;title&gt;Transmission of hepatitis B virus from a vaccinated healthcare worker&lt;/title&gt;&lt;secondary-title&gt;Journal of Hospital Infection&lt;/secondary-title&gt;&lt;/titles&gt;&lt;periodical&gt;&lt;full-title&gt;Journal of Hospital Infection&lt;/full-title&gt;&lt;/periodical&gt;&lt;pages&gt;393-394&lt;/pages&gt;&lt;volume&gt;66&lt;/volume&gt;&lt;number&gt;4&lt;/number&gt;&lt;dates&gt;&lt;/dates&gt;&lt;publisher&gt;Elsevier&lt;/publisher&gt;&lt;urls&gt;&lt;related-urls&gt;&lt;url&gt;http://dx.doi.org/10.1016/j.jhin.2007.05.001&lt;/url&gt;&lt;/related-urls&gt;&lt;/urls&gt;&lt;electronic-resource-num&gt;10.1016/j.jhin.2007.05.001&lt;/electronic-resource-num&gt;&lt;access-date&gt;2015/12/03&lt;/access-date&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87" w:tooltip="Laurenson,  #175" w:history="1">
              <w:r w:rsidRPr="003049C5">
                <w:rPr>
                  <w:rFonts w:eastAsia="Arial" w:cs="Arial"/>
                  <w:noProof/>
                  <w:sz w:val="20"/>
                  <w:szCs w:val="20"/>
                  <w:lang w:val="en-AU"/>
                </w:rPr>
                <w:t>87</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vAlign w:val="center"/>
          </w:tcPr>
          <w:p w14:paraId="23A82C8B"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UK</w:t>
            </w:r>
          </w:p>
        </w:tc>
        <w:tc>
          <w:tcPr>
            <w:tcW w:w="2218" w:type="dxa"/>
            <w:tcBorders>
              <w:left w:val="single" w:sz="8" w:space="0" w:color="4F81BD"/>
              <w:right w:val="single" w:sz="8" w:space="0" w:color="4F81BD"/>
            </w:tcBorders>
            <w:vAlign w:val="center"/>
          </w:tcPr>
          <w:p w14:paraId="05C1882C"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General surgeon</w:t>
            </w:r>
          </w:p>
        </w:tc>
        <w:tc>
          <w:tcPr>
            <w:tcW w:w="1211" w:type="dxa"/>
            <w:vAlign w:val="center"/>
          </w:tcPr>
          <w:p w14:paraId="6C91B1E2"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3</w:t>
            </w:r>
          </w:p>
        </w:tc>
        <w:tc>
          <w:tcPr>
            <w:tcW w:w="1116" w:type="dxa"/>
            <w:tcBorders>
              <w:left w:val="single" w:sz="8" w:space="0" w:color="4F81BD"/>
              <w:right w:val="single" w:sz="8" w:space="0" w:color="4F81BD"/>
            </w:tcBorders>
            <w:vAlign w:val="center"/>
          </w:tcPr>
          <w:p w14:paraId="2C622A4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n/a</w:t>
            </w:r>
          </w:p>
        </w:tc>
        <w:tc>
          <w:tcPr>
            <w:tcW w:w="1185" w:type="dxa"/>
            <w:vAlign w:val="center"/>
          </w:tcPr>
          <w:p w14:paraId="4CFBE2E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n/a</w:t>
            </w:r>
          </w:p>
        </w:tc>
        <w:tc>
          <w:tcPr>
            <w:tcW w:w="1462" w:type="dxa"/>
            <w:vAlign w:val="center"/>
          </w:tcPr>
          <w:p w14:paraId="763C3884"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&gt;1.9x10</w:t>
            </w:r>
            <w:r w:rsidRPr="003049C5">
              <w:rPr>
                <w:rFonts w:eastAsia="Arial" w:cs="Arial"/>
                <w:b/>
                <w:bCs/>
                <w:sz w:val="20"/>
                <w:szCs w:val="20"/>
                <w:vertAlign w:val="superscript"/>
                <w:lang w:val="en-AU"/>
              </w:rPr>
              <w:t>5</w:t>
            </w:r>
            <w:r w:rsidRPr="003049C5">
              <w:rPr>
                <w:rFonts w:eastAsia="Arial" w:cs="Arial"/>
                <w:b/>
                <w:bCs/>
                <w:sz w:val="20"/>
                <w:szCs w:val="20"/>
                <w:lang w:val="en-AU"/>
              </w:rPr>
              <w:t xml:space="preserve"> IU/mL</w:t>
            </w:r>
          </w:p>
        </w:tc>
      </w:tr>
      <w:tr w:rsidR="002F1BC7" w:rsidRPr="003049C5" w14:paraId="2241ABAB" w14:textId="77777777" w:rsidTr="00FF0ED0">
        <w:trPr>
          <w:trHeight w:val="397"/>
        </w:trPr>
        <w:tc>
          <w:tcPr>
            <w:tcW w:w="1342" w:type="dxa"/>
            <w:tcBorders>
              <w:top w:val="single" w:sz="8" w:space="0" w:color="4F81BD"/>
              <w:left w:val="single" w:sz="8" w:space="0" w:color="4F81BD"/>
              <w:bottom w:val="single" w:sz="8" w:space="0" w:color="4F81BD"/>
            </w:tcBorders>
            <w:vAlign w:val="center"/>
          </w:tcPr>
          <w:p w14:paraId="6326947D"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2009</w:t>
            </w:r>
          </w:p>
        </w:tc>
        <w:tc>
          <w:tcPr>
            <w:tcW w:w="552" w:type="dxa"/>
            <w:tcBorders>
              <w:top w:val="single" w:sz="8" w:space="0" w:color="4F81BD"/>
              <w:left w:val="single" w:sz="8" w:space="0" w:color="4F81BD"/>
              <w:bottom w:val="single" w:sz="8" w:space="0" w:color="4F81BD"/>
              <w:right w:val="single" w:sz="8" w:space="0" w:color="4F81BD"/>
            </w:tcBorders>
            <w:vAlign w:val="center"/>
          </w:tcPr>
          <w:p w14:paraId="5A1B62D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&lt;EndNote&gt;&lt;Cite&gt;&lt;Author&gt;Enfield&lt;/Author&gt;&lt;Year&gt;2013&lt;/Year&gt;&lt;RecNum&gt;176&lt;/RecNum&gt;&lt;DisplayText&gt;[88]&lt;/DisplayText&gt;&lt;record&gt;&lt;rec-number&gt;176&lt;/rec-number&gt;&lt;foreign-keys&gt;&lt;key app="EN" db-id="5d9ze055j2zd5revw2n50xpwd0fze9frtdxr"&gt;176&lt;/key&gt;&lt;/foreign-keys&gt;&lt;ref-type name="Journal Article"&gt;17&lt;/ref-type&gt;&lt;contributors&gt;&lt;authors&gt;&lt;author&gt;Enfield, Kyle B&lt;/author&gt;&lt;author&gt;Sharapov, Umid&lt;/author&gt;&lt;author&gt;Hall, Keri K&lt;/author&gt;&lt;author&gt;Leiner, John&lt;/author&gt;&lt;author&gt;Berg, Carl L&lt;/author&gt;&lt;author&gt;Xia, Guo-liang&lt;/author&gt;&lt;author&gt;Thompson, Nicola D&lt;/author&gt;&lt;author&gt;Ganova-Raeva, Lilia&lt;/author&gt;&lt;author&gt;Sifri, Costi D&lt;/author&gt;&lt;/authors&gt;&lt;/contributors&gt;&lt;titles&gt;&lt;title&gt;Transmission of hepatitis B virus from an orthopedic surgeon with a high viral load&lt;/title&gt;&lt;secondary-title&gt;Clinical infectious diseases&lt;/secondary-title&gt;&lt;/titles&gt;&lt;periodical&gt;&lt;full-title&gt;Clinical infectious diseases&lt;/full-title&gt;&lt;/periodical&gt;&lt;pages&gt;218-224&lt;/pages&gt;&lt;volume&gt;56&lt;/volume&gt;&lt;number&gt;2&lt;/number&gt;&lt;dates&gt;&lt;year&gt;2013&lt;/year&gt;&lt;/dates&gt;&lt;isbn&gt;1058-4838&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88" w:tooltip="Enfield, 2013 #176" w:history="1">
              <w:r w:rsidRPr="003049C5">
                <w:rPr>
                  <w:rFonts w:eastAsia="Arial" w:cs="Arial"/>
                  <w:noProof/>
                  <w:sz w:val="20"/>
                  <w:szCs w:val="20"/>
                  <w:lang w:val="en-AU"/>
                </w:rPr>
                <w:t>88</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tcBorders>
              <w:top w:val="single" w:sz="8" w:space="0" w:color="4F81BD"/>
              <w:bottom w:val="single" w:sz="8" w:space="0" w:color="4F81BD"/>
            </w:tcBorders>
            <w:vAlign w:val="center"/>
          </w:tcPr>
          <w:p w14:paraId="67ABAD5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USA</w:t>
            </w:r>
          </w:p>
        </w:tc>
        <w:tc>
          <w:tcPr>
            <w:tcW w:w="2218" w:type="dxa"/>
            <w:tcBorders>
              <w:top w:val="single" w:sz="8" w:space="0" w:color="4F81BD"/>
              <w:left w:val="single" w:sz="8" w:space="0" w:color="4F81BD"/>
              <w:bottom w:val="single" w:sz="8" w:space="0" w:color="4F81BD"/>
              <w:right w:val="single" w:sz="8" w:space="0" w:color="4F81BD"/>
            </w:tcBorders>
            <w:vAlign w:val="center"/>
          </w:tcPr>
          <w:p w14:paraId="4026D221"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Orthopaedic surgeon</w:t>
            </w:r>
          </w:p>
        </w:tc>
        <w:tc>
          <w:tcPr>
            <w:tcW w:w="1211" w:type="dxa"/>
            <w:tcBorders>
              <w:top w:val="single" w:sz="8" w:space="0" w:color="4F81BD"/>
              <w:bottom w:val="single" w:sz="8" w:space="0" w:color="4F81BD"/>
            </w:tcBorders>
            <w:vAlign w:val="center"/>
          </w:tcPr>
          <w:p w14:paraId="2C5813C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 (0,6)</w:t>
            </w:r>
          </w:p>
        </w:tc>
        <w:tc>
          <w:tcPr>
            <w:tcW w:w="1116" w:type="dxa"/>
            <w:tcBorders>
              <w:top w:val="single" w:sz="8" w:space="0" w:color="4F81BD"/>
              <w:left w:val="single" w:sz="8" w:space="0" w:color="4F81BD"/>
              <w:bottom w:val="single" w:sz="8" w:space="0" w:color="4F81BD"/>
              <w:right w:val="single" w:sz="8" w:space="0" w:color="4F81BD"/>
            </w:tcBorders>
            <w:vAlign w:val="center"/>
          </w:tcPr>
          <w:p w14:paraId="49FC9B2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232</w:t>
            </w:r>
          </w:p>
        </w:tc>
        <w:tc>
          <w:tcPr>
            <w:tcW w:w="1185" w:type="dxa"/>
            <w:tcBorders>
              <w:top w:val="single" w:sz="8" w:space="0" w:color="4F81BD"/>
              <w:bottom w:val="single" w:sz="8" w:space="0" w:color="4F81BD"/>
            </w:tcBorders>
            <w:vAlign w:val="center"/>
          </w:tcPr>
          <w:p w14:paraId="7ADA094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0.86 (3.45)</w:t>
            </w:r>
          </w:p>
        </w:tc>
        <w:tc>
          <w:tcPr>
            <w:tcW w:w="1462" w:type="dxa"/>
            <w:tcBorders>
              <w:top w:val="single" w:sz="8" w:space="0" w:color="4F81BD"/>
              <w:bottom w:val="single" w:sz="8" w:space="0" w:color="4F81BD"/>
              <w:right w:val="single" w:sz="8" w:space="0" w:color="4F81BD"/>
            </w:tcBorders>
            <w:vAlign w:val="center"/>
          </w:tcPr>
          <w:p w14:paraId="19A2D345"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&gt;17.9 x10</w:t>
            </w:r>
            <w:r w:rsidRPr="003049C5">
              <w:rPr>
                <w:rFonts w:eastAsia="Arial" w:cs="Arial"/>
                <w:b/>
                <w:bCs/>
                <w:sz w:val="20"/>
                <w:szCs w:val="20"/>
                <w:vertAlign w:val="superscript"/>
                <w:lang w:val="en-AU"/>
              </w:rPr>
              <w:t>6</w:t>
            </w:r>
            <w:r w:rsidRPr="003049C5">
              <w:rPr>
                <w:rFonts w:eastAsia="Arial" w:cs="Arial"/>
                <w:b/>
                <w:bCs/>
                <w:sz w:val="20"/>
                <w:szCs w:val="20"/>
                <w:lang w:val="en-AU"/>
              </w:rPr>
              <w:t xml:space="preserve"> IU/mL</w:t>
            </w:r>
          </w:p>
          <w:p w14:paraId="168FB5E4" w14:textId="77777777" w:rsidR="002F1BC7" w:rsidRPr="003049C5" w:rsidRDefault="002F1BC7" w:rsidP="00FF0ED0">
            <w:pPr>
              <w:pStyle w:val="TableParagraph"/>
              <w:widowControl/>
              <w:spacing w:line="264" w:lineRule="exact"/>
              <w:jc w:val="center"/>
              <w:rPr>
                <w:rFonts w:eastAsia="Arial" w:cs="Arial"/>
                <w:b/>
                <w:bCs/>
                <w:sz w:val="20"/>
                <w:szCs w:val="20"/>
                <w:lang w:val="en-AU"/>
              </w:rPr>
            </w:pPr>
          </w:p>
        </w:tc>
      </w:tr>
      <w:tr w:rsidR="002F1BC7" w:rsidRPr="003049C5" w14:paraId="2C443835" w14:textId="77777777" w:rsidTr="00FF0ED0">
        <w:trPr>
          <w:trHeight w:val="397"/>
        </w:trPr>
        <w:tc>
          <w:tcPr>
            <w:tcW w:w="1342" w:type="dxa"/>
            <w:vAlign w:val="center"/>
          </w:tcPr>
          <w:p w14:paraId="4C638FAB"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2010</w:t>
            </w:r>
          </w:p>
        </w:tc>
        <w:tc>
          <w:tcPr>
            <w:tcW w:w="552" w:type="dxa"/>
            <w:tcBorders>
              <w:left w:val="single" w:sz="8" w:space="0" w:color="4F81BD"/>
              <w:bottom w:val="single" w:sz="8" w:space="0" w:color="4F81BD"/>
              <w:right w:val="single" w:sz="8" w:space="0" w:color="4F81BD"/>
            </w:tcBorders>
            <w:vAlign w:val="center"/>
          </w:tcPr>
          <w:p w14:paraId="228B7714"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&lt;EndNote&gt;&lt;Cite&gt;&lt;Author&gt;Sugimoto&lt;/Author&gt;&lt;Year&gt;2013&lt;/Year&gt;&lt;RecNum&gt;177&lt;/RecNum&gt;&lt;DisplayText&gt;[14]&lt;/DisplayText&gt;&lt;record&gt;&lt;rec-number&gt;177&lt;/rec-number&gt;&lt;foreign-keys&gt;&lt;key app="EN" db-id="5d9ze055j2zd5revw2n50xpwd0fze9frtdxr"&gt;177&lt;/key&gt;&lt;/foreign-keys&gt;&lt;ref-type name="Journal Article"&gt;17&lt;/ref-type&gt;&lt;contributors&gt;&lt;authors&gt;&lt;author&gt;Sugimoto, Shinya&lt;/author&gt;&lt;author&gt;Nagakubo, Shuichi&lt;/author&gt;&lt;author&gt;Ito, Tsuyoshi&lt;/author&gt;&lt;author&gt;Tsunoda, Yuya&lt;/author&gt;&lt;author&gt;Imamura, Satoshi&lt;/author&gt;&lt;author&gt;Tamura, Toshihide&lt;/author&gt;&lt;author&gt;Morohoshi, Yuichi&lt;/author&gt;&lt;author&gt;Koike, Yuji&lt;/author&gt;&lt;author&gt;Fujita, Yuriko&lt;/author&gt;&lt;author&gt;Ito, Syoko&lt;/author&gt;&lt;/authors&gt;&lt;/contributors&gt;&lt;titles&gt;&lt;title&gt;A case of acute hepatitis B related to previous gynecological surgery in Japan&lt;/title&gt;&lt;secondary-title&gt;Journal of Infection and Chemotherapy&lt;/secondary-title&gt;&lt;/titles&gt;&lt;periodical&gt;&lt;full-title&gt;Journal of Infection and Chemotherapy&lt;/full-title&gt;&lt;/periodical&gt;&lt;pages&gt;524-529&lt;/pages&gt;&lt;volume&gt;19&lt;/volume&gt;&lt;number&gt;3&lt;/number&gt;&lt;dates&gt;&lt;year&gt;2013&lt;/year&gt;&lt;/dates&gt;&lt;isbn&gt;1341-321X&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14" w:tooltip="Sugimoto, 2013 #177" w:history="1">
              <w:r w:rsidRPr="003049C5">
                <w:rPr>
                  <w:rFonts w:eastAsia="Arial" w:cs="Arial"/>
                  <w:noProof/>
                  <w:sz w:val="20"/>
                  <w:szCs w:val="20"/>
                  <w:lang w:val="en-AU"/>
                </w:rPr>
                <w:t>14</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1295" w:type="dxa"/>
            <w:vAlign w:val="center"/>
          </w:tcPr>
          <w:p w14:paraId="5B63F994"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Japan</w:t>
            </w:r>
          </w:p>
        </w:tc>
        <w:tc>
          <w:tcPr>
            <w:tcW w:w="2218" w:type="dxa"/>
            <w:tcBorders>
              <w:left w:val="single" w:sz="8" w:space="0" w:color="4F81BD"/>
              <w:bottom w:val="single" w:sz="8" w:space="0" w:color="4F81BD"/>
              <w:right w:val="single" w:sz="8" w:space="0" w:color="4F81BD"/>
            </w:tcBorders>
            <w:vAlign w:val="center"/>
          </w:tcPr>
          <w:p w14:paraId="256A8F44"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Obstetrician-gynaecologist</w:t>
            </w:r>
          </w:p>
        </w:tc>
        <w:tc>
          <w:tcPr>
            <w:tcW w:w="1211" w:type="dxa"/>
            <w:vAlign w:val="center"/>
          </w:tcPr>
          <w:p w14:paraId="0406D7C8" w14:textId="77777777" w:rsidR="002F1BC7" w:rsidRPr="003049C5" w:rsidRDefault="002F1BC7" w:rsidP="00FF0ED0">
            <w:pPr>
              <w:pStyle w:val="TableParagraph"/>
              <w:widowControl/>
              <w:spacing w:line="264" w:lineRule="exact"/>
              <w:jc w:val="center"/>
              <w:rPr>
                <w:rFonts w:eastAsia="Arial" w:cs="Arial"/>
                <w:b/>
                <w:sz w:val="20"/>
                <w:szCs w:val="20"/>
                <w:lang w:val="en-AU"/>
              </w:rPr>
            </w:pPr>
            <w:r w:rsidRPr="003049C5">
              <w:rPr>
                <w:rFonts w:eastAsia="Arial" w:cs="Arial"/>
                <w:sz w:val="20"/>
                <w:szCs w:val="20"/>
                <w:lang w:val="en-AU"/>
              </w:rPr>
              <w:t>1</w:t>
            </w:r>
          </w:p>
        </w:tc>
        <w:tc>
          <w:tcPr>
            <w:tcW w:w="1116" w:type="dxa"/>
            <w:tcBorders>
              <w:left w:val="single" w:sz="8" w:space="0" w:color="4F81BD"/>
              <w:bottom w:val="single" w:sz="8" w:space="0" w:color="4F81BD"/>
              <w:right w:val="single" w:sz="8" w:space="0" w:color="4F81BD"/>
            </w:tcBorders>
            <w:vAlign w:val="center"/>
          </w:tcPr>
          <w:p w14:paraId="1590D05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62</w:t>
            </w:r>
          </w:p>
        </w:tc>
        <w:tc>
          <w:tcPr>
            <w:tcW w:w="1185" w:type="dxa"/>
            <w:vAlign w:val="center"/>
          </w:tcPr>
          <w:p w14:paraId="6F95C51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1.61</w:t>
            </w:r>
          </w:p>
        </w:tc>
        <w:tc>
          <w:tcPr>
            <w:tcW w:w="1462" w:type="dxa"/>
            <w:vAlign w:val="center"/>
          </w:tcPr>
          <w:p w14:paraId="5FB7E11E"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&gt;1.9 x10</w:t>
            </w:r>
            <w:r w:rsidRPr="003049C5">
              <w:rPr>
                <w:rFonts w:eastAsia="Arial" w:cs="Arial"/>
                <w:b/>
                <w:bCs/>
                <w:sz w:val="20"/>
                <w:szCs w:val="20"/>
                <w:vertAlign w:val="superscript"/>
                <w:lang w:val="en-AU"/>
              </w:rPr>
              <w:t>8</w:t>
            </w:r>
            <w:r w:rsidRPr="003049C5">
              <w:rPr>
                <w:rFonts w:eastAsia="Arial" w:cs="Arial"/>
                <w:b/>
                <w:bCs/>
                <w:sz w:val="20"/>
                <w:szCs w:val="20"/>
                <w:lang w:val="en-AU"/>
              </w:rPr>
              <w:t xml:space="preserve"> IU/mL</w:t>
            </w:r>
          </w:p>
        </w:tc>
      </w:tr>
    </w:tbl>
    <w:p w14:paraId="502D09D7" w14:textId="77777777" w:rsidR="002F1BC7" w:rsidRPr="00F71DE4" w:rsidRDefault="002F1BC7" w:rsidP="002F1BC7">
      <w:pPr>
        <w:tabs>
          <w:tab w:val="left" w:pos="720"/>
        </w:tabs>
        <w:rPr>
          <w:rFonts w:cs="Arial"/>
          <w:sz w:val="20"/>
          <w:szCs w:val="20"/>
        </w:rPr>
      </w:pPr>
      <w:r w:rsidRPr="00F71DE4">
        <w:rPr>
          <w:rFonts w:eastAsia="Arial" w:cs="Arial"/>
          <w:sz w:val="20"/>
          <w:szCs w:val="20"/>
        </w:rPr>
        <w:t xml:space="preserve">^ </w:t>
      </w:r>
      <w:r w:rsidRPr="00F71DE4">
        <w:rPr>
          <w:rFonts w:cs="Arial"/>
          <w:sz w:val="20"/>
          <w:szCs w:val="20"/>
        </w:rPr>
        <w:t xml:space="preserve">Confirmed transmissions are defined as cases where the HCW and patient(s) were epidemiologically linked and genetic relatedness of the viruses was confirmed through partial or complete DNA sequencing. Probable transmissions are defined as cases in which the subtype of HBV infecting the HCW and patient were identical in investigations of epidemiologically-linked HCW and patient HBV infections. Possible transmissions are defined as cases in which epidemiologic links were established, infected patients had no other risk factors for HBV acquisition but virologic subtyping data was not available to confirm transmission. </w:t>
      </w:r>
    </w:p>
    <w:p w14:paraId="6ADF6CF9" w14:textId="77777777" w:rsidR="002F1BC7" w:rsidRPr="00F71DE4" w:rsidRDefault="002F1BC7" w:rsidP="002F1BC7">
      <w:pPr>
        <w:tabs>
          <w:tab w:val="left" w:pos="720"/>
        </w:tabs>
        <w:rPr>
          <w:rFonts w:cs="Arial"/>
          <w:sz w:val="20"/>
          <w:szCs w:val="20"/>
          <w:lang w:val="en-AU"/>
        </w:rPr>
      </w:pPr>
      <w:r w:rsidRPr="00F71DE4">
        <w:rPr>
          <w:rFonts w:cs="Arial"/>
          <w:sz w:val="20"/>
          <w:szCs w:val="20"/>
          <w:lang w:val="en-AU"/>
        </w:rPr>
        <w:lastRenderedPageBreak/>
        <w:t xml:space="preserve">*Conversions from geq/mL to IU/mL were calculated using the WHO HBV standard preparation of 1IU is equivalent to 5.4 geq/mL. However, it is acknowledged that this can vary depending on the PCR based quantification assay so the values are presented as approximations </w:t>
      </w:r>
      <w:r w:rsidRPr="00F71DE4">
        <w:rPr>
          <w:rFonts w:eastAsia="Arial" w:cs="Arial"/>
          <w:sz w:val="20"/>
          <w:szCs w:val="20"/>
          <w:lang w:val="en-AU"/>
        </w:rPr>
        <w:fldChar w:fldCharType="begin"/>
      </w:r>
      <w:r w:rsidRPr="00F71DE4">
        <w:rPr>
          <w:rFonts w:eastAsia="Arial" w:cs="Arial"/>
          <w:sz w:val="20"/>
          <w:szCs w:val="20"/>
          <w:lang w:val="en-AU"/>
        </w:rPr>
        <w:instrText xml:space="preserve"> ADDIN EN.CITE &lt;EndNote&gt;&lt;Cite&gt;&lt;Author&gt;Valsamakis&lt;/Author&gt;&lt;Year&gt;2007&lt;/Year&gt;&lt;RecNum&gt;180&lt;/RecNum&gt;&lt;DisplayText&gt;[89]&lt;/DisplayText&gt;&lt;record&gt;&lt;rec-number&gt;180&lt;/rec-number&gt;&lt;foreign-keys&gt;&lt;key app="EN" db-id="5d9ze055j2zd5revw2n50xpwd0fze9frtdxr"&gt;180&lt;/key&gt;&lt;/foreign-keys&gt;&lt;ref-type name="Journal Article"&gt;17&lt;/ref-type&gt;&lt;contributors&gt;&lt;authors&gt;&lt;author&gt;Valsamakis, Alexandra&lt;/author&gt;&lt;/authors&gt;&lt;/contributors&gt;&lt;titles&gt;&lt;title&gt;Molecular testing in the diagnosis and management of chronic hepatitis B&lt;/title&gt;&lt;secondary-title&gt;Clinical microbiology reviews&lt;/secondary-title&gt;&lt;/titles&gt;&lt;periodical&gt;&lt;full-title&gt;Clinical microbiology reviews&lt;/full-title&gt;&lt;/periodical&gt;&lt;pages&gt;426-439&lt;/pages&gt;&lt;volume&gt;20&lt;/volume&gt;&lt;number&gt;3&lt;/number&gt;&lt;dates&gt;&lt;year&gt;2007&lt;/year&gt;&lt;/dates&gt;&lt;isbn&gt;0893-8512&lt;/isbn&gt;&lt;urls&gt;&lt;/urls&gt;&lt;/record&gt;&lt;/Cite&gt;&lt;/EndNote&gt;</w:instrText>
      </w:r>
      <w:r w:rsidRPr="00F71DE4">
        <w:rPr>
          <w:rFonts w:eastAsia="Arial" w:cs="Arial"/>
          <w:sz w:val="20"/>
          <w:szCs w:val="20"/>
          <w:lang w:val="en-AU"/>
        </w:rPr>
        <w:fldChar w:fldCharType="separate"/>
      </w:r>
      <w:r w:rsidRPr="00F71DE4">
        <w:rPr>
          <w:rFonts w:eastAsia="Arial" w:cs="Arial"/>
          <w:noProof/>
          <w:sz w:val="20"/>
          <w:szCs w:val="20"/>
          <w:lang w:val="en-AU"/>
        </w:rPr>
        <w:t>[</w:t>
      </w:r>
      <w:hyperlink w:anchor="_ENREF_89" w:tooltip="Valsamakis, 2007 #180" w:history="1">
        <w:r w:rsidRPr="00F71DE4">
          <w:rPr>
            <w:rFonts w:eastAsia="Arial" w:cs="Arial"/>
            <w:noProof/>
            <w:sz w:val="20"/>
            <w:szCs w:val="20"/>
            <w:lang w:val="en-AU"/>
          </w:rPr>
          <w:t>89</w:t>
        </w:r>
      </w:hyperlink>
      <w:r w:rsidRPr="00F71DE4">
        <w:rPr>
          <w:rFonts w:eastAsia="Arial" w:cs="Arial"/>
          <w:noProof/>
          <w:sz w:val="20"/>
          <w:szCs w:val="20"/>
          <w:lang w:val="en-AU"/>
        </w:rPr>
        <w:t>]</w:t>
      </w:r>
      <w:r w:rsidRPr="00F71DE4">
        <w:rPr>
          <w:rFonts w:eastAsia="Arial" w:cs="Arial"/>
          <w:sz w:val="20"/>
          <w:szCs w:val="20"/>
          <w:lang w:val="en-AU"/>
        </w:rPr>
        <w:fldChar w:fldCharType="end"/>
      </w:r>
      <w:r w:rsidRPr="00F71DE4">
        <w:rPr>
          <w:rFonts w:eastAsia="Arial" w:cs="Arial"/>
          <w:sz w:val="20"/>
          <w:szCs w:val="20"/>
          <w:lang w:val="en-AU"/>
        </w:rPr>
        <w:t>.</w:t>
      </w:r>
    </w:p>
    <w:p w14:paraId="18646D91" w14:textId="77777777" w:rsidR="002F1BC7" w:rsidRPr="00F71DE4" w:rsidRDefault="002F1BC7" w:rsidP="002F1BC7">
      <w:pPr>
        <w:pStyle w:val="Caption"/>
        <w:keepNext/>
        <w:rPr>
          <w:rFonts w:ascii="Calibri" w:hAnsi="Calibri" w:cs="Arial"/>
          <w:b w:val="0"/>
          <w:i/>
        </w:rPr>
      </w:pPr>
      <w:r w:rsidRPr="00F71DE4">
        <w:rPr>
          <w:rFonts w:ascii="Calibri" w:hAnsi="Calibri" w:cs="Arial"/>
          <w:b w:val="0"/>
          <w:i/>
        </w:rPr>
        <w:t xml:space="preserve">Table </w:t>
      </w:r>
      <w:r w:rsidRPr="00F71DE4">
        <w:rPr>
          <w:rFonts w:ascii="Calibri" w:hAnsi="Calibri" w:cs="Arial"/>
          <w:b w:val="0"/>
          <w:i/>
        </w:rPr>
        <w:fldChar w:fldCharType="begin"/>
      </w:r>
      <w:r w:rsidRPr="00F71DE4">
        <w:rPr>
          <w:rFonts w:ascii="Calibri" w:hAnsi="Calibri" w:cs="Arial"/>
          <w:b w:val="0"/>
          <w:i/>
        </w:rPr>
        <w:instrText xml:space="preserve"> SEQ Table \* ARABIC </w:instrText>
      </w:r>
      <w:r w:rsidRPr="00F71DE4">
        <w:rPr>
          <w:rFonts w:ascii="Calibri" w:hAnsi="Calibri" w:cs="Arial"/>
          <w:b w:val="0"/>
          <w:i/>
        </w:rPr>
        <w:fldChar w:fldCharType="separate"/>
      </w:r>
      <w:r>
        <w:rPr>
          <w:rFonts w:ascii="Calibri" w:hAnsi="Calibri" w:cs="Arial"/>
          <w:b w:val="0"/>
          <w:i/>
          <w:noProof/>
        </w:rPr>
        <w:t>5</w:t>
      </w:r>
      <w:r w:rsidRPr="00F71DE4">
        <w:rPr>
          <w:rFonts w:ascii="Calibri" w:hAnsi="Calibri" w:cs="Arial"/>
          <w:b w:val="0"/>
          <w:i/>
        </w:rPr>
        <w:fldChar w:fldCharType="end"/>
      </w:r>
      <w:r w:rsidRPr="00F71DE4">
        <w:rPr>
          <w:rFonts w:ascii="Calibri" w:hAnsi="Calibri" w:cs="Arial"/>
          <w:b w:val="0"/>
          <w:i/>
        </w:rPr>
        <w:t xml:space="preserve">: Worldwide cases of </w:t>
      </w:r>
      <w:r w:rsidRPr="00997D63">
        <w:rPr>
          <w:rFonts w:ascii="Calibri" w:hAnsi="Calibri" w:cs="Arial"/>
          <w:b w:val="0"/>
          <w:i/>
        </w:rPr>
        <w:t>infected HCW</w:t>
      </w:r>
      <w:r>
        <w:rPr>
          <w:rFonts w:ascii="Calibri" w:hAnsi="Calibri" w:cs="Arial"/>
          <w:b w:val="0"/>
          <w:i/>
        </w:rPr>
        <w:t xml:space="preserve"> to </w:t>
      </w:r>
      <w:r w:rsidRPr="00F71DE4">
        <w:rPr>
          <w:rFonts w:ascii="Calibri" w:hAnsi="Calibri" w:cs="Arial"/>
          <w:b w:val="0"/>
          <w:i/>
        </w:rPr>
        <w:t>patient transmission of HCV</w:t>
      </w:r>
    </w:p>
    <w:tbl>
      <w:tblPr>
        <w:tblW w:w="5554" w:type="pct"/>
        <w:tblInd w:w="-611"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1A0" w:firstRow="1" w:lastRow="0" w:firstColumn="1" w:lastColumn="1" w:noHBand="0" w:noVBand="0"/>
      </w:tblPr>
      <w:tblGrid>
        <w:gridCol w:w="1262"/>
        <w:gridCol w:w="923"/>
        <w:gridCol w:w="1100"/>
        <w:gridCol w:w="1936"/>
        <w:gridCol w:w="1184"/>
        <w:gridCol w:w="1021"/>
        <w:gridCol w:w="1106"/>
        <w:gridCol w:w="1520"/>
      </w:tblGrid>
      <w:tr w:rsidR="002F1BC7" w:rsidRPr="003049C5" w14:paraId="01282819" w14:textId="77777777" w:rsidTr="00FF0ED0">
        <w:trPr>
          <w:trHeight w:val="850"/>
        </w:trPr>
        <w:tc>
          <w:tcPr>
            <w:tcW w:w="628" w:type="pct"/>
            <w:shd w:val="clear" w:color="auto" w:fill="4F81BD"/>
            <w:vAlign w:val="center"/>
          </w:tcPr>
          <w:p w14:paraId="5FCC16BC"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Lookback period</w:t>
            </w:r>
          </w:p>
        </w:tc>
        <w:tc>
          <w:tcPr>
            <w:tcW w:w="459" w:type="pct"/>
            <w:tcBorders>
              <w:top w:val="single" w:sz="8" w:space="0" w:color="4F81BD"/>
              <w:left w:val="single" w:sz="8" w:space="0" w:color="4F81BD"/>
              <w:right w:val="single" w:sz="8" w:space="0" w:color="4F81BD"/>
            </w:tcBorders>
            <w:shd w:val="clear" w:color="auto" w:fill="4F81BD"/>
            <w:vAlign w:val="center"/>
          </w:tcPr>
          <w:p w14:paraId="339119F1"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Ref</w:t>
            </w:r>
          </w:p>
        </w:tc>
        <w:tc>
          <w:tcPr>
            <w:tcW w:w="547" w:type="pct"/>
            <w:shd w:val="clear" w:color="auto" w:fill="4F81BD"/>
            <w:vAlign w:val="center"/>
          </w:tcPr>
          <w:p w14:paraId="609CFEC0"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Country</w:t>
            </w:r>
          </w:p>
        </w:tc>
        <w:tc>
          <w:tcPr>
            <w:tcW w:w="963" w:type="pct"/>
            <w:tcBorders>
              <w:top w:val="single" w:sz="8" w:space="0" w:color="4F81BD"/>
              <w:left w:val="single" w:sz="8" w:space="0" w:color="4F81BD"/>
              <w:right w:val="single" w:sz="8" w:space="0" w:color="4F81BD"/>
            </w:tcBorders>
            <w:shd w:val="clear" w:color="auto" w:fill="4F81BD"/>
            <w:vAlign w:val="center"/>
          </w:tcPr>
          <w:p w14:paraId="01E6018B"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Occupation</w:t>
            </w:r>
          </w:p>
        </w:tc>
        <w:tc>
          <w:tcPr>
            <w:tcW w:w="589" w:type="pct"/>
            <w:shd w:val="clear" w:color="auto" w:fill="4F81BD"/>
            <w:vAlign w:val="center"/>
          </w:tcPr>
          <w:p w14:paraId="6FD5D349"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Patients infected</w:t>
            </w:r>
          </w:p>
        </w:tc>
        <w:tc>
          <w:tcPr>
            <w:tcW w:w="508" w:type="pct"/>
            <w:tcBorders>
              <w:top w:val="single" w:sz="8" w:space="0" w:color="4F81BD"/>
              <w:left w:val="single" w:sz="8" w:space="0" w:color="4F81BD"/>
              <w:right w:val="single" w:sz="8" w:space="0" w:color="4F81BD"/>
            </w:tcBorders>
            <w:shd w:val="clear" w:color="auto" w:fill="4F81BD"/>
            <w:vAlign w:val="center"/>
          </w:tcPr>
          <w:p w14:paraId="791794A6"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Patients tested</w:t>
            </w:r>
          </w:p>
        </w:tc>
        <w:tc>
          <w:tcPr>
            <w:tcW w:w="550" w:type="pct"/>
            <w:shd w:val="clear" w:color="auto" w:fill="4F81BD"/>
            <w:vAlign w:val="center"/>
          </w:tcPr>
          <w:p w14:paraId="18AEA243"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 patients infected</w:t>
            </w:r>
          </w:p>
        </w:tc>
        <w:tc>
          <w:tcPr>
            <w:tcW w:w="756" w:type="pct"/>
            <w:shd w:val="clear" w:color="auto" w:fill="4F81BD"/>
            <w:vAlign w:val="center"/>
          </w:tcPr>
          <w:p w14:paraId="7E93A4DA"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Risk factor</w:t>
            </w:r>
          </w:p>
        </w:tc>
      </w:tr>
      <w:tr w:rsidR="002F1BC7" w:rsidRPr="003049C5" w14:paraId="20F002FF" w14:textId="77777777" w:rsidTr="00FF0ED0">
        <w:trPr>
          <w:trHeight w:val="397"/>
        </w:trPr>
        <w:tc>
          <w:tcPr>
            <w:tcW w:w="628" w:type="pct"/>
            <w:tcBorders>
              <w:top w:val="single" w:sz="8" w:space="0" w:color="4F81BD"/>
              <w:left w:val="single" w:sz="8" w:space="0" w:color="4F81BD"/>
              <w:bottom w:val="single" w:sz="8" w:space="0" w:color="4F81BD"/>
            </w:tcBorders>
            <w:shd w:val="clear" w:color="auto" w:fill="auto"/>
            <w:vAlign w:val="center"/>
          </w:tcPr>
          <w:p w14:paraId="7C9705F2"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1988-1994</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48CBFDF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&lt;EndNote&gt;&lt;Cite&gt;&lt;Author&gt;Esteban&lt;/Author&gt;&lt;Year&gt;1996&lt;/Year&gt;&lt;RecNum&gt;24&lt;/RecNum&gt;&lt;DisplayText&gt;[59]&lt;/DisplayText&gt;&lt;record&gt;&lt;rec-number&gt;24&lt;/rec-number&gt;&lt;foreign-keys&gt;&lt;key app="EN" db-id="5d9ze055j2zd5revw2n50xpwd0fze9frtdxr"&gt;24&lt;/key&gt;&lt;/foreign-keys&gt;&lt;ref-type name="Journal Article"&gt;17&lt;/ref-type&gt;&lt;contributors&gt;&lt;authors&gt;&lt;author&gt;Esteban, Juan I&lt;/author&gt;&lt;author&gt;Gómez, Jordi&lt;/author&gt;&lt;author&gt;Martell, María&lt;/author&gt;&lt;author&gt;Cabot, Beatriz&lt;/author&gt;&lt;author&gt;Quer, Josep&lt;/author&gt;&lt;author&gt;Camps, Joan&lt;/author&gt;&lt;author&gt;González, Antonio&lt;/author&gt;&lt;author&gt;Otero, Teresa&lt;/author&gt;&lt;author&gt;Moya, Andrés&lt;/author&gt;&lt;author&gt;Esteban, Rafael&lt;/author&gt;&lt;/authors&gt;&lt;/contributors&gt;&lt;titles&gt;&lt;title&gt;Transmission of hepatitis C virus by a cardiac surgeon&lt;/title&gt;&lt;secondary-title&gt;New England Journal of Medicine&lt;/secondary-title&gt;&lt;/titles&gt;&lt;periodical&gt;&lt;full-title&gt;New England Journal of Medicine&lt;/full-title&gt;&lt;/periodical&gt;&lt;pages&gt;555-561&lt;/pages&gt;&lt;volume&gt;334&lt;/volume&gt;&lt;number&gt;9&lt;/number&gt;&lt;dates&gt;&lt;year&gt;1996&lt;/year&gt;&lt;/dates&gt;&lt;isbn&gt;0028-4793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59" w:tooltip="Esteban, 1996 #24" w:history="1">
              <w:r w:rsidRPr="003049C5">
                <w:rPr>
                  <w:rFonts w:eastAsia="Arial" w:cs="Arial"/>
                  <w:noProof/>
                  <w:sz w:val="20"/>
                  <w:szCs w:val="20"/>
                  <w:lang w:val="en-AU"/>
                </w:rPr>
                <w:t>59</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54DAC51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Spain</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67C7234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Cardiac surgery</w:t>
            </w:r>
          </w:p>
        </w:tc>
        <w:tc>
          <w:tcPr>
            <w:tcW w:w="589" w:type="pct"/>
            <w:tcBorders>
              <w:top w:val="single" w:sz="8" w:space="0" w:color="4F81BD"/>
              <w:bottom w:val="single" w:sz="8" w:space="0" w:color="4F81BD"/>
            </w:tcBorders>
            <w:shd w:val="clear" w:color="auto" w:fill="auto"/>
            <w:vAlign w:val="center"/>
          </w:tcPr>
          <w:p w14:paraId="5DA1F9B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5</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29F4E86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227</w:t>
            </w:r>
          </w:p>
        </w:tc>
        <w:tc>
          <w:tcPr>
            <w:tcW w:w="550" w:type="pct"/>
            <w:tcBorders>
              <w:top w:val="single" w:sz="8" w:space="0" w:color="4F81BD"/>
              <w:bottom w:val="single" w:sz="8" w:space="0" w:color="4F81BD"/>
            </w:tcBorders>
            <w:shd w:val="clear" w:color="auto" w:fill="auto"/>
            <w:vAlign w:val="center"/>
          </w:tcPr>
          <w:p w14:paraId="33845684"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2.25</w:t>
            </w:r>
          </w:p>
        </w:tc>
        <w:tc>
          <w:tcPr>
            <w:tcW w:w="756" w:type="pct"/>
            <w:tcBorders>
              <w:top w:val="single" w:sz="8" w:space="0" w:color="4F81BD"/>
              <w:bottom w:val="single" w:sz="8" w:space="0" w:color="4F81BD"/>
              <w:right w:val="single" w:sz="8" w:space="0" w:color="4F81BD"/>
            </w:tcBorders>
            <w:shd w:val="clear" w:color="auto" w:fill="auto"/>
            <w:vAlign w:val="center"/>
          </w:tcPr>
          <w:p w14:paraId="76F7C809"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 xml:space="preserve">EPPs </w:t>
            </w:r>
          </w:p>
          <w:p w14:paraId="1AC2096B"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(suggested percutaneous injuries)</w:t>
            </w:r>
          </w:p>
        </w:tc>
      </w:tr>
      <w:tr w:rsidR="002F1BC7" w:rsidRPr="003049C5" w14:paraId="3B9267AB" w14:textId="77777777" w:rsidTr="00FF0ED0">
        <w:trPr>
          <w:trHeight w:val="397"/>
        </w:trPr>
        <w:tc>
          <w:tcPr>
            <w:tcW w:w="628" w:type="pct"/>
            <w:shd w:val="clear" w:color="auto" w:fill="auto"/>
            <w:vAlign w:val="center"/>
          </w:tcPr>
          <w:p w14:paraId="32AFC229"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1988-1997</w:t>
            </w:r>
          </w:p>
        </w:tc>
        <w:tc>
          <w:tcPr>
            <w:tcW w:w="459" w:type="pct"/>
            <w:tcBorders>
              <w:left w:val="single" w:sz="8" w:space="0" w:color="4F81BD"/>
              <w:right w:val="single" w:sz="8" w:space="0" w:color="4F81BD"/>
            </w:tcBorders>
            <w:shd w:val="clear" w:color="auto" w:fill="auto"/>
            <w:vAlign w:val="center"/>
          </w:tcPr>
          <w:p w14:paraId="1BB86A5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&lt;EndNote&gt;&lt;Cite&gt;&lt;Author&gt;González-Candelas&lt;/Author&gt;&lt;Year&gt;2013&lt;/Year&gt;&lt;RecNum&gt;213&lt;/RecNum&gt;&lt;DisplayText&gt;[41]&lt;/DisplayText&gt;&lt;record&gt;&lt;rec-number&gt;213&lt;/rec-number&gt;&lt;foreign-keys&gt;&lt;key app="EN" db-id="5d9ze055j2zd5revw2n50xpwd0fze9frtdxr"&gt;213&lt;/key&gt;&lt;/foreign-keys&gt;&lt;ref-type name="Journal Article"&gt;17&lt;/ref-type&gt;&lt;contributors&gt;&lt;authors&gt;&lt;author&gt;González-Candelas, Fernando&lt;/author&gt;&lt;author&gt;Bracho, María A&lt;/author&gt;&lt;author&gt;Wróbel, Borys&lt;/author&gt;&lt;author&gt;Moya, Andrés&lt;/author&gt;&lt;/authors&gt;&lt;/contributors&gt;&lt;titles&gt;&lt;title&gt;Molecular evolution in court: analysis of a large hepatitis C virus outbreak from an evolving source&lt;/title&gt;&lt;secondary-title&gt;BMC biology&lt;/secondary-title&gt;&lt;/titles&gt;&lt;periodical&gt;&lt;full-title&gt;BMC biology&lt;/full-title&gt;&lt;/periodical&gt;&lt;pages&gt;76&lt;/pages&gt;&lt;volume&gt;11&lt;/volume&gt;&lt;number&gt;1&lt;/number&gt;&lt;dates&gt;&lt;year&gt;2013&lt;/year&gt;&lt;/dates&gt;&lt;isbn&gt;1741-7007&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41" w:tooltip="González-Candelas, 2013 #213" w:history="1">
              <w:r w:rsidRPr="003049C5">
                <w:rPr>
                  <w:rFonts w:eastAsia="Arial" w:cs="Arial"/>
                  <w:noProof/>
                  <w:sz w:val="20"/>
                  <w:szCs w:val="20"/>
                  <w:lang w:val="en-AU"/>
                </w:rPr>
                <w:t>41</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shd w:val="clear" w:color="auto" w:fill="auto"/>
            <w:vAlign w:val="center"/>
          </w:tcPr>
          <w:p w14:paraId="0CD4AEC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Spain</w:t>
            </w:r>
          </w:p>
        </w:tc>
        <w:tc>
          <w:tcPr>
            <w:tcW w:w="963" w:type="pct"/>
            <w:tcBorders>
              <w:left w:val="single" w:sz="8" w:space="0" w:color="4F81BD"/>
              <w:right w:val="single" w:sz="8" w:space="0" w:color="4F81BD"/>
            </w:tcBorders>
            <w:shd w:val="clear" w:color="auto" w:fill="auto"/>
            <w:vAlign w:val="center"/>
          </w:tcPr>
          <w:p w14:paraId="5642B97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Anaesthetist</w:t>
            </w:r>
          </w:p>
        </w:tc>
        <w:tc>
          <w:tcPr>
            <w:tcW w:w="589" w:type="pct"/>
            <w:shd w:val="clear" w:color="auto" w:fill="auto"/>
            <w:vAlign w:val="center"/>
          </w:tcPr>
          <w:p w14:paraId="58D2505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275</w:t>
            </w:r>
          </w:p>
        </w:tc>
        <w:tc>
          <w:tcPr>
            <w:tcW w:w="508" w:type="pct"/>
            <w:tcBorders>
              <w:left w:val="single" w:sz="8" w:space="0" w:color="4F81BD"/>
              <w:right w:val="single" w:sz="8" w:space="0" w:color="4F81BD"/>
            </w:tcBorders>
            <w:shd w:val="clear" w:color="auto" w:fill="auto"/>
            <w:vAlign w:val="center"/>
          </w:tcPr>
          <w:p w14:paraId="1760FD5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N/A</w:t>
            </w:r>
          </w:p>
        </w:tc>
        <w:tc>
          <w:tcPr>
            <w:tcW w:w="550" w:type="pct"/>
            <w:shd w:val="clear" w:color="auto" w:fill="auto"/>
            <w:vAlign w:val="center"/>
          </w:tcPr>
          <w:p w14:paraId="7EE39D0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N/A</w:t>
            </w:r>
          </w:p>
        </w:tc>
        <w:tc>
          <w:tcPr>
            <w:tcW w:w="756" w:type="pct"/>
            <w:shd w:val="clear" w:color="auto" w:fill="auto"/>
            <w:vAlign w:val="center"/>
          </w:tcPr>
          <w:p w14:paraId="7D0B74F2"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IDU</w:t>
            </w:r>
          </w:p>
        </w:tc>
      </w:tr>
      <w:tr w:rsidR="002F1BC7" w:rsidRPr="003049C5" w14:paraId="3EAEC502" w14:textId="77777777" w:rsidTr="00FF0ED0">
        <w:trPr>
          <w:trHeight w:val="397"/>
        </w:trPr>
        <w:tc>
          <w:tcPr>
            <w:tcW w:w="628" w:type="pct"/>
            <w:tcBorders>
              <w:top w:val="single" w:sz="8" w:space="0" w:color="4F81BD"/>
              <w:left w:val="single" w:sz="8" w:space="0" w:color="4F81BD"/>
              <w:bottom w:val="single" w:sz="8" w:space="0" w:color="4F81BD"/>
            </w:tcBorders>
            <w:shd w:val="clear" w:color="auto" w:fill="auto"/>
            <w:vAlign w:val="center"/>
          </w:tcPr>
          <w:p w14:paraId="7A9FD96B"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1989-2001</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6164D6F4"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&lt;EndNote&gt;&lt;Cite&gt;&lt;Author&gt;Hatia&lt;/Author&gt;&lt;Year&gt;2015&lt;/Year&gt;&lt;RecNum&gt;214&lt;/RecNum&gt;&lt;DisplayText&gt;[42]&lt;/DisplayText&gt;&lt;record&gt;&lt;rec-number&gt;214&lt;/rec-number&gt;&lt;foreign-keys&gt;&lt;key app="EN" db-id="5d9ze055j2zd5revw2n50xpwd0fze9frtdxr"&gt;214&lt;/key&gt;&lt;/foreign-keys&gt;&lt;ref-type name="Journal Article"&gt;17&lt;/ref-type&gt;&lt;contributors&gt;&lt;authors&gt;&lt;author&gt;Hatia, Rikita I&lt;/author&gt;&lt;author&gt;Dimitrova, Zoya&lt;/author&gt;&lt;author&gt;Skums, Pavel&lt;/author&gt;&lt;author&gt;Teo, Elrond Yi</w:instrText>
            </w:r>
            <w:r w:rsidRPr="003049C5">
              <w:rPr>
                <w:rFonts w:eastAsia="Arial" w:cs="Cambria Math"/>
                <w:sz w:val="20"/>
                <w:szCs w:val="20"/>
                <w:lang w:val="en-AU"/>
              </w:rPr>
              <w:instrText>‐</w:instrText>
            </w:r>
            <w:r w:rsidRPr="003049C5">
              <w:rPr>
                <w:rFonts w:eastAsia="Arial" w:cs="Arial"/>
                <w:sz w:val="20"/>
                <w:szCs w:val="20"/>
                <w:lang w:val="en-AU"/>
              </w:rPr>
              <w:instrText>Lang&lt;/author&gt;&lt;author&gt;Teo, Chong</w:instrText>
            </w:r>
            <w:r w:rsidRPr="003049C5">
              <w:rPr>
                <w:rFonts w:eastAsia="Arial" w:cs="Cambria Math"/>
                <w:sz w:val="20"/>
                <w:szCs w:val="20"/>
                <w:lang w:val="en-AU"/>
              </w:rPr>
              <w:instrText>‐</w:instrText>
            </w:r>
            <w:r w:rsidRPr="003049C5">
              <w:rPr>
                <w:rFonts w:eastAsia="Arial" w:cs="Arial"/>
                <w:sz w:val="20"/>
                <w:szCs w:val="20"/>
                <w:lang w:val="en-AU"/>
              </w:rPr>
              <w:instrText>Gee&lt;/author&gt;&lt;/authors&gt;&lt;/contributors&gt;&lt;titles&gt;&lt;title&gt;Nosocomial hepatitis C virus transmission from tampering with injectable anesthetic opioids&lt;/title&gt;&lt;secondary-title&gt;Hepatology&lt;/secondary-title&gt;&lt;/titles&gt;&lt;periodical&gt;&lt;full-title&gt;Hepatology&lt;/full-title&gt;&lt;/periodical&gt;&lt;pages&gt;101-110&lt;/pages&gt;&lt;volume&gt;62&lt;/volume&gt;&lt;number&gt;1&lt;/number&gt;&lt;dates&gt;&lt;year&gt;2015&lt;/year&gt;&lt;/dates&gt;&lt;isbn&gt;1527-3350&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42" w:tooltip="Hatia, 2015 #214" w:history="1">
              <w:r w:rsidRPr="003049C5">
                <w:rPr>
                  <w:rFonts w:eastAsia="Arial" w:cs="Arial"/>
                  <w:noProof/>
                  <w:sz w:val="20"/>
                  <w:szCs w:val="20"/>
                  <w:lang w:val="en-AU"/>
                </w:rPr>
                <w:t>42</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74973CD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US</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6906A52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Cardiac surgery</w:t>
            </w:r>
          </w:p>
        </w:tc>
        <w:tc>
          <w:tcPr>
            <w:tcW w:w="589" w:type="pct"/>
            <w:tcBorders>
              <w:top w:val="single" w:sz="8" w:space="0" w:color="4F81BD"/>
              <w:bottom w:val="single" w:sz="8" w:space="0" w:color="4F81BD"/>
            </w:tcBorders>
            <w:shd w:val="clear" w:color="auto" w:fill="auto"/>
            <w:vAlign w:val="center"/>
          </w:tcPr>
          <w:p w14:paraId="3EFBA6D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4</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573D14E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941</w:t>
            </w:r>
          </w:p>
        </w:tc>
        <w:tc>
          <w:tcPr>
            <w:tcW w:w="550" w:type="pct"/>
            <w:tcBorders>
              <w:top w:val="single" w:sz="8" w:space="0" w:color="4F81BD"/>
              <w:bottom w:val="single" w:sz="8" w:space="0" w:color="4F81BD"/>
            </w:tcBorders>
            <w:shd w:val="clear" w:color="auto" w:fill="auto"/>
            <w:vAlign w:val="center"/>
          </w:tcPr>
          <w:p w14:paraId="5D57804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0.43</w:t>
            </w:r>
          </w:p>
        </w:tc>
        <w:tc>
          <w:tcPr>
            <w:tcW w:w="756" w:type="pct"/>
            <w:tcBorders>
              <w:top w:val="single" w:sz="8" w:space="0" w:color="4F81BD"/>
              <w:bottom w:val="single" w:sz="8" w:space="0" w:color="4F81BD"/>
              <w:right w:val="single" w:sz="8" w:space="0" w:color="4F81BD"/>
            </w:tcBorders>
            <w:shd w:val="clear" w:color="auto" w:fill="auto"/>
            <w:vAlign w:val="center"/>
          </w:tcPr>
          <w:p w14:paraId="00E079D6"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EPPs</w:t>
            </w:r>
          </w:p>
        </w:tc>
      </w:tr>
      <w:tr w:rsidR="002F1BC7" w:rsidRPr="003049C5" w14:paraId="3269DFB7" w14:textId="77777777" w:rsidTr="00FF0ED0">
        <w:trPr>
          <w:trHeight w:val="397"/>
        </w:trPr>
        <w:tc>
          <w:tcPr>
            <w:tcW w:w="628" w:type="pct"/>
            <w:shd w:val="clear" w:color="auto" w:fill="auto"/>
            <w:vAlign w:val="center"/>
          </w:tcPr>
          <w:p w14:paraId="51C8B565"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1991-1992</w:t>
            </w:r>
          </w:p>
        </w:tc>
        <w:tc>
          <w:tcPr>
            <w:tcW w:w="459" w:type="pct"/>
            <w:tcBorders>
              <w:left w:val="single" w:sz="8" w:space="0" w:color="4F81BD"/>
              <w:right w:val="single" w:sz="8" w:space="0" w:color="4F81BD"/>
            </w:tcBorders>
            <w:shd w:val="clear" w:color="auto" w:fill="auto"/>
            <w:vAlign w:val="center"/>
          </w:tcPr>
          <w:p w14:paraId="1BE3B69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&lt;EndNote&gt;&lt;Cite&gt;&lt;Author&gt;Sehulster&lt;/Author&gt;&lt;Year&gt;1997&lt;/Year&gt;&lt;RecNum&gt;144&lt;/RecNum&gt;&lt;DisplayText&gt;[43]&lt;/DisplayText&gt;&lt;record&gt;&lt;rec-number&gt;144&lt;/rec-number&gt;&lt;foreign-keys&gt;&lt;key app="EN" db-id="5d9ze055j2zd5revw2n50xpwd0fze9frtdxr"&gt;144&lt;/key&gt;&lt;/foreign-keys&gt;&lt;ref-type name="Conference Proceedings"&gt;10&lt;/ref-type&gt;&lt;contributors&gt;&lt;authors&gt;&lt;author&gt;Sehulster, L&lt;/author&gt;&lt;author&gt;Taylor, J&lt;/author&gt;&lt;author&gt;Hendricks, K&lt;/author&gt;&lt;author&gt;VanEgdom, M&lt;/author&gt;&lt;author&gt;Whitely, S&lt;/author&gt;&lt;author&gt;Manning, S&lt;/author&gt;&lt;/authors&gt;&lt;/contributors&gt;&lt;titles&gt;&lt;title&gt;Hepatitis C outbreak linked to narcotic tampering in an ambulatory surgical center&lt;/title&gt;&lt;secondary-title&gt;Proceedings of the Interscience Conference on Antimicrobial Agents and Chemotherapy&lt;/secondary-title&gt;&lt;/titles&gt;&lt;dates&gt;&lt;year&gt;1997&lt;/year&gt;&lt;/dates&gt;&lt;urls&gt;&lt;/urls&gt;&lt;/record&gt;&lt;/Cite&gt;&lt;/EndNote&gt;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43" w:tooltip="Sehulster, 1997 #144" w:history="1">
              <w:r w:rsidRPr="003049C5">
                <w:rPr>
                  <w:rFonts w:eastAsia="Arial" w:cs="Arial"/>
                  <w:noProof/>
                  <w:sz w:val="20"/>
                  <w:szCs w:val="20"/>
                  <w:lang w:val="en-AU"/>
                </w:rPr>
                <w:t>43</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shd w:val="clear" w:color="auto" w:fill="auto"/>
            <w:vAlign w:val="center"/>
          </w:tcPr>
          <w:p w14:paraId="09DF881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US</w:t>
            </w:r>
          </w:p>
        </w:tc>
        <w:tc>
          <w:tcPr>
            <w:tcW w:w="963" w:type="pct"/>
            <w:tcBorders>
              <w:left w:val="single" w:sz="8" w:space="0" w:color="4F81BD"/>
              <w:right w:val="single" w:sz="8" w:space="0" w:color="4F81BD"/>
            </w:tcBorders>
            <w:shd w:val="clear" w:color="auto" w:fill="auto"/>
            <w:vAlign w:val="center"/>
          </w:tcPr>
          <w:p w14:paraId="5F754CD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Surgical (scrub) technician</w:t>
            </w:r>
          </w:p>
        </w:tc>
        <w:tc>
          <w:tcPr>
            <w:tcW w:w="589" w:type="pct"/>
            <w:shd w:val="clear" w:color="auto" w:fill="auto"/>
            <w:vAlign w:val="center"/>
          </w:tcPr>
          <w:p w14:paraId="32110C6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11</w:t>
            </w:r>
          </w:p>
        </w:tc>
        <w:tc>
          <w:tcPr>
            <w:tcW w:w="508" w:type="pct"/>
            <w:tcBorders>
              <w:left w:val="single" w:sz="8" w:space="0" w:color="4F81BD"/>
              <w:right w:val="single" w:sz="8" w:space="0" w:color="4F81BD"/>
            </w:tcBorders>
            <w:shd w:val="clear" w:color="auto" w:fill="auto"/>
            <w:vAlign w:val="center"/>
          </w:tcPr>
          <w:p w14:paraId="53158569"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108</w:t>
            </w:r>
          </w:p>
        </w:tc>
        <w:tc>
          <w:tcPr>
            <w:tcW w:w="550" w:type="pct"/>
            <w:shd w:val="clear" w:color="auto" w:fill="auto"/>
            <w:vAlign w:val="center"/>
          </w:tcPr>
          <w:p w14:paraId="7BABFD9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10.2%</w:t>
            </w:r>
          </w:p>
        </w:tc>
        <w:tc>
          <w:tcPr>
            <w:tcW w:w="756" w:type="pct"/>
            <w:shd w:val="clear" w:color="auto" w:fill="auto"/>
            <w:vAlign w:val="center"/>
          </w:tcPr>
          <w:p w14:paraId="102D3C2A"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IDU</w:t>
            </w:r>
          </w:p>
        </w:tc>
      </w:tr>
      <w:tr w:rsidR="002F1BC7" w:rsidRPr="003049C5" w14:paraId="6BD5290C" w14:textId="77777777" w:rsidTr="00FF0ED0">
        <w:trPr>
          <w:trHeight w:val="397"/>
        </w:trPr>
        <w:tc>
          <w:tcPr>
            <w:tcW w:w="628" w:type="pct"/>
            <w:tcBorders>
              <w:top w:val="single" w:sz="8" w:space="0" w:color="4F81BD"/>
              <w:left w:val="single" w:sz="8" w:space="0" w:color="4F81BD"/>
              <w:bottom w:val="single" w:sz="8" w:space="0" w:color="4F81BD"/>
            </w:tcBorders>
            <w:shd w:val="clear" w:color="auto" w:fill="auto"/>
            <w:vAlign w:val="center"/>
          </w:tcPr>
          <w:p w14:paraId="22B83BC2"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1993-1994</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10D957D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&lt;EndNote&gt;&lt;Cite&gt;&lt;Author&gt;Duckworth&lt;/Author&gt;&lt;Year&gt;1999&lt;/Year&gt;&lt;RecNum&gt;23&lt;/RecNum&gt;&lt;DisplayText&gt;[44]&lt;/DisplayText&gt;&lt;record&gt;&lt;rec-number&gt;23&lt;/rec-number&gt;&lt;foreign-keys&gt;&lt;key app="EN" db-id="5d9ze055j2zd5revw2n50xpwd0fze9frtdxr"&gt;23&lt;/key&gt;&lt;/foreign-keys&gt;&lt;ref-type name="Journal Article"&gt;17&lt;/ref-type&gt;&lt;contributors&gt;&lt;authors&gt;&lt;author&gt;Duckworth, Georgia J&lt;/author&gt;&lt;author&gt;Heptonstall, J&lt;/author&gt;&lt;author&gt;Aitken, C&lt;/author&gt;&lt;/authors&gt;&lt;/contributors&gt;&lt;titles&gt;&lt;title&gt;Transmission of hepatitis C virus from a surgeon to a patient. The Incident Control Team&lt;/title&gt;&lt;secondary-title&gt;Communicable disease and public health/PHLS&lt;/secondary-title&gt;&lt;/titles&gt;&lt;periodical&gt;&lt;full-title&gt;Communicable disease and public health/PHLS&lt;/full-title&gt;&lt;/periodical&gt;&lt;pages&gt;188-192&lt;/pages&gt;&lt;volume&gt;2&lt;/volume&gt;&lt;number&gt;3&lt;/number&gt;&lt;dates&gt;&lt;year&gt;1999&lt;/year&gt;&lt;/dates&gt;&lt;isbn&gt;1462-1843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44" w:tooltip="Duckworth, 1999 #23" w:history="1">
              <w:r w:rsidRPr="003049C5">
                <w:rPr>
                  <w:rFonts w:eastAsia="Arial" w:cs="Arial"/>
                  <w:noProof/>
                  <w:sz w:val="20"/>
                  <w:szCs w:val="20"/>
                  <w:lang w:val="en-AU"/>
                </w:rPr>
                <w:t>44</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7D0CCA0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6EB00580"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Cardiothoracic surgeon</w:t>
            </w:r>
          </w:p>
        </w:tc>
        <w:tc>
          <w:tcPr>
            <w:tcW w:w="589" w:type="pct"/>
            <w:tcBorders>
              <w:top w:val="single" w:sz="8" w:space="0" w:color="4F81BD"/>
              <w:bottom w:val="single" w:sz="8" w:space="0" w:color="4F81BD"/>
            </w:tcBorders>
            <w:shd w:val="clear" w:color="auto" w:fill="auto"/>
            <w:vAlign w:val="center"/>
          </w:tcPr>
          <w:p w14:paraId="71CFE2E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4F419FC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278</w:t>
            </w:r>
          </w:p>
        </w:tc>
        <w:tc>
          <w:tcPr>
            <w:tcW w:w="550" w:type="pct"/>
            <w:tcBorders>
              <w:top w:val="single" w:sz="8" w:space="0" w:color="4F81BD"/>
              <w:bottom w:val="single" w:sz="8" w:space="0" w:color="4F81BD"/>
            </w:tcBorders>
            <w:shd w:val="clear" w:color="auto" w:fill="auto"/>
            <w:vAlign w:val="center"/>
          </w:tcPr>
          <w:p w14:paraId="239C3F2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0.36</w:t>
            </w:r>
          </w:p>
        </w:tc>
        <w:tc>
          <w:tcPr>
            <w:tcW w:w="756" w:type="pct"/>
            <w:tcBorders>
              <w:top w:val="single" w:sz="8" w:space="0" w:color="4F81BD"/>
              <w:bottom w:val="single" w:sz="8" w:space="0" w:color="4F81BD"/>
              <w:right w:val="single" w:sz="8" w:space="0" w:color="4F81BD"/>
            </w:tcBorders>
            <w:shd w:val="clear" w:color="auto" w:fill="auto"/>
            <w:vAlign w:val="center"/>
          </w:tcPr>
          <w:p w14:paraId="3C2ED604"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EPPs</w:t>
            </w:r>
          </w:p>
        </w:tc>
      </w:tr>
      <w:tr w:rsidR="002F1BC7" w:rsidRPr="003049C5" w14:paraId="5009D916" w14:textId="77777777" w:rsidTr="00FF0ED0">
        <w:trPr>
          <w:trHeight w:val="397"/>
        </w:trPr>
        <w:tc>
          <w:tcPr>
            <w:tcW w:w="628" w:type="pct"/>
            <w:shd w:val="clear" w:color="auto" w:fill="auto"/>
            <w:vAlign w:val="center"/>
          </w:tcPr>
          <w:p w14:paraId="6B94AA24"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1993-2000</w:t>
            </w:r>
          </w:p>
        </w:tc>
        <w:tc>
          <w:tcPr>
            <w:tcW w:w="459" w:type="pct"/>
            <w:tcBorders>
              <w:left w:val="single" w:sz="8" w:space="0" w:color="4F81BD"/>
              <w:right w:val="single" w:sz="8" w:space="0" w:color="4F81BD"/>
            </w:tcBorders>
            <w:shd w:val="clear" w:color="auto" w:fill="auto"/>
            <w:vAlign w:val="center"/>
          </w:tcPr>
          <w:p w14:paraId="41501FC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&lt;EndNote&gt;&lt;Cite&gt;&lt;Author&gt;Ross&lt;/Author&gt;&lt;Year&gt;2002&lt;/Year&gt;&lt;RecNum&gt;146&lt;/RecNum&gt;&lt;DisplayText&gt;[45]&lt;/DisplayText&gt;&lt;record&gt;&lt;rec-number&gt;146&lt;/rec-number&gt;&lt;foreign-keys&gt;&lt;key app="EN" db-id="5d9ze055j2zd5revw2n50xpwd0fze9frtdxr"&gt;146&lt;/key&gt;&lt;/foreign-keys&gt;&lt;ref-type name="Journal Article"&gt;17&lt;/ref-type&gt;&lt;contributors&gt;&lt;authors&gt;&lt;author&gt;Ross, R Stefan&lt;/author&gt;&lt;author&gt;Viazov, Sergei&lt;/author&gt;&lt;author&gt;Thormählen, Marion&lt;/author&gt;&lt;author&gt;Bartz, Lutz&lt;/author&gt;&lt;author&gt;Tamm, Jana&lt;/author&gt;&lt;author&gt;Rautenberg, Peter&lt;/author&gt;&lt;author&gt;Roggendorf, Michael&lt;/author&gt;&lt;author&gt;Deister, Arno&lt;/author&gt;&lt;/authors&gt;&lt;/contributors&gt;&lt;titles&gt;&lt;title&gt;Risk of hepatitis C virus transmission from an infected gynecologist to patients: results of a 7-year retrospective investigation&lt;/title&gt;&lt;secondary-title&gt;Archives of Internal Medicine&lt;/secondary-title&gt;&lt;/titles&gt;&lt;periodical&gt;&lt;full-title&gt;Archives of Internal Medicine&lt;/full-title&gt;&lt;/periodical&gt;&lt;pages&gt;805-810&lt;/pages&gt;&lt;volume&gt;162&lt;/volume&gt;&lt;number&gt;7&lt;/number&gt;&lt;dates&gt;&lt;year&gt;2002&lt;/year&gt;&lt;/dates&gt;&lt;isbn&gt;0003-9926&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45" w:tooltip="Ross, 2002 #146" w:history="1">
              <w:r w:rsidRPr="003049C5">
                <w:rPr>
                  <w:rFonts w:eastAsia="Arial" w:cs="Arial"/>
                  <w:noProof/>
                  <w:sz w:val="20"/>
                  <w:szCs w:val="20"/>
                  <w:lang w:val="en-AU"/>
                </w:rPr>
                <w:t>45</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shd w:val="clear" w:color="auto" w:fill="auto"/>
            <w:vAlign w:val="center"/>
          </w:tcPr>
          <w:p w14:paraId="39E053D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Germany</w:t>
            </w:r>
          </w:p>
        </w:tc>
        <w:tc>
          <w:tcPr>
            <w:tcW w:w="963" w:type="pct"/>
            <w:tcBorders>
              <w:left w:val="single" w:sz="8" w:space="0" w:color="4F81BD"/>
              <w:right w:val="single" w:sz="8" w:space="0" w:color="4F81BD"/>
            </w:tcBorders>
            <w:shd w:val="clear" w:color="auto" w:fill="auto"/>
            <w:vAlign w:val="center"/>
          </w:tcPr>
          <w:p w14:paraId="6DFD0F3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Obstetrician/</w:t>
            </w:r>
          </w:p>
          <w:p w14:paraId="203D559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gynaecologist</w:t>
            </w:r>
          </w:p>
        </w:tc>
        <w:tc>
          <w:tcPr>
            <w:tcW w:w="589" w:type="pct"/>
            <w:shd w:val="clear" w:color="auto" w:fill="auto"/>
            <w:vAlign w:val="center"/>
          </w:tcPr>
          <w:p w14:paraId="6C0A87D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w:t>
            </w:r>
          </w:p>
        </w:tc>
        <w:tc>
          <w:tcPr>
            <w:tcW w:w="508" w:type="pct"/>
            <w:tcBorders>
              <w:left w:val="single" w:sz="8" w:space="0" w:color="4F81BD"/>
              <w:right w:val="single" w:sz="8" w:space="0" w:color="4F81BD"/>
            </w:tcBorders>
            <w:shd w:val="clear" w:color="auto" w:fill="auto"/>
            <w:vAlign w:val="center"/>
          </w:tcPr>
          <w:p w14:paraId="6B0AC74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2286</w:t>
            </w:r>
          </w:p>
        </w:tc>
        <w:tc>
          <w:tcPr>
            <w:tcW w:w="550" w:type="pct"/>
            <w:shd w:val="clear" w:color="auto" w:fill="auto"/>
            <w:vAlign w:val="center"/>
          </w:tcPr>
          <w:p w14:paraId="178AFBA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0.04</w:t>
            </w:r>
          </w:p>
        </w:tc>
        <w:tc>
          <w:tcPr>
            <w:tcW w:w="756" w:type="pct"/>
            <w:shd w:val="clear" w:color="auto" w:fill="auto"/>
            <w:vAlign w:val="center"/>
          </w:tcPr>
          <w:p w14:paraId="49E4226F"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EPPs</w:t>
            </w:r>
          </w:p>
        </w:tc>
      </w:tr>
      <w:tr w:rsidR="002F1BC7" w:rsidRPr="003049C5" w14:paraId="3DE1DD99" w14:textId="77777777" w:rsidTr="00FF0ED0">
        <w:trPr>
          <w:trHeight w:val="397"/>
        </w:trPr>
        <w:tc>
          <w:tcPr>
            <w:tcW w:w="628" w:type="pct"/>
            <w:tcBorders>
              <w:top w:val="single" w:sz="8" w:space="0" w:color="4F81BD"/>
              <w:left w:val="single" w:sz="8" w:space="0" w:color="4F81BD"/>
              <w:bottom w:val="single" w:sz="8" w:space="0" w:color="4F81BD"/>
            </w:tcBorders>
            <w:shd w:val="clear" w:color="auto" w:fill="auto"/>
            <w:vAlign w:val="center"/>
          </w:tcPr>
          <w:p w14:paraId="24D9F5E3"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1996</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58BAD79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&lt;EndNote&gt;&lt;Cite&gt;&lt;Author&gt;Cody&lt;/Author&gt;&lt;Year&gt;2002&lt;/Year&gt;&lt;RecNum&gt;32&lt;/RecNum&gt;&lt;DisplayText&gt;[46]&lt;/DisplayText&gt;&lt;record&gt;&lt;rec-number&gt;32&lt;/rec-number&gt;&lt;foreign-keys&gt;&lt;key app="EN" db-id="5d9ze055j2zd5revw2n50xpwd0fze9frtdxr"&gt;32&lt;/key&gt;&lt;/foreign-keys&gt;&lt;ref-type name="Journal Article"&gt;17&lt;/ref-type&gt;&lt;contributors&gt;&lt;authors&gt;&lt;author&gt;Cody, Sara H&lt;/author&gt;&lt;author&gt;Nainan, Omana V&lt;/author&gt;&lt;author&gt;Garfein, Richard S&lt;/author&gt;&lt;author&gt;Meyers, Hildy&lt;/author&gt;&lt;author&gt;Bell, Beth P&lt;/author&gt;&lt;author&gt;Shapiro, Craig N&lt;/author&gt;&lt;author&gt;Meeks, Emory L&lt;/author&gt;&lt;author&gt;Pitt, Harriett&lt;/author&gt;&lt;author&gt;Mouzin, Eric&lt;/author&gt;&lt;author&gt;Alter, Miriam J&lt;/author&gt;&lt;/authors&gt;&lt;/contributors&gt;&lt;titles&gt;&lt;title&gt;Hepatitis C virus transmission from an anesthesiologist to a patient&lt;/title&gt;&lt;secondary-title&gt;Archives of Internal Medicine&lt;/secondary-title&gt;&lt;/titles&gt;&lt;periodical&gt;&lt;full-title&gt;Archives of Internal Medicine&lt;/full-title&gt;&lt;/periodical&gt;&lt;pages&gt;345-350&lt;/pages&gt;&lt;volume&gt;162&lt;/volume&gt;&lt;number&gt;3&lt;/number&gt;&lt;dates&gt;&lt;year&gt;2002&lt;/year&gt;&lt;/dates&gt;&lt;isbn&gt;0003-9926&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46" w:tooltip="Cody, 2002 #32" w:history="1">
              <w:r w:rsidRPr="003049C5">
                <w:rPr>
                  <w:rFonts w:eastAsia="Arial" w:cs="Arial"/>
                  <w:noProof/>
                  <w:sz w:val="20"/>
                  <w:szCs w:val="20"/>
                  <w:lang w:val="en-AU"/>
                </w:rPr>
                <w:t>46</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12ED725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US</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3A47DC6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Anaesthesiologist</w:t>
            </w:r>
          </w:p>
        </w:tc>
        <w:tc>
          <w:tcPr>
            <w:tcW w:w="589" w:type="pct"/>
            <w:tcBorders>
              <w:top w:val="single" w:sz="8" w:space="0" w:color="4F81BD"/>
              <w:bottom w:val="single" w:sz="8" w:space="0" w:color="4F81BD"/>
            </w:tcBorders>
            <w:shd w:val="clear" w:color="auto" w:fill="auto"/>
            <w:vAlign w:val="center"/>
          </w:tcPr>
          <w:p w14:paraId="71DE433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76C6585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348</w:t>
            </w:r>
          </w:p>
        </w:tc>
        <w:tc>
          <w:tcPr>
            <w:tcW w:w="550" w:type="pct"/>
            <w:tcBorders>
              <w:top w:val="single" w:sz="8" w:space="0" w:color="4F81BD"/>
              <w:bottom w:val="single" w:sz="8" w:space="0" w:color="4F81BD"/>
            </w:tcBorders>
            <w:shd w:val="clear" w:color="auto" w:fill="auto"/>
            <w:vAlign w:val="center"/>
          </w:tcPr>
          <w:p w14:paraId="32390CD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0.29</w:t>
            </w:r>
          </w:p>
        </w:tc>
        <w:tc>
          <w:tcPr>
            <w:tcW w:w="756" w:type="pct"/>
            <w:tcBorders>
              <w:top w:val="single" w:sz="8" w:space="0" w:color="4F81BD"/>
              <w:bottom w:val="single" w:sz="8" w:space="0" w:color="4F81BD"/>
              <w:right w:val="single" w:sz="8" w:space="0" w:color="4F81BD"/>
            </w:tcBorders>
            <w:shd w:val="clear" w:color="auto" w:fill="auto"/>
            <w:vAlign w:val="center"/>
          </w:tcPr>
          <w:p w14:paraId="51AEE707"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unknown</w:t>
            </w:r>
          </w:p>
        </w:tc>
      </w:tr>
      <w:tr w:rsidR="002F1BC7" w:rsidRPr="003049C5" w14:paraId="71C335EC" w14:textId="77777777" w:rsidTr="00FF0ED0">
        <w:trPr>
          <w:trHeight w:val="397"/>
        </w:trPr>
        <w:tc>
          <w:tcPr>
            <w:tcW w:w="628" w:type="pct"/>
            <w:shd w:val="clear" w:color="auto" w:fill="auto"/>
            <w:vAlign w:val="center"/>
          </w:tcPr>
          <w:p w14:paraId="1CFEF932"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1998</w:t>
            </w:r>
          </w:p>
        </w:tc>
        <w:tc>
          <w:tcPr>
            <w:tcW w:w="459" w:type="pct"/>
            <w:tcBorders>
              <w:left w:val="single" w:sz="8" w:space="0" w:color="4F81BD"/>
              <w:right w:val="single" w:sz="8" w:space="0" w:color="4F81BD"/>
            </w:tcBorders>
            <w:shd w:val="clear" w:color="auto" w:fill="auto"/>
            <w:vAlign w:val="center"/>
          </w:tcPr>
          <w:p w14:paraId="7CAAB8F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&lt;EndNote&gt;&lt;Cite&gt;&lt;Author&gt;Ross&lt;/Author&gt;&lt;Year&gt;2000&lt;/Year&gt;&lt;RecNum&gt;143&lt;/RecNum&gt;&lt;DisplayText&gt;[47]&lt;/DisplayText&gt;&lt;record&gt;&lt;rec-number&gt;143&lt;/rec-number&gt;&lt;foreign-keys&gt;&lt;key app="EN" db-id="5d9ze055j2zd5revw2n50xpwd0fze9frtdxr"&gt;143&lt;/key&gt;&lt;/foreign-keys&gt;&lt;ref-type name="Journal Article"&gt;17&lt;/ref-type&gt;&lt;contributors&gt;&lt;authors&gt;&lt;author&gt;Ross, R Stefan&lt;/author&gt;&lt;author&gt;Viazov, Sergei&lt;/author&gt;&lt;author&gt;Gross, Tanja&lt;/author&gt;&lt;author&gt;Hofmann, Friedrich&lt;/author&gt;&lt;author&gt;Seipp, Hans-Martin&lt;/author&gt;&lt;author&gt;Roggendorf, Michael&lt;/author&gt;&lt;/authors&gt;&lt;/contributors&gt;&lt;titles&gt;&lt;title&gt;Transmission of hepatitis C virus from a patient to an anesthesiology assistant to five patients&lt;/title&gt;&lt;secondary-title&gt;New England Journal of Medicine&lt;/secondary-title&gt;&lt;/titles&gt;&lt;periodical&gt;&lt;full-title&gt;New England Journal of Medicine&lt;/full-title&gt;&lt;/periodical&gt;&lt;pages&gt;1851-1854&lt;/pages&gt;&lt;volume&gt;343&lt;/volume&gt;&lt;number&gt;25&lt;/number&gt;&lt;dates&gt;&lt;year&gt;2000&lt;/year&gt;&lt;/dates&gt;&lt;isbn&gt;0028-4793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47" w:tooltip="Ross, 2000 #143" w:history="1">
              <w:r w:rsidRPr="003049C5">
                <w:rPr>
                  <w:rFonts w:eastAsia="Arial" w:cs="Arial"/>
                  <w:noProof/>
                  <w:sz w:val="20"/>
                  <w:szCs w:val="20"/>
                  <w:lang w:val="en-AU"/>
                </w:rPr>
                <w:t>47</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shd w:val="clear" w:color="auto" w:fill="auto"/>
            <w:vAlign w:val="center"/>
          </w:tcPr>
          <w:p w14:paraId="3C87F39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Germany</w:t>
            </w:r>
          </w:p>
        </w:tc>
        <w:tc>
          <w:tcPr>
            <w:tcW w:w="963" w:type="pct"/>
            <w:tcBorders>
              <w:left w:val="single" w:sz="8" w:space="0" w:color="4F81BD"/>
              <w:right w:val="single" w:sz="8" w:space="0" w:color="4F81BD"/>
            </w:tcBorders>
            <w:shd w:val="clear" w:color="auto" w:fill="auto"/>
            <w:vAlign w:val="center"/>
          </w:tcPr>
          <w:p w14:paraId="4697CEE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Anaesthesiology assistant*</w:t>
            </w:r>
          </w:p>
        </w:tc>
        <w:tc>
          <w:tcPr>
            <w:tcW w:w="589" w:type="pct"/>
            <w:shd w:val="clear" w:color="auto" w:fill="auto"/>
            <w:vAlign w:val="center"/>
          </w:tcPr>
          <w:p w14:paraId="48EA3E5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5</w:t>
            </w:r>
          </w:p>
        </w:tc>
        <w:tc>
          <w:tcPr>
            <w:tcW w:w="508" w:type="pct"/>
            <w:tcBorders>
              <w:left w:val="single" w:sz="8" w:space="0" w:color="4F81BD"/>
              <w:right w:val="single" w:sz="8" w:space="0" w:color="4F81BD"/>
            </w:tcBorders>
            <w:shd w:val="clear" w:color="auto" w:fill="auto"/>
            <w:vAlign w:val="center"/>
          </w:tcPr>
          <w:p w14:paraId="5D66DDE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838</w:t>
            </w:r>
          </w:p>
        </w:tc>
        <w:tc>
          <w:tcPr>
            <w:tcW w:w="550" w:type="pct"/>
            <w:shd w:val="clear" w:color="auto" w:fill="auto"/>
            <w:vAlign w:val="center"/>
          </w:tcPr>
          <w:p w14:paraId="4E5B031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0.6</w:t>
            </w:r>
          </w:p>
        </w:tc>
        <w:tc>
          <w:tcPr>
            <w:tcW w:w="756" w:type="pct"/>
            <w:shd w:val="clear" w:color="auto" w:fill="auto"/>
            <w:vAlign w:val="center"/>
          </w:tcPr>
          <w:p w14:paraId="14934B7A"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cs="Arial"/>
                <w:b/>
                <w:bCs/>
                <w:sz w:val="20"/>
                <w:szCs w:val="20"/>
              </w:rPr>
              <w:t xml:space="preserve">Numerous breaches of infection control practices </w:t>
            </w:r>
          </w:p>
        </w:tc>
      </w:tr>
      <w:tr w:rsidR="002F1BC7" w:rsidRPr="003049C5" w14:paraId="4FA65632" w14:textId="77777777" w:rsidTr="00FF0ED0">
        <w:trPr>
          <w:trHeight w:val="397"/>
        </w:trPr>
        <w:tc>
          <w:tcPr>
            <w:tcW w:w="628" w:type="pct"/>
            <w:tcBorders>
              <w:top w:val="single" w:sz="8" w:space="0" w:color="4F81BD"/>
              <w:left w:val="single" w:sz="8" w:space="0" w:color="4F81BD"/>
              <w:bottom w:val="single" w:sz="8" w:space="0" w:color="4F81BD"/>
            </w:tcBorders>
            <w:shd w:val="clear" w:color="auto" w:fill="auto"/>
            <w:vAlign w:val="center"/>
          </w:tcPr>
          <w:p w14:paraId="68F89E2F"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1999-2000</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24D9703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&lt;EndNote&gt;&lt;Cite&gt;&lt;Author&gt;Ross&lt;/Author&gt;&lt;Year&gt;2002&lt;/Year&gt;&lt;RecNum&gt;27&lt;/RecNum&gt;&lt;DisplayText&gt;[48]&lt;/DisplayText&gt;&lt;record&gt;&lt;rec-number&gt;27&lt;/rec-number&gt;&lt;foreign-keys&gt;&lt;key app="EN" db-id="5d9ze055j2zd5revw2n50xpwd0fze9frtdxr"&gt;27&lt;/key&gt;&lt;/foreign-keys&gt;&lt;ref-type name="Journal Article"&gt;17&lt;/ref-type&gt;&lt;contributors&gt;&lt;authors&gt;&lt;author&gt;Ross, R Stefan&lt;/author&gt;&lt;author&gt;Viazov, Sergei&lt;/author&gt;&lt;author&gt;Roggendorf, Michael&lt;/author&gt;&lt;/authors&gt;&lt;/contributors&gt;&lt;titles&gt;&lt;title&gt;Phylogenetic analysis indicates transmission of hepatitis C virus from an infected orthopedic surgeon to a patient&lt;/title&gt;&lt;secondary-title&gt;Journal of medical virology&lt;/secondary-title&gt;&lt;/titles&gt;&lt;periodical&gt;&lt;full-title&gt;Journal of medical virology&lt;/full-title&gt;&lt;/periodical&gt;&lt;pages&gt;461-467&lt;/pages&gt;&lt;volume&gt;66&lt;/volume&gt;&lt;number&gt;4&lt;/number&gt;&lt;dates&gt;&lt;year&gt;2002&lt;/year&gt;&lt;/dates&gt;&lt;isbn&gt;1096-9071&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48" w:tooltip="Ross, 2002 #27" w:history="1">
              <w:r w:rsidRPr="003049C5">
                <w:rPr>
                  <w:rFonts w:eastAsia="Arial" w:cs="Arial"/>
                  <w:noProof/>
                  <w:sz w:val="20"/>
                  <w:szCs w:val="20"/>
                  <w:lang w:val="en-AU"/>
                </w:rPr>
                <w:t>48</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44B3444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Germany</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2C4F1E2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Orthopaedic surgeon</w:t>
            </w:r>
          </w:p>
        </w:tc>
        <w:tc>
          <w:tcPr>
            <w:tcW w:w="589" w:type="pct"/>
            <w:tcBorders>
              <w:top w:val="single" w:sz="8" w:space="0" w:color="4F81BD"/>
              <w:bottom w:val="single" w:sz="8" w:space="0" w:color="4F81BD"/>
            </w:tcBorders>
            <w:shd w:val="clear" w:color="auto" w:fill="auto"/>
            <w:vAlign w:val="center"/>
          </w:tcPr>
          <w:p w14:paraId="7244872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4A01937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207</w:t>
            </w:r>
          </w:p>
        </w:tc>
        <w:tc>
          <w:tcPr>
            <w:tcW w:w="550" w:type="pct"/>
            <w:tcBorders>
              <w:top w:val="single" w:sz="8" w:space="0" w:color="4F81BD"/>
              <w:bottom w:val="single" w:sz="8" w:space="0" w:color="4F81BD"/>
            </w:tcBorders>
            <w:shd w:val="clear" w:color="auto" w:fill="auto"/>
            <w:vAlign w:val="center"/>
          </w:tcPr>
          <w:p w14:paraId="39844F1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0.48</w:t>
            </w:r>
          </w:p>
        </w:tc>
        <w:tc>
          <w:tcPr>
            <w:tcW w:w="756" w:type="pct"/>
            <w:tcBorders>
              <w:top w:val="single" w:sz="8" w:space="0" w:color="4F81BD"/>
              <w:bottom w:val="single" w:sz="8" w:space="0" w:color="4F81BD"/>
              <w:right w:val="single" w:sz="8" w:space="0" w:color="4F81BD"/>
            </w:tcBorders>
            <w:shd w:val="clear" w:color="auto" w:fill="auto"/>
            <w:vAlign w:val="center"/>
          </w:tcPr>
          <w:p w14:paraId="23DC25E4"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EPP</w:t>
            </w:r>
          </w:p>
        </w:tc>
      </w:tr>
      <w:tr w:rsidR="002F1BC7" w:rsidRPr="003049C5" w14:paraId="63874363" w14:textId="77777777" w:rsidTr="00FF0ED0">
        <w:trPr>
          <w:trHeight w:val="397"/>
        </w:trPr>
        <w:tc>
          <w:tcPr>
            <w:tcW w:w="628" w:type="pct"/>
            <w:shd w:val="clear" w:color="auto" w:fill="auto"/>
            <w:vAlign w:val="center"/>
          </w:tcPr>
          <w:p w14:paraId="3B45A91C"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2001</w:t>
            </w:r>
          </w:p>
        </w:tc>
        <w:tc>
          <w:tcPr>
            <w:tcW w:w="459" w:type="pct"/>
            <w:tcBorders>
              <w:left w:val="single" w:sz="8" w:space="0" w:color="4F81BD"/>
              <w:right w:val="single" w:sz="8" w:space="0" w:color="4F81BD"/>
            </w:tcBorders>
            <w:shd w:val="clear" w:color="auto" w:fill="auto"/>
            <w:vAlign w:val="center"/>
          </w:tcPr>
          <w:p w14:paraId="7A75750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&lt;EndNote&gt;&lt;Cite&gt;&lt;Author&gt;Stark&lt;/Author&gt;&lt;Year&gt;2006&lt;/Year&gt;&lt;RecNum&gt;140&lt;/RecNum&gt;&lt;DisplayText&gt;[49]&lt;/DisplayText&gt;&lt;record&gt;&lt;rec-number&gt;140&lt;/rec-number&gt;&lt;foreign-keys&gt;&lt;key app="EN" db-id="5d9ze055j2zd5revw2n50xpwd0fze9frtdxr"&gt;140&lt;/key&gt;&lt;/foreign-keys&gt;&lt;ref-type name="Journal Article"&gt;17&lt;/ref-type&gt;&lt;contributors&gt;&lt;authors&gt;&lt;author&gt;Stark, K&lt;/author&gt;&lt;author&gt;Hänel, M&lt;/author&gt;&lt;author&gt;Berg, T&lt;/author&gt;&lt;author&gt;Schreier, E&lt;/author&gt;&lt;/authors&gt;&lt;/contributors&gt;&lt;titles&gt;&lt;title&gt;Nosocomial transmission of hepatitis C virus from an anesthesiologist to three patients–epidemiologic and molecular evidence&lt;/title&gt;&lt;secondary-title&gt;Archives of Virology&lt;/secondary-title&gt;&lt;/titles&gt;&lt;periodical&gt;&lt;full-title&gt;Archives of virology&lt;/full-title&gt;&lt;/periodical&gt;&lt;pages&gt;1025-1030&lt;/pages&gt;&lt;volume&gt;151&lt;/volume&gt;&lt;number&gt;5&lt;/number&gt;&lt;dates&gt;&lt;year&gt;2006&lt;/year&gt;&lt;/dates&gt;&lt;isbn&gt;0304-8608&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49" w:tooltip="Stark, 2006 #140" w:history="1">
              <w:r w:rsidRPr="003049C5">
                <w:rPr>
                  <w:rFonts w:eastAsia="Arial" w:cs="Arial"/>
                  <w:noProof/>
                  <w:sz w:val="20"/>
                  <w:szCs w:val="20"/>
                  <w:lang w:val="en-AU"/>
                </w:rPr>
                <w:t>49</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shd w:val="clear" w:color="auto" w:fill="auto"/>
            <w:vAlign w:val="center"/>
          </w:tcPr>
          <w:p w14:paraId="07188AC8"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Germany</w:t>
            </w:r>
          </w:p>
        </w:tc>
        <w:tc>
          <w:tcPr>
            <w:tcW w:w="963" w:type="pct"/>
            <w:tcBorders>
              <w:left w:val="single" w:sz="8" w:space="0" w:color="4F81BD"/>
              <w:right w:val="single" w:sz="8" w:space="0" w:color="4F81BD"/>
            </w:tcBorders>
            <w:shd w:val="clear" w:color="auto" w:fill="auto"/>
            <w:vAlign w:val="center"/>
          </w:tcPr>
          <w:p w14:paraId="5390D55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Anaesthesiologist</w:t>
            </w:r>
          </w:p>
        </w:tc>
        <w:tc>
          <w:tcPr>
            <w:tcW w:w="589" w:type="pct"/>
            <w:shd w:val="clear" w:color="auto" w:fill="auto"/>
            <w:vAlign w:val="center"/>
          </w:tcPr>
          <w:p w14:paraId="7654B39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3</w:t>
            </w:r>
          </w:p>
        </w:tc>
        <w:tc>
          <w:tcPr>
            <w:tcW w:w="508" w:type="pct"/>
            <w:tcBorders>
              <w:left w:val="single" w:sz="8" w:space="0" w:color="4F81BD"/>
              <w:right w:val="single" w:sz="8" w:space="0" w:color="4F81BD"/>
            </w:tcBorders>
            <w:shd w:val="clear" w:color="auto" w:fill="auto"/>
            <w:vAlign w:val="center"/>
          </w:tcPr>
          <w:p w14:paraId="2A7B351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479</w:t>
            </w:r>
          </w:p>
        </w:tc>
        <w:tc>
          <w:tcPr>
            <w:tcW w:w="550" w:type="pct"/>
            <w:shd w:val="clear" w:color="auto" w:fill="auto"/>
            <w:vAlign w:val="center"/>
          </w:tcPr>
          <w:p w14:paraId="53AFE5C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0.63</w:t>
            </w:r>
          </w:p>
        </w:tc>
        <w:tc>
          <w:tcPr>
            <w:tcW w:w="756" w:type="pct"/>
            <w:shd w:val="clear" w:color="auto" w:fill="auto"/>
            <w:vAlign w:val="center"/>
          </w:tcPr>
          <w:p w14:paraId="1E0FE9C1"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 xml:space="preserve">Breaches of infection control practices </w:t>
            </w:r>
          </w:p>
        </w:tc>
      </w:tr>
      <w:tr w:rsidR="002F1BC7" w:rsidRPr="003049C5" w14:paraId="5CE4B2CC" w14:textId="77777777" w:rsidTr="00FF0ED0">
        <w:trPr>
          <w:trHeight w:val="397"/>
        </w:trPr>
        <w:tc>
          <w:tcPr>
            <w:tcW w:w="628" w:type="pct"/>
            <w:tcBorders>
              <w:top w:val="single" w:sz="8" w:space="0" w:color="4F81BD"/>
              <w:left w:val="single" w:sz="8" w:space="0" w:color="4F81BD"/>
              <w:bottom w:val="single" w:sz="8" w:space="0" w:color="4F81BD"/>
            </w:tcBorders>
            <w:shd w:val="clear" w:color="auto" w:fill="auto"/>
            <w:vAlign w:val="center"/>
          </w:tcPr>
          <w:p w14:paraId="57312898"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2001-2003</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13EF442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&lt;EndNote&gt;&lt;Cite&gt;&lt;Author&gt;Shemer-Avni&lt;/Author&gt;&lt;Year&gt;2007&lt;/Year&gt;&lt;RecNum&gt;139&lt;/RecNum&gt;&lt;DisplayText&gt;[50]&lt;/DisplayText&gt;&lt;record&gt;&lt;rec-number&gt;139&lt;/rec-number&gt;&lt;foreign-keys&gt;&lt;key app="EN" db-id="5d9ze055j2zd5revw2n50xpwd0fze9frtdxr"&gt;139&lt;/key&gt;&lt;/foreign-keys&gt;&lt;ref-type name="Journal Article"&gt;17&lt;/ref-type&gt;&lt;contributors&gt;&lt;authors&gt;&lt;author&gt;Shemer-Avni, Yonat&lt;/author&gt;&lt;author&gt;Cohen, Michal&lt;/author&gt;&lt;author&gt;Keren-Naus, Ayelet&lt;/author&gt;&lt;author&gt;Sikuler, Emanuel&lt;/author&gt;&lt;author&gt;Hanuka, Negba&lt;/author&gt;&lt;author&gt;Yaari, Arie&lt;/author&gt;&lt;author&gt;Hayam, Eithan&lt;/author&gt;&lt;author&gt;Bachmatov, Larisa&lt;/author&gt;&lt;author&gt;Zemel, Romy&lt;/author&gt;&lt;author&gt;Tur-Kaspa, Ran&lt;/author&gt;&lt;/authors&gt;&lt;/contributors&gt;&lt;titles&gt;&lt;title&gt;Iatrogenic transmission of hepatitis C virus (HCV) by an anesthesiologist: comparative molecular analysis of the HCV-E1 and HCV-E2 hypervariable regions&lt;/title&gt;&lt;secondary-title&gt;Clinical Infectious Diseases&lt;/secondary-title&gt;&lt;/titles&gt;&lt;periodical&gt;&lt;full-title&gt;Clinical infectious diseases&lt;/full-title&gt;&lt;/periodical&gt;&lt;pages&gt;e32-e38&lt;/pages&gt;&lt;volume&gt;45&lt;/volume&gt;&lt;number&gt;4&lt;/number&gt;&lt;dates&gt;&lt;year&gt;2007&lt;/year&gt;&lt;/dates&gt;&lt;isbn&gt;1058-4838&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50" w:tooltip="Shemer-Avni, 2007 #139" w:history="1">
              <w:r w:rsidRPr="003049C5">
                <w:rPr>
                  <w:rFonts w:eastAsia="Arial" w:cs="Arial"/>
                  <w:noProof/>
                  <w:sz w:val="20"/>
                  <w:szCs w:val="20"/>
                  <w:lang w:val="en-AU"/>
                </w:rPr>
                <w:t>50</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5D17874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Israel</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6AAE991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Anaesthesiologist</w:t>
            </w:r>
          </w:p>
        </w:tc>
        <w:tc>
          <w:tcPr>
            <w:tcW w:w="589" w:type="pct"/>
            <w:tcBorders>
              <w:top w:val="single" w:sz="8" w:space="0" w:color="4F81BD"/>
              <w:bottom w:val="single" w:sz="8" w:space="0" w:color="4F81BD"/>
            </w:tcBorders>
            <w:shd w:val="clear" w:color="auto" w:fill="auto"/>
            <w:vAlign w:val="center"/>
          </w:tcPr>
          <w:p w14:paraId="47332A4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33</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10EA688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1200</w:t>
            </w:r>
          </w:p>
        </w:tc>
        <w:tc>
          <w:tcPr>
            <w:tcW w:w="550" w:type="pct"/>
            <w:tcBorders>
              <w:top w:val="single" w:sz="8" w:space="0" w:color="4F81BD"/>
              <w:bottom w:val="single" w:sz="8" w:space="0" w:color="4F81BD"/>
            </w:tcBorders>
            <w:shd w:val="clear" w:color="auto" w:fill="auto"/>
            <w:vAlign w:val="center"/>
          </w:tcPr>
          <w:p w14:paraId="0BB8980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2.75%</w:t>
            </w:r>
          </w:p>
        </w:tc>
        <w:tc>
          <w:tcPr>
            <w:tcW w:w="756" w:type="pct"/>
            <w:tcBorders>
              <w:top w:val="single" w:sz="8" w:space="0" w:color="4F81BD"/>
              <w:bottom w:val="single" w:sz="8" w:space="0" w:color="4F81BD"/>
              <w:right w:val="single" w:sz="8" w:space="0" w:color="4F81BD"/>
            </w:tcBorders>
            <w:shd w:val="clear" w:color="auto" w:fill="auto"/>
            <w:vAlign w:val="center"/>
          </w:tcPr>
          <w:p w14:paraId="43ACF2A0"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IDU</w:t>
            </w:r>
          </w:p>
        </w:tc>
      </w:tr>
      <w:tr w:rsidR="002F1BC7" w:rsidRPr="003049C5" w14:paraId="1D8B9B51" w14:textId="77777777" w:rsidTr="00FF0ED0">
        <w:trPr>
          <w:trHeight w:val="397"/>
        </w:trPr>
        <w:tc>
          <w:tcPr>
            <w:tcW w:w="628" w:type="pct"/>
            <w:shd w:val="clear" w:color="auto" w:fill="auto"/>
            <w:vAlign w:val="center"/>
          </w:tcPr>
          <w:p w14:paraId="4CAC31AC"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2002-2005</w:t>
            </w:r>
          </w:p>
        </w:tc>
        <w:tc>
          <w:tcPr>
            <w:tcW w:w="459" w:type="pct"/>
            <w:tcBorders>
              <w:left w:val="single" w:sz="8" w:space="0" w:color="4F81BD"/>
              <w:right w:val="single" w:sz="8" w:space="0" w:color="4F81BD"/>
            </w:tcBorders>
            <w:shd w:val="clear" w:color="auto" w:fill="auto"/>
            <w:vAlign w:val="center"/>
          </w:tcPr>
          <w:p w14:paraId="04FA6D1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&lt;EndNote&gt;&lt;Cite&gt;&lt;Author&gt;Ross&lt;/Author&gt;&lt;Year&gt;2008&lt;/Year&gt;&lt;RecNum&gt;203&lt;/RecNum&gt;&lt;DisplayText&gt;[51]&lt;/DisplayText&gt;&lt;record&gt;&lt;rec-number&gt;203&lt;/rec-number&gt;&lt;foreign-keys&gt;&lt;key app="EN" db-id="5d9ze055j2zd5revw2n50xpwd0fze9frtdxr"&gt;203&lt;/key&gt;&lt;/foreign-keys&gt;&lt;ref-type name="Journal Article"&gt;17&lt;/ref-type&gt;&lt;contributors&gt;&lt;authors&gt;&lt;author&gt;Ross, RS&lt;/author&gt;&lt;author&gt;Steinbrückner, B&lt;/author&gt;&lt;author&gt;Böhm, S&lt;/author&gt;&lt;author&gt;Viazov, S&lt;/author&gt;&lt;author&gt;Jilg, W&lt;/author&gt;&lt;author&gt;Roggendorf, M&lt;/author&gt;&lt;/authors&gt;&lt;/contributors&gt;&lt;titles&gt;&lt;title&gt;Outcome of an exercise to notify patients treated by a general surgeon infected with the hepatitis C virus&lt;/title&gt;&lt;secondary-title&gt;Journal of Clinical Virology&lt;/secondary-title&gt;&lt;/titles&gt;&lt;periodical&gt;&lt;full-title&gt;Journal of Clinical Virology&lt;/full-title&gt;&lt;/periodical&gt;&lt;pages&gt;314-317&lt;/pages&gt;&lt;volume&gt;41&lt;/volume&gt;&lt;number&gt;4&lt;/number&gt;&lt;dates&gt;&lt;year&gt;2008&lt;/year&gt;&lt;/dates&gt;&lt;isbn&gt;1386-6532&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51" w:tooltip="Ross, 2008 #203" w:history="1">
              <w:r w:rsidRPr="003049C5">
                <w:rPr>
                  <w:rFonts w:eastAsia="Arial" w:cs="Arial"/>
                  <w:noProof/>
                  <w:sz w:val="20"/>
                  <w:szCs w:val="20"/>
                  <w:lang w:val="en-AU"/>
                </w:rPr>
                <w:t>51</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shd w:val="clear" w:color="auto" w:fill="auto"/>
            <w:vAlign w:val="center"/>
          </w:tcPr>
          <w:p w14:paraId="16383B3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Germany</w:t>
            </w:r>
          </w:p>
        </w:tc>
        <w:tc>
          <w:tcPr>
            <w:tcW w:w="963" w:type="pct"/>
            <w:tcBorders>
              <w:left w:val="single" w:sz="8" w:space="0" w:color="4F81BD"/>
              <w:right w:val="single" w:sz="8" w:space="0" w:color="4F81BD"/>
            </w:tcBorders>
            <w:shd w:val="clear" w:color="auto" w:fill="auto"/>
            <w:vAlign w:val="center"/>
          </w:tcPr>
          <w:p w14:paraId="06446C60"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Surgeon</w:t>
            </w:r>
          </w:p>
        </w:tc>
        <w:tc>
          <w:tcPr>
            <w:tcW w:w="589" w:type="pct"/>
            <w:shd w:val="clear" w:color="auto" w:fill="auto"/>
            <w:vAlign w:val="center"/>
          </w:tcPr>
          <w:p w14:paraId="09FE459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w:t>
            </w:r>
          </w:p>
        </w:tc>
        <w:tc>
          <w:tcPr>
            <w:tcW w:w="508" w:type="pct"/>
            <w:tcBorders>
              <w:left w:val="single" w:sz="8" w:space="0" w:color="4F81BD"/>
              <w:right w:val="single" w:sz="8" w:space="0" w:color="4F81BD"/>
            </w:tcBorders>
            <w:shd w:val="clear" w:color="auto" w:fill="auto"/>
            <w:vAlign w:val="center"/>
          </w:tcPr>
          <w:p w14:paraId="7AC16E59"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1193</w:t>
            </w:r>
          </w:p>
        </w:tc>
        <w:tc>
          <w:tcPr>
            <w:tcW w:w="550" w:type="pct"/>
            <w:shd w:val="clear" w:color="auto" w:fill="auto"/>
            <w:vAlign w:val="center"/>
          </w:tcPr>
          <w:p w14:paraId="69B3561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0.0%</w:t>
            </w:r>
          </w:p>
        </w:tc>
        <w:tc>
          <w:tcPr>
            <w:tcW w:w="756" w:type="pct"/>
            <w:shd w:val="clear" w:color="auto" w:fill="auto"/>
            <w:vAlign w:val="center"/>
          </w:tcPr>
          <w:p w14:paraId="1FFBE4F7"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EPPs</w:t>
            </w:r>
          </w:p>
        </w:tc>
      </w:tr>
      <w:tr w:rsidR="002F1BC7" w:rsidRPr="003049C5" w14:paraId="54167EB5" w14:textId="77777777" w:rsidTr="00FF0ED0">
        <w:trPr>
          <w:trHeight w:val="63"/>
        </w:trPr>
        <w:tc>
          <w:tcPr>
            <w:tcW w:w="628" w:type="pct"/>
            <w:tcBorders>
              <w:top w:val="single" w:sz="8" w:space="0" w:color="4F81BD"/>
              <w:left w:val="single" w:sz="8" w:space="0" w:color="4F81BD"/>
              <w:bottom w:val="single" w:sz="8" w:space="0" w:color="4F81BD"/>
            </w:tcBorders>
            <w:shd w:val="clear" w:color="auto" w:fill="auto"/>
            <w:vAlign w:val="center"/>
          </w:tcPr>
          <w:p w14:paraId="0FD24620"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2004-2007</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10D8E8F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&lt;EndNote&gt;&lt;Cite&gt;&lt;Author&gt;Olsen&lt;/Author&gt;&lt;Year&gt;2010&lt;/Year&gt;&lt;RecNum&gt;215&lt;/RecNum&gt;&lt;DisplayText&gt;[52]&lt;/DisplayText&gt;&lt;record&gt;&lt;rec-number&gt;215&lt;/rec-number&gt;&lt;foreign-keys&gt;&lt;key app="EN" db-id="5d9ze055j2zd5revw2n50xpwd0fze9frtdxr"&gt;215&lt;/key&gt;&lt;/foreign-keys&gt;&lt;ref-type name="Journal Article"&gt;17&lt;/ref-type&gt;&lt;contributors&gt;&lt;authors&gt;&lt;author&gt;Olsen, Karina&lt;/author&gt;&lt;author&gt;Dahl, Per Erling&lt;/author&gt;&lt;author&gt;Paulssen, Eyvind J&lt;/author&gt;&lt;author&gt;Husebekk, Anne&lt;/author&gt;&lt;author&gt;Widell, Anders&lt;/author&gt;&lt;author&gt;Busund, Rolf&lt;/author&gt;&lt;/authors&gt;&lt;/contributors&gt;&lt;titles&gt;&lt;title&gt;Increased risk of transmission of hepatitis C in open heart surgery compared with vascular and pulmonary surgery&lt;/title&gt;&lt;secondary-title&gt;The Annals of thoracic surgery&lt;/secondary-title&gt;&lt;/titles&gt;&lt;periodical&gt;&lt;full-title&gt;The Annals of thoracic surgery&lt;/full-title&gt;&lt;/periodical&gt;&lt;pages&gt;1425-1431&lt;/pages&gt;&lt;volume&gt;90&lt;/volume&gt;&lt;number&gt;5&lt;/number&gt;&lt;dates&gt;&lt;year&gt;2010&lt;/year&gt;&lt;/dates&gt;&lt;isbn&gt;0003-4975&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52" w:tooltip="Olsen, 2010 #215" w:history="1">
              <w:r w:rsidRPr="003049C5">
                <w:rPr>
                  <w:rFonts w:eastAsia="Arial" w:cs="Arial"/>
                  <w:noProof/>
                  <w:sz w:val="20"/>
                  <w:szCs w:val="20"/>
                  <w:lang w:val="en-AU"/>
                </w:rPr>
                <w:t>52</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6C6EB73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Norway</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6E78284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Cardiac surgeon*</w:t>
            </w:r>
          </w:p>
        </w:tc>
        <w:tc>
          <w:tcPr>
            <w:tcW w:w="589" w:type="pct"/>
            <w:tcBorders>
              <w:top w:val="single" w:sz="8" w:space="0" w:color="4F81BD"/>
              <w:bottom w:val="single" w:sz="8" w:space="0" w:color="4F81BD"/>
            </w:tcBorders>
            <w:shd w:val="clear" w:color="auto" w:fill="auto"/>
            <w:vAlign w:val="center"/>
          </w:tcPr>
          <w:p w14:paraId="12AEF21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10</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5C8AD17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270</w:t>
            </w:r>
          </w:p>
        </w:tc>
        <w:tc>
          <w:tcPr>
            <w:tcW w:w="550" w:type="pct"/>
            <w:tcBorders>
              <w:top w:val="single" w:sz="8" w:space="0" w:color="4F81BD"/>
              <w:bottom w:val="single" w:sz="8" w:space="0" w:color="4F81BD"/>
            </w:tcBorders>
            <w:shd w:val="clear" w:color="auto" w:fill="auto"/>
            <w:vAlign w:val="center"/>
          </w:tcPr>
          <w:p w14:paraId="5491E1D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3.7%</w:t>
            </w:r>
          </w:p>
        </w:tc>
        <w:tc>
          <w:tcPr>
            <w:tcW w:w="756" w:type="pct"/>
            <w:tcBorders>
              <w:top w:val="single" w:sz="8" w:space="0" w:color="4F81BD"/>
              <w:bottom w:val="single" w:sz="8" w:space="0" w:color="4F81BD"/>
              <w:right w:val="single" w:sz="8" w:space="0" w:color="4F81BD"/>
            </w:tcBorders>
            <w:shd w:val="clear" w:color="auto" w:fill="auto"/>
            <w:vAlign w:val="center"/>
          </w:tcPr>
          <w:p w14:paraId="7B931195"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EPPs</w:t>
            </w:r>
          </w:p>
        </w:tc>
      </w:tr>
      <w:tr w:rsidR="002F1BC7" w:rsidRPr="003049C5" w14:paraId="7E343454" w14:textId="77777777" w:rsidTr="00FF0ED0">
        <w:trPr>
          <w:trHeight w:val="397"/>
        </w:trPr>
        <w:tc>
          <w:tcPr>
            <w:tcW w:w="628" w:type="pct"/>
            <w:shd w:val="clear" w:color="auto" w:fill="auto"/>
            <w:vAlign w:val="center"/>
          </w:tcPr>
          <w:p w14:paraId="7E07D013"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2004</w:t>
            </w:r>
          </w:p>
        </w:tc>
        <w:tc>
          <w:tcPr>
            <w:tcW w:w="459" w:type="pct"/>
            <w:tcBorders>
              <w:left w:val="single" w:sz="8" w:space="0" w:color="4F81BD"/>
              <w:right w:val="single" w:sz="8" w:space="0" w:color="4F81BD"/>
            </w:tcBorders>
            <w:shd w:val="clear" w:color="auto" w:fill="auto"/>
            <w:vAlign w:val="center"/>
          </w:tcPr>
          <w:p w14:paraId="0CC65F7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&lt;EndNote&gt;&lt;Cite&gt;&lt;Author&gt;Lee&lt;/Author&gt;&lt;Year&gt;2005&lt;/Year&gt;&lt;RecNum&gt;216&lt;/RecNum&gt;&lt;DisplayText&gt;[53]&lt;/DisplayText&gt;&lt;record&gt;&lt;rec-number&gt;216&lt;/rec-number&gt;&lt;foreign-keys&gt;&lt;key app="EN" db-id="5d9ze055j2zd5revw2n50xpwd0fze9frtdxr"&gt;216&lt;/key&gt;&lt;/foreign-keys&gt;&lt;ref-type name="Conference Proceedings"&gt;10&lt;/ref-type&gt;&lt;contributors&gt;&lt;authors&gt;&lt;author&gt;Lee, Karen&lt;/author&gt;&lt;/authors&gt;&lt;/contributors&gt;&lt;titles&gt;&lt;title&gt;Outbreak of acute hepatitis C virus (HCV) infections of two different genotypes associated with an HCV-infected anesthetist&lt;/title&gt;&lt;secondary-title&gt;43rd Annual Meeting&lt;/secondary-title&gt;&lt;/titles&gt;&lt;dates&gt;&lt;year&gt;2005&lt;/year&gt;&lt;/dates&gt;&lt;publisher&gt;Idsa&lt;/publisher&gt;&lt;urls&gt;&lt;/urls&gt;&lt;/record&gt;&lt;/Cite&gt;&lt;/EndNote&gt;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53" w:tooltip="Lee, 2005 #216" w:history="1">
              <w:r w:rsidRPr="003049C5">
                <w:rPr>
                  <w:rFonts w:eastAsia="Arial" w:cs="Arial"/>
                  <w:noProof/>
                  <w:sz w:val="20"/>
                  <w:szCs w:val="20"/>
                  <w:lang w:val="en-AU"/>
                </w:rPr>
                <w:t>53</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shd w:val="clear" w:color="auto" w:fill="auto"/>
            <w:vAlign w:val="center"/>
          </w:tcPr>
          <w:p w14:paraId="3148335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US</w:t>
            </w:r>
          </w:p>
        </w:tc>
        <w:tc>
          <w:tcPr>
            <w:tcW w:w="963" w:type="pct"/>
            <w:tcBorders>
              <w:left w:val="single" w:sz="8" w:space="0" w:color="4F81BD"/>
              <w:right w:val="single" w:sz="8" w:space="0" w:color="4F81BD"/>
            </w:tcBorders>
            <w:shd w:val="clear" w:color="auto" w:fill="auto"/>
            <w:vAlign w:val="center"/>
          </w:tcPr>
          <w:p w14:paraId="39E565E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Nurse anaesthetist</w:t>
            </w:r>
          </w:p>
          <w:p w14:paraId="3083CAC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Infected with 2 different genotypes</w:t>
            </w:r>
          </w:p>
        </w:tc>
        <w:tc>
          <w:tcPr>
            <w:tcW w:w="589" w:type="pct"/>
            <w:shd w:val="clear" w:color="auto" w:fill="auto"/>
            <w:vAlign w:val="center"/>
          </w:tcPr>
          <w:p w14:paraId="4B06148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15</w:t>
            </w:r>
          </w:p>
        </w:tc>
        <w:tc>
          <w:tcPr>
            <w:tcW w:w="508" w:type="pct"/>
            <w:tcBorders>
              <w:left w:val="single" w:sz="8" w:space="0" w:color="4F81BD"/>
              <w:right w:val="single" w:sz="8" w:space="0" w:color="4F81BD"/>
            </w:tcBorders>
            <w:shd w:val="clear" w:color="auto" w:fill="auto"/>
            <w:vAlign w:val="center"/>
          </w:tcPr>
          <w:p w14:paraId="434F0EC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196</w:t>
            </w:r>
          </w:p>
        </w:tc>
        <w:tc>
          <w:tcPr>
            <w:tcW w:w="550" w:type="pct"/>
            <w:shd w:val="clear" w:color="auto" w:fill="auto"/>
            <w:vAlign w:val="center"/>
          </w:tcPr>
          <w:p w14:paraId="4AF7EDC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7.65</w:t>
            </w:r>
          </w:p>
        </w:tc>
        <w:tc>
          <w:tcPr>
            <w:tcW w:w="756" w:type="pct"/>
            <w:shd w:val="clear" w:color="auto" w:fill="auto"/>
            <w:vAlign w:val="center"/>
          </w:tcPr>
          <w:p w14:paraId="24697EDA"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Suspected IDU</w:t>
            </w:r>
          </w:p>
        </w:tc>
      </w:tr>
      <w:tr w:rsidR="002F1BC7" w:rsidRPr="003049C5" w14:paraId="3545B8B0" w14:textId="77777777" w:rsidTr="00FF0ED0">
        <w:trPr>
          <w:trHeight w:val="397"/>
        </w:trPr>
        <w:tc>
          <w:tcPr>
            <w:tcW w:w="628" w:type="pct"/>
            <w:tcBorders>
              <w:top w:val="single" w:sz="8" w:space="0" w:color="4F81BD"/>
              <w:left w:val="single" w:sz="8" w:space="0" w:color="4F81BD"/>
              <w:bottom w:val="single" w:sz="8" w:space="0" w:color="4F81BD"/>
            </w:tcBorders>
            <w:shd w:val="clear" w:color="auto" w:fill="auto"/>
            <w:vAlign w:val="center"/>
          </w:tcPr>
          <w:p w14:paraId="33C87121"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2005</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2BA8C72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&lt;EndNote&gt;&lt;Cite&gt;&lt;Author&gt;UK Health Protection Agency&lt;/Author&gt;&lt;Year&gt;2005&lt;/Year&gt;&lt;RecNum&gt;30&lt;/RecNum&gt;&lt;DisplayText&gt;[54]&lt;/DisplayText&gt;&lt;record&gt;&lt;rec-number&gt;30&lt;/rec-number&gt;&lt;foreign-keys&gt;&lt;key app="EN" db-id="5d9ze055j2zd5revw2n50xpwd0fze9frtdxr"&gt;30&lt;/key&gt;&lt;/foreign-keys&gt;&lt;ref-type name="Journal Article"&gt;17&lt;/ref-type&gt;&lt;contributors&gt;&lt;authors&gt;&lt;author&gt;UK Health Protection Agency,&lt;/author&gt;&lt;/authors&gt;&lt;/contributors&gt;&lt;titles&gt;&lt;title&gt;Nationally co-ordinated hepatitis C look-back: England and Scotland. &lt;/title&gt;&lt;secondary-title&gt;CDR Weekly&lt;/secondary-title&gt;&lt;/titles&gt;&lt;periodical&gt;&lt;full-title&gt;CDR Weekly&lt;/full-title&gt;&lt;/periodical&gt;&lt;volume&gt;15&lt;/volume&gt;&lt;number&gt;5&lt;/number&gt;&lt;dates&gt;&lt;year&gt;2005&lt;/year&gt;&lt;/dates&gt;&lt;urls&gt;&lt;related-urls&gt;&lt;url&gt;http://webarchive.nationalarchives.gov.uk/20140714084352/http://www.hpa.org.uk/cdr/archives/2005/cdr1605.pdf &lt;/url&gt;&lt;/related-urls&gt;&lt;/urls&gt;&lt;access-date&gt;September 2009&lt;/access-date&gt;&lt;/record&gt;&lt;/Cite&gt;&lt;/EndNote&gt;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54" w:tooltip="UK Health Protection Agency, 2005 #30" w:history="1">
              <w:r w:rsidRPr="003049C5">
                <w:rPr>
                  <w:rFonts w:eastAsia="Arial" w:cs="Arial"/>
                  <w:noProof/>
                  <w:sz w:val="20"/>
                  <w:szCs w:val="20"/>
                  <w:lang w:val="en-AU"/>
                </w:rPr>
                <w:t>54</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04ECAD3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06BDB12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Dentist</w:t>
            </w:r>
          </w:p>
        </w:tc>
        <w:tc>
          <w:tcPr>
            <w:tcW w:w="589" w:type="pct"/>
            <w:tcBorders>
              <w:top w:val="single" w:sz="8" w:space="0" w:color="4F81BD"/>
              <w:bottom w:val="single" w:sz="8" w:space="0" w:color="4F81BD"/>
            </w:tcBorders>
            <w:shd w:val="clear" w:color="auto" w:fill="auto"/>
            <w:vAlign w:val="center"/>
          </w:tcPr>
          <w:p w14:paraId="364127E4"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7CA414B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2665</w:t>
            </w:r>
          </w:p>
        </w:tc>
        <w:tc>
          <w:tcPr>
            <w:tcW w:w="550" w:type="pct"/>
            <w:tcBorders>
              <w:top w:val="single" w:sz="8" w:space="0" w:color="4F81BD"/>
              <w:bottom w:val="single" w:sz="8" w:space="0" w:color="4F81BD"/>
            </w:tcBorders>
            <w:shd w:val="clear" w:color="auto" w:fill="auto"/>
            <w:vAlign w:val="center"/>
          </w:tcPr>
          <w:p w14:paraId="3DBAB35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w:t>
            </w:r>
          </w:p>
        </w:tc>
        <w:tc>
          <w:tcPr>
            <w:tcW w:w="756" w:type="pct"/>
            <w:tcBorders>
              <w:top w:val="single" w:sz="8" w:space="0" w:color="4F81BD"/>
              <w:bottom w:val="single" w:sz="8" w:space="0" w:color="4F81BD"/>
              <w:right w:val="single" w:sz="8" w:space="0" w:color="4F81BD"/>
            </w:tcBorders>
            <w:shd w:val="clear" w:color="auto" w:fill="auto"/>
            <w:vAlign w:val="center"/>
          </w:tcPr>
          <w:p w14:paraId="3E7F50A6"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EPPs</w:t>
            </w:r>
          </w:p>
        </w:tc>
      </w:tr>
      <w:tr w:rsidR="002F1BC7" w:rsidRPr="003049C5" w14:paraId="09CE3641" w14:textId="77777777" w:rsidTr="00FF0ED0">
        <w:trPr>
          <w:trHeight w:val="397"/>
        </w:trPr>
        <w:tc>
          <w:tcPr>
            <w:tcW w:w="628" w:type="pct"/>
            <w:shd w:val="clear" w:color="auto" w:fill="auto"/>
            <w:vAlign w:val="center"/>
          </w:tcPr>
          <w:p w14:paraId="4ECAFD3F"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2004-2010</w:t>
            </w:r>
          </w:p>
        </w:tc>
        <w:tc>
          <w:tcPr>
            <w:tcW w:w="459" w:type="pct"/>
            <w:tcBorders>
              <w:left w:val="single" w:sz="8" w:space="0" w:color="4F81BD"/>
              <w:right w:val="single" w:sz="8" w:space="0" w:color="4F81BD"/>
            </w:tcBorders>
            <w:shd w:val="clear" w:color="auto" w:fill="auto"/>
            <w:vAlign w:val="center"/>
          </w:tcPr>
          <w:p w14:paraId="5C62346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&lt;EndNote&gt;&lt;Cite&gt;&lt;Author&gt;Hellinger&lt;/Author&gt;&lt;Year&gt;2012&lt;/Year&gt;&lt;RecNum&gt;217&lt;/RecNum&gt;&lt;DisplayText&gt;[55]&lt;/DisplayText&gt;&lt;record&gt;&lt;rec-number&gt;217&lt;/rec-number&gt;&lt;foreign-keys&gt;&lt;key app="EN" db-id="5d9ze055j2zd5revw2n50xpwd0fze9frtdxr"&gt;217&lt;/key&gt;&lt;/foreign-keys&gt;&lt;ref-type name="Journal Article"&gt;17&lt;/ref-type&gt;&lt;contributors&gt;&lt;authors&gt;&lt;author&gt;Hellinger, Walter C&lt;/author&gt;&lt;author&gt;Bacalis, Laura P&lt;/author&gt;&lt;author&gt;Kay, Robyn S&lt;/author&gt;&lt;author&gt;Thompson, Nicola D&lt;/author&gt;&lt;author&gt;Xia, Guo-Liang&lt;/author&gt;&lt;author&gt;Lin, Yulin&lt;/author&gt;&lt;author&gt;Khudyakov, Yury E&lt;/author&gt;&lt;author&gt;Perz, Joseph F&lt;/author&gt;&lt;/authors&gt;&lt;/contributors&gt;&lt;titles&gt;&lt;title&gt;Health care–associated hepatitis C virus infections attributed to narcotic diversion&lt;/title&gt;&lt;secondary-title&gt;Annals of Internal Medicine&lt;/secondary-title&gt;&lt;/titles&gt;&lt;periodical&gt;&lt;full-title&gt;Annals of Internal Medicine&lt;/full-title&gt;&lt;/periodical&gt;&lt;pages&gt;477-482&lt;/pages&gt;&lt;volume&gt;156&lt;/volume&gt;&lt;number&gt;7&lt;/number&gt;&lt;dates&gt;&lt;year&gt;2012&lt;/year&gt;&lt;/dates&gt;&lt;isbn&gt;0003-4819&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55" w:tooltip="Hellinger, 2012 #217" w:history="1">
              <w:r w:rsidRPr="003049C5">
                <w:rPr>
                  <w:rFonts w:eastAsia="Arial" w:cs="Arial"/>
                  <w:noProof/>
                  <w:sz w:val="20"/>
                  <w:szCs w:val="20"/>
                  <w:lang w:val="en-AU"/>
                </w:rPr>
                <w:t>55</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shd w:val="clear" w:color="auto" w:fill="auto"/>
            <w:vAlign w:val="center"/>
          </w:tcPr>
          <w:p w14:paraId="3E811714"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US</w:t>
            </w:r>
          </w:p>
        </w:tc>
        <w:tc>
          <w:tcPr>
            <w:tcW w:w="963" w:type="pct"/>
            <w:tcBorders>
              <w:left w:val="single" w:sz="8" w:space="0" w:color="4F81BD"/>
              <w:right w:val="single" w:sz="8" w:space="0" w:color="4F81BD"/>
            </w:tcBorders>
            <w:shd w:val="clear" w:color="auto" w:fill="auto"/>
            <w:vAlign w:val="center"/>
          </w:tcPr>
          <w:p w14:paraId="795F34E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Radiological technologist</w:t>
            </w:r>
          </w:p>
        </w:tc>
        <w:tc>
          <w:tcPr>
            <w:tcW w:w="589" w:type="pct"/>
            <w:shd w:val="clear" w:color="auto" w:fill="auto"/>
            <w:vAlign w:val="center"/>
          </w:tcPr>
          <w:p w14:paraId="547E600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5</w:t>
            </w:r>
          </w:p>
        </w:tc>
        <w:tc>
          <w:tcPr>
            <w:tcW w:w="508" w:type="pct"/>
            <w:tcBorders>
              <w:left w:val="single" w:sz="8" w:space="0" w:color="4F81BD"/>
              <w:right w:val="single" w:sz="8" w:space="0" w:color="4F81BD"/>
            </w:tcBorders>
            <w:shd w:val="clear" w:color="auto" w:fill="auto"/>
            <w:vAlign w:val="center"/>
          </w:tcPr>
          <w:p w14:paraId="0F37F1F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3444</w:t>
            </w:r>
          </w:p>
        </w:tc>
        <w:tc>
          <w:tcPr>
            <w:tcW w:w="550" w:type="pct"/>
            <w:shd w:val="clear" w:color="auto" w:fill="auto"/>
            <w:vAlign w:val="center"/>
          </w:tcPr>
          <w:p w14:paraId="7049AA3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0.15</w:t>
            </w:r>
          </w:p>
        </w:tc>
        <w:tc>
          <w:tcPr>
            <w:tcW w:w="756" w:type="pct"/>
            <w:shd w:val="clear" w:color="auto" w:fill="auto"/>
            <w:vAlign w:val="center"/>
          </w:tcPr>
          <w:p w14:paraId="551460B0"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IDU</w:t>
            </w:r>
          </w:p>
        </w:tc>
      </w:tr>
      <w:tr w:rsidR="002F1BC7" w:rsidRPr="003049C5" w14:paraId="18AB9317" w14:textId="77777777" w:rsidTr="00FF0ED0">
        <w:trPr>
          <w:trHeight w:val="397"/>
        </w:trPr>
        <w:tc>
          <w:tcPr>
            <w:tcW w:w="628" w:type="pct"/>
            <w:tcBorders>
              <w:top w:val="single" w:sz="8" w:space="0" w:color="4F81BD"/>
              <w:left w:val="single" w:sz="8" w:space="0" w:color="4F81BD"/>
              <w:bottom w:val="single" w:sz="8" w:space="0" w:color="4F81BD"/>
            </w:tcBorders>
            <w:shd w:val="clear" w:color="auto" w:fill="auto"/>
            <w:vAlign w:val="center"/>
          </w:tcPr>
          <w:p w14:paraId="470407D2"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2008-2009</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00ACE39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&lt;EndNote&gt;&lt;Cite&gt;&lt;Author&gt;Warner&lt;/Author&gt;&lt;Year&gt;2015&lt;/Year&gt;&lt;RecNum&gt;218&lt;/RecNum&gt;&lt;DisplayText&gt;[56]&lt;/DisplayText&gt;&lt;record&gt;&lt;rec-number&gt;218&lt;/rec-number&gt;&lt;foreign-keys&gt;&lt;key app="EN" db-id="5d9ze055j2zd5revw2n50xpwd0fze9frtdxr"&gt;218&lt;/key&gt;&lt;/foreign-keys&gt;&lt;ref-type name="Journal Article"&gt;17&lt;/ref-type&gt;&lt;contributors&gt;&lt;authors&gt;&lt;author&gt;Warner, Amy E&lt;/author&gt;&lt;author&gt;Schaefer, Melissa K&lt;/author&gt;&lt;author&gt;Patel, Priti R&lt;/author&gt;&lt;author&gt;Drobeniuc, Jan&lt;/author&gt;&lt;author&gt;Xia, Guoliang&lt;/author&gt;&lt;author&gt;Lin, Yulin&lt;/author&gt;&lt;author&gt;Khudyakov, Yury&lt;/author&gt;&lt;author&gt;Vonderwahl, Candace W&lt;/author&gt;&lt;author&gt;Miller, Lisa&lt;/author&gt;&lt;author&gt;Thompson, Nicola D&lt;/author&gt;&lt;/authors&gt;&lt;/contributors&gt;&lt;titles&gt;&lt;title&gt;Outbreak of hepatitis C virus infection associated with narcotics diversion by an hepatitis C virus–infected surgical technician&lt;/title&gt;&lt;secondary-title&gt;American journal of infection control&lt;/secondary-title&gt;&lt;/titles&gt;&lt;periodical&gt;&lt;full-title&gt;American journal of infection control&lt;/full-title&gt;&lt;/periodical&gt;&lt;pages&gt;53-58&lt;/pages&gt;&lt;volume&gt;43&lt;/volume&gt;&lt;number&gt;1&lt;/number&gt;&lt;dates&gt;&lt;year&gt;2015&lt;/year&gt;&lt;/dates&gt;&lt;isbn&gt;0196-6553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56" w:tooltip="Warner, 2015 #218" w:history="1">
              <w:r w:rsidRPr="003049C5">
                <w:rPr>
                  <w:rFonts w:eastAsia="Arial" w:cs="Arial"/>
                  <w:noProof/>
                  <w:sz w:val="20"/>
                  <w:szCs w:val="20"/>
                  <w:lang w:val="en-AU"/>
                </w:rPr>
                <w:t>56</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03A3418B"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US</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29161B6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Surgical technologist</w:t>
            </w:r>
          </w:p>
        </w:tc>
        <w:tc>
          <w:tcPr>
            <w:tcW w:w="589" w:type="pct"/>
            <w:tcBorders>
              <w:top w:val="single" w:sz="8" w:space="0" w:color="4F81BD"/>
              <w:bottom w:val="single" w:sz="8" w:space="0" w:color="4F81BD"/>
            </w:tcBorders>
            <w:shd w:val="clear" w:color="auto" w:fill="auto"/>
            <w:vAlign w:val="center"/>
          </w:tcPr>
          <w:p w14:paraId="5025522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18</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42CE8584"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5249</w:t>
            </w:r>
          </w:p>
        </w:tc>
        <w:tc>
          <w:tcPr>
            <w:tcW w:w="550" w:type="pct"/>
            <w:tcBorders>
              <w:top w:val="single" w:sz="8" w:space="0" w:color="4F81BD"/>
              <w:bottom w:val="single" w:sz="8" w:space="0" w:color="4F81BD"/>
            </w:tcBorders>
            <w:shd w:val="clear" w:color="auto" w:fill="auto"/>
            <w:vAlign w:val="center"/>
          </w:tcPr>
          <w:p w14:paraId="07E4F02C"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0.34</w:t>
            </w:r>
          </w:p>
        </w:tc>
        <w:tc>
          <w:tcPr>
            <w:tcW w:w="756" w:type="pct"/>
            <w:tcBorders>
              <w:top w:val="single" w:sz="8" w:space="0" w:color="4F81BD"/>
              <w:bottom w:val="single" w:sz="8" w:space="0" w:color="4F81BD"/>
              <w:right w:val="single" w:sz="8" w:space="0" w:color="4F81BD"/>
            </w:tcBorders>
            <w:shd w:val="clear" w:color="auto" w:fill="auto"/>
            <w:vAlign w:val="center"/>
          </w:tcPr>
          <w:p w14:paraId="74DE8BF1"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IDU</w:t>
            </w:r>
          </w:p>
        </w:tc>
      </w:tr>
      <w:tr w:rsidR="002F1BC7" w:rsidRPr="003049C5" w14:paraId="7141883A" w14:textId="77777777" w:rsidTr="00FF0ED0">
        <w:trPr>
          <w:trHeight w:val="397"/>
        </w:trPr>
        <w:tc>
          <w:tcPr>
            <w:tcW w:w="628" w:type="pct"/>
            <w:shd w:val="clear" w:color="auto" w:fill="auto"/>
            <w:vAlign w:val="center"/>
          </w:tcPr>
          <w:p w14:paraId="09369A9F"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2006-2009</w:t>
            </w:r>
          </w:p>
        </w:tc>
        <w:tc>
          <w:tcPr>
            <w:tcW w:w="459" w:type="pct"/>
            <w:tcBorders>
              <w:left w:val="single" w:sz="8" w:space="0" w:color="4F81BD"/>
              <w:right w:val="single" w:sz="8" w:space="0" w:color="4F81BD"/>
            </w:tcBorders>
            <w:shd w:val="clear" w:color="auto" w:fill="auto"/>
            <w:vAlign w:val="center"/>
          </w:tcPr>
          <w:p w14:paraId="0ED6814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(7 and Victorian DoH)</w:t>
            </w:r>
          </w:p>
        </w:tc>
        <w:tc>
          <w:tcPr>
            <w:tcW w:w="547" w:type="pct"/>
            <w:shd w:val="clear" w:color="auto" w:fill="auto"/>
            <w:vAlign w:val="center"/>
          </w:tcPr>
          <w:p w14:paraId="56297CFE"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Australia</w:t>
            </w:r>
          </w:p>
        </w:tc>
        <w:tc>
          <w:tcPr>
            <w:tcW w:w="963" w:type="pct"/>
            <w:tcBorders>
              <w:left w:val="single" w:sz="8" w:space="0" w:color="4F81BD"/>
              <w:right w:val="single" w:sz="8" w:space="0" w:color="4F81BD"/>
            </w:tcBorders>
            <w:shd w:val="clear" w:color="auto" w:fill="auto"/>
            <w:vAlign w:val="center"/>
          </w:tcPr>
          <w:p w14:paraId="10AD091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Anaesthetist</w:t>
            </w:r>
          </w:p>
        </w:tc>
        <w:tc>
          <w:tcPr>
            <w:tcW w:w="589" w:type="pct"/>
            <w:shd w:val="clear" w:color="auto" w:fill="auto"/>
            <w:vAlign w:val="center"/>
          </w:tcPr>
          <w:p w14:paraId="5941C77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49</w:t>
            </w:r>
          </w:p>
          <w:p w14:paraId="4B8ED8FB" w14:textId="77777777" w:rsidR="002F1BC7" w:rsidRPr="003049C5" w:rsidRDefault="002F1BC7" w:rsidP="00FF0ED0">
            <w:pPr>
              <w:pStyle w:val="TableParagraph"/>
              <w:widowControl/>
              <w:spacing w:line="264" w:lineRule="exact"/>
              <w:jc w:val="center"/>
              <w:rPr>
                <w:rFonts w:eastAsia="Arial" w:cs="Arial"/>
                <w:sz w:val="20"/>
                <w:szCs w:val="20"/>
                <w:lang w:val="en-AU"/>
              </w:rPr>
            </w:pPr>
          </w:p>
        </w:tc>
        <w:tc>
          <w:tcPr>
            <w:tcW w:w="508" w:type="pct"/>
            <w:tcBorders>
              <w:left w:val="single" w:sz="8" w:space="0" w:color="4F81BD"/>
              <w:right w:val="single" w:sz="8" w:space="0" w:color="4F81BD"/>
            </w:tcBorders>
            <w:shd w:val="clear" w:color="auto" w:fill="auto"/>
            <w:vAlign w:val="center"/>
          </w:tcPr>
          <w:p w14:paraId="4226F57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 xml:space="preserve"> 4099</w:t>
            </w:r>
          </w:p>
        </w:tc>
        <w:tc>
          <w:tcPr>
            <w:tcW w:w="550" w:type="pct"/>
            <w:shd w:val="clear" w:color="auto" w:fill="auto"/>
            <w:vAlign w:val="center"/>
          </w:tcPr>
          <w:p w14:paraId="6BA3BFB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b/>
                <w:sz w:val="20"/>
                <w:szCs w:val="20"/>
                <w:lang w:val="en-AU"/>
              </w:rPr>
              <w:t xml:space="preserve"> </w:t>
            </w:r>
            <w:r w:rsidRPr="003049C5">
              <w:rPr>
                <w:rFonts w:eastAsia="Arial" w:cs="Arial"/>
                <w:sz w:val="20"/>
                <w:szCs w:val="20"/>
                <w:lang w:val="en-AU"/>
              </w:rPr>
              <w:t>1.20</w:t>
            </w:r>
          </w:p>
        </w:tc>
        <w:tc>
          <w:tcPr>
            <w:tcW w:w="756" w:type="pct"/>
            <w:shd w:val="clear" w:color="auto" w:fill="auto"/>
            <w:vAlign w:val="center"/>
          </w:tcPr>
          <w:p w14:paraId="03FF3930"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IDU</w:t>
            </w:r>
          </w:p>
        </w:tc>
      </w:tr>
      <w:tr w:rsidR="002F1BC7" w:rsidRPr="003049C5" w14:paraId="601148A4" w14:textId="77777777" w:rsidTr="00FF0ED0">
        <w:trPr>
          <w:trHeight w:val="63"/>
        </w:trPr>
        <w:tc>
          <w:tcPr>
            <w:tcW w:w="628" w:type="pct"/>
            <w:tcBorders>
              <w:top w:val="single" w:sz="8" w:space="0" w:color="4F81BD"/>
              <w:left w:val="single" w:sz="8" w:space="0" w:color="4F81BD"/>
              <w:bottom w:val="single" w:sz="8" w:space="0" w:color="4F81BD"/>
            </w:tcBorders>
            <w:shd w:val="clear" w:color="auto" w:fill="auto"/>
            <w:vAlign w:val="center"/>
          </w:tcPr>
          <w:p w14:paraId="7A141633"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2010</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6FA4898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&lt;EndNote&gt;&lt;Cite&gt;&lt;Author&gt;Roy&lt;/Author&gt;&lt;Year&gt;2012&lt;/Year&gt;&lt;RecNum&gt;212&lt;/RecNum&gt;&lt;DisplayText&gt;[57]&lt;/DisplayText&gt;&lt;record&gt;&lt;rec-number&gt;212&lt;/rec-number&gt;&lt;foreign-keys&gt;&lt;key app="EN" db-id="5d9ze055j2zd5revw2n50xpwd0fze9frtdxr"&gt;212&lt;/key&gt;&lt;/foreign-keys&gt;&lt;ref-type name="Journal Article"&gt;17&lt;/ref-type&gt;&lt;contributors&gt;&lt;authors&gt;&lt;author&gt;Roy, KM&lt;/author&gt;&lt;author&gt;Galmés-Truyols, A&lt;/author&gt;&lt;author&gt;Giménez-Duran, J&lt;/author&gt;&lt;author&gt;Anderson, E&lt;/author&gt;&lt;author&gt;Prempeh, H&lt;/author&gt;&lt;author&gt;González-Candelas, F&lt;/author&gt;&lt;author&gt;Bracho, MA&lt;/author&gt;&lt;author&gt;Aitken, C&lt;/author&gt;&lt;author&gt;Mactier, R&lt;/author&gt;&lt;author&gt;Tejera, E&lt;/author&gt;&lt;/authors&gt;&lt;/contributors&gt;&lt;titles&gt;&lt;title&gt;Epidemiology and molecular investigation of hepatitis C infection following holiday haemodialysis&lt;/title&gt;&lt;secondary-title&gt;Journal of Hospital Infection&lt;/secondary-title&gt;&lt;/titles&gt;&lt;periodical&gt;&lt;full-title&gt;Journal of Hospital Infection&lt;/full-title&gt;&lt;/periodical&gt;&lt;pages&gt;158-163&lt;/pages&gt;&lt;volume&gt;82&lt;/volume&gt;&lt;number&gt;3&lt;/number&gt;&lt;dates&gt;&lt;year&gt;2012&lt;/year&gt;&lt;/dates&gt;&lt;isbn&gt;0195-6701&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57" w:tooltip="Roy, 2012 #212" w:history="1">
              <w:r w:rsidRPr="003049C5">
                <w:rPr>
                  <w:rFonts w:eastAsia="Arial" w:cs="Arial"/>
                  <w:noProof/>
                  <w:sz w:val="20"/>
                  <w:szCs w:val="20"/>
                  <w:lang w:val="en-AU"/>
                </w:rPr>
                <w:t>57</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163DDD2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Spain</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5E594561"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Haemodialysis staff member</w:t>
            </w:r>
          </w:p>
        </w:tc>
        <w:tc>
          <w:tcPr>
            <w:tcW w:w="589" w:type="pct"/>
            <w:tcBorders>
              <w:top w:val="single" w:sz="8" w:space="0" w:color="4F81BD"/>
              <w:bottom w:val="single" w:sz="8" w:space="0" w:color="4F81BD"/>
            </w:tcBorders>
            <w:shd w:val="clear" w:color="auto" w:fill="auto"/>
            <w:vAlign w:val="center"/>
          </w:tcPr>
          <w:p w14:paraId="21C786E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7E8E7479"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46</w:t>
            </w:r>
          </w:p>
        </w:tc>
        <w:tc>
          <w:tcPr>
            <w:tcW w:w="550" w:type="pct"/>
            <w:tcBorders>
              <w:top w:val="single" w:sz="8" w:space="0" w:color="4F81BD"/>
              <w:bottom w:val="single" w:sz="8" w:space="0" w:color="4F81BD"/>
            </w:tcBorders>
            <w:shd w:val="clear" w:color="auto" w:fill="auto"/>
            <w:vAlign w:val="center"/>
          </w:tcPr>
          <w:p w14:paraId="3A174722"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4.35</w:t>
            </w:r>
          </w:p>
        </w:tc>
        <w:tc>
          <w:tcPr>
            <w:tcW w:w="756" w:type="pct"/>
            <w:tcBorders>
              <w:top w:val="single" w:sz="8" w:space="0" w:color="4F81BD"/>
              <w:bottom w:val="single" w:sz="8" w:space="0" w:color="4F81BD"/>
              <w:right w:val="single" w:sz="8" w:space="0" w:color="4F81BD"/>
            </w:tcBorders>
            <w:shd w:val="clear" w:color="auto" w:fill="auto"/>
            <w:vAlign w:val="center"/>
          </w:tcPr>
          <w:p w14:paraId="2A10C2E3"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unknown</w:t>
            </w:r>
          </w:p>
        </w:tc>
      </w:tr>
      <w:tr w:rsidR="002F1BC7" w:rsidRPr="003049C5" w14:paraId="3D5744B5" w14:textId="77777777" w:rsidTr="00FF0ED0">
        <w:trPr>
          <w:trHeight w:val="397"/>
        </w:trPr>
        <w:tc>
          <w:tcPr>
            <w:tcW w:w="628" w:type="pct"/>
            <w:shd w:val="clear" w:color="auto" w:fill="auto"/>
            <w:vAlign w:val="center"/>
          </w:tcPr>
          <w:p w14:paraId="121CB50A"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lastRenderedPageBreak/>
              <w:t>2010-2012</w:t>
            </w:r>
          </w:p>
        </w:tc>
        <w:tc>
          <w:tcPr>
            <w:tcW w:w="459" w:type="pct"/>
            <w:tcBorders>
              <w:left w:val="single" w:sz="8" w:space="0" w:color="4F81BD"/>
              <w:right w:val="single" w:sz="8" w:space="0" w:color="4F81BD"/>
            </w:tcBorders>
            <w:shd w:val="clear" w:color="auto" w:fill="auto"/>
            <w:vAlign w:val="center"/>
          </w:tcPr>
          <w:p w14:paraId="725A04F7"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&lt;EndNote&gt;&lt;Cite&gt;&lt;Author&gt;New Hampshire Department of Health and Human Services&lt;/Author&gt;&lt;Year&gt;2003&lt;/Year&gt;&lt;RecNum&gt;219&lt;/RecNum&gt;&lt;DisplayText&gt;[58]&lt;/DisplayText&gt;&lt;record&gt;&lt;rec-number&gt;219&lt;/rec-number&gt;&lt;foreign-keys&gt;&lt;key app="EN" db-id="5d9ze055j2zd5revw2n50xpwd0fze9frtdxr"&gt;219&lt;/key&gt;&lt;/foreign-keys&gt;&lt;ref-type name="Government Document"&gt;46&lt;/ref-type&gt;&lt;contributors&gt;&lt;authors&gt;&lt;author&gt;New Hampshire Department of Health and Human Services, .&lt;/author&gt;&lt;/authors&gt;&lt;/contributors&gt;&lt;titles&gt;&lt;title&gt;Hepatitis C outbreak investigation Exeter Hospital public report&lt;/title&gt;&lt;/titles&gt;&lt;dates&gt;&lt;year&gt;2003&lt;/year&gt;&lt;/dates&gt;&lt;urls&gt;&lt;related-urls&gt;&lt;url&gt; http://www.dhhs.nh.gov/dphs/cdcs/hepatitisc/documents/hepc-outbreak-rpt.pdf&lt;/url&gt;&lt;/related-urls&gt;&lt;/urls&gt;&lt;access-date&gt;5 February 2016&lt;/access-date&gt;&lt;/record&gt;&lt;/Cite&gt;&lt;/EndNote&gt;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58" w:tooltip="New Hampshire Department of Health and Human Services, 2003 #219" w:history="1">
              <w:r w:rsidRPr="003049C5">
                <w:rPr>
                  <w:rFonts w:eastAsia="Arial" w:cs="Arial"/>
                  <w:noProof/>
                  <w:sz w:val="20"/>
                  <w:szCs w:val="20"/>
                  <w:lang w:val="en-AU"/>
                </w:rPr>
                <w:t>58</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shd w:val="clear" w:color="auto" w:fill="auto"/>
            <w:vAlign w:val="center"/>
          </w:tcPr>
          <w:p w14:paraId="027D6AC0"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US</w:t>
            </w:r>
          </w:p>
        </w:tc>
        <w:tc>
          <w:tcPr>
            <w:tcW w:w="963" w:type="pct"/>
            <w:tcBorders>
              <w:left w:val="single" w:sz="8" w:space="0" w:color="4F81BD"/>
              <w:right w:val="single" w:sz="8" w:space="0" w:color="4F81BD"/>
            </w:tcBorders>
            <w:shd w:val="clear" w:color="auto" w:fill="auto"/>
            <w:vAlign w:val="center"/>
          </w:tcPr>
          <w:p w14:paraId="2074F45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Cardiac technologist</w:t>
            </w:r>
          </w:p>
        </w:tc>
        <w:tc>
          <w:tcPr>
            <w:tcW w:w="589" w:type="pct"/>
            <w:shd w:val="clear" w:color="auto" w:fill="auto"/>
            <w:vAlign w:val="center"/>
          </w:tcPr>
          <w:p w14:paraId="41CE3DA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32</w:t>
            </w:r>
          </w:p>
        </w:tc>
        <w:tc>
          <w:tcPr>
            <w:tcW w:w="508" w:type="pct"/>
            <w:tcBorders>
              <w:left w:val="single" w:sz="8" w:space="0" w:color="4F81BD"/>
              <w:right w:val="single" w:sz="8" w:space="0" w:color="4F81BD"/>
            </w:tcBorders>
            <w:shd w:val="clear" w:color="auto" w:fill="auto"/>
            <w:vAlign w:val="center"/>
          </w:tcPr>
          <w:p w14:paraId="201FA87A"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1074</w:t>
            </w:r>
          </w:p>
        </w:tc>
        <w:tc>
          <w:tcPr>
            <w:tcW w:w="550" w:type="pct"/>
            <w:shd w:val="clear" w:color="auto" w:fill="auto"/>
            <w:vAlign w:val="center"/>
          </w:tcPr>
          <w:p w14:paraId="798F195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2.98</w:t>
            </w:r>
          </w:p>
        </w:tc>
        <w:tc>
          <w:tcPr>
            <w:tcW w:w="756" w:type="pct"/>
            <w:shd w:val="clear" w:color="auto" w:fill="auto"/>
            <w:vAlign w:val="center"/>
          </w:tcPr>
          <w:p w14:paraId="01CD558A"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IDU</w:t>
            </w:r>
          </w:p>
        </w:tc>
      </w:tr>
      <w:tr w:rsidR="002F1BC7" w:rsidRPr="003049C5" w14:paraId="6ED1378D" w14:textId="77777777" w:rsidTr="00FF0ED0">
        <w:trPr>
          <w:trHeight w:val="397"/>
        </w:trPr>
        <w:tc>
          <w:tcPr>
            <w:tcW w:w="628" w:type="pct"/>
            <w:tcBorders>
              <w:top w:val="single" w:sz="8" w:space="0" w:color="4F81BD"/>
              <w:left w:val="single" w:sz="8" w:space="0" w:color="4F81BD"/>
              <w:bottom w:val="single" w:sz="8" w:space="0" w:color="4F81BD"/>
            </w:tcBorders>
            <w:shd w:val="clear" w:color="auto" w:fill="auto"/>
            <w:vAlign w:val="center"/>
          </w:tcPr>
          <w:p w14:paraId="57F3A8B9"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2011</w:t>
            </w:r>
          </w:p>
        </w:tc>
        <w:tc>
          <w:tcPr>
            <w:tcW w:w="459" w:type="pct"/>
            <w:tcBorders>
              <w:top w:val="single" w:sz="8" w:space="0" w:color="4F81BD"/>
              <w:left w:val="single" w:sz="8" w:space="0" w:color="4F81BD"/>
              <w:bottom w:val="single" w:sz="8" w:space="0" w:color="4F81BD"/>
              <w:right w:val="single" w:sz="8" w:space="0" w:color="4F81BD"/>
            </w:tcBorders>
            <w:shd w:val="clear" w:color="auto" w:fill="auto"/>
            <w:vAlign w:val="center"/>
          </w:tcPr>
          <w:p w14:paraId="399CB14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&lt;EndNote&gt;&lt;Cite&gt;&lt;Author&gt;Muir&lt;/Author&gt;&lt;Year&gt;2014&lt;/Year&gt;&lt;RecNum&gt;221&lt;/RecNum&gt;&lt;DisplayText&gt;[90]&lt;/DisplayText&gt;&lt;record&gt;&lt;rec-number&gt;221&lt;/rec-number&gt;&lt;foreign-keys&gt;&lt;key app="EN" db-id="5d9ze055j2zd5revw2n50xpwd0fze9frtdxr"&gt;221&lt;/key&gt;&lt;/foreign-keys&gt;&lt;ref-type name="Journal Article"&gt;17&lt;/ref-type&gt;&lt;contributors&gt;&lt;authors&gt;&lt;author&gt;Muir, David&lt;/author&gt;&lt;author&gt;Chow, Yimmy&lt;/author&gt;&lt;author&gt;Tedder, Richard&lt;/author&gt;&lt;author&gt;Smith, Donald&lt;/author&gt;&lt;author&gt;Harrison, John&lt;/author&gt;&lt;author&gt;Holmes, Alison&lt;/author&gt;&lt;/authors&gt;&lt;/contributors&gt;&lt;titles&gt;&lt;title&gt;Transmission of hepatitis C from a midwife to a patient through non</w:instrText>
            </w:r>
            <w:r w:rsidRPr="003049C5">
              <w:rPr>
                <w:rFonts w:eastAsia="Arial" w:cs="Cambria Math"/>
                <w:sz w:val="20"/>
                <w:szCs w:val="20"/>
                <w:lang w:val="en-AU"/>
              </w:rPr>
              <w:instrText>‐</w:instrText>
            </w:r>
            <w:r w:rsidRPr="003049C5">
              <w:rPr>
                <w:rFonts w:eastAsia="Arial" w:cs="Arial"/>
                <w:sz w:val="20"/>
                <w:szCs w:val="20"/>
                <w:lang w:val="en-AU"/>
              </w:rPr>
              <w:instrText>exposure prone procedures&lt;/title&gt;&lt;secondary-title&gt;Journal of medical virology&lt;/secondary-title&gt;&lt;/titles&gt;&lt;periodical&gt;&lt;full-title&gt;Journal of medical virology&lt;/full-title&gt;&lt;/periodical&gt;&lt;pages&gt;235-240&lt;/pages&gt;&lt;volume&gt;86&lt;/volume&gt;&lt;number&gt;2&lt;/number&gt;&lt;dates&gt;&lt;year&gt;2014&lt;/year&gt;&lt;/dates&gt;&lt;isbn&gt;1096-9071&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90" w:tooltip="Muir, 2014 #221" w:history="1">
              <w:r w:rsidRPr="003049C5">
                <w:rPr>
                  <w:rFonts w:eastAsia="Arial" w:cs="Arial"/>
                  <w:noProof/>
                  <w:sz w:val="20"/>
                  <w:szCs w:val="20"/>
                  <w:lang w:val="en-AU"/>
                </w:rPr>
                <w:t>90</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47" w:type="pct"/>
            <w:tcBorders>
              <w:top w:val="single" w:sz="8" w:space="0" w:color="4F81BD"/>
              <w:bottom w:val="single" w:sz="8" w:space="0" w:color="4F81BD"/>
            </w:tcBorders>
            <w:shd w:val="clear" w:color="auto" w:fill="auto"/>
            <w:vAlign w:val="center"/>
          </w:tcPr>
          <w:p w14:paraId="4B4AA69F"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UK</w:t>
            </w:r>
          </w:p>
        </w:tc>
        <w:tc>
          <w:tcPr>
            <w:tcW w:w="963" w:type="pct"/>
            <w:tcBorders>
              <w:top w:val="single" w:sz="8" w:space="0" w:color="4F81BD"/>
              <w:left w:val="single" w:sz="8" w:space="0" w:color="4F81BD"/>
              <w:bottom w:val="single" w:sz="8" w:space="0" w:color="4F81BD"/>
              <w:right w:val="single" w:sz="8" w:space="0" w:color="4F81BD"/>
            </w:tcBorders>
            <w:shd w:val="clear" w:color="auto" w:fill="auto"/>
            <w:vAlign w:val="center"/>
          </w:tcPr>
          <w:p w14:paraId="09E6FED4"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Midwife</w:t>
            </w:r>
          </w:p>
        </w:tc>
        <w:tc>
          <w:tcPr>
            <w:tcW w:w="589" w:type="pct"/>
            <w:tcBorders>
              <w:top w:val="single" w:sz="8" w:space="0" w:color="4F81BD"/>
              <w:bottom w:val="single" w:sz="8" w:space="0" w:color="4F81BD"/>
            </w:tcBorders>
            <w:shd w:val="clear" w:color="auto" w:fill="auto"/>
            <w:vAlign w:val="center"/>
          </w:tcPr>
          <w:p w14:paraId="7DCAAF0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w:t>
            </w:r>
          </w:p>
        </w:tc>
        <w:tc>
          <w:tcPr>
            <w:tcW w:w="508" w:type="pct"/>
            <w:tcBorders>
              <w:top w:val="single" w:sz="8" w:space="0" w:color="4F81BD"/>
              <w:left w:val="single" w:sz="8" w:space="0" w:color="4F81BD"/>
              <w:bottom w:val="single" w:sz="8" w:space="0" w:color="4F81BD"/>
              <w:right w:val="single" w:sz="8" w:space="0" w:color="4F81BD"/>
            </w:tcBorders>
            <w:shd w:val="clear" w:color="auto" w:fill="auto"/>
            <w:vAlign w:val="center"/>
          </w:tcPr>
          <w:p w14:paraId="63AA941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69</w:t>
            </w:r>
          </w:p>
        </w:tc>
        <w:tc>
          <w:tcPr>
            <w:tcW w:w="550" w:type="pct"/>
            <w:tcBorders>
              <w:top w:val="single" w:sz="8" w:space="0" w:color="4F81BD"/>
              <w:bottom w:val="single" w:sz="8" w:space="0" w:color="4F81BD"/>
            </w:tcBorders>
            <w:shd w:val="clear" w:color="auto" w:fill="auto"/>
            <w:vAlign w:val="center"/>
          </w:tcPr>
          <w:p w14:paraId="21FFEE54"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1.45</w:t>
            </w:r>
          </w:p>
        </w:tc>
        <w:tc>
          <w:tcPr>
            <w:tcW w:w="756" w:type="pct"/>
            <w:tcBorders>
              <w:top w:val="single" w:sz="8" w:space="0" w:color="4F81BD"/>
              <w:bottom w:val="single" w:sz="8" w:space="0" w:color="4F81BD"/>
              <w:right w:val="single" w:sz="8" w:space="0" w:color="4F81BD"/>
            </w:tcBorders>
            <w:shd w:val="clear" w:color="auto" w:fill="auto"/>
            <w:vAlign w:val="center"/>
          </w:tcPr>
          <w:p w14:paraId="7266DA4A"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unknown</w:t>
            </w:r>
          </w:p>
        </w:tc>
      </w:tr>
    </w:tbl>
    <w:p w14:paraId="6B4D0100" w14:textId="77777777" w:rsidR="002F1BC7" w:rsidRDefault="002F1BC7" w:rsidP="002F1BC7">
      <w:pPr>
        <w:pStyle w:val="BodyText"/>
        <w:widowControl/>
        <w:spacing w:after="0"/>
        <w:rPr>
          <w:rFonts w:ascii="Calibri" w:hAnsi="Calibri" w:cs="Arial"/>
        </w:rPr>
      </w:pPr>
      <w:r w:rsidRPr="00F71DE4">
        <w:rPr>
          <w:rFonts w:ascii="Calibri" w:hAnsi="Calibri" w:cs="Arial"/>
        </w:rPr>
        <w:t>* HCW infected occupationally then subsequently infects patients</w:t>
      </w:r>
    </w:p>
    <w:p w14:paraId="042C42AF" w14:textId="77777777" w:rsidR="002F1BC7" w:rsidRPr="00F71DE4" w:rsidRDefault="002F1BC7" w:rsidP="002F1BC7">
      <w:pPr>
        <w:pStyle w:val="BodyText"/>
        <w:widowControl/>
        <w:spacing w:after="0"/>
        <w:rPr>
          <w:rFonts w:ascii="Calibri" w:hAnsi="Calibri" w:cs="Arial"/>
        </w:rPr>
      </w:pPr>
      <w:r w:rsidRPr="00F71DE4">
        <w:rPr>
          <w:rFonts w:ascii="Calibri" w:hAnsi="Calibri" w:cs="Arial"/>
        </w:rPr>
        <w:t>IDU – injecting drug user</w:t>
      </w:r>
    </w:p>
    <w:p w14:paraId="3106D36C" w14:textId="77777777" w:rsidR="002F1BC7" w:rsidRPr="00F71DE4" w:rsidRDefault="002F1BC7" w:rsidP="002F1BC7">
      <w:pPr>
        <w:rPr>
          <w:rFonts w:eastAsia="Arial"/>
          <w:i/>
          <w:sz w:val="20"/>
          <w:szCs w:val="20"/>
          <w:lang w:val="en-AU"/>
        </w:rPr>
      </w:pPr>
    </w:p>
    <w:p w14:paraId="6DE99147" w14:textId="77777777" w:rsidR="002F1BC7" w:rsidRPr="00F71DE4" w:rsidRDefault="002F1BC7" w:rsidP="002F1BC7">
      <w:pPr>
        <w:spacing w:before="3" w:line="10" w:lineRule="exact"/>
        <w:rPr>
          <w:sz w:val="20"/>
          <w:szCs w:val="20"/>
          <w:lang w:val="en-AU"/>
        </w:rPr>
      </w:pPr>
    </w:p>
    <w:p w14:paraId="34772FBA" w14:textId="77777777" w:rsidR="002F1BC7" w:rsidRPr="00F71DE4" w:rsidRDefault="002F1BC7" w:rsidP="002F1BC7">
      <w:pPr>
        <w:pStyle w:val="Caption"/>
        <w:keepNext/>
        <w:rPr>
          <w:rFonts w:ascii="Calibri" w:hAnsi="Calibri" w:cs="Arial"/>
          <w:b w:val="0"/>
          <w:i/>
        </w:rPr>
      </w:pPr>
      <w:bookmarkStart w:id="83" w:name="_bookmark11"/>
      <w:bookmarkEnd w:id="83"/>
      <w:r w:rsidRPr="00F71DE4">
        <w:rPr>
          <w:rFonts w:ascii="Calibri" w:hAnsi="Calibri" w:cs="Arial"/>
          <w:b w:val="0"/>
          <w:i/>
        </w:rPr>
        <w:t xml:space="preserve">Table </w:t>
      </w:r>
      <w:r w:rsidRPr="00F71DE4">
        <w:rPr>
          <w:rFonts w:ascii="Calibri" w:hAnsi="Calibri" w:cs="Arial"/>
          <w:b w:val="0"/>
          <w:i/>
        </w:rPr>
        <w:fldChar w:fldCharType="begin"/>
      </w:r>
      <w:r w:rsidRPr="00F71DE4">
        <w:rPr>
          <w:rFonts w:ascii="Calibri" w:hAnsi="Calibri" w:cs="Arial"/>
          <w:b w:val="0"/>
          <w:i/>
        </w:rPr>
        <w:instrText xml:space="preserve"> SEQ Table \* ARABIC </w:instrText>
      </w:r>
      <w:r w:rsidRPr="00F71DE4">
        <w:rPr>
          <w:rFonts w:ascii="Calibri" w:hAnsi="Calibri" w:cs="Arial"/>
          <w:b w:val="0"/>
          <w:i/>
        </w:rPr>
        <w:fldChar w:fldCharType="separate"/>
      </w:r>
      <w:r>
        <w:rPr>
          <w:rFonts w:ascii="Calibri" w:hAnsi="Calibri" w:cs="Arial"/>
          <w:b w:val="0"/>
          <w:i/>
          <w:noProof/>
        </w:rPr>
        <w:t>6</w:t>
      </w:r>
      <w:r w:rsidRPr="00F71DE4">
        <w:rPr>
          <w:rFonts w:ascii="Calibri" w:hAnsi="Calibri" w:cs="Arial"/>
          <w:b w:val="0"/>
          <w:i/>
        </w:rPr>
        <w:fldChar w:fldCharType="end"/>
      </w:r>
      <w:r w:rsidRPr="00F71DE4">
        <w:rPr>
          <w:rFonts w:ascii="Calibri" w:hAnsi="Calibri" w:cs="Arial"/>
          <w:b w:val="0"/>
          <w:i/>
        </w:rPr>
        <w:t xml:space="preserve">: Published cases of </w:t>
      </w:r>
      <w:r w:rsidRPr="00997D63">
        <w:rPr>
          <w:rFonts w:ascii="Calibri" w:hAnsi="Calibri" w:cs="Arial"/>
          <w:b w:val="0"/>
          <w:i/>
        </w:rPr>
        <w:t>infected HCW</w:t>
      </w:r>
      <w:r>
        <w:rPr>
          <w:rFonts w:ascii="Calibri" w:hAnsi="Calibri" w:cs="Arial"/>
          <w:b w:val="0"/>
          <w:i/>
        </w:rPr>
        <w:t xml:space="preserve"> to </w:t>
      </w:r>
      <w:r w:rsidRPr="00F71DE4">
        <w:rPr>
          <w:rFonts w:ascii="Calibri" w:hAnsi="Calibri" w:cs="Arial"/>
          <w:b w:val="0"/>
          <w:i/>
        </w:rPr>
        <w:t>patient transmission of HIV</w:t>
      </w:r>
    </w:p>
    <w:tbl>
      <w:tblPr>
        <w:tblW w:w="5002" w:type="pct"/>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1A0" w:firstRow="1" w:lastRow="0" w:firstColumn="1" w:lastColumn="1" w:noHBand="0" w:noVBand="0"/>
      </w:tblPr>
      <w:tblGrid>
        <w:gridCol w:w="1234"/>
        <w:gridCol w:w="1012"/>
        <w:gridCol w:w="1023"/>
        <w:gridCol w:w="2028"/>
        <w:gridCol w:w="1255"/>
        <w:gridCol w:w="1255"/>
        <w:gridCol w:w="1246"/>
      </w:tblGrid>
      <w:tr w:rsidR="002F1BC7" w:rsidRPr="003049C5" w14:paraId="307673C8" w14:textId="77777777" w:rsidTr="00FF0ED0">
        <w:trPr>
          <w:trHeight w:val="850"/>
        </w:trPr>
        <w:tc>
          <w:tcPr>
            <w:tcW w:w="682" w:type="pct"/>
            <w:shd w:val="clear" w:color="auto" w:fill="4F81BD"/>
            <w:vAlign w:val="center"/>
          </w:tcPr>
          <w:p w14:paraId="5B6ED1CE"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Year reported</w:t>
            </w:r>
          </w:p>
        </w:tc>
        <w:tc>
          <w:tcPr>
            <w:tcW w:w="559" w:type="pct"/>
            <w:tcBorders>
              <w:top w:val="single" w:sz="8" w:space="0" w:color="4F81BD"/>
              <w:left w:val="single" w:sz="8" w:space="0" w:color="4F81BD"/>
              <w:right w:val="single" w:sz="8" w:space="0" w:color="4F81BD"/>
            </w:tcBorders>
            <w:shd w:val="clear" w:color="auto" w:fill="4F81BD"/>
            <w:vAlign w:val="center"/>
          </w:tcPr>
          <w:p w14:paraId="4573A081" w14:textId="77777777" w:rsidR="002F1BC7" w:rsidRPr="003049C5" w:rsidRDefault="002F1BC7" w:rsidP="00FF0ED0">
            <w:pPr>
              <w:pStyle w:val="TableParagraph"/>
              <w:widowControl/>
              <w:spacing w:line="272" w:lineRule="exact"/>
              <w:jc w:val="center"/>
              <w:rPr>
                <w:rFonts w:eastAsia="Arial" w:cs="Arial"/>
                <w:b/>
                <w:bCs/>
                <w:color w:val="FFFFFF"/>
                <w:sz w:val="20"/>
                <w:szCs w:val="20"/>
                <w:lang w:val="en-AU"/>
              </w:rPr>
            </w:pPr>
            <w:r w:rsidRPr="003049C5">
              <w:rPr>
                <w:rFonts w:eastAsia="Arial" w:cs="Arial"/>
                <w:b/>
                <w:bCs/>
                <w:color w:val="FFFFFF"/>
                <w:sz w:val="20"/>
                <w:szCs w:val="20"/>
                <w:lang w:val="en-AU"/>
              </w:rPr>
              <w:t>Ref</w:t>
            </w:r>
          </w:p>
        </w:tc>
        <w:tc>
          <w:tcPr>
            <w:tcW w:w="565" w:type="pct"/>
            <w:shd w:val="clear" w:color="auto" w:fill="4F81BD"/>
            <w:vAlign w:val="center"/>
          </w:tcPr>
          <w:p w14:paraId="7FE15870" w14:textId="77777777" w:rsidR="002F1BC7" w:rsidRPr="003049C5" w:rsidRDefault="002F1BC7" w:rsidP="00FF0ED0">
            <w:pPr>
              <w:pStyle w:val="TableParagraph"/>
              <w:widowControl/>
              <w:spacing w:line="272" w:lineRule="exact"/>
              <w:jc w:val="center"/>
              <w:rPr>
                <w:rFonts w:eastAsia="Arial" w:cs="Arial"/>
                <w:b/>
                <w:bCs/>
                <w:color w:val="FFFFFF"/>
                <w:sz w:val="20"/>
                <w:szCs w:val="20"/>
                <w:lang w:val="en-AU"/>
              </w:rPr>
            </w:pPr>
            <w:r w:rsidRPr="003049C5">
              <w:rPr>
                <w:rFonts w:eastAsia="Arial" w:cs="Arial"/>
                <w:b/>
                <w:bCs/>
                <w:color w:val="FFFFFF"/>
                <w:sz w:val="20"/>
                <w:szCs w:val="20"/>
                <w:lang w:val="en-AU"/>
              </w:rPr>
              <w:t>Country</w:t>
            </w:r>
          </w:p>
        </w:tc>
        <w:tc>
          <w:tcPr>
            <w:tcW w:w="1120" w:type="pct"/>
            <w:tcBorders>
              <w:top w:val="single" w:sz="8" w:space="0" w:color="4F81BD"/>
              <w:left w:val="single" w:sz="8" w:space="0" w:color="4F81BD"/>
              <w:right w:val="single" w:sz="8" w:space="0" w:color="4F81BD"/>
            </w:tcBorders>
            <w:shd w:val="clear" w:color="auto" w:fill="4F81BD"/>
            <w:vAlign w:val="center"/>
          </w:tcPr>
          <w:p w14:paraId="030AD041" w14:textId="77777777" w:rsidR="002F1BC7" w:rsidRPr="003049C5" w:rsidRDefault="002F1BC7" w:rsidP="00FF0ED0">
            <w:pPr>
              <w:pStyle w:val="TableParagraph"/>
              <w:widowControl/>
              <w:spacing w:line="272" w:lineRule="exact"/>
              <w:jc w:val="center"/>
              <w:rPr>
                <w:rFonts w:eastAsia="Arial" w:cs="Arial"/>
                <w:b/>
                <w:bCs/>
                <w:color w:val="FFFFFF"/>
                <w:sz w:val="20"/>
                <w:szCs w:val="20"/>
                <w:lang w:val="en-AU"/>
              </w:rPr>
            </w:pPr>
            <w:r w:rsidRPr="003049C5">
              <w:rPr>
                <w:rFonts w:eastAsia="Arial" w:cs="Arial"/>
                <w:b/>
                <w:bCs/>
                <w:color w:val="FFFFFF"/>
                <w:sz w:val="20"/>
                <w:szCs w:val="20"/>
                <w:lang w:val="en-AU"/>
              </w:rPr>
              <w:t>Occupation</w:t>
            </w:r>
          </w:p>
        </w:tc>
        <w:tc>
          <w:tcPr>
            <w:tcW w:w="693" w:type="pct"/>
            <w:shd w:val="clear" w:color="auto" w:fill="4F81BD"/>
            <w:vAlign w:val="center"/>
          </w:tcPr>
          <w:p w14:paraId="50E401FD"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Patients infected</w:t>
            </w:r>
          </w:p>
        </w:tc>
        <w:tc>
          <w:tcPr>
            <w:tcW w:w="693" w:type="pct"/>
            <w:tcBorders>
              <w:top w:val="single" w:sz="8" w:space="0" w:color="4F81BD"/>
              <w:left w:val="single" w:sz="8" w:space="0" w:color="4F81BD"/>
              <w:right w:val="single" w:sz="8" w:space="0" w:color="4F81BD"/>
            </w:tcBorders>
            <w:shd w:val="clear" w:color="auto" w:fill="4F81BD"/>
            <w:vAlign w:val="center"/>
          </w:tcPr>
          <w:p w14:paraId="562D1F7A" w14:textId="77777777" w:rsidR="002F1BC7" w:rsidRPr="003049C5" w:rsidRDefault="002F1BC7" w:rsidP="00FF0ED0">
            <w:pPr>
              <w:pStyle w:val="TableParagraph"/>
              <w:widowControl/>
              <w:spacing w:line="276" w:lineRule="exact"/>
              <w:jc w:val="center"/>
              <w:rPr>
                <w:rFonts w:eastAsia="Arial" w:cs="Arial"/>
                <w:b/>
                <w:bCs/>
                <w:color w:val="FFFFFF"/>
                <w:sz w:val="20"/>
                <w:szCs w:val="20"/>
                <w:lang w:val="en-AU"/>
              </w:rPr>
            </w:pPr>
            <w:r w:rsidRPr="003049C5">
              <w:rPr>
                <w:rFonts w:eastAsia="Arial" w:cs="Arial"/>
                <w:b/>
                <w:bCs/>
                <w:color w:val="FFFFFF"/>
                <w:sz w:val="20"/>
                <w:szCs w:val="20"/>
                <w:lang w:val="en-AU"/>
              </w:rPr>
              <w:t>Patients tested</w:t>
            </w:r>
          </w:p>
        </w:tc>
        <w:tc>
          <w:tcPr>
            <w:tcW w:w="688" w:type="pct"/>
            <w:shd w:val="clear" w:color="auto" w:fill="4F81BD"/>
            <w:vAlign w:val="center"/>
          </w:tcPr>
          <w:p w14:paraId="1C1D70A0" w14:textId="77777777" w:rsidR="002F1BC7" w:rsidRPr="003049C5" w:rsidRDefault="002F1BC7" w:rsidP="00FF0ED0">
            <w:pPr>
              <w:pStyle w:val="TableParagraph"/>
              <w:widowControl/>
              <w:spacing w:line="272" w:lineRule="exact"/>
              <w:jc w:val="center"/>
              <w:rPr>
                <w:rFonts w:eastAsia="Arial" w:cs="Arial"/>
                <w:b/>
                <w:bCs/>
                <w:color w:val="FFFFFF"/>
                <w:sz w:val="20"/>
                <w:szCs w:val="20"/>
                <w:lang w:val="en-AU"/>
              </w:rPr>
            </w:pPr>
            <w:r w:rsidRPr="003049C5">
              <w:rPr>
                <w:rFonts w:eastAsia="Arial" w:cs="Arial"/>
                <w:b/>
                <w:bCs/>
                <w:color w:val="FFFFFF"/>
                <w:sz w:val="20"/>
                <w:szCs w:val="20"/>
                <w:lang w:val="en-AU"/>
              </w:rPr>
              <w:t>% patients infected</w:t>
            </w:r>
          </w:p>
        </w:tc>
      </w:tr>
      <w:tr w:rsidR="002F1BC7" w:rsidRPr="003049C5" w14:paraId="14FC0088" w14:textId="77777777" w:rsidTr="00FF0ED0">
        <w:trPr>
          <w:trHeight w:val="397"/>
        </w:trPr>
        <w:tc>
          <w:tcPr>
            <w:tcW w:w="682" w:type="pct"/>
            <w:tcBorders>
              <w:top w:val="single" w:sz="8" w:space="0" w:color="4F81BD"/>
              <w:left w:val="single" w:sz="8" w:space="0" w:color="4F81BD"/>
              <w:bottom w:val="single" w:sz="8" w:space="0" w:color="4F81BD"/>
            </w:tcBorders>
            <w:vAlign w:val="center"/>
          </w:tcPr>
          <w:p w14:paraId="4B448856"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1992</w:t>
            </w:r>
          </w:p>
        </w:tc>
        <w:tc>
          <w:tcPr>
            <w:tcW w:w="559" w:type="pct"/>
            <w:tcBorders>
              <w:top w:val="single" w:sz="8" w:space="0" w:color="4F81BD"/>
              <w:left w:val="single" w:sz="8" w:space="0" w:color="4F81BD"/>
              <w:bottom w:val="single" w:sz="8" w:space="0" w:color="4F81BD"/>
              <w:right w:val="single" w:sz="8" w:space="0" w:color="4F81BD"/>
            </w:tcBorders>
            <w:vAlign w:val="center"/>
          </w:tcPr>
          <w:p w14:paraId="1F2F2C6D"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&lt;EndNote&gt;&lt;Cite&gt;&lt;Author&gt;Ciesielski&lt;/Author&gt;&lt;Year&gt;1992&lt;/Year&gt;&lt;RecNum&gt;36&lt;/RecNum&gt;&lt;DisplayText&gt;[72]&lt;/DisplayText&gt;&lt;record&gt;&lt;rec-number&gt;36&lt;/rec-number&gt;&lt;foreign-keys&gt;&lt;key app="EN" db-id="5d9ze055j2zd5revw2n50xpwd0fze9frtdxr"&gt;36&lt;/key&gt;&lt;/foreign-keys&gt;&lt;ref-type name="Journal Article"&gt;17&lt;/ref-type&gt;&lt;contributors&gt;&lt;authors&gt;&lt;author&gt;Ciesielski, Carol&lt;/author&gt;&lt;author&gt;Marianos, Donald&lt;/author&gt;&lt;author&gt;Ou, Chin-Yih&lt;/author&gt;&lt;author&gt;Dumbaugh, Robert&lt;/author&gt;&lt;author&gt;Witte, John&lt;/author&gt;&lt;author&gt;Berkelman, Ruth&lt;/author&gt;&lt;author&gt;Gooch, Barbara&lt;/author&gt;&lt;author&gt;Myers, Gerald&lt;/author&gt;&lt;author&gt;Luo, Chi-Ching&lt;/author&gt;&lt;author&gt;Schochetman, Gerald&lt;/author&gt;&lt;/authors&gt;&lt;/contributors&gt;&lt;titles&gt;&lt;title&gt;Transmission of human immunodeficiency virus in a dental practice&lt;/title&gt;&lt;secondary-title&gt;Annals of Internal Medicine&lt;/secondary-title&gt;&lt;/titles&gt;&lt;periodical&gt;&lt;full-title&gt;Annals of Internal Medicine&lt;/full-title&gt;&lt;/periodical&gt;&lt;pages&gt;798-805&lt;/pages&gt;&lt;volume&gt;116&lt;/volume&gt;&lt;number&gt;10&lt;/number&gt;&lt;dates&gt;&lt;year&gt;1992&lt;/year&gt;&lt;/dates&gt;&lt;isbn&gt;0003-4819&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72" w:tooltip="Ciesielski, 1992 #36" w:history="1">
              <w:r w:rsidRPr="003049C5">
                <w:rPr>
                  <w:rFonts w:eastAsia="Arial" w:cs="Arial"/>
                  <w:noProof/>
                  <w:sz w:val="20"/>
                  <w:szCs w:val="20"/>
                  <w:lang w:val="en-AU"/>
                </w:rPr>
                <w:t>72</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65" w:type="pct"/>
            <w:tcBorders>
              <w:top w:val="single" w:sz="8" w:space="0" w:color="4F81BD"/>
              <w:bottom w:val="single" w:sz="8" w:space="0" w:color="4F81BD"/>
            </w:tcBorders>
            <w:vAlign w:val="center"/>
          </w:tcPr>
          <w:p w14:paraId="6FC81BA0"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USA</w:t>
            </w:r>
          </w:p>
        </w:tc>
        <w:tc>
          <w:tcPr>
            <w:tcW w:w="1120" w:type="pct"/>
            <w:tcBorders>
              <w:top w:val="single" w:sz="8" w:space="0" w:color="4F81BD"/>
              <w:left w:val="single" w:sz="8" w:space="0" w:color="4F81BD"/>
              <w:bottom w:val="single" w:sz="8" w:space="0" w:color="4F81BD"/>
              <w:right w:val="single" w:sz="8" w:space="0" w:color="4F81BD"/>
            </w:tcBorders>
            <w:vAlign w:val="center"/>
          </w:tcPr>
          <w:p w14:paraId="6AD8B4A5"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Dentist</w:t>
            </w:r>
          </w:p>
        </w:tc>
        <w:tc>
          <w:tcPr>
            <w:tcW w:w="693" w:type="pct"/>
            <w:tcBorders>
              <w:top w:val="single" w:sz="8" w:space="0" w:color="4F81BD"/>
              <w:bottom w:val="single" w:sz="8" w:space="0" w:color="4F81BD"/>
            </w:tcBorders>
            <w:vAlign w:val="center"/>
          </w:tcPr>
          <w:p w14:paraId="169710F6"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5</w:t>
            </w:r>
          </w:p>
        </w:tc>
        <w:tc>
          <w:tcPr>
            <w:tcW w:w="693" w:type="pct"/>
            <w:tcBorders>
              <w:top w:val="single" w:sz="8" w:space="0" w:color="4F81BD"/>
              <w:left w:val="single" w:sz="8" w:space="0" w:color="4F81BD"/>
              <w:bottom w:val="single" w:sz="8" w:space="0" w:color="4F81BD"/>
              <w:right w:val="single" w:sz="8" w:space="0" w:color="4F81BD"/>
            </w:tcBorders>
            <w:vAlign w:val="center"/>
          </w:tcPr>
          <w:p w14:paraId="3C7259F3" w14:textId="77777777" w:rsidR="002F1BC7" w:rsidRPr="003049C5" w:rsidRDefault="002F1BC7" w:rsidP="00FF0ED0">
            <w:pPr>
              <w:pStyle w:val="TableParagraph"/>
              <w:widowControl/>
              <w:spacing w:line="264" w:lineRule="exact"/>
              <w:jc w:val="center"/>
              <w:rPr>
                <w:rFonts w:eastAsia="Arial" w:cs="Arial"/>
                <w:sz w:val="20"/>
                <w:szCs w:val="20"/>
                <w:lang w:val="en-AU"/>
              </w:rPr>
            </w:pPr>
            <w:r w:rsidRPr="003049C5">
              <w:rPr>
                <w:rFonts w:eastAsia="Arial" w:cs="Arial"/>
                <w:sz w:val="20"/>
                <w:szCs w:val="20"/>
                <w:lang w:val="en-AU"/>
              </w:rPr>
              <w:t>1100</w:t>
            </w:r>
          </w:p>
        </w:tc>
        <w:tc>
          <w:tcPr>
            <w:tcW w:w="688" w:type="pct"/>
            <w:tcBorders>
              <w:top w:val="single" w:sz="8" w:space="0" w:color="4F81BD"/>
              <w:bottom w:val="single" w:sz="8" w:space="0" w:color="4F81BD"/>
              <w:right w:val="single" w:sz="8" w:space="0" w:color="4F81BD"/>
            </w:tcBorders>
            <w:vAlign w:val="center"/>
          </w:tcPr>
          <w:p w14:paraId="09F19C0B" w14:textId="77777777" w:rsidR="002F1BC7" w:rsidRPr="003049C5" w:rsidRDefault="002F1BC7" w:rsidP="00FF0ED0">
            <w:pPr>
              <w:pStyle w:val="TableParagraph"/>
              <w:widowControl/>
              <w:spacing w:line="264" w:lineRule="exact"/>
              <w:jc w:val="center"/>
              <w:rPr>
                <w:rFonts w:eastAsia="Arial" w:cs="Arial"/>
                <w:b/>
                <w:bCs/>
                <w:sz w:val="20"/>
                <w:szCs w:val="20"/>
                <w:lang w:val="en-AU"/>
              </w:rPr>
            </w:pPr>
            <w:r w:rsidRPr="003049C5">
              <w:rPr>
                <w:rFonts w:eastAsia="Arial" w:cs="Arial"/>
                <w:b/>
                <w:bCs/>
                <w:sz w:val="20"/>
                <w:szCs w:val="20"/>
                <w:lang w:val="en-AU"/>
              </w:rPr>
              <w:t>0.45%</w:t>
            </w:r>
          </w:p>
        </w:tc>
      </w:tr>
      <w:tr w:rsidR="002F1BC7" w:rsidRPr="003049C5" w14:paraId="0E925F12" w14:textId="77777777" w:rsidTr="00FF0ED0">
        <w:trPr>
          <w:trHeight w:val="397"/>
        </w:trPr>
        <w:tc>
          <w:tcPr>
            <w:tcW w:w="682" w:type="pct"/>
            <w:vAlign w:val="center"/>
          </w:tcPr>
          <w:p w14:paraId="22AD0D2B" w14:textId="77777777" w:rsidR="002F1BC7" w:rsidRPr="003049C5" w:rsidRDefault="002F1BC7" w:rsidP="00FF0ED0">
            <w:pPr>
              <w:pStyle w:val="TableParagraph"/>
              <w:widowControl/>
              <w:spacing w:line="263" w:lineRule="exact"/>
              <w:jc w:val="center"/>
              <w:rPr>
                <w:rFonts w:eastAsia="Arial" w:cs="Arial"/>
                <w:b/>
                <w:bCs/>
                <w:sz w:val="20"/>
                <w:szCs w:val="20"/>
                <w:lang w:val="en-AU"/>
              </w:rPr>
            </w:pPr>
            <w:r w:rsidRPr="003049C5">
              <w:rPr>
                <w:rFonts w:eastAsia="Arial" w:cs="Arial"/>
                <w:b/>
                <w:bCs/>
                <w:sz w:val="20"/>
                <w:szCs w:val="20"/>
                <w:lang w:val="en-AU"/>
              </w:rPr>
              <w:t>1999</w:t>
            </w:r>
          </w:p>
        </w:tc>
        <w:tc>
          <w:tcPr>
            <w:tcW w:w="559" w:type="pct"/>
            <w:tcBorders>
              <w:left w:val="single" w:sz="8" w:space="0" w:color="4F81BD"/>
              <w:right w:val="single" w:sz="8" w:space="0" w:color="4F81BD"/>
            </w:tcBorders>
            <w:vAlign w:val="center"/>
          </w:tcPr>
          <w:p w14:paraId="63DEE118" w14:textId="77777777" w:rsidR="002F1BC7" w:rsidRPr="003049C5" w:rsidRDefault="002F1BC7" w:rsidP="00FF0ED0">
            <w:pPr>
              <w:pStyle w:val="TableParagraph"/>
              <w:widowControl/>
              <w:spacing w:line="263"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&lt;EndNote&gt;&lt;Cite&gt;&lt;Author&gt;Lot&lt;/Author&gt;&lt;Year&gt;1999&lt;/Year&gt;&lt;RecNum&gt;37&lt;/RecNum&gt;&lt;DisplayText&gt;[73]&lt;/DisplayText&gt;&lt;record&gt;&lt;rec-number&gt;37&lt;/rec-number&gt;&lt;foreign-keys&gt;&lt;key app="EN" db-id="5d9ze055j2zd5revw2n50xpwd0fze9frtdxr"&gt;37&lt;/key&gt;&lt;/foreign-keys&gt;&lt;ref-type name="Journal Article"&gt;17&lt;/ref-type&gt;&lt;contributors&gt;&lt;authors&gt;&lt;author&gt;Lot, Florence&lt;/author&gt;&lt;author&gt;Séguier, Jean-Christophe&lt;/author&gt;&lt;author&gt;Fégueux, Sophie&lt;/author&gt;&lt;author&gt;Astagneau, Pascal&lt;/author&gt;&lt;author&gt;Simon, Philippe&lt;/author&gt;&lt;author&gt;Aggoune, Michele&lt;/author&gt;&lt;author&gt;van Amerongen, Patrice&lt;/author&gt;&lt;author&gt;Ruch, Martine&lt;/author&gt;&lt;author&gt;Cheron, Mireille&lt;/author&gt;&lt;author&gt;Brücker, Gilles&lt;/author&gt;&lt;/authors&gt;&lt;/contributors&gt;&lt;titles&gt;&lt;title&gt;Probable transmission of HIV from an orthopedic surgeon to a patient in France&lt;/title&gt;&lt;secondary-title&gt;Annals of Internal Medicine&lt;/secondary-title&gt;&lt;/titles&gt;&lt;periodical&gt;&lt;full-title&gt;Annals of Internal Medicine&lt;/full-title&gt;&lt;/periodical&gt;&lt;pages&gt;1-6&lt;/pages&gt;&lt;volume&gt;130&lt;/volume&gt;&lt;number&gt;1&lt;/number&gt;&lt;dates&gt;&lt;year&gt;1999&lt;/year&gt;&lt;/dates&gt;&lt;isbn&gt;0003-4819&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73" w:tooltip="Lot, 1999 #37" w:history="1">
              <w:r w:rsidRPr="003049C5">
                <w:rPr>
                  <w:rFonts w:eastAsia="Arial" w:cs="Arial"/>
                  <w:noProof/>
                  <w:sz w:val="20"/>
                  <w:szCs w:val="20"/>
                  <w:lang w:val="en-AU"/>
                </w:rPr>
                <w:t>73</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65" w:type="pct"/>
            <w:vAlign w:val="center"/>
          </w:tcPr>
          <w:p w14:paraId="786E3194" w14:textId="77777777" w:rsidR="002F1BC7" w:rsidRPr="003049C5" w:rsidRDefault="002F1BC7" w:rsidP="00FF0ED0">
            <w:pPr>
              <w:pStyle w:val="TableParagraph"/>
              <w:widowControl/>
              <w:spacing w:line="263" w:lineRule="exact"/>
              <w:jc w:val="center"/>
              <w:rPr>
                <w:rFonts w:eastAsia="Arial" w:cs="Arial"/>
                <w:sz w:val="20"/>
                <w:szCs w:val="20"/>
                <w:lang w:val="en-AU"/>
              </w:rPr>
            </w:pPr>
            <w:r w:rsidRPr="003049C5">
              <w:rPr>
                <w:rFonts w:eastAsia="Arial" w:cs="Arial"/>
                <w:sz w:val="20"/>
                <w:szCs w:val="20"/>
                <w:lang w:val="en-AU"/>
              </w:rPr>
              <w:t>France</w:t>
            </w:r>
          </w:p>
        </w:tc>
        <w:tc>
          <w:tcPr>
            <w:tcW w:w="1120" w:type="pct"/>
            <w:tcBorders>
              <w:left w:val="single" w:sz="8" w:space="0" w:color="4F81BD"/>
              <w:right w:val="single" w:sz="8" w:space="0" w:color="4F81BD"/>
            </w:tcBorders>
            <w:vAlign w:val="center"/>
          </w:tcPr>
          <w:p w14:paraId="3670EF21" w14:textId="77777777" w:rsidR="002F1BC7" w:rsidRPr="003049C5" w:rsidRDefault="002F1BC7" w:rsidP="00FF0ED0">
            <w:pPr>
              <w:pStyle w:val="TableParagraph"/>
              <w:widowControl/>
              <w:spacing w:line="263" w:lineRule="exact"/>
              <w:jc w:val="center"/>
              <w:rPr>
                <w:rFonts w:eastAsia="Arial" w:cs="Arial"/>
                <w:sz w:val="20"/>
                <w:szCs w:val="20"/>
                <w:lang w:val="en-AU"/>
              </w:rPr>
            </w:pPr>
            <w:r w:rsidRPr="003049C5">
              <w:rPr>
                <w:rFonts w:eastAsia="Arial" w:cs="Arial"/>
                <w:sz w:val="20"/>
                <w:szCs w:val="20"/>
                <w:lang w:val="en-AU"/>
              </w:rPr>
              <w:t>Orthopaedic surgeon</w:t>
            </w:r>
          </w:p>
        </w:tc>
        <w:tc>
          <w:tcPr>
            <w:tcW w:w="693" w:type="pct"/>
            <w:vAlign w:val="center"/>
          </w:tcPr>
          <w:p w14:paraId="2592A247" w14:textId="77777777" w:rsidR="002F1BC7" w:rsidRPr="003049C5" w:rsidRDefault="002F1BC7" w:rsidP="00FF0ED0">
            <w:pPr>
              <w:pStyle w:val="TableParagraph"/>
              <w:widowControl/>
              <w:spacing w:line="263" w:lineRule="exact"/>
              <w:jc w:val="center"/>
              <w:rPr>
                <w:rFonts w:eastAsia="Arial" w:cs="Arial"/>
                <w:sz w:val="20"/>
                <w:szCs w:val="20"/>
                <w:lang w:val="en-AU"/>
              </w:rPr>
            </w:pPr>
            <w:r w:rsidRPr="003049C5">
              <w:rPr>
                <w:rFonts w:eastAsia="Arial" w:cs="Arial"/>
                <w:sz w:val="20"/>
                <w:szCs w:val="20"/>
                <w:lang w:val="en-AU"/>
              </w:rPr>
              <w:t>1</w:t>
            </w:r>
          </w:p>
        </w:tc>
        <w:tc>
          <w:tcPr>
            <w:tcW w:w="693" w:type="pct"/>
            <w:tcBorders>
              <w:left w:val="single" w:sz="8" w:space="0" w:color="4F81BD"/>
              <w:right w:val="single" w:sz="8" w:space="0" w:color="4F81BD"/>
            </w:tcBorders>
            <w:vAlign w:val="center"/>
          </w:tcPr>
          <w:p w14:paraId="056836BE" w14:textId="77777777" w:rsidR="002F1BC7" w:rsidRPr="003049C5" w:rsidRDefault="002F1BC7" w:rsidP="00FF0ED0">
            <w:pPr>
              <w:pStyle w:val="TableParagraph"/>
              <w:widowControl/>
              <w:spacing w:line="263" w:lineRule="exact"/>
              <w:jc w:val="center"/>
              <w:rPr>
                <w:rFonts w:eastAsia="Arial" w:cs="Arial"/>
                <w:sz w:val="20"/>
                <w:szCs w:val="20"/>
                <w:lang w:val="en-AU"/>
              </w:rPr>
            </w:pPr>
            <w:r w:rsidRPr="003049C5">
              <w:rPr>
                <w:rFonts w:eastAsia="Arial" w:cs="Arial"/>
                <w:sz w:val="20"/>
                <w:szCs w:val="20"/>
                <w:lang w:val="en-AU"/>
              </w:rPr>
              <w:t>983</w:t>
            </w:r>
          </w:p>
        </w:tc>
        <w:tc>
          <w:tcPr>
            <w:tcW w:w="688" w:type="pct"/>
            <w:vAlign w:val="center"/>
          </w:tcPr>
          <w:p w14:paraId="0A08CC4D" w14:textId="77777777" w:rsidR="002F1BC7" w:rsidRPr="003049C5" w:rsidRDefault="002F1BC7" w:rsidP="00FF0ED0">
            <w:pPr>
              <w:pStyle w:val="TableParagraph"/>
              <w:widowControl/>
              <w:spacing w:line="263" w:lineRule="exact"/>
              <w:jc w:val="center"/>
              <w:rPr>
                <w:rFonts w:eastAsia="Arial" w:cs="Arial"/>
                <w:b/>
                <w:bCs/>
                <w:sz w:val="20"/>
                <w:szCs w:val="20"/>
                <w:lang w:val="en-AU"/>
              </w:rPr>
            </w:pPr>
            <w:r w:rsidRPr="003049C5">
              <w:rPr>
                <w:rFonts w:eastAsia="Arial" w:cs="Arial"/>
                <w:b/>
                <w:bCs/>
                <w:sz w:val="20"/>
                <w:szCs w:val="20"/>
                <w:lang w:val="en-AU"/>
              </w:rPr>
              <w:t>0.10%</w:t>
            </w:r>
          </w:p>
        </w:tc>
      </w:tr>
      <w:tr w:rsidR="002F1BC7" w:rsidRPr="003049C5" w14:paraId="3CC06096" w14:textId="77777777" w:rsidTr="00FF0ED0">
        <w:trPr>
          <w:trHeight w:val="397"/>
        </w:trPr>
        <w:tc>
          <w:tcPr>
            <w:tcW w:w="682" w:type="pct"/>
            <w:tcBorders>
              <w:top w:val="single" w:sz="8" w:space="0" w:color="4F81BD"/>
              <w:left w:val="single" w:sz="8" w:space="0" w:color="4F81BD"/>
              <w:bottom w:val="single" w:sz="8" w:space="0" w:color="4F81BD"/>
            </w:tcBorders>
            <w:vAlign w:val="center"/>
          </w:tcPr>
          <w:p w14:paraId="2055F8C1" w14:textId="77777777" w:rsidR="002F1BC7" w:rsidRPr="003049C5" w:rsidRDefault="002F1BC7" w:rsidP="00FF0ED0">
            <w:pPr>
              <w:pStyle w:val="TableParagraph"/>
              <w:widowControl/>
              <w:spacing w:line="263" w:lineRule="exact"/>
              <w:jc w:val="center"/>
              <w:rPr>
                <w:rFonts w:eastAsia="Arial" w:cs="Arial"/>
                <w:b/>
                <w:bCs/>
                <w:sz w:val="20"/>
                <w:szCs w:val="20"/>
                <w:lang w:val="en-AU"/>
              </w:rPr>
            </w:pPr>
            <w:r w:rsidRPr="003049C5">
              <w:rPr>
                <w:rFonts w:eastAsia="Arial" w:cs="Arial"/>
                <w:b/>
                <w:bCs/>
                <w:sz w:val="20"/>
                <w:szCs w:val="20"/>
                <w:lang w:val="en-AU"/>
              </w:rPr>
              <w:t>2002</w:t>
            </w:r>
          </w:p>
        </w:tc>
        <w:tc>
          <w:tcPr>
            <w:tcW w:w="559" w:type="pct"/>
            <w:tcBorders>
              <w:top w:val="single" w:sz="8" w:space="0" w:color="4F81BD"/>
              <w:left w:val="single" w:sz="8" w:space="0" w:color="4F81BD"/>
              <w:bottom w:val="single" w:sz="8" w:space="0" w:color="4F81BD"/>
              <w:right w:val="single" w:sz="8" w:space="0" w:color="4F81BD"/>
            </w:tcBorders>
            <w:vAlign w:val="center"/>
          </w:tcPr>
          <w:p w14:paraId="1D34B4F8" w14:textId="77777777" w:rsidR="002F1BC7" w:rsidRPr="003049C5" w:rsidRDefault="002F1BC7" w:rsidP="00FF0ED0">
            <w:pPr>
              <w:pStyle w:val="TableParagraph"/>
              <w:widowControl/>
              <w:spacing w:line="263" w:lineRule="exact"/>
              <w:jc w:val="center"/>
              <w:rPr>
                <w:rFonts w:eastAsia="Arial" w:cs="Arial"/>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&lt;EndNote&gt;&lt;Cite&gt;&lt;Author&gt;Astagneau&lt;/Author&gt;&lt;Year&gt;2002&lt;/Year&gt;&lt;RecNum&gt;61&lt;/RecNum&gt;&lt;DisplayText&gt;[91]&lt;/DisplayText&gt;&lt;record&gt;&lt;rec-number&gt;61&lt;/rec-number&gt;&lt;foreign-keys&gt;&lt;key app="EN" db-id="5d9ze055j2zd5revw2n50xpwd0fze9frtdxr"&gt;61&lt;/key&gt;&lt;/foreign-keys&gt;&lt;ref-type name="Journal Article"&gt;17&lt;/ref-type&gt;&lt;contributors&gt;&lt;authors&gt;&lt;author&gt;Astagneau, Pascal&lt;/author&gt;&lt;author&gt;Lot, Florence&lt;/author&gt;&lt;author&gt;Bouvet, Elisabeth&lt;/author&gt;&lt;author&gt;Lebascle, Karine&lt;/author&gt;&lt;author&gt;Baffoy, Nadège&lt;/author&gt;&lt;author&gt;Aggoune, Michèle&lt;/author&gt;&lt;author&gt;Brücker, Gilles&lt;/author&gt;&lt;/authors&gt;&lt;/contributors&gt;&lt;titles&gt;&lt;title&gt;Lookback investigation of patients potentially exposed to HIV type 1 after a nurse-to-patient transmission&lt;/title&gt;&lt;secondary-title&gt;American journal of infection control&lt;/secondary-title&gt;&lt;/titles&gt;&lt;periodical&gt;&lt;full-title&gt;American journal of infection control&lt;/full-title&gt;&lt;/periodical&gt;&lt;pages&gt;242-245&lt;/pages&gt;&lt;volume&gt;30&lt;/volume&gt;&lt;number&gt;4&lt;/number&gt;&lt;dates&gt;&lt;year&gt;2002&lt;/year&gt;&lt;/dates&gt;&lt;isbn&gt;0196-6553&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91" w:tooltip="Astagneau, 2002 #61" w:history="1">
              <w:r w:rsidRPr="003049C5">
                <w:rPr>
                  <w:rFonts w:eastAsia="Arial" w:cs="Arial"/>
                  <w:noProof/>
                  <w:sz w:val="20"/>
                  <w:szCs w:val="20"/>
                  <w:lang w:val="en-AU"/>
                </w:rPr>
                <w:t>91</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65" w:type="pct"/>
            <w:tcBorders>
              <w:top w:val="single" w:sz="8" w:space="0" w:color="4F81BD"/>
              <w:bottom w:val="single" w:sz="8" w:space="0" w:color="4F81BD"/>
            </w:tcBorders>
            <w:vAlign w:val="center"/>
          </w:tcPr>
          <w:p w14:paraId="0A0F520F" w14:textId="77777777" w:rsidR="002F1BC7" w:rsidRPr="003049C5" w:rsidRDefault="002F1BC7" w:rsidP="00FF0ED0">
            <w:pPr>
              <w:pStyle w:val="TableParagraph"/>
              <w:widowControl/>
              <w:spacing w:line="263" w:lineRule="exact"/>
              <w:jc w:val="center"/>
              <w:rPr>
                <w:rFonts w:eastAsia="Arial" w:cs="Arial"/>
                <w:sz w:val="20"/>
                <w:szCs w:val="20"/>
                <w:lang w:val="en-AU"/>
              </w:rPr>
            </w:pPr>
            <w:r w:rsidRPr="003049C5">
              <w:rPr>
                <w:rFonts w:eastAsia="Arial" w:cs="Arial"/>
                <w:sz w:val="20"/>
                <w:szCs w:val="20"/>
                <w:lang w:val="en-AU"/>
              </w:rPr>
              <w:t>France</w:t>
            </w:r>
          </w:p>
        </w:tc>
        <w:tc>
          <w:tcPr>
            <w:tcW w:w="1120" w:type="pct"/>
            <w:tcBorders>
              <w:top w:val="single" w:sz="8" w:space="0" w:color="4F81BD"/>
              <w:left w:val="single" w:sz="8" w:space="0" w:color="4F81BD"/>
              <w:bottom w:val="single" w:sz="8" w:space="0" w:color="4F81BD"/>
              <w:right w:val="single" w:sz="8" w:space="0" w:color="4F81BD"/>
            </w:tcBorders>
            <w:vAlign w:val="center"/>
          </w:tcPr>
          <w:p w14:paraId="08CBB343" w14:textId="77777777" w:rsidR="002F1BC7" w:rsidRPr="003049C5" w:rsidRDefault="002F1BC7" w:rsidP="00FF0ED0">
            <w:pPr>
              <w:pStyle w:val="TableParagraph"/>
              <w:widowControl/>
              <w:spacing w:line="263" w:lineRule="exact"/>
              <w:jc w:val="center"/>
              <w:rPr>
                <w:rFonts w:eastAsia="Arial" w:cs="Arial"/>
                <w:sz w:val="20"/>
                <w:szCs w:val="20"/>
                <w:lang w:val="en-AU"/>
              </w:rPr>
            </w:pPr>
            <w:r w:rsidRPr="003049C5">
              <w:rPr>
                <w:rFonts w:eastAsia="Arial" w:cs="Arial"/>
                <w:sz w:val="20"/>
                <w:szCs w:val="20"/>
                <w:lang w:val="en-AU"/>
              </w:rPr>
              <w:t>Nurse</w:t>
            </w:r>
          </w:p>
        </w:tc>
        <w:tc>
          <w:tcPr>
            <w:tcW w:w="693" w:type="pct"/>
            <w:tcBorders>
              <w:top w:val="single" w:sz="8" w:space="0" w:color="4F81BD"/>
              <w:bottom w:val="single" w:sz="8" w:space="0" w:color="4F81BD"/>
            </w:tcBorders>
            <w:vAlign w:val="center"/>
          </w:tcPr>
          <w:p w14:paraId="09A8D275" w14:textId="77777777" w:rsidR="002F1BC7" w:rsidRPr="003049C5" w:rsidRDefault="002F1BC7" w:rsidP="00FF0ED0">
            <w:pPr>
              <w:pStyle w:val="TableParagraph"/>
              <w:widowControl/>
              <w:spacing w:line="263" w:lineRule="exact"/>
              <w:jc w:val="center"/>
              <w:rPr>
                <w:rFonts w:eastAsia="Arial" w:cs="Arial"/>
                <w:sz w:val="20"/>
                <w:szCs w:val="20"/>
                <w:lang w:val="en-AU"/>
              </w:rPr>
            </w:pPr>
            <w:r w:rsidRPr="003049C5">
              <w:rPr>
                <w:rFonts w:eastAsia="Arial" w:cs="Arial"/>
                <w:sz w:val="20"/>
                <w:szCs w:val="20"/>
                <w:lang w:val="en-AU"/>
              </w:rPr>
              <w:t>1</w:t>
            </w:r>
          </w:p>
        </w:tc>
        <w:tc>
          <w:tcPr>
            <w:tcW w:w="693" w:type="pct"/>
            <w:tcBorders>
              <w:top w:val="single" w:sz="8" w:space="0" w:color="4F81BD"/>
              <w:left w:val="single" w:sz="8" w:space="0" w:color="4F81BD"/>
              <w:bottom w:val="single" w:sz="8" w:space="0" w:color="4F81BD"/>
              <w:right w:val="single" w:sz="8" w:space="0" w:color="4F81BD"/>
            </w:tcBorders>
            <w:vAlign w:val="center"/>
          </w:tcPr>
          <w:p w14:paraId="2C9E8010" w14:textId="77777777" w:rsidR="002F1BC7" w:rsidRPr="003049C5" w:rsidRDefault="002F1BC7" w:rsidP="00FF0ED0">
            <w:pPr>
              <w:pStyle w:val="TableParagraph"/>
              <w:widowControl/>
              <w:spacing w:line="263" w:lineRule="exact"/>
              <w:jc w:val="center"/>
              <w:rPr>
                <w:rFonts w:eastAsia="Arial" w:cs="Arial"/>
                <w:sz w:val="20"/>
                <w:szCs w:val="20"/>
                <w:lang w:val="en-AU"/>
              </w:rPr>
            </w:pPr>
            <w:r w:rsidRPr="003049C5">
              <w:rPr>
                <w:rFonts w:eastAsia="Arial" w:cs="Arial"/>
                <w:sz w:val="20"/>
                <w:szCs w:val="20"/>
                <w:lang w:val="en-AU"/>
              </w:rPr>
              <w:t>2294</w:t>
            </w:r>
          </w:p>
        </w:tc>
        <w:tc>
          <w:tcPr>
            <w:tcW w:w="688" w:type="pct"/>
            <w:tcBorders>
              <w:top w:val="single" w:sz="8" w:space="0" w:color="4F81BD"/>
              <w:bottom w:val="single" w:sz="8" w:space="0" w:color="4F81BD"/>
              <w:right w:val="single" w:sz="8" w:space="0" w:color="4F81BD"/>
            </w:tcBorders>
            <w:vAlign w:val="center"/>
          </w:tcPr>
          <w:p w14:paraId="57A3AA12" w14:textId="77777777" w:rsidR="002F1BC7" w:rsidRPr="003049C5" w:rsidRDefault="002F1BC7" w:rsidP="00FF0ED0">
            <w:pPr>
              <w:pStyle w:val="TableParagraph"/>
              <w:widowControl/>
              <w:spacing w:line="263" w:lineRule="exact"/>
              <w:jc w:val="center"/>
              <w:rPr>
                <w:rFonts w:eastAsia="Arial" w:cs="Arial"/>
                <w:b/>
                <w:bCs/>
                <w:sz w:val="20"/>
                <w:szCs w:val="20"/>
                <w:lang w:val="en-AU"/>
              </w:rPr>
            </w:pPr>
            <w:r w:rsidRPr="003049C5">
              <w:rPr>
                <w:rFonts w:eastAsia="Arial" w:cs="Arial"/>
                <w:b/>
                <w:bCs/>
                <w:sz w:val="20"/>
                <w:szCs w:val="20"/>
                <w:lang w:val="en-AU"/>
              </w:rPr>
              <w:t>0.04%</w:t>
            </w:r>
          </w:p>
        </w:tc>
      </w:tr>
      <w:tr w:rsidR="002F1BC7" w:rsidRPr="003049C5" w14:paraId="724E520F" w14:textId="77777777" w:rsidTr="00FF0ED0">
        <w:trPr>
          <w:trHeight w:val="397"/>
        </w:trPr>
        <w:tc>
          <w:tcPr>
            <w:tcW w:w="682" w:type="pct"/>
            <w:vAlign w:val="center"/>
          </w:tcPr>
          <w:p w14:paraId="3B46317C" w14:textId="77777777" w:rsidR="002F1BC7" w:rsidRPr="003049C5" w:rsidRDefault="002F1BC7" w:rsidP="00FF0ED0">
            <w:pPr>
              <w:pStyle w:val="TableParagraph"/>
              <w:widowControl/>
              <w:spacing w:line="263" w:lineRule="exact"/>
              <w:jc w:val="center"/>
              <w:rPr>
                <w:rFonts w:eastAsia="Arial" w:cs="Arial"/>
                <w:b/>
                <w:bCs/>
                <w:sz w:val="20"/>
                <w:szCs w:val="20"/>
                <w:lang w:val="en-AU"/>
              </w:rPr>
            </w:pPr>
            <w:r w:rsidRPr="003049C5">
              <w:rPr>
                <w:rFonts w:eastAsia="Arial" w:cs="Arial"/>
                <w:b/>
                <w:bCs/>
                <w:sz w:val="20"/>
                <w:szCs w:val="20"/>
                <w:lang w:val="en-AU"/>
              </w:rPr>
              <w:t>2003</w:t>
            </w:r>
          </w:p>
        </w:tc>
        <w:tc>
          <w:tcPr>
            <w:tcW w:w="559" w:type="pct"/>
            <w:tcBorders>
              <w:left w:val="single" w:sz="8" w:space="0" w:color="4F81BD"/>
              <w:bottom w:val="single" w:sz="8" w:space="0" w:color="4F81BD"/>
              <w:right w:val="single" w:sz="8" w:space="0" w:color="4F81BD"/>
            </w:tcBorders>
            <w:vAlign w:val="center"/>
          </w:tcPr>
          <w:p w14:paraId="0EE53778" w14:textId="77777777" w:rsidR="002F1BC7" w:rsidRPr="003049C5" w:rsidRDefault="002F1BC7" w:rsidP="00FF0ED0">
            <w:pPr>
              <w:pStyle w:val="TableParagraph"/>
              <w:widowControl/>
              <w:spacing w:line="263" w:lineRule="exact"/>
              <w:jc w:val="center"/>
              <w:rPr>
                <w:rFonts w:eastAsia="Arial" w:cs="Arial"/>
                <w:b/>
                <w:sz w:val="20"/>
                <w:szCs w:val="20"/>
                <w:lang w:val="en-AU"/>
              </w:rPr>
            </w:pPr>
            <w:r w:rsidRPr="003049C5">
              <w:rPr>
                <w:rFonts w:eastAsia="Arial" w:cs="Arial"/>
                <w:sz w:val="20"/>
                <w:szCs w:val="20"/>
                <w:lang w:val="en-AU"/>
              </w:rPr>
              <w:fldChar w:fldCharType="begin"/>
            </w:r>
            <w:r w:rsidRPr="003049C5">
              <w:rPr>
                <w:rFonts w:eastAsia="Arial" w:cs="Arial"/>
                <w:sz w:val="20"/>
                <w:szCs w:val="20"/>
                <w:lang w:val="en-AU"/>
              </w:rPr>
              <w:instrText xml:space="preserve"> ADDIN EN.CITE &lt;EndNote&gt;&lt;Cite&gt;&lt;Author&gt;Bosch&lt;/Author&gt;&lt;Year&gt;2003&lt;/Year&gt;&lt;RecNum&gt;62&lt;/RecNum&gt;&lt;DisplayText&gt;[92]&lt;/DisplayText&gt;&lt;record&gt;&lt;rec-number&gt;62&lt;/rec-number&gt;&lt;foreign-keys&gt;&lt;key app="EN" db-id="5d9ze055j2zd5revw2n50xpwd0fze9frtdxr"&gt;62&lt;/key&gt;&lt;/foreign-keys&gt;&lt;ref-type name="Journal Article"&gt;17&lt;/ref-type&gt;&lt;contributors&gt;&lt;authors&gt;&lt;author&gt;Bosch, Xavier&lt;/author&gt;&lt;/authors&gt;&lt;/contributors&gt;&lt;titles&gt;&lt;title&gt;Second case of doctor-to-patient HIV transmission&lt;/title&gt;&lt;secondary-title&gt;The Lancet infectious diseases&lt;/secondary-title&gt;&lt;/titles&gt;&lt;periodical&gt;&lt;full-title&gt;The Lancet infectious diseases&lt;/full-title&gt;&lt;/periodical&gt;&lt;pages&gt;261&lt;/pages&gt;&lt;volume&gt;3&lt;/volume&gt;&lt;number&gt;5&lt;/number&gt;&lt;dates&gt;&lt;year&gt;2003&lt;/year&gt;&lt;/dates&gt;&lt;isbn&gt;1473-3099&lt;/isbn&gt;&lt;urls&gt;&lt;/urls&gt;&lt;/record&gt;&lt;/Cite&gt;&lt;/EndNote&gt;</w:instrText>
            </w:r>
            <w:r w:rsidRPr="003049C5">
              <w:rPr>
                <w:rFonts w:eastAsia="Arial" w:cs="Arial"/>
                <w:sz w:val="20"/>
                <w:szCs w:val="20"/>
                <w:lang w:val="en-AU"/>
              </w:rPr>
              <w:fldChar w:fldCharType="separate"/>
            </w:r>
            <w:r w:rsidRPr="003049C5">
              <w:rPr>
                <w:rFonts w:eastAsia="Arial" w:cs="Arial"/>
                <w:noProof/>
                <w:sz w:val="20"/>
                <w:szCs w:val="20"/>
                <w:lang w:val="en-AU"/>
              </w:rPr>
              <w:t>[</w:t>
            </w:r>
            <w:hyperlink w:anchor="_ENREF_92" w:tooltip="Bosch, 2003 #62" w:history="1">
              <w:r w:rsidRPr="003049C5">
                <w:rPr>
                  <w:rFonts w:eastAsia="Arial" w:cs="Arial"/>
                  <w:noProof/>
                  <w:sz w:val="20"/>
                  <w:szCs w:val="20"/>
                  <w:lang w:val="en-AU"/>
                </w:rPr>
                <w:t>92</w:t>
              </w:r>
            </w:hyperlink>
            <w:r w:rsidRPr="003049C5">
              <w:rPr>
                <w:rFonts w:eastAsia="Arial" w:cs="Arial"/>
                <w:noProof/>
                <w:sz w:val="20"/>
                <w:szCs w:val="20"/>
                <w:lang w:val="en-AU"/>
              </w:rPr>
              <w:t>]</w:t>
            </w:r>
            <w:r w:rsidRPr="003049C5">
              <w:rPr>
                <w:rFonts w:eastAsia="Arial" w:cs="Arial"/>
                <w:sz w:val="20"/>
                <w:szCs w:val="20"/>
                <w:lang w:val="en-AU"/>
              </w:rPr>
              <w:fldChar w:fldCharType="end"/>
            </w:r>
          </w:p>
        </w:tc>
        <w:tc>
          <w:tcPr>
            <w:tcW w:w="565" w:type="pct"/>
            <w:vAlign w:val="center"/>
          </w:tcPr>
          <w:p w14:paraId="0A8DACC5" w14:textId="77777777" w:rsidR="002F1BC7" w:rsidRPr="003049C5" w:rsidRDefault="002F1BC7" w:rsidP="00FF0ED0">
            <w:pPr>
              <w:pStyle w:val="TableParagraph"/>
              <w:widowControl/>
              <w:spacing w:line="263" w:lineRule="exact"/>
              <w:jc w:val="center"/>
              <w:rPr>
                <w:rFonts w:eastAsia="Arial" w:cs="Arial"/>
                <w:b/>
                <w:sz w:val="20"/>
                <w:szCs w:val="20"/>
                <w:lang w:val="en-AU"/>
              </w:rPr>
            </w:pPr>
            <w:r w:rsidRPr="003049C5">
              <w:rPr>
                <w:rFonts w:eastAsia="Arial" w:cs="Arial"/>
                <w:sz w:val="20"/>
                <w:szCs w:val="20"/>
                <w:lang w:val="en-AU"/>
              </w:rPr>
              <w:t>Spain</w:t>
            </w:r>
          </w:p>
        </w:tc>
        <w:tc>
          <w:tcPr>
            <w:tcW w:w="1120" w:type="pct"/>
            <w:tcBorders>
              <w:left w:val="single" w:sz="8" w:space="0" w:color="4F81BD"/>
              <w:bottom w:val="single" w:sz="8" w:space="0" w:color="4F81BD"/>
              <w:right w:val="single" w:sz="8" w:space="0" w:color="4F81BD"/>
            </w:tcBorders>
            <w:vAlign w:val="center"/>
          </w:tcPr>
          <w:p w14:paraId="7829C18D" w14:textId="77777777" w:rsidR="002F1BC7" w:rsidRPr="003049C5" w:rsidRDefault="002F1BC7" w:rsidP="00FF0ED0">
            <w:pPr>
              <w:pStyle w:val="TableParagraph"/>
              <w:widowControl/>
              <w:spacing w:line="263" w:lineRule="exact"/>
              <w:jc w:val="center"/>
              <w:rPr>
                <w:rFonts w:eastAsia="Arial" w:cs="Arial"/>
                <w:b/>
                <w:sz w:val="20"/>
                <w:szCs w:val="20"/>
                <w:lang w:val="en-AU"/>
              </w:rPr>
            </w:pPr>
            <w:r w:rsidRPr="003049C5">
              <w:rPr>
                <w:rFonts w:eastAsia="Arial" w:cs="Arial"/>
                <w:sz w:val="20"/>
                <w:szCs w:val="20"/>
                <w:lang w:val="en-AU"/>
              </w:rPr>
              <w:t>Obstetrician</w:t>
            </w:r>
          </w:p>
        </w:tc>
        <w:tc>
          <w:tcPr>
            <w:tcW w:w="693" w:type="pct"/>
            <w:vAlign w:val="center"/>
          </w:tcPr>
          <w:p w14:paraId="74F34311" w14:textId="77777777" w:rsidR="002F1BC7" w:rsidRPr="003049C5" w:rsidRDefault="002F1BC7" w:rsidP="00FF0ED0">
            <w:pPr>
              <w:pStyle w:val="TableParagraph"/>
              <w:widowControl/>
              <w:spacing w:line="263" w:lineRule="exact"/>
              <w:jc w:val="center"/>
              <w:rPr>
                <w:rFonts w:eastAsia="Arial" w:cs="Arial"/>
                <w:b/>
                <w:sz w:val="20"/>
                <w:szCs w:val="20"/>
                <w:lang w:val="en-AU"/>
              </w:rPr>
            </w:pPr>
            <w:r w:rsidRPr="003049C5">
              <w:rPr>
                <w:rFonts w:eastAsia="Arial" w:cs="Arial"/>
                <w:sz w:val="20"/>
                <w:szCs w:val="20"/>
                <w:lang w:val="en-AU"/>
              </w:rPr>
              <w:t>1</w:t>
            </w:r>
          </w:p>
        </w:tc>
        <w:tc>
          <w:tcPr>
            <w:tcW w:w="693" w:type="pct"/>
            <w:tcBorders>
              <w:left w:val="single" w:sz="8" w:space="0" w:color="4F81BD"/>
              <w:bottom w:val="single" w:sz="8" w:space="0" w:color="4F81BD"/>
              <w:right w:val="single" w:sz="8" w:space="0" w:color="4F81BD"/>
            </w:tcBorders>
            <w:vAlign w:val="center"/>
          </w:tcPr>
          <w:p w14:paraId="3360E554" w14:textId="77777777" w:rsidR="002F1BC7" w:rsidRPr="003049C5" w:rsidRDefault="002F1BC7" w:rsidP="00FF0ED0">
            <w:pPr>
              <w:pStyle w:val="TableParagraph"/>
              <w:widowControl/>
              <w:spacing w:line="263" w:lineRule="exact"/>
              <w:jc w:val="center"/>
              <w:rPr>
                <w:rFonts w:eastAsia="Arial" w:cs="Arial"/>
                <w:b/>
                <w:sz w:val="20"/>
                <w:szCs w:val="20"/>
                <w:lang w:val="en-AU"/>
              </w:rPr>
            </w:pPr>
            <w:r w:rsidRPr="003049C5">
              <w:rPr>
                <w:rFonts w:eastAsia="Arial" w:cs="Arial"/>
                <w:sz w:val="20"/>
                <w:szCs w:val="20"/>
                <w:lang w:val="en-AU"/>
              </w:rPr>
              <w:t>250</w:t>
            </w:r>
          </w:p>
        </w:tc>
        <w:tc>
          <w:tcPr>
            <w:tcW w:w="688" w:type="pct"/>
            <w:vAlign w:val="center"/>
          </w:tcPr>
          <w:p w14:paraId="274A8EA0" w14:textId="77777777" w:rsidR="002F1BC7" w:rsidRPr="003049C5" w:rsidRDefault="002F1BC7" w:rsidP="00FF0ED0">
            <w:pPr>
              <w:pStyle w:val="TableParagraph"/>
              <w:widowControl/>
              <w:spacing w:line="263" w:lineRule="exact"/>
              <w:jc w:val="center"/>
              <w:rPr>
                <w:rFonts w:eastAsia="Arial" w:cs="Arial"/>
                <w:b/>
                <w:bCs/>
                <w:sz w:val="20"/>
                <w:szCs w:val="20"/>
                <w:lang w:val="en-AU"/>
              </w:rPr>
            </w:pPr>
            <w:r w:rsidRPr="003049C5">
              <w:rPr>
                <w:rFonts w:eastAsia="Arial" w:cs="Arial"/>
                <w:b/>
                <w:bCs/>
                <w:sz w:val="20"/>
                <w:szCs w:val="20"/>
                <w:lang w:val="en-AU"/>
              </w:rPr>
              <w:t>0.40%</w:t>
            </w:r>
          </w:p>
        </w:tc>
      </w:tr>
    </w:tbl>
    <w:p w14:paraId="41AF03A8" w14:textId="77777777" w:rsidR="002F1BC7" w:rsidRPr="00F71DE4" w:rsidRDefault="002F1BC7" w:rsidP="002F1BC7">
      <w:pPr>
        <w:rPr>
          <w:rFonts w:eastAsia="Arial"/>
          <w:b/>
          <w:bCs/>
          <w:sz w:val="20"/>
          <w:szCs w:val="20"/>
          <w:lang w:val="en-AU"/>
        </w:rPr>
      </w:pPr>
    </w:p>
    <w:p w14:paraId="722C27C2" w14:textId="77777777" w:rsidR="002F1BC7" w:rsidRPr="00F95189" w:rsidRDefault="002F1BC7" w:rsidP="002F1BC7">
      <w:pPr>
        <w:rPr>
          <w:sz w:val="40"/>
        </w:rPr>
      </w:pPr>
      <w:bookmarkStart w:id="84" w:name="_Ref452625693"/>
      <w:r w:rsidRPr="00F71DE4">
        <w:rPr>
          <w:sz w:val="20"/>
          <w:szCs w:val="20"/>
        </w:rPr>
        <w:br w:type="page"/>
      </w:r>
      <w:bookmarkStart w:id="85" w:name="_Ref455736610"/>
      <w:bookmarkStart w:id="86" w:name="_Toc480558275"/>
      <w:r w:rsidRPr="00F95189">
        <w:rPr>
          <w:sz w:val="40"/>
        </w:rPr>
        <w:lastRenderedPageBreak/>
        <w:t>Appendix 4: Technical working group members</w:t>
      </w:r>
      <w:bookmarkEnd w:id="84"/>
      <w:bookmarkEnd w:id="85"/>
      <w:bookmarkEnd w:id="86"/>
    </w:p>
    <w:p w14:paraId="22FE349D" w14:textId="77777777" w:rsidR="002F1BC7" w:rsidRPr="00DF1E0C" w:rsidRDefault="002F1BC7" w:rsidP="002F1BC7">
      <w:pPr>
        <w:pStyle w:val="Heading2"/>
        <w:spacing w:before="0" w:after="0"/>
        <w:rPr>
          <w:rFonts w:ascii="Calibri" w:hAnsi="Calibri"/>
          <w:sz w:val="32"/>
          <w:lang w:val="en-AU"/>
        </w:rPr>
      </w:pPr>
      <w:r w:rsidRPr="00DF1E0C">
        <w:rPr>
          <w:rFonts w:ascii="Calibri" w:hAnsi="Calibri"/>
          <w:sz w:val="32"/>
          <w:lang w:val="en-AU"/>
        </w:rPr>
        <w:t>2016</w:t>
      </w:r>
      <w:r>
        <w:rPr>
          <w:rFonts w:ascii="Calibri" w:hAnsi="Calibri"/>
          <w:sz w:val="32"/>
          <w:lang w:val="en-AU"/>
        </w:rPr>
        <w:t xml:space="preserve"> – 18 </w:t>
      </w:r>
      <w:r w:rsidRPr="00DF1E0C">
        <w:rPr>
          <w:rFonts w:ascii="Calibri" w:hAnsi="Calibri"/>
          <w:sz w:val="32"/>
          <w:lang w:val="en-AU"/>
        </w:rPr>
        <w:t xml:space="preserve">Advisory Group </w:t>
      </w:r>
    </w:p>
    <w:tbl>
      <w:tblPr>
        <w:tblW w:w="5000" w:type="pct"/>
        <w:tblBorders>
          <w:top w:val="single" w:sz="4" w:space="0" w:color="1F497D"/>
          <w:left w:val="single" w:sz="4" w:space="0" w:color="1F497D"/>
          <w:bottom w:val="single" w:sz="4" w:space="0" w:color="1F497D"/>
          <w:right w:val="single" w:sz="4" w:space="0" w:color="1F497D"/>
          <w:insideH w:val="single" w:sz="6" w:space="0" w:color="1F497D"/>
          <w:insideV w:val="single" w:sz="6" w:space="0" w:color="1F497D"/>
        </w:tblBorders>
        <w:tblCellMar>
          <w:top w:w="108" w:type="dxa"/>
          <w:bottom w:w="108" w:type="dxa"/>
        </w:tblCellMar>
        <w:tblLook w:val="04A0" w:firstRow="1" w:lastRow="0" w:firstColumn="1" w:lastColumn="0" w:noHBand="0" w:noVBand="1"/>
      </w:tblPr>
      <w:tblGrid>
        <w:gridCol w:w="2872"/>
        <w:gridCol w:w="6187"/>
      </w:tblGrid>
      <w:tr w:rsidR="002F1BC7" w:rsidRPr="003049C5" w14:paraId="09AF1B2B" w14:textId="77777777" w:rsidTr="00FF0ED0">
        <w:trPr>
          <w:trHeight w:val="20"/>
        </w:trPr>
        <w:tc>
          <w:tcPr>
            <w:tcW w:w="1585" w:type="pct"/>
          </w:tcPr>
          <w:p w14:paraId="0D353DAF"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Dr Jenny Firman (Chair)</w:t>
            </w:r>
          </w:p>
          <w:p w14:paraId="4E8C2376" w14:textId="77777777" w:rsidR="002F1BC7" w:rsidRDefault="002F1BC7" w:rsidP="00FF0ED0">
            <w:pPr>
              <w:pStyle w:val="TableParagraph"/>
              <w:widowControl/>
              <w:spacing w:line="264" w:lineRule="exact"/>
              <w:rPr>
                <w:rFonts w:eastAsia="Arial" w:cs="Arial"/>
                <w:sz w:val="24"/>
                <w:szCs w:val="20"/>
                <w:lang w:val="en-AU"/>
              </w:rPr>
            </w:pPr>
          </w:p>
          <w:p w14:paraId="71394B3E" w14:textId="77777777" w:rsidR="002F1BC7" w:rsidRPr="003049C5"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Dr Anna Colwell</w:t>
            </w:r>
          </w:p>
        </w:tc>
        <w:tc>
          <w:tcPr>
            <w:tcW w:w="3415" w:type="pct"/>
          </w:tcPr>
          <w:p w14:paraId="3E088083"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Commonwealth Department of Health representative </w:t>
            </w:r>
          </w:p>
          <w:p w14:paraId="6736E626"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Principal Medical Advisor</w:t>
            </w:r>
          </w:p>
          <w:p w14:paraId="4028215D" w14:textId="77777777" w:rsidR="002F1BC7" w:rsidRPr="003049C5"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Medical Advisor</w:t>
            </w:r>
          </w:p>
          <w:p w14:paraId="5E94B34B"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Office of Health Protection, Commonwealth Department of Health.</w:t>
            </w:r>
          </w:p>
        </w:tc>
      </w:tr>
      <w:tr w:rsidR="002F1BC7" w:rsidRPr="003049C5" w14:paraId="58A5E944" w14:textId="77777777" w:rsidTr="00FF0ED0">
        <w:trPr>
          <w:trHeight w:val="20"/>
        </w:trPr>
        <w:tc>
          <w:tcPr>
            <w:tcW w:w="1585" w:type="pct"/>
          </w:tcPr>
          <w:p w14:paraId="1DB1E8B6"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Associate Professor Ann Koehler (Deputy Chair)</w:t>
            </w:r>
          </w:p>
        </w:tc>
        <w:tc>
          <w:tcPr>
            <w:tcW w:w="3415" w:type="pct"/>
          </w:tcPr>
          <w:p w14:paraId="4D394869"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CDNA representative</w:t>
            </w:r>
          </w:p>
          <w:p w14:paraId="299BCA20"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Director, Communicable Disease Control Branch, System Performance &amp; Service Delivery, SA Health </w:t>
            </w:r>
          </w:p>
        </w:tc>
      </w:tr>
      <w:tr w:rsidR="002F1BC7" w:rsidRPr="003049C5" w14:paraId="31C48C18" w14:textId="77777777" w:rsidTr="00FF0ED0">
        <w:trPr>
          <w:trHeight w:val="20"/>
        </w:trPr>
        <w:tc>
          <w:tcPr>
            <w:tcW w:w="1585" w:type="pct"/>
          </w:tcPr>
          <w:p w14:paraId="6FF2C605"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Dr. Ranil Appuhamy </w:t>
            </w:r>
          </w:p>
          <w:p w14:paraId="4FA3925F" w14:textId="77777777" w:rsidR="002F1BC7"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Dr Andrew Pengilley</w:t>
            </w:r>
          </w:p>
          <w:p w14:paraId="5133175C" w14:textId="77777777" w:rsidR="002F1BC7" w:rsidRDefault="002F1BC7" w:rsidP="00FF0ED0">
            <w:pPr>
              <w:pStyle w:val="TableParagraph"/>
              <w:widowControl/>
              <w:spacing w:line="264" w:lineRule="exact"/>
              <w:rPr>
                <w:rFonts w:eastAsia="Arial" w:cs="Arial"/>
                <w:sz w:val="24"/>
                <w:szCs w:val="20"/>
                <w:lang w:val="en-AU"/>
              </w:rPr>
            </w:pPr>
            <w:r w:rsidRPr="00A143DE">
              <w:rPr>
                <w:rFonts w:eastAsia="Arial" w:cs="Arial"/>
                <w:sz w:val="24"/>
                <w:szCs w:val="20"/>
                <w:lang w:val="en-AU"/>
              </w:rPr>
              <w:t>Dr Vanessa Johnston</w:t>
            </w:r>
          </w:p>
          <w:p w14:paraId="3013FDE3" w14:textId="77777777" w:rsidR="002F1BC7" w:rsidRPr="003049C5" w:rsidRDefault="002F1BC7" w:rsidP="00FF0ED0">
            <w:pPr>
              <w:pStyle w:val="TableParagraph"/>
              <w:widowControl/>
              <w:spacing w:line="264" w:lineRule="exact"/>
              <w:rPr>
                <w:rFonts w:eastAsia="Arial" w:cs="Arial"/>
                <w:sz w:val="24"/>
                <w:szCs w:val="20"/>
                <w:lang w:val="en-AU"/>
              </w:rPr>
            </w:pPr>
          </w:p>
        </w:tc>
        <w:tc>
          <w:tcPr>
            <w:tcW w:w="3415" w:type="pct"/>
          </w:tcPr>
          <w:p w14:paraId="09FFC2A9"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CDNA representative</w:t>
            </w:r>
          </w:p>
          <w:p w14:paraId="33DB9507"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Public Health Physician</w:t>
            </w:r>
          </w:p>
          <w:p w14:paraId="09F0F9E6" w14:textId="77777777" w:rsidR="002F1BC7"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CDNA representative</w:t>
            </w:r>
          </w:p>
          <w:p w14:paraId="7CAFA38C" w14:textId="77777777" w:rsidR="002F1BC7" w:rsidRPr="003049C5"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Public Health Physician</w:t>
            </w:r>
          </w:p>
          <w:p w14:paraId="79223E7F"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Health Protection Service, ACT Health</w:t>
            </w:r>
          </w:p>
        </w:tc>
      </w:tr>
      <w:tr w:rsidR="002F1BC7" w:rsidRPr="003049C5" w14:paraId="31E497EF" w14:textId="77777777" w:rsidTr="00FF0ED0">
        <w:trPr>
          <w:trHeight w:val="20"/>
        </w:trPr>
        <w:tc>
          <w:tcPr>
            <w:tcW w:w="1585" w:type="pct"/>
          </w:tcPr>
          <w:p w14:paraId="5C3F353B"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Dr Paul Armstrong</w:t>
            </w:r>
          </w:p>
        </w:tc>
        <w:tc>
          <w:tcPr>
            <w:tcW w:w="3415" w:type="pct"/>
          </w:tcPr>
          <w:p w14:paraId="7FEA0154"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CDNA representative </w:t>
            </w:r>
          </w:p>
          <w:p w14:paraId="4F41FF1B"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Director, Communicable Disease Control Directorate, WA Health</w:t>
            </w:r>
          </w:p>
        </w:tc>
      </w:tr>
      <w:tr w:rsidR="002F1BC7" w:rsidRPr="003049C5" w14:paraId="20A08EB7" w14:textId="77777777" w:rsidTr="00FF0ED0">
        <w:trPr>
          <w:trHeight w:val="20"/>
        </w:trPr>
        <w:tc>
          <w:tcPr>
            <w:tcW w:w="1585" w:type="pct"/>
          </w:tcPr>
          <w:p w14:paraId="29A57F99"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Dr I-Hao Cheng</w:t>
            </w:r>
          </w:p>
          <w:p w14:paraId="4D1CC6E8" w14:textId="77777777" w:rsidR="002F1BC7" w:rsidRPr="00A143DE" w:rsidRDefault="002F1BC7" w:rsidP="00FF0ED0">
            <w:pPr>
              <w:pStyle w:val="TableParagraph"/>
              <w:rPr>
                <w:rFonts w:eastAsia="Arial" w:cs="Arial"/>
                <w:sz w:val="24"/>
                <w:szCs w:val="20"/>
                <w:lang w:val="en-AU"/>
              </w:rPr>
            </w:pPr>
            <w:r w:rsidRPr="00A143DE">
              <w:rPr>
                <w:rFonts w:eastAsia="Arial" w:cs="Arial"/>
                <w:sz w:val="24"/>
                <w:szCs w:val="20"/>
                <w:lang w:val="en-AU"/>
              </w:rPr>
              <w:t>Dr Brett Sutton</w:t>
            </w:r>
          </w:p>
          <w:p w14:paraId="64078034" w14:textId="77777777" w:rsidR="002F1BC7" w:rsidRPr="003049C5" w:rsidRDefault="002F1BC7" w:rsidP="00FF0ED0">
            <w:pPr>
              <w:pStyle w:val="TableParagraph"/>
              <w:widowControl/>
              <w:spacing w:line="264" w:lineRule="exact"/>
              <w:rPr>
                <w:rFonts w:eastAsia="Arial" w:cs="Arial"/>
                <w:sz w:val="24"/>
                <w:szCs w:val="20"/>
                <w:lang w:val="en-AU"/>
              </w:rPr>
            </w:pPr>
          </w:p>
        </w:tc>
        <w:tc>
          <w:tcPr>
            <w:tcW w:w="3415" w:type="pct"/>
          </w:tcPr>
          <w:p w14:paraId="0ECE4780"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Principal Public Health Medical Officer </w:t>
            </w:r>
          </w:p>
          <w:p w14:paraId="1A99AF9A" w14:textId="77777777" w:rsidR="002F1BC7"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 xml:space="preserve">CDNA Representative </w:t>
            </w:r>
          </w:p>
          <w:p w14:paraId="14F25FF8"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Deputy Chief Health Officer (Communicable Disease)</w:t>
            </w:r>
          </w:p>
          <w:p w14:paraId="31586956"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Office of the Chief Health Officer</w:t>
            </w:r>
          </w:p>
          <w:p w14:paraId="27CDE395"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Department of Health and Human Services, Victoria</w:t>
            </w:r>
          </w:p>
        </w:tc>
      </w:tr>
      <w:tr w:rsidR="002F1BC7" w:rsidRPr="003049C5" w14:paraId="3F112839" w14:textId="77777777" w:rsidTr="00FF0ED0">
        <w:trPr>
          <w:trHeight w:val="20"/>
        </w:trPr>
        <w:tc>
          <w:tcPr>
            <w:tcW w:w="1585" w:type="pct"/>
          </w:tcPr>
          <w:p w14:paraId="4A8FD62D"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Mr Dean Gloede</w:t>
            </w:r>
          </w:p>
        </w:tc>
        <w:tc>
          <w:tcPr>
            <w:tcW w:w="3415" w:type="pct"/>
          </w:tcPr>
          <w:p w14:paraId="0B185212"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HIV Case Coordinator, Communicable Disease Control Branch SA Department for Health and Ageing</w:t>
            </w:r>
          </w:p>
        </w:tc>
      </w:tr>
      <w:tr w:rsidR="002F1BC7" w:rsidRPr="003049C5" w14:paraId="38D69F97" w14:textId="77777777" w:rsidTr="00FF0ED0">
        <w:trPr>
          <w:trHeight w:val="20"/>
        </w:trPr>
        <w:tc>
          <w:tcPr>
            <w:tcW w:w="1585" w:type="pct"/>
          </w:tcPr>
          <w:p w14:paraId="1040E894"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Associate Professor Anthony Lawler</w:t>
            </w:r>
          </w:p>
        </w:tc>
        <w:tc>
          <w:tcPr>
            <w:tcW w:w="3415" w:type="pct"/>
          </w:tcPr>
          <w:p w14:paraId="25272F63"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ACEM representative</w:t>
            </w:r>
          </w:p>
          <w:p w14:paraId="6B51B697"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President, ACEM</w:t>
            </w:r>
          </w:p>
        </w:tc>
      </w:tr>
      <w:tr w:rsidR="002F1BC7" w:rsidRPr="003049C5" w14:paraId="1A89CC6E" w14:textId="77777777" w:rsidTr="00FF0ED0">
        <w:trPr>
          <w:trHeight w:val="20"/>
        </w:trPr>
        <w:tc>
          <w:tcPr>
            <w:tcW w:w="1585" w:type="pct"/>
          </w:tcPr>
          <w:p w14:paraId="1CB52A84"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Professor Michael Permezel</w:t>
            </w:r>
          </w:p>
          <w:p w14:paraId="6D2CC871" w14:textId="77777777" w:rsidR="002F1BC7" w:rsidRPr="003049C5"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Professor Steve Robson</w:t>
            </w:r>
          </w:p>
        </w:tc>
        <w:tc>
          <w:tcPr>
            <w:tcW w:w="3415" w:type="pct"/>
          </w:tcPr>
          <w:p w14:paraId="6A12839F"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RANZCOG representative</w:t>
            </w:r>
          </w:p>
          <w:p w14:paraId="63504C3E"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President RANZCOG</w:t>
            </w:r>
          </w:p>
        </w:tc>
      </w:tr>
      <w:tr w:rsidR="002F1BC7" w:rsidRPr="003049C5" w14:paraId="54773808" w14:textId="77777777" w:rsidTr="00FF0ED0">
        <w:trPr>
          <w:trHeight w:val="20"/>
        </w:trPr>
        <w:tc>
          <w:tcPr>
            <w:tcW w:w="1585" w:type="pct"/>
          </w:tcPr>
          <w:p w14:paraId="33744CA3"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Associate Professor Jeffrey Post</w:t>
            </w:r>
          </w:p>
        </w:tc>
        <w:tc>
          <w:tcPr>
            <w:tcW w:w="3415" w:type="pct"/>
          </w:tcPr>
          <w:p w14:paraId="0FACD74B"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ASHM representative </w:t>
            </w:r>
          </w:p>
          <w:p w14:paraId="74CC160F"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Infectious Diseases Physician, Prince of Wales Hospital / University of NSW.</w:t>
            </w:r>
          </w:p>
        </w:tc>
      </w:tr>
      <w:tr w:rsidR="002F1BC7" w:rsidRPr="003049C5" w14:paraId="4EC27C1B" w14:textId="77777777" w:rsidTr="00FF0ED0">
        <w:trPr>
          <w:trHeight w:val="20"/>
        </w:trPr>
        <w:tc>
          <w:tcPr>
            <w:tcW w:w="1585" w:type="pct"/>
          </w:tcPr>
          <w:p w14:paraId="7CAD6B09"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Dr John Quinn</w:t>
            </w:r>
          </w:p>
        </w:tc>
        <w:tc>
          <w:tcPr>
            <w:tcW w:w="3415" w:type="pct"/>
          </w:tcPr>
          <w:p w14:paraId="23F03A32"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RACS representative</w:t>
            </w:r>
          </w:p>
          <w:p w14:paraId="51F568CE"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Executive Director for Surgical Affairs, RACS</w:t>
            </w:r>
          </w:p>
        </w:tc>
      </w:tr>
      <w:tr w:rsidR="002F1BC7" w:rsidRPr="003049C5" w14:paraId="3EB1A56E" w14:textId="77777777" w:rsidTr="00FF0ED0">
        <w:trPr>
          <w:trHeight w:val="20"/>
        </w:trPr>
        <w:tc>
          <w:tcPr>
            <w:tcW w:w="1585" w:type="pct"/>
          </w:tcPr>
          <w:p w14:paraId="161FE669"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Dr Christine Selvey</w:t>
            </w:r>
          </w:p>
        </w:tc>
        <w:tc>
          <w:tcPr>
            <w:tcW w:w="3415" w:type="pct"/>
          </w:tcPr>
          <w:p w14:paraId="60D71260"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Medical Epidemiologist</w:t>
            </w:r>
          </w:p>
          <w:p w14:paraId="35E8CA9C"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Communicable Diseases Branch, Health Protection NSW</w:t>
            </w:r>
          </w:p>
        </w:tc>
      </w:tr>
      <w:tr w:rsidR="002F1BC7" w:rsidRPr="003049C5" w14:paraId="7E5DEA49" w14:textId="77777777" w:rsidTr="00FF0ED0">
        <w:trPr>
          <w:trHeight w:val="20"/>
        </w:trPr>
        <w:tc>
          <w:tcPr>
            <w:tcW w:w="1585" w:type="pct"/>
          </w:tcPr>
          <w:p w14:paraId="40242FDF"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Ms Vanessa Scarf</w:t>
            </w:r>
          </w:p>
        </w:tc>
        <w:tc>
          <w:tcPr>
            <w:tcW w:w="3415" w:type="pct"/>
          </w:tcPr>
          <w:p w14:paraId="474D5FB8"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Australian College of Midwives representative</w:t>
            </w:r>
          </w:p>
        </w:tc>
      </w:tr>
      <w:tr w:rsidR="002F1BC7" w:rsidRPr="003049C5" w14:paraId="4B2786A7" w14:textId="77777777" w:rsidTr="00FF0ED0">
        <w:trPr>
          <w:trHeight w:val="20"/>
        </w:trPr>
        <w:tc>
          <w:tcPr>
            <w:tcW w:w="1585" w:type="pct"/>
          </w:tcPr>
          <w:p w14:paraId="73F1E78E"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lastRenderedPageBreak/>
              <w:t>Dr David Speers</w:t>
            </w:r>
          </w:p>
        </w:tc>
        <w:tc>
          <w:tcPr>
            <w:tcW w:w="3415" w:type="pct"/>
          </w:tcPr>
          <w:p w14:paraId="224D284D"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Infectious Diseases and Clinical Microbiology </w:t>
            </w:r>
          </w:p>
          <w:p w14:paraId="050FD33D"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Infectious Diseases Physician and Infection Control Officer, Sir Charles Gairdner Hospital; Head, Department of Clinical Microbiology, PathWest Laboratory Medicine, Queen Elizabeth II Medical Centre, Western Australia.</w:t>
            </w:r>
          </w:p>
        </w:tc>
      </w:tr>
      <w:tr w:rsidR="002F1BC7" w:rsidRPr="003049C5" w14:paraId="12A04B42" w14:textId="77777777" w:rsidTr="00FF0ED0">
        <w:trPr>
          <w:trHeight w:val="20"/>
        </w:trPr>
        <w:tc>
          <w:tcPr>
            <w:tcW w:w="1585" w:type="pct"/>
          </w:tcPr>
          <w:p w14:paraId="4665970C"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Associate Professor Rhonda Stuart</w:t>
            </w:r>
          </w:p>
        </w:tc>
        <w:tc>
          <w:tcPr>
            <w:tcW w:w="3415" w:type="pct"/>
          </w:tcPr>
          <w:p w14:paraId="42609428"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Australian Society for Infectious Diseases (ASID) representative</w:t>
            </w:r>
          </w:p>
          <w:p w14:paraId="0E20927C"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Infectious Diseases Physician, Monash Medical Centre</w:t>
            </w:r>
          </w:p>
        </w:tc>
      </w:tr>
      <w:tr w:rsidR="002F1BC7" w:rsidRPr="003049C5" w14:paraId="454936CF" w14:textId="77777777" w:rsidTr="00FF0ED0">
        <w:trPr>
          <w:trHeight w:val="20"/>
        </w:trPr>
        <w:tc>
          <w:tcPr>
            <w:tcW w:w="1585" w:type="pct"/>
          </w:tcPr>
          <w:p w14:paraId="2A73DCE6" w14:textId="77777777" w:rsidR="002F1BC7"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Dr Finn Romanes</w:t>
            </w:r>
          </w:p>
          <w:p w14:paraId="39EE26B1" w14:textId="77777777" w:rsidR="002F1BC7" w:rsidRPr="003049C5"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Dr Jessica Rotty</w:t>
            </w:r>
          </w:p>
        </w:tc>
        <w:tc>
          <w:tcPr>
            <w:tcW w:w="3415" w:type="pct"/>
          </w:tcPr>
          <w:p w14:paraId="004F248E" w14:textId="77777777" w:rsidR="002F1BC7"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Senior Medical Advisor</w:t>
            </w:r>
          </w:p>
          <w:p w14:paraId="7739FD4D" w14:textId="77777777" w:rsidR="002F1BC7"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A/g Medical Advisor</w:t>
            </w:r>
          </w:p>
          <w:p w14:paraId="06B76924"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Department of Health and Human Services</w:t>
            </w:r>
            <w:r>
              <w:rPr>
                <w:rFonts w:eastAsia="Arial" w:cs="Arial"/>
                <w:sz w:val="24"/>
                <w:szCs w:val="20"/>
                <w:lang w:val="en-AU"/>
              </w:rPr>
              <w:t>, Victoria</w:t>
            </w:r>
          </w:p>
        </w:tc>
      </w:tr>
      <w:tr w:rsidR="002F1BC7" w:rsidRPr="003049C5" w14:paraId="1D17FA6C" w14:textId="77777777" w:rsidTr="00FF0ED0">
        <w:trPr>
          <w:trHeight w:val="20"/>
        </w:trPr>
        <w:tc>
          <w:tcPr>
            <w:tcW w:w="1585" w:type="pct"/>
          </w:tcPr>
          <w:p w14:paraId="24C88DE6"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Adjunct Professor Debra Thoms</w:t>
            </w:r>
          </w:p>
        </w:tc>
        <w:tc>
          <w:tcPr>
            <w:tcW w:w="3415" w:type="pct"/>
          </w:tcPr>
          <w:p w14:paraId="3CF87D35"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Chief Nurse and Midwifery Officer</w:t>
            </w:r>
          </w:p>
          <w:p w14:paraId="23E82D20"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Commonwealth Department of Health</w:t>
            </w:r>
          </w:p>
        </w:tc>
      </w:tr>
      <w:tr w:rsidR="002F1BC7" w:rsidRPr="003049C5" w14:paraId="359CBC2F" w14:textId="77777777" w:rsidTr="00FF0ED0">
        <w:trPr>
          <w:trHeight w:val="20"/>
        </w:trPr>
        <w:tc>
          <w:tcPr>
            <w:tcW w:w="1585" w:type="pct"/>
          </w:tcPr>
          <w:p w14:paraId="3BEEB3E3"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Dr Mark Veitch</w:t>
            </w:r>
          </w:p>
          <w:p w14:paraId="4F77DD36" w14:textId="77777777" w:rsidR="002F1BC7" w:rsidRDefault="002F1BC7" w:rsidP="00FF0ED0">
            <w:pPr>
              <w:pStyle w:val="TableParagraph"/>
              <w:widowControl/>
              <w:spacing w:line="264" w:lineRule="exact"/>
              <w:rPr>
                <w:rFonts w:eastAsia="Arial" w:cs="Arial"/>
                <w:sz w:val="24"/>
                <w:szCs w:val="20"/>
                <w:lang w:val="en-AU"/>
              </w:rPr>
            </w:pPr>
          </w:p>
          <w:p w14:paraId="446E40FA" w14:textId="77777777" w:rsidR="002F1BC7" w:rsidRPr="003049C5"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Dr Faline Howes</w:t>
            </w:r>
          </w:p>
        </w:tc>
        <w:tc>
          <w:tcPr>
            <w:tcW w:w="3415" w:type="pct"/>
          </w:tcPr>
          <w:p w14:paraId="54BF80EC"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CDNA representative</w:t>
            </w:r>
          </w:p>
          <w:p w14:paraId="51C1D039" w14:textId="77777777" w:rsidR="002F1BC7"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A/g Director of Public Health(CDNA Chair)</w:t>
            </w:r>
          </w:p>
          <w:p w14:paraId="135E0987" w14:textId="77777777" w:rsidR="002F1BC7" w:rsidRPr="003049C5" w:rsidRDefault="002F1BC7" w:rsidP="00FF0ED0">
            <w:pPr>
              <w:pStyle w:val="TableParagraph"/>
              <w:widowControl/>
              <w:spacing w:line="264" w:lineRule="exact"/>
              <w:rPr>
                <w:rFonts w:eastAsia="Arial" w:cs="Arial"/>
                <w:sz w:val="24"/>
                <w:szCs w:val="20"/>
                <w:lang w:val="en-AU"/>
              </w:rPr>
            </w:pPr>
            <w:r>
              <w:rPr>
                <w:rFonts w:eastAsia="Arial" w:cs="Arial"/>
                <w:sz w:val="24"/>
                <w:szCs w:val="20"/>
                <w:lang w:val="en-AU"/>
              </w:rPr>
              <w:t>Public Health Physician</w:t>
            </w:r>
          </w:p>
          <w:p w14:paraId="19A04C53"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Public Health Services, Department of Health and Human Services, Tasmania </w:t>
            </w:r>
          </w:p>
        </w:tc>
      </w:tr>
      <w:tr w:rsidR="002F1BC7" w:rsidRPr="003049C5" w14:paraId="3DEF586B" w14:textId="77777777" w:rsidTr="00FF0ED0">
        <w:trPr>
          <w:trHeight w:val="20"/>
        </w:trPr>
        <w:tc>
          <w:tcPr>
            <w:tcW w:w="1585" w:type="pct"/>
          </w:tcPr>
          <w:p w14:paraId="58EC1B1C"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Professor Laurence Walsh</w:t>
            </w:r>
          </w:p>
        </w:tc>
        <w:tc>
          <w:tcPr>
            <w:tcW w:w="3415" w:type="pct"/>
          </w:tcPr>
          <w:p w14:paraId="74D8D850"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RACDS representative </w:t>
            </w:r>
          </w:p>
        </w:tc>
      </w:tr>
      <w:tr w:rsidR="002F1BC7" w:rsidRPr="003049C5" w14:paraId="5D4BDBA5" w14:textId="77777777" w:rsidTr="00FF0ED0">
        <w:trPr>
          <w:trHeight w:val="20"/>
        </w:trPr>
        <w:tc>
          <w:tcPr>
            <w:tcW w:w="1585" w:type="pct"/>
          </w:tcPr>
          <w:p w14:paraId="221FD551"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Dr Jennie Hood (Secretariat)</w:t>
            </w:r>
          </w:p>
        </w:tc>
        <w:tc>
          <w:tcPr>
            <w:tcW w:w="3415" w:type="pct"/>
          </w:tcPr>
          <w:p w14:paraId="3A47531A"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Commonwealth Department of Health</w:t>
            </w:r>
          </w:p>
        </w:tc>
      </w:tr>
      <w:tr w:rsidR="002F1BC7" w:rsidRPr="003049C5" w14:paraId="5A68463B" w14:textId="77777777" w:rsidTr="00FF0ED0">
        <w:trPr>
          <w:trHeight w:val="20"/>
        </w:trPr>
        <w:tc>
          <w:tcPr>
            <w:tcW w:w="1585" w:type="pct"/>
          </w:tcPr>
          <w:p w14:paraId="4236228E"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Ms Eliza Drury (Secretariat)</w:t>
            </w:r>
          </w:p>
        </w:tc>
        <w:tc>
          <w:tcPr>
            <w:tcW w:w="3415" w:type="pct"/>
          </w:tcPr>
          <w:p w14:paraId="31D884B8"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Commonwealth Department of Health</w:t>
            </w:r>
          </w:p>
        </w:tc>
      </w:tr>
    </w:tbl>
    <w:p w14:paraId="6D5B38E5" w14:textId="77777777" w:rsidR="002F1BC7" w:rsidRPr="00DF1E0C" w:rsidRDefault="002F1BC7" w:rsidP="002F1BC7">
      <w:pPr>
        <w:pStyle w:val="Heading2"/>
        <w:spacing w:before="0" w:after="0"/>
        <w:rPr>
          <w:rFonts w:ascii="Calibri" w:hAnsi="Calibri"/>
          <w:sz w:val="32"/>
          <w:lang w:val="en-AU"/>
        </w:rPr>
      </w:pPr>
      <w:r>
        <w:rPr>
          <w:rFonts w:ascii="Calibri" w:hAnsi="Calibri"/>
          <w:sz w:val="32"/>
          <w:lang w:val="en-AU"/>
        </w:rPr>
        <w:t xml:space="preserve">2014 Technical Working Group </w:t>
      </w:r>
    </w:p>
    <w:tbl>
      <w:tblPr>
        <w:tblW w:w="5000" w:type="pct"/>
        <w:tblBorders>
          <w:top w:val="single" w:sz="4" w:space="0" w:color="1F497D"/>
          <w:left w:val="single" w:sz="4" w:space="0" w:color="1F497D"/>
          <w:bottom w:val="single" w:sz="4" w:space="0" w:color="1F497D"/>
          <w:right w:val="single" w:sz="4" w:space="0" w:color="1F497D"/>
          <w:insideH w:val="single" w:sz="6" w:space="0" w:color="1F497D"/>
          <w:insideV w:val="single" w:sz="6" w:space="0" w:color="1F497D"/>
        </w:tblBorders>
        <w:tblCellMar>
          <w:top w:w="108" w:type="dxa"/>
          <w:bottom w:w="108" w:type="dxa"/>
        </w:tblCellMar>
        <w:tblLook w:val="04A0" w:firstRow="1" w:lastRow="0" w:firstColumn="1" w:lastColumn="0" w:noHBand="0" w:noVBand="1"/>
      </w:tblPr>
      <w:tblGrid>
        <w:gridCol w:w="2939"/>
        <w:gridCol w:w="6120"/>
      </w:tblGrid>
      <w:tr w:rsidR="002F1BC7" w:rsidRPr="003049C5" w14:paraId="07EDB932" w14:textId="77777777" w:rsidTr="00FF0ED0">
        <w:trPr>
          <w:trHeight w:val="20"/>
        </w:trPr>
        <w:tc>
          <w:tcPr>
            <w:tcW w:w="1622" w:type="pct"/>
          </w:tcPr>
          <w:p w14:paraId="5FA2A5DF"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Associate Professor </w:t>
            </w:r>
            <w:r w:rsidRPr="003049C5">
              <w:rPr>
                <w:rFonts w:eastAsia="Arial" w:cs="Arial"/>
                <w:sz w:val="24"/>
                <w:szCs w:val="20"/>
                <w:lang w:val="en-AU"/>
              </w:rPr>
              <w:br/>
              <w:t xml:space="preserve">Ann Koehler (Chair)  </w:t>
            </w:r>
          </w:p>
        </w:tc>
        <w:tc>
          <w:tcPr>
            <w:tcW w:w="3378" w:type="pct"/>
          </w:tcPr>
          <w:p w14:paraId="7DC23F70"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CDNA representative </w:t>
            </w:r>
          </w:p>
          <w:p w14:paraId="2008AD51"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Director, Communicable Disease Control Branch, South Australian Department for Health and Ageing, South Australia.</w:t>
            </w:r>
          </w:p>
        </w:tc>
      </w:tr>
      <w:tr w:rsidR="002F1BC7" w:rsidRPr="003049C5" w14:paraId="096F2D0C" w14:textId="77777777" w:rsidTr="00FF0ED0">
        <w:trPr>
          <w:trHeight w:val="20"/>
        </w:trPr>
        <w:tc>
          <w:tcPr>
            <w:tcW w:w="1622" w:type="pct"/>
          </w:tcPr>
          <w:p w14:paraId="45E6728E"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Dr Allen Cheng</w:t>
            </w:r>
          </w:p>
        </w:tc>
        <w:tc>
          <w:tcPr>
            <w:tcW w:w="3378" w:type="pct"/>
          </w:tcPr>
          <w:p w14:paraId="34C57EB0"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ASID representative </w:t>
            </w:r>
          </w:p>
          <w:p w14:paraId="1799FC42"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Infectious Diseases Physician, Alfred Health /Monash University.</w:t>
            </w:r>
          </w:p>
        </w:tc>
      </w:tr>
      <w:tr w:rsidR="002F1BC7" w:rsidRPr="003049C5" w14:paraId="643F9BA1" w14:textId="77777777" w:rsidTr="00FF0ED0">
        <w:trPr>
          <w:trHeight w:val="20"/>
        </w:trPr>
        <w:tc>
          <w:tcPr>
            <w:tcW w:w="1622" w:type="pct"/>
          </w:tcPr>
          <w:p w14:paraId="091FDA43"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Mr Jae Condon</w:t>
            </w:r>
          </w:p>
        </w:tc>
        <w:tc>
          <w:tcPr>
            <w:tcW w:w="3378" w:type="pct"/>
          </w:tcPr>
          <w:p w14:paraId="2604F8F5"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Blood Borne Viruses and Sexually Transmissible Infection Subcommittee (BBVSS)</w:t>
            </w:r>
            <w:r w:rsidRPr="003049C5">
              <w:rPr>
                <w:rFonts w:eastAsia="Arial" w:cs="Arial"/>
                <w:b/>
                <w:sz w:val="24"/>
                <w:szCs w:val="20"/>
                <w:lang w:val="en-AU"/>
              </w:rPr>
              <w:t xml:space="preserve"> </w:t>
            </w:r>
            <w:r w:rsidRPr="003049C5">
              <w:rPr>
                <w:rFonts w:eastAsia="Arial" w:cs="Arial"/>
                <w:sz w:val="24"/>
                <w:szCs w:val="20"/>
                <w:lang w:val="en-AU"/>
              </w:rPr>
              <w:t xml:space="preserve">representative </w:t>
            </w:r>
          </w:p>
          <w:p w14:paraId="27CFA6D2"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Registered Nurse, Treataware Project Officer, National Association of People with HIV Australia.</w:t>
            </w:r>
          </w:p>
        </w:tc>
      </w:tr>
      <w:tr w:rsidR="002F1BC7" w:rsidRPr="003049C5" w14:paraId="30A3B65F" w14:textId="77777777" w:rsidTr="00FF0ED0">
        <w:trPr>
          <w:trHeight w:val="20"/>
        </w:trPr>
        <w:tc>
          <w:tcPr>
            <w:tcW w:w="1622" w:type="pct"/>
          </w:tcPr>
          <w:p w14:paraId="77426B6B"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Dr Jenny Firman</w:t>
            </w:r>
          </w:p>
        </w:tc>
        <w:tc>
          <w:tcPr>
            <w:tcW w:w="3378" w:type="pct"/>
          </w:tcPr>
          <w:p w14:paraId="4A1FD258"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Commonwealth Department of Health representative </w:t>
            </w:r>
          </w:p>
          <w:p w14:paraId="41D55827"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Medical Advisor, Office of Health Protection, Commonwealth Department of Health.</w:t>
            </w:r>
          </w:p>
        </w:tc>
      </w:tr>
      <w:tr w:rsidR="002F1BC7" w:rsidRPr="003049C5" w14:paraId="6643B837" w14:textId="77777777" w:rsidTr="00FF0ED0">
        <w:trPr>
          <w:trHeight w:val="20"/>
        </w:trPr>
        <w:tc>
          <w:tcPr>
            <w:tcW w:w="1622" w:type="pct"/>
          </w:tcPr>
          <w:p w14:paraId="13982B10"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Associate Professor </w:t>
            </w:r>
            <w:r w:rsidRPr="003049C5">
              <w:rPr>
                <w:rFonts w:eastAsia="Arial" w:cs="Arial"/>
                <w:sz w:val="24"/>
                <w:szCs w:val="20"/>
                <w:lang w:val="en-AU"/>
              </w:rPr>
              <w:br/>
              <w:t>Jeffrey Post</w:t>
            </w:r>
          </w:p>
        </w:tc>
        <w:tc>
          <w:tcPr>
            <w:tcW w:w="3378" w:type="pct"/>
          </w:tcPr>
          <w:p w14:paraId="4FB8C267"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 xml:space="preserve">ASHM representative </w:t>
            </w:r>
          </w:p>
          <w:p w14:paraId="7E06CF18"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lastRenderedPageBreak/>
              <w:t>Infectious Diseases Physician, Prince of Wales Hospital / University of NSW.</w:t>
            </w:r>
          </w:p>
        </w:tc>
      </w:tr>
      <w:tr w:rsidR="002F1BC7" w:rsidRPr="003049C5" w14:paraId="28FC7C53" w14:textId="77777777" w:rsidTr="00FF0ED0">
        <w:trPr>
          <w:trHeight w:val="20"/>
        </w:trPr>
        <w:tc>
          <w:tcPr>
            <w:tcW w:w="1622" w:type="pct"/>
          </w:tcPr>
          <w:p w14:paraId="4EFEF06B"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lastRenderedPageBreak/>
              <w:t xml:space="preserve">Mr Dean Gloede (Secretariat) </w:t>
            </w:r>
          </w:p>
        </w:tc>
        <w:tc>
          <w:tcPr>
            <w:tcW w:w="3378" w:type="pct"/>
          </w:tcPr>
          <w:p w14:paraId="255A1BEE"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Registered Nurse</w:t>
            </w:r>
          </w:p>
          <w:p w14:paraId="0CEE31E3" w14:textId="77777777" w:rsidR="002F1BC7" w:rsidRPr="003049C5" w:rsidRDefault="002F1BC7" w:rsidP="00FF0ED0">
            <w:pPr>
              <w:pStyle w:val="TableParagraph"/>
              <w:widowControl/>
              <w:spacing w:line="264" w:lineRule="exact"/>
              <w:rPr>
                <w:rFonts w:eastAsia="Arial" w:cs="Arial"/>
                <w:sz w:val="24"/>
                <w:szCs w:val="20"/>
                <w:lang w:val="en-AU"/>
              </w:rPr>
            </w:pPr>
            <w:r w:rsidRPr="003049C5">
              <w:rPr>
                <w:rFonts w:eastAsia="Arial" w:cs="Arial"/>
                <w:sz w:val="24"/>
                <w:szCs w:val="20"/>
                <w:lang w:val="en-AU"/>
              </w:rPr>
              <w:t>HIV Case Coordinator Communicable Disease Control Branch, South Australian Department for Health and Ageing.</w:t>
            </w:r>
          </w:p>
        </w:tc>
      </w:tr>
    </w:tbl>
    <w:p w14:paraId="793A5218" w14:textId="77777777" w:rsidR="002F1BC7" w:rsidRPr="00DF1E0C" w:rsidRDefault="002F1BC7" w:rsidP="002F1BC7">
      <w:pPr>
        <w:spacing w:line="200" w:lineRule="exact"/>
        <w:rPr>
          <w:szCs w:val="20"/>
          <w:lang w:val="en-AU"/>
        </w:rPr>
        <w:sectPr w:rsidR="002F1BC7" w:rsidRPr="00DF1E0C">
          <w:footnotePr>
            <w:numFmt w:val="upperRoman"/>
          </w:footnotePr>
          <w:pgSz w:w="11905" w:h="16840"/>
          <w:pgMar w:top="1418" w:right="1418" w:bottom="964" w:left="1418" w:header="0" w:footer="697" w:gutter="0"/>
          <w:cols w:space="720"/>
          <w:docGrid w:linePitch="299"/>
        </w:sectPr>
      </w:pPr>
    </w:p>
    <w:p w14:paraId="4D6C49AB" w14:textId="77777777" w:rsidR="002F1BC7" w:rsidRPr="00F95189" w:rsidRDefault="002F1BC7" w:rsidP="002F1BC7">
      <w:pPr>
        <w:pStyle w:val="Heading1"/>
        <w:spacing w:after="240"/>
        <w:rPr>
          <w:rFonts w:ascii="Calibri" w:hAnsi="Calibri"/>
          <w:sz w:val="40"/>
        </w:rPr>
      </w:pPr>
      <w:bookmarkStart w:id="87" w:name="_bookmark13"/>
      <w:bookmarkStart w:id="88" w:name="_Toc480558276"/>
      <w:bookmarkEnd w:id="87"/>
      <w:r w:rsidRPr="00F95189">
        <w:rPr>
          <w:rFonts w:ascii="Calibri" w:hAnsi="Calibri"/>
          <w:sz w:val="40"/>
        </w:rPr>
        <w:lastRenderedPageBreak/>
        <w:t>References</w:t>
      </w:r>
      <w:bookmarkEnd w:id="88"/>
    </w:p>
    <w:p w14:paraId="4E531523" w14:textId="77777777" w:rsidR="002F1BC7" w:rsidRPr="00F71DE4" w:rsidRDefault="002F1BC7" w:rsidP="002F1BC7">
      <w:pPr>
        <w:pStyle w:val="BodyText"/>
        <w:widowControl/>
        <w:spacing w:after="0" w:line="240" w:lineRule="atLeast"/>
        <w:rPr>
          <w:rFonts w:ascii="Calibri" w:hAnsi="Calibri" w:cs="Arial"/>
          <w:noProof/>
          <w:spacing w:val="0"/>
        </w:rPr>
      </w:pPr>
      <w:r w:rsidRPr="00F71DE4">
        <w:rPr>
          <w:rFonts w:ascii="Calibri" w:hAnsi="Calibri"/>
          <w:spacing w:val="0"/>
        </w:rPr>
        <w:fldChar w:fldCharType="begin"/>
      </w:r>
      <w:r w:rsidRPr="00F71DE4">
        <w:rPr>
          <w:rFonts w:ascii="Calibri" w:hAnsi="Calibri"/>
          <w:spacing w:val="0"/>
        </w:rPr>
        <w:instrText xml:space="preserve"> ADDIN EN.REFLIST </w:instrText>
      </w:r>
      <w:r w:rsidRPr="00F71DE4">
        <w:rPr>
          <w:rFonts w:ascii="Calibri" w:hAnsi="Calibri"/>
          <w:spacing w:val="0"/>
        </w:rPr>
        <w:fldChar w:fldCharType="separate"/>
      </w:r>
      <w:bookmarkStart w:id="89" w:name="_ENREF_1"/>
      <w:r w:rsidRPr="00F71DE4">
        <w:rPr>
          <w:rFonts w:ascii="Calibri" w:hAnsi="Calibri" w:cs="Arial"/>
          <w:noProof/>
          <w:spacing w:val="0"/>
        </w:rPr>
        <w:t>1.</w:t>
      </w:r>
      <w:r w:rsidRPr="00F71DE4">
        <w:rPr>
          <w:rFonts w:ascii="Calibri" w:hAnsi="Calibri" w:cs="Arial"/>
          <w:noProof/>
          <w:spacing w:val="0"/>
        </w:rPr>
        <w:tab/>
        <w:t>The Ministerial Advisory Committee on Blood Borne Viruses and Sexually Transmissible Infections (MACBBVS) and The Blood Borne Viruses and Sexually Transmissible Infection Subcommittee (BBVSS). National HIV testing policy version 1.3. Canberra</w:t>
      </w:r>
      <w:r>
        <w:rPr>
          <w:rFonts w:ascii="Calibri" w:hAnsi="Calibri" w:cs="Arial"/>
          <w:noProof/>
          <w:spacing w:val="0"/>
        </w:rPr>
        <w:t xml:space="preserve"> </w:t>
      </w:r>
      <w:r w:rsidRPr="00F71DE4">
        <w:rPr>
          <w:rFonts w:ascii="Calibri" w:hAnsi="Calibri" w:cs="Arial"/>
          <w:noProof/>
          <w:spacing w:val="0"/>
        </w:rPr>
        <w:t xml:space="preserve">2013. Available from: </w:t>
      </w:r>
      <w:r w:rsidRPr="00013F35">
        <w:rPr>
          <w:rFonts w:ascii="Calibri" w:hAnsi="Calibri" w:cs="Arial"/>
          <w:noProof/>
          <w:spacing w:val="0"/>
        </w:rPr>
        <w:t>http://testingportal.ashm.org.au/hiv</w:t>
      </w:r>
      <w:r w:rsidRPr="00F71DE4">
        <w:rPr>
          <w:rFonts w:ascii="Calibri" w:hAnsi="Calibri" w:cs="Arial"/>
          <w:noProof/>
          <w:spacing w:val="0"/>
        </w:rPr>
        <w:t xml:space="preserve"> (accessed July 2015).</w:t>
      </w:r>
      <w:bookmarkEnd w:id="89"/>
    </w:p>
    <w:p w14:paraId="645ECEC2" w14:textId="77777777" w:rsidR="002F1BC7" w:rsidRPr="00F71DE4" w:rsidRDefault="002F1BC7" w:rsidP="002F1BC7">
      <w:pPr>
        <w:pStyle w:val="BodyText"/>
        <w:widowControl/>
        <w:spacing w:after="0" w:line="240" w:lineRule="atLeast"/>
        <w:rPr>
          <w:rFonts w:ascii="Calibri" w:hAnsi="Calibri" w:cs="Arial"/>
          <w:noProof/>
          <w:spacing w:val="0"/>
        </w:rPr>
      </w:pPr>
      <w:bookmarkStart w:id="90" w:name="_ENREF_2"/>
      <w:r w:rsidRPr="00F71DE4">
        <w:rPr>
          <w:rFonts w:ascii="Calibri" w:hAnsi="Calibri" w:cs="Arial"/>
          <w:noProof/>
          <w:spacing w:val="0"/>
        </w:rPr>
        <w:t>2.</w:t>
      </w:r>
      <w:r w:rsidRPr="00F71DE4">
        <w:rPr>
          <w:rFonts w:ascii="Calibri" w:hAnsi="Calibri" w:cs="Arial"/>
          <w:noProof/>
          <w:spacing w:val="0"/>
        </w:rPr>
        <w:tab/>
        <w:t>The Ministerial Advisory Committee on Blood Borne Viruses and Sexually Transmissible Infections (MACBBVS) and The Blood Borne Viruses and Sexually Transmissible Infection Subcommittee (BBVSS). National hepatitis C virus testing policy version 1.1. Canberra</w:t>
      </w:r>
      <w:r>
        <w:rPr>
          <w:rFonts w:ascii="Calibri" w:hAnsi="Calibri" w:cs="Arial"/>
          <w:noProof/>
          <w:spacing w:val="0"/>
        </w:rPr>
        <w:t xml:space="preserve"> </w:t>
      </w:r>
      <w:r w:rsidRPr="00F71DE4">
        <w:rPr>
          <w:rFonts w:ascii="Calibri" w:hAnsi="Calibri" w:cs="Arial"/>
          <w:noProof/>
          <w:spacing w:val="0"/>
        </w:rPr>
        <w:t xml:space="preserve">2013. Available from: </w:t>
      </w:r>
      <w:r w:rsidRPr="00013F35">
        <w:rPr>
          <w:rFonts w:ascii="Calibri" w:hAnsi="Calibri" w:cs="Arial"/>
          <w:noProof/>
          <w:spacing w:val="0"/>
        </w:rPr>
        <w:t>http://testingportal.ashm.org.au/hcv</w:t>
      </w:r>
      <w:r w:rsidRPr="00F71DE4">
        <w:rPr>
          <w:rFonts w:ascii="Calibri" w:hAnsi="Calibri" w:cs="Arial"/>
          <w:noProof/>
          <w:spacing w:val="0"/>
        </w:rPr>
        <w:t xml:space="preserve"> (accessed July 2015).</w:t>
      </w:r>
      <w:bookmarkEnd w:id="90"/>
    </w:p>
    <w:p w14:paraId="242EC9A9" w14:textId="77777777" w:rsidR="002F1BC7" w:rsidRPr="00F71DE4" w:rsidRDefault="002F1BC7" w:rsidP="002F1BC7">
      <w:pPr>
        <w:pStyle w:val="BodyText"/>
        <w:widowControl/>
        <w:spacing w:after="0" w:line="240" w:lineRule="atLeast"/>
        <w:rPr>
          <w:rFonts w:ascii="Calibri" w:hAnsi="Calibri" w:cs="Arial"/>
          <w:noProof/>
          <w:spacing w:val="0"/>
        </w:rPr>
      </w:pPr>
      <w:bookmarkStart w:id="91" w:name="_ENREF_3"/>
      <w:r w:rsidRPr="00F71DE4">
        <w:rPr>
          <w:rFonts w:ascii="Calibri" w:hAnsi="Calibri" w:cs="Arial"/>
          <w:noProof/>
          <w:spacing w:val="0"/>
        </w:rPr>
        <w:t>3.</w:t>
      </w:r>
      <w:r w:rsidRPr="00F71DE4">
        <w:rPr>
          <w:rFonts w:ascii="Calibri" w:hAnsi="Calibri" w:cs="Arial"/>
          <w:noProof/>
          <w:spacing w:val="0"/>
        </w:rPr>
        <w:tab/>
        <w:t>The Ministerial Advisory Committee on Blood Borne Viruses and Sexually Transmissible Infections (MACBBVS) and The Blood Borne Viruses and Sexually Transmissible Infection Subcommittee (BBVSS). National hepatitis B virus testing policy version 1.1. Canberra</w:t>
      </w:r>
      <w:r>
        <w:rPr>
          <w:rFonts w:ascii="Calibri" w:hAnsi="Calibri" w:cs="Arial"/>
          <w:noProof/>
          <w:spacing w:val="0"/>
        </w:rPr>
        <w:t xml:space="preserve"> </w:t>
      </w:r>
      <w:r w:rsidRPr="00F71DE4">
        <w:rPr>
          <w:rFonts w:ascii="Calibri" w:hAnsi="Calibri" w:cs="Arial"/>
          <w:noProof/>
          <w:spacing w:val="0"/>
        </w:rPr>
        <w:t xml:space="preserve">2014. Available from: </w:t>
      </w:r>
      <w:r w:rsidRPr="00013F35">
        <w:rPr>
          <w:rFonts w:ascii="Calibri" w:hAnsi="Calibri" w:cs="Arial"/>
          <w:noProof/>
          <w:spacing w:val="0"/>
        </w:rPr>
        <w:t>http://testingportal.ashm.org.au/hbv</w:t>
      </w:r>
      <w:r w:rsidRPr="00F71DE4">
        <w:rPr>
          <w:rFonts w:ascii="Calibri" w:hAnsi="Calibri" w:cs="Arial"/>
          <w:noProof/>
          <w:spacing w:val="0"/>
        </w:rPr>
        <w:t xml:space="preserve"> (accessed July 2015).</w:t>
      </w:r>
      <w:bookmarkEnd w:id="91"/>
    </w:p>
    <w:p w14:paraId="31FB226D" w14:textId="77777777" w:rsidR="002F1BC7" w:rsidRPr="00F71DE4" w:rsidRDefault="002F1BC7" w:rsidP="002F1BC7">
      <w:pPr>
        <w:pStyle w:val="BodyText"/>
        <w:widowControl/>
        <w:spacing w:after="0" w:line="240" w:lineRule="atLeast"/>
        <w:rPr>
          <w:rFonts w:ascii="Calibri" w:hAnsi="Calibri" w:cs="Arial"/>
          <w:noProof/>
          <w:spacing w:val="0"/>
        </w:rPr>
      </w:pPr>
      <w:bookmarkStart w:id="92" w:name="_ENREF_4"/>
      <w:r w:rsidRPr="00F71DE4">
        <w:rPr>
          <w:rFonts w:ascii="Calibri" w:hAnsi="Calibri" w:cs="Arial"/>
          <w:noProof/>
          <w:spacing w:val="0"/>
        </w:rPr>
        <w:t>4.</w:t>
      </w:r>
      <w:r w:rsidRPr="00F71DE4">
        <w:rPr>
          <w:rFonts w:ascii="Calibri" w:hAnsi="Calibri" w:cs="Arial"/>
          <w:noProof/>
          <w:spacing w:val="0"/>
        </w:rPr>
        <w:tab/>
        <w:t xml:space="preserve">Australian Government Department of Health and Ageing. The Australian Immunisation Handbook 10th ed. Canberra: Australian Govt. Pub. Service; 2013. Available from: </w:t>
      </w:r>
      <w:r w:rsidRPr="00013F35">
        <w:rPr>
          <w:rFonts w:ascii="Calibri" w:hAnsi="Calibri" w:cs="Arial"/>
          <w:noProof/>
          <w:spacing w:val="0"/>
        </w:rPr>
        <w:t>http://www.immunise.health.gov.au/internet/immunise/publishing.nsf/Content/Handbook10-home</w:t>
      </w:r>
      <w:r w:rsidRPr="00F71DE4">
        <w:rPr>
          <w:rFonts w:ascii="Calibri" w:hAnsi="Calibri" w:cs="Arial"/>
          <w:noProof/>
          <w:spacing w:val="0"/>
        </w:rPr>
        <w:t xml:space="preserve"> (accessed April 2014).</w:t>
      </w:r>
      <w:bookmarkEnd w:id="92"/>
    </w:p>
    <w:p w14:paraId="0A6474C3" w14:textId="77777777" w:rsidR="002F1BC7" w:rsidRPr="00F71DE4" w:rsidRDefault="002F1BC7" w:rsidP="002F1BC7">
      <w:pPr>
        <w:pStyle w:val="BodyText"/>
        <w:widowControl/>
        <w:spacing w:after="0" w:line="240" w:lineRule="atLeast"/>
        <w:rPr>
          <w:rFonts w:ascii="Calibri" w:hAnsi="Calibri" w:cs="Arial"/>
          <w:noProof/>
          <w:spacing w:val="0"/>
        </w:rPr>
      </w:pPr>
      <w:bookmarkStart w:id="93" w:name="_ENREF_5"/>
      <w:r w:rsidRPr="00F71DE4">
        <w:rPr>
          <w:rFonts w:ascii="Calibri" w:hAnsi="Calibri" w:cs="Arial"/>
          <w:noProof/>
          <w:spacing w:val="0"/>
        </w:rPr>
        <w:t>5.</w:t>
      </w:r>
      <w:r w:rsidRPr="00F71DE4">
        <w:rPr>
          <w:rFonts w:ascii="Calibri" w:hAnsi="Calibri" w:cs="Arial"/>
          <w:noProof/>
          <w:spacing w:val="0"/>
        </w:rPr>
        <w:tab/>
        <w:t xml:space="preserve">NHMRC. Australian Guidelines for the Prevention and Control of Infection in Healthcare: Commonwealth of Australia; 2010. Available from: </w:t>
      </w:r>
      <w:r w:rsidRPr="00013F35">
        <w:rPr>
          <w:rFonts w:ascii="Calibri" w:hAnsi="Calibri" w:cs="Arial"/>
          <w:noProof/>
          <w:spacing w:val="0"/>
        </w:rPr>
        <w:t>http://www.nhmrc.gov.au/guidelines/publications/cd33</w:t>
      </w:r>
      <w:r w:rsidRPr="00F71DE4">
        <w:rPr>
          <w:rFonts w:ascii="Calibri" w:hAnsi="Calibri" w:cs="Arial"/>
          <w:noProof/>
          <w:spacing w:val="0"/>
        </w:rPr>
        <w:t xml:space="preserve"> (accessed July 2015).</w:t>
      </w:r>
      <w:bookmarkEnd w:id="93"/>
    </w:p>
    <w:p w14:paraId="4AE0030E" w14:textId="77777777" w:rsidR="002F1BC7" w:rsidRPr="00F71DE4" w:rsidRDefault="002F1BC7" w:rsidP="002F1BC7">
      <w:pPr>
        <w:pStyle w:val="BodyText"/>
        <w:widowControl/>
        <w:spacing w:after="0" w:line="240" w:lineRule="atLeast"/>
        <w:rPr>
          <w:rFonts w:ascii="Calibri" w:hAnsi="Calibri" w:cs="Arial"/>
          <w:noProof/>
          <w:spacing w:val="0"/>
        </w:rPr>
      </w:pPr>
      <w:bookmarkStart w:id="94" w:name="_ENREF_6"/>
      <w:r w:rsidRPr="00F71DE4">
        <w:rPr>
          <w:rFonts w:ascii="Calibri" w:hAnsi="Calibri" w:cs="Arial"/>
          <w:noProof/>
          <w:spacing w:val="0"/>
        </w:rPr>
        <w:t>6.</w:t>
      </w:r>
      <w:r w:rsidRPr="00F71DE4">
        <w:rPr>
          <w:rFonts w:ascii="Calibri" w:hAnsi="Calibri" w:cs="Arial"/>
          <w:noProof/>
          <w:spacing w:val="0"/>
        </w:rPr>
        <w:tab/>
        <w:t xml:space="preserve">Medical Board of Australia. Guidelines for Mandatory Notifications 2014. Available from: </w:t>
      </w:r>
      <w:r w:rsidRPr="00013F35">
        <w:rPr>
          <w:rFonts w:ascii="Calibri" w:hAnsi="Calibri" w:cs="Arial"/>
          <w:noProof/>
          <w:spacing w:val="0"/>
        </w:rPr>
        <w:t>http://www.medicalboard.gov.au/Codes-Guidelines-Policies/Guidelines-for-mandatory-notifications.aspx</w:t>
      </w:r>
      <w:r w:rsidRPr="00F71DE4">
        <w:rPr>
          <w:rFonts w:ascii="Calibri" w:hAnsi="Calibri" w:cs="Arial"/>
          <w:noProof/>
          <w:spacing w:val="0"/>
        </w:rPr>
        <w:t xml:space="preserve"> (accessed July 2015).</w:t>
      </w:r>
      <w:bookmarkEnd w:id="94"/>
    </w:p>
    <w:p w14:paraId="0EE1FBFE" w14:textId="77777777" w:rsidR="002F1BC7" w:rsidRPr="00F71DE4" w:rsidRDefault="002F1BC7" w:rsidP="002F1BC7">
      <w:pPr>
        <w:pStyle w:val="BodyText"/>
        <w:widowControl/>
        <w:spacing w:after="0" w:line="240" w:lineRule="atLeast"/>
        <w:rPr>
          <w:rFonts w:ascii="Calibri" w:hAnsi="Calibri" w:cs="Arial"/>
          <w:noProof/>
          <w:spacing w:val="0"/>
        </w:rPr>
      </w:pPr>
      <w:bookmarkStart w:id="95" w:name="_ENREF_7"/>
      <w:r w:rsidRPr="00F71DE4">
        <w:rPr>
          <w:rFonts w:ascii="Calibri" w:hAnsi="Calibri" w:cs="Arial"/>
          <w:noProof/>
          <w:spacing w:val="0"/>
        </w:rPr>
        <w:t>7.</w:t>
      </w:r>
      <w:r w:rsidRPr="00F71DE4">
        <w:rPr>
          <w:rFonts w:ascii="Calibri" w:hAnsi="Calibri" w:cs="Arial"/>
          <w:noProof/>
          <w:spacing w:val="0"/>
        </w:rPr>
        <w:tab/>
        <w:t xml:space="preserve">Medical Board of Australia. Good Medical Practice: A Code of Conduct for Doctors in Australia 2014. Available from: </w:t>
      </w:r>
      <w:r w:rsidRPr="00013F35">
        <w:rPr>
          <w:rFonts w:ascii="Calibri" w:hAnsi="Calibri" w:cs="Arial"/>
          <w:noProof/>
          <w:spacing w:val="0"/>
        </w:rPr>
        <w:t>http://www.medicalboard.gov.au/Codes-Guidelines-Policies/Code-of-conduct.aspx</w:t>
      </w:r>
      <w:r w:rsidRPr="00F71DE4">
        <w:rPr>
          <w:rFonts w:ascii="Calibri" w:hAnsi="Calibri" w:cs="Arial"/>
          <w:noProof/>
          <w:spacing w:val="0"/>
        </w:rPr>
        <w:t xml:space="preserve"> (accessed July 2015).</w:t>
      </w:r>
      <w:bookmarkEnd w:id="95"/>
    </w:p>
    <w:p w14:paraId="0E8CF2D4" w14:textId="77777777" w:rsidR="002F1BC7" w:rsidRPr="00F71DE4" w:rsidRDefault="002F1BC7" w:rsidP="002F1BC7">
      <w:pPr>
        <w:pStyle w:val="BodyText"/>
        <w:widowControl/>
        <w:spacing w:after="0" w:line="240" w:lineRule="atLeast"/>
        <w:rPr>
          <w:rFonts w:ascii="Calibri" w:hAnsi="Calibri" w:cs="Arial"/>
          <w:noProof/>
          <w:spacing w:val="0"/>
        </w:rPr>
      </w:pPr>
      <w:bookmarkStart w:id="96" w:name="_ENREF_8"/>
      <w:r w:rsidRPr="00F71DE4">
        <w:rPr>
          <w:rFonts w:ascii="Calibri" w:hAnsi="Calibri" w:cs="Arial"/>
          <w:noProof/>
          <w:spacing w:val="0"/>
        </w:rPr>
        <w:t>8.</w:t>
      </w:r>
      <w:r w:rsidRPr="00F71DE4">
        <w:rPr>
          <w:rFonts w:ascii="Calibri" w:hAnsi="Calibri" w:cs="Arial"/>
          <w:noProof/>
          <w:spacing w:val="0"/>
        </w:rPr>
        <w:tab/>
        <w:t xml:space="preserve">The Australian Health Practitioner Regulation Agency. Mandatory notifications guidelines for registered health practitioners 2014. Available from: </w:t>
      </w:r>
      <w:r w:rsidRPr="00013F35">
        <w:rPr>
          <w:rFonts w:ascii="Calibri" w:hAnsi="Calibri" w:cs="Arial"/>
          <w:noProof/>
          <w:spacing w:val="0"/>
        </w:rPr>
        <w:t>http://www.medicalboard.gov.au/Codes-Guidelines-Policies/Guidelines-for-mandatory-notifications.aspx</w:t>
      </w:r>
      <w:r w:rsidRPr="00F71DE4">
        <w:rPr>
          <w:rFonts w:ascii="Calibri" w:hAnsi="Calibri" w:cs="Arial"/>
          <w:noProof/>
          <w:spacing w:val="0"/>
        </w:rPr>
        <w:t xml:space="preserve"> (accessed April 2014).</w:t>
      </w:r>
      <w:bookmarkEnd w:id="96"/>
    </w:p>
    <w:p w14:paraId="504C614B" w14:textId="77777777" w:rsidR="002F1BC7" w:rsidRPr="00F71DE4" w:rsidRDefault="002F1BC7" w:rsidP="002F1BC7">
      <w:pPr>
        <w:pStyle w:val="BodyText"/>
        <w:widowControl/>
        <w:spacing w:after="0" w:line="240" w:lineRule="atLeast"/>
        <w:rPr>
          <w:rFonts w:ascii="Calibri" w:hAnsi="Calibri" w:cs="Arial"/>
          <w:noProof/>
          <w:spacing w:val="0"/>
        </w:rPr>
      </w:pPr>
      <w:bookmarkStart w:id="97" w:name="_ENREF_9"/>
      <w:r w:rsidRPr="00F71DE4">
        <w:rPr>
          <w:rFonts w:ascii="Calibri" w:hAnsi="Calibri" w:cs="Arial"/>
          <w:noProof/>
          <w:spacing w:val="0"/>
        </w:rPr>
        <w:t>9.</w:t>
      </w:r>
      <w:r w:rsidRPr="00F71DE4">
        <w:rPr>
          <w:rFonts w:ascii="Calibri" w:hAnsi="Calibri" w:cs="Arial"/>
          <w:noProof/>
          <w:spacing w:val="0"/>
        </w:rPr>
        <w:tab/>
        <w:t xml:space="preserve">Schillie S, Murphy TV, Sawyer M, Ly K, Hughes E, Jiles R, et al. CDC guidance for evaluating health-care personnel for hepatitis B virus protection and for administering postexposure management. MMWR Recomm Rep. 2013;62:1-19. </w:t>
      </w:r>
      <w:bookmarkEnd w:id="97"/>
    </w:p>
    <w:p w14:paraId="1D3D4F84" w14:textId="77777777" w:rsidR="002F1BC7" w:rsidRPr="00F71DE4" w:rsidRDefault="002F1BC7" w:rsidP="002F1BC7">
      <w:pPr>
        <w:pStyle w:val="BodyText"/>
        <w:widowControl/>
        <w:spacing w:after="0" w:line="240" w:lineRule="atLeast"/>
        <w:rPr>
          <w:rFonts w:ascii="Calibri" w:hAnsi="Calibri" w:cs="Arial"/>
          <w:noProof/>
          <w:spacing w:val="0"/>
        </w:rPr>
      </w:pPr>
      <w:bookmarkStart w:id="98" w:name="_ENREF_10"/>
      <w:r w:rsidRPr="00F71DE4">
        <w:rPr>
          <w:rFonts w:ascii="Calibri" w:hAnsi="Calibri" w:cs="Arial"/>
          <w:noProof/>
          <w:spacing w:val="0"/>
        </w:rPr>
        <w:t>10.</w:t>
      </w:r>
      <w:r w:rsidRPr="00F71DE4">
        <w:rPr>
          <w:rFonts w:ascii="Calibri" w:hAnsi="Calibri" w:cs="Arial"/>
          <w:noProof/>
          <w:spacing w:val="0"/>
        </w:rPr>
        <w:tab/>
        <w:t xml:space="preserve">Centers for Disease Control and Prevention. Epidemiology and Prevention of Vaccine-Preventable Diseases. 13 ed2015. Available from: </w:t>
      </w:r>
      <w:r w:rsidRPr="00013F35">
        <w:rPr>
          <w:rFonts w:ascii="Calibri" w:hAnsi="Calibri" w:cs="Arial"/>
          <w:noProof/>
          <w:spacing w:val="0"/>
        </w:rPr>
        <w:t>http://www.cdc.gov/vaccines/pubs/pinkbook/downloads/hepb.pdf</w:t>
      </w:r>
      <w:r w:rsidRPr="00F71DE4">
        <w:rPr>
          <w:rFonts w:ascii="Calibri" w:hAnsi="Calibri" w:cs="Arial"/>
          <w:noProof/>
          <w:spacing w:val="0"/>
        </w:rPr>
        <w:t xml:space="preserve"> (accessed August 2015).</w:t>
      </w:r>
      <w:bookmarkEnd w:id="98"/>
    </w:p>
    <w:p w14:paraId="5420498D" w14:textId="77777777" w:rsidR="002F1BC7" w:rsidRPr="00F71DE4" w:rsidRDefault="002F1BC7" w:rsidP="002F1BC7">
      <w:pPr>
        <w:pStyle w:val="BodyText"/>
        <w:widowControl/>
        <w:spacing w:after="0" w:line="240" w:lineRule="atLeast"/>
        <w:rPr>
          <w:rFonts w:ascii="Calibri" w:hAnsi="Calibri" w:cs="Arial"/>
          <w:noProof/>
          <w:spacing w:val="0"/>
        </w:rPr>
      </w:pPr>
      <w:bookmarkStart w:id="99" w:name="_ENREF_11"/>
      <w:r w:rsidRPr="00F71DE4">
        <w:rPr>
          <w:rFonts w:ascii="Calibri" w:hAnsi="Calibri" w:cs="Arial"/>
          <w:noProof/>
          <w:spacing w:val="0"/>
        </w:rPr>
        <w:t>11.</w:t>
      </w:r>
      <w:r w:rsidRPr="00F71DE4">
        <w:rPr>
          <w:rFonts w:ascii="Calibri" w:hAnsi="Calibri" w:cs="Arial"/>
          <w:noProof/>
          <w:spacing w:val="0"/>
        </w:rPr>
        <w:tab/>
        <w:t xml:space="preserve">Bond WW, Favero MS, Petersen NJ, Gravelle CR, Ebert JW, Maynard JE. Survival of hepatitis B virus after drying and storage for one week. The Lancet. 1981;317(8219):550-1. </w:t>
      </w:r>
      <w:bookmarkEnd w:id="99"/>
    </w:p>
    <w:p w14:paraId="75B294D0" w14:textId="77777777" w:rsidR="002F1BC7" w:rsidRPr="00F71DE4" w:rsidRDefault="002F1BC7" w:rsidP="002F1BC7">
      <w:pPr>
        <w:pStyle w:val="BodyText"/>
        <w:widowControl/>
        <w:spacing w:after="0" w:line="240" w:lineRule="atLeast"/>
        <w:rPr>
          <w:rFonts w:ascii="Calibri" w:hAnsi="Calibri" w:cs="Arial"/>
          <w:noProof/>
          <w:spacing w:val="0"/>
        </w:rPr>
      </w:pPr>
      <w:bookmarkStart w:id="100" w:name="_ENREF_12"/>
      <w:r w:rsidRPr="00F71DE4">
        <w:rPr>
          <w:rFonts w:ascii="Calibri" w:hAnsi="Calibri" w:cs="Arial"/>
          <w:noProof/>
          <w:spacing w:val="0"/>
        </w:rPr>
        <w:lastRenderedPageBreak/>
        <w:t>12.</w:t>
      </w:r>
      <w:r w:rsidRPr="00F71DE4">
        <w:rPr>
          <w:rFonts w:ascii="Calibri" w:hAnsi="Calibri" w:cs="Arial"/>
          <w:noProof/>
          <w:spacing w:val="0"/>
        </w:rPr>
        <w:tab/>
        <w:t xml:space="preserve">Werner BG, Grady GF. Accidental hepatitis-B-surface-antigen-positive inoculations: use of e antigen to estimate infectivity. Annals of Internal Medicine. 1982;97(3):367-9. </w:t>
      </w:r>
      <w:bookmarkEnd w:id="100"/>
    </w:p>
    <w:p w14:paraId="5F03F3A9" w14:textId="77777777" w:rsidR="002F1BC7" w:rsidRPr="00F71DE4" w:rsidRDefault="002F1BC7" w:rsidP="002F1BC7">
      <w:pPr>
        <w:pStyle w:val="BodyText"/>
        <w:widowControl/>
        <w:spacing w:after="0" w:line="240" w:lineRule="atLeast"/>
        <w:rPr>
          <w:rFonts w:ascii="Calibri" w:hAnsi="Calibri" w:cs="Arial"/>
          <w:noProof/>
          <w:spacing w:val="0"/>
        </w:rPr>
      </w:pPr>
      <w:bookmarkStart w:id="101" w:name="_ENREF_13"/>
      <w:r w:rsidRPr="00F71DE4">
        <w:rPr>
          <w:rFonts w:ascii="Calibri" w:hAnsi="Calibri" w:cs="Arial"/>
          <w:noProof/>
          <w:spacing w:val="0"/>
        </w:rPr>
        <w:t>13.</w:t>
      </w:r>
      <w:r w:rsidRPr="00F71DE4">
        <w:rPr>
          <w:rFonts w:ascii="Calibri" w:hAnsi="Calibri" w:cs="Arial"/>
          <w:noProof/>
          <w:spacing w:val="0"/>
        </w:rPr>
        <w:tab/>
        <w:t xml:space="preserve">Carlson AL, Perl TM. </w:t>
      </w:r>
      <w:r>
        <w:rPr>
          <w:rFonts w:ascii="Calibri" w:hAnsi="Calibri" w:cs="Arial"/>
          <w:noProof/>
          <w:spacing w:val="0"/>
        </w:rPr>
        <w:t>Healthcare</w:t>
      </w:r>
      <w:r w:rsidRPr="00F71DE4">
        <w:rPr>
          <w:rFonts w:ascii="Calibri" w:hAnsi="Calibri" w:cs="Arial"/>
          <w:noProof/>
          <w:spacing w:val="0"/>
        </w:rPr>
        <w:t xml:space="preserve"> workers as source of hepatitis B and C virus transmission. Clinics in Liver Disease. 2010;14(1):153-68. </w:t>
      </w:r>
      <w:bookmarkEnd w:id="101"/>
    </w:p>
    <w:p w14:paraId="35A77D3A" w14:textId="77777777" w:rsidR="002F1BC7" w:rsidRPr="00F71DE4" w:rsidRDefault="002F1BC7" w:rsidP="002F1BC7">
      <w:pPr>
        <w:pStyle w:val="BodyText"/>
        <w:widowControl/>
        <w:spacing w:after="0" w:line="240" w:lineRule="atLeast"/>
        <w:rPr>
          <w:rFonts w:ascii="Calibri" w:hAnsi="Calibri" w:cs="Arial"/>
          <w:noProof/>
          <w:spacing w:val="0"/>
        </w:rPr>
      </w:pPr>
      <w:bookmarkStart w:id="102" w:name="_ENREF_14"/>
      <w:r w:rsidRPr="00F71DE4">
        <w:rPr>
          <w:rFonts w:ascii="Calibri" w:hAnsi="Calibri" w:cs="Arial"/>
          <w:noProof/>
          <w:spacing w:val="0"/>
        </w:rPr>
        <w:t>14.</w:t>
      </w:r>
      <w:r w:rsidRPr="00F71DE4">
        <w:rPr>
          <w:rFonts w:ascii="Calibri" w:hAnsi="Calibri" w:cs="Arial"/>
          <w:noProof/>
          <w:spacing w:val="0"/>
        </w:rPr>
        <w:tab/>
        <w:t xml:space="preserve">Sugimoto S, Nagakubo S, Ito T, Tsunoda Y, Imamura S, Tamura T, et al. A case of acute hepatitis B related to previous gynecological surgery in Japan. Journal of Infection and Chemotherapy. 2013;19(3):524-9. </w:t>
      </w:r>
      <w:bookmarkEnd w:id="102"/>
    </w:p>
    <w:p w14:paraId="757BE3F2" w14:textId="77777777" w:rsidR="002F1BC7" w:rsidRPr="00F71DE4" w:rsidRDefault="002F1BC7" w:rsidP="002F1BC7">
      <w:pPr>
        <w:pStyle w:val="BodyText"/>
        <w:widowControl/>
        <w:spacing w:after="0" w:line="240" w:lineRule="atLeast"/>
        <w:rPr>
          <w:rFonts w:ascii="Calibri" w:hAnsi="Calibri" w:cs="Arial"/>
          <w:noProof/>
          <w:spacing w:val="0"/>
        </w:rPr>
      </w:pPr>
      <w:bookmarkStart w:id="103" w:name="_ENREF_15"/>
      <w:r w:rsidRPr="00F71DE4">
        <w:rPr>
          <w:rFonts w:ascii="Calibri" w:hAnsi="Calibri" w:cs="Arial"/>
          <w:noProof/>
          <w:spacing w:val="0"/>
        </w:rPr>
        <w:t>15.</w:t>
      </w:r>
      <w:r w:rsidRPr="00F71DE4">
        <w:rPr>
          <w:rFonts w:ascii="Calibri" w:hAnsi="Calibri" w:cs="Arial"/>
          <w:noProof/>
          <w:spacing w:val="0"/>
        </w:rPr>
        <w:tab/>
        <w:t xml:space="preserve">Heptonstall J. Lessons from two linked clusters of acute hepatitis B in cardiothoracic surgery patients. Communicable Disease Report CDR review. 1996;6(9):R119-25. </w:t>
      </w:r>
      <w:bookmarkEnd w:id="103"/>
    </w:p>
    <w:p w14:paraId="2CE4BEDD" w14:textId="77777777" w:rsidR="002F1BC7" w:rsidRPr="00F71DE4" w:rsidRDefault="002F1BC7" w:rsidP="002F1BC7">
      <w:pPr>
        <w:pStyle w:val="BodyText"/>
        <w:widowControl/>
        <w:spacing w:after="0" w:line="240" w:lineRule="atLeast"/>
        <w:rPr>
          <w:rFonts w:ascii="Calibri" w:hAnsi="Calibri" w:cs="Arial"/>
          <w:noProof/>
          <w:spacing w:val="0"/>
        </w:rPr>
      </w:pPr>
      <w:bookmarkStart w:id="104" w:name="_ENREF_16"/>
      <w:r w:rsidRPr="00F71DE4">
        <w:rPr>
          <w:rFonts w:ascii="Calibri" w:hAnsi="Calibri" w:cs="Arial"/>
          <w:noProof/>
          <w:spacing w:val="0"/>
        </w:rPr>
        <w:t>16.</w:t>
      </w:r>
      <w:r w:rsidRPr="00F71DE4">
        <w:rPr>
          <w:rFonts w:ascii="Calibri" w:hAnsi="Calibri" w:cs="Arial"/>
          <w:noProof/>
          <w:spacing w:val="0"/>
        </w:rPr>
        <w:tab/>
        <w:t xml:space="preserve">Mukerjee A, Westmoreland D, Rees H. Response to the discovery of two practising surgeons infected with hepatitis B. Communicable Disease Report CDR review. 1996;6(9):R126-8. </w:t>
      </w:r>
      <w:bookmarkEnd w:id="104"/>
    </w:p>
    <w:p w14:paraId="5E7AF92D" w14:textId="77777777" w:rsidR="002F1BC7" w:rsidRPr="00F71DE4" w:rsidRDefault="002F1BC7" w:rsidP="002F1BC7">
      <w:pPr>
        <w:pStyle w:val="BodyText"/>
        <w:widowControl/>
        <w:spacing w:after="0" w:line="240" w:lineRule="atLeast"/>
        <w:rPr>
          <w:rFonts w:ascii="Calibri" w:hAnsi="Calibri" w:cs="Arial"/>
          <w:noProof/>
          <w:spacing w:val="0"/>
        </w:rPr>
      </w:pPr>
      <w:bookmarkStart w:id="105" w:name="_ENREF_17"/>
      <w:r w:rsidRPr="00F71DE4">
        <w:rPr>
          <w:rFonts w:ascii="Calibri" w:hAnsi="Calibri" w:cs="Arial"/>
          <w:noProof/>
          <w:spacing w:val="0"/>
        </w:rPr>
        <w:t>17.</w:t>
      </w:r>
      <w:r w:rsidRPr="00F71DE4">
        <w:rPr>
          <w:rFonts w:ascii="Calibri" w:hAnsi="Calibri" w:cs="Arial"/>
          <w:noProof/>
          <w:spacing w:val="0"/>
        </w:rPr>
        <w:tab/>
        <w:t xml:space="preserve">Harpaz R, Von Seidlein L, Averhoff FM, Tormey MP, Sinha SD, Kotsopoulou K, et al. Transmission of hepatitis B virus to multiple patients from a surgeon without evidence of inadequate infection control. New England Journal of Medicine. 1996;334(9):549-54. </w:t>
      </w:r>
      <w:bookmarkEnd w:id="105"/>
    </w:p>
    <w:p w14:paraId="2EB62BD5" w14:textId="77777777" w:rsidR="002F1BC7" w:rsidRPr="00F71DE4" w:rsidRDefault="002F1BC7" w:rsidP="002F1BC7">
      <w:pPr>
        <w:pStyle w:val="BodyText"/>
        <w:widowControl/>
        <w:spacing w:after="0" w:line="240" w:lineRule="atLeast"/>
        <w:rPr>
          <w:rFonts w:ascii="Calibri" w:hAnsi="Calibri" w:cs="Arial"/>
          <w:noProof/>
          <w:spacing w:val="0"/>
        </w:rPr>
      </w:pPr>
      <w:bookmarkStart w:id="106" w:name="_ENREF_18"/>
      <w:r w:rsidRPr="00F71DE4">
        <w:rPr>
          <w:rFonts w:ascii="Calibri" w:hAnsi="Calibri" w:cs="Arial"/>
          <w:noProof/>
          <w:spacing w:val="0"/>
        </w:rPr>
        <w:t>18.</w:t>
      </w:r>
      <w:r w:rsidRPr="00F71DE4">
        <w:rPr>
          <w:rFonts w:ascii="Calibri" w:hAnsi="Calibri" w:cs="Arial"/>
          <w:noProof/>
          <w:spacing w:val="0"/>
        </w:rPr>
        <w:tab/>
        <w:t xml:space="preserve">The Incident Investigation Teams and Others. Transmission of hepatitis B to patients from four infected surgeons without hepatitis B e antigen. New England Journal of Medicine. 1997;1997(336):178-85. </w:t>
      </w:r>
      <w:bookmarkEnd w:id="106"/>
    </w:p>
    <w:p w14:paraId="1DBC6738" w14:textId="77777777" w:rsidR="002F1BC7" w:rsidRPr="00F71DE4" w:rsidRDefault="002F1BC7" w:rsidP="002F1BC7">
      <w:pPr>
        <w:pStyle w:val="BodyText"/>
        <w:widowControl/>
        <w:spacing w:after="0" w:line="240" w:lineRule="atLeast"/>
        <w:rPr>
          <w:rFonts w:ascii="Calibri" w:hAnsi="Calibri" w:cs="Arial"/>
          <w:noProof/>
          <w:spacing w:val="0"/>
        </w:rPr>
      </w:pPr>
      <w:bookmarkStart w:id="107" w:name="_ENREF_19"/>
      <w:r w:rsidRPr="00F71DE4">
        <w:rPr>
          <w:rFonts w:ascii="Calibri" w:hAnsi="Calibri" w:cs="Arial"/>
          <w:noProof/>
          <w:spacing w:val="0"/>
        </w:rPr>
        <w:t>19.</w:t>
      </w:r>
      <w:r w:rsidRPr="00F71DE4">
        <w:rPr>
          <w:rFonts w:ascii="Calibri" w:hAnsi="Calibri" w:cs="Arial"/>
          <w:noProof/>
          <w:spacing w:val="0"/>
        </w:rPr>
        <w:tab/>
        <w:t xml:space="preserve">Sundkvist T, Hamilton G, Rimmer D, Evans B, Teo C. Fatal outcome of transmission of hepatitis B from an e antigen negative surgeon. Communicable disease and public health/PHLS. 1998;1(1):48-50. </w:t>
      </w:r>
      <w:bookmarkEnd w:id="107"/>
    </w:p>
    <w:p w14:paraId="5FD084D7" w14:textId="77777777" w:rsidR="002F1BC7" w:rsidRPr="00F71DE4" w:rsidRDefault="002F1BC7" w:rsidP="002F1BC7">
      <w:pPr>
        <w:pStyle w:val="BodyText"/>
        <w:widowControl/>
        <w:spacing w:after="0" w:line="240" w:lineRule="atLeast"/>
        <w:rPr>
          <w:rFonts w:ascii="Calibri" w:hAnsi="Calibri" w:cs="Arial"/>
          <w:noProof/>
          <w:spacing w:val="0"/>
        </w:rPr>
      </w:pPr>
      <w:bookmarkStart w:id="108" w:name="_ENREF_20"/>
      <w:r w:rsidRPr="00F71DE4">
        <w:rPr>
          <w:rFonts w:ascii="Calibri" w:hAnsi="Calibri" w:cs="Arial"/>
          <w:noProof/>
          <w:spacing w:val="0"/>
        </w:rPr>
        <w:t>20.</w:t>
      </w:r>
      <w:r w:rsidRPr="00F71DE4">
        <w:rPr>
          <w:rFonts w:ascii="Calibri" w:hAnsi="Calibri" w:cs="Arial"/>
          <w:noProof/>
          <w:spacing w:val="0"/>
        </w:rPr>
        <w:tab/>
        <w:t xml:space="preserve">Oliver S, Woodhouse J, Hollyoak V. Lessons from patient notification exercises following the identification of hepatitis B e antigen positive surgeons in an English health region. Communicable Disease and Public Health. 1999;2(2):130. </w:t>
      </w:r>
      <w:bookmarkEnd w:id="108"/>
    </w:p>
    <w:p w14:paraId="5D852078" w14:textId="77777777" w:rsidR="002F1BC7" w:rsidRPr="00F71DE4" w:rsidRDefault="002F1BC7" w:rsidP="002F1BC7">
      <w:pPr>
        <w:pStyle w:val="BodyText"/>
        <w:widowControl/>
        <w:spacing w:after="0" w:line="240" w:lineRule="atLeast"/>
        <w:rPr>
          <w:rFonts w:ascii="Calibri" w:hAnsi="Calibri" w:cs="Arial"/>
          <w:noProof/>
          <w:spacing w:val="0"/>
        </w:rPr>
      </w:pPr>
      <w:bookmarkStart w:id="109" w:name="_ENREF_21"/>
      <w:r w:rsidRPr="00F71DE4">
        <w:rPr>
          <w:rFonts w:ascii="Calibri" w:hAnsi="Calibri" w:cs="Arial"/>
          <w:noProof/>
          <w:spacing w:val="0"/>
        </w:rPr>
        <w:t>21.</w:t>
      </w:r>
      <w:r w:rsidRPr="00F71DE4">
        <w:rPr>
          <w:rFonts w:ascii="Calibri" w:hAnsi="Calibri" w:cs="Arial"/>
          <w:noProof/>
          <w:spacing w:val="0"/>
        </w:rPr>
        <w:tab/>
        <w:t xml:space="preserve">Molyneaux P, Reid T, Collacott I, Mcintyre P, Dillon J, Laing R. Acute hepatitis B in two patients transmitted from an e antigen negative cardiothoracic surgeon. Communicable Disease and Public Health. 2000;3:250-2. </w:t>
      </w:r>
      <w:bookmarkEnd w:id="109"/>
    </w:p>
    <w:p w14:paraId="573B78CE" w14:textId="77777777" w:rsidR="002F1BC7" w:rsidRPr="00F71DE4" w:rsidRDefault="002F1BC7" w:rsidP="002F1BC7">
      <w:pPr>
        <w:pStyle w:val="BodyText"/>
        <w:widowControl/>
        <w:spacing w:after="0" w:line="240" w:lineRule="atLeast"/>
        <w:rPr>
          <w:rFonts w:ascii="Calibri" w:hAnsi="Calibri" w:cs="Arial"/>
          <w:noProof/>
          <w:spacing w:val="0"/>
        </w:rPr>
      </w:pPr>
      <w:bookmarkStart w:id="110" w:name="_ENREF_22"/>
      <w:r w:rsidRPr="00F71DE4">
        <w:rPr>
          <w:rFonts w:ascii="Calibri" w:hAnsi="Calibri" w:cs="Arial"/>
          <w:noProof/>
          <w:spacing w:val="0"/>
        </w:rPr>
        <w:t>22.</w:t>
      </w:r>
      <w:r w:rsidRPr="00F71DE4">
        <w:rPr>
          <w:rFonts w:ascii="Calibri" w:hAnsi="Calibri" w:cs="Arial"/>
          <w:noProof/>
          <w:spacing w:val="0"/>
        </w:rPr>
        <w:tab/>
        <w:t xml:space="preserve">Spijkerman IJ, van Doorn L-J, Janssen MH, Wijkmans CJ, Bilkert-Mooiman MA, Coutinho RA, et al. Transmission of hepatitis B virus from a surgeon to his patients during high-risk and low-risk surgical procedures during 4 years. Infection Control and Hospital Epidemiology. 2002;23(06):306-12. </w:t>
      </w:r>
      <w:bookmarkEnd w:id="110"/>
    </w:p>
    <w:p w14:paraId="1F964F2E" w14:textId="77777777" w:rsidR="002F1BC7" w:rsidRPr="00F71DE4" w:rsidRDefault="002F1BC7" w:rsidP="002F1BC7">
      <w:pPr>
        <w:pStyle w:val="BodyText"/>
        <w:widowControl/>
        <w:spacing w:after="0" w:line="240" w:lineRule="atLeast"/>
        <w:rPr>
          <w:rFonts w:ascii="Calibri" w:hAnsi="Calibri" w:cs="Arial"/>
          <w:noProof/>
          <w:spacing w:val="0"/>
        </w:rPr>
      </w:pPr>
      <w:bookmarkStart w:id="111" w:name="_ENREF_23"/>
      <w:r w:rsidRPr="00F71DE4">
        <w:rPr>
          <w:rFonts w:ascii="Calibri" w:hAnsi="Calibri" w:cs="Arial"/>
          <w:noProof/>
          <w:spacing w:val="0"/>
        </w:rPr>
        <w:t>23.</w:t>
      </w:r>
      <w:r w:rsidRPr="00F71DE4">
        <w:rPr>
          <w:rFonts w:ascii="Calibri" w:hAnsi="Calibri" w:cs="Arial"/>
          <w:noProof/>
          <w:spacing w:val="0"/>
        </w:rPr>
        <w:tab/>
        <w:t xml:space="preserve">Perry JL, Pearson RD, Jagger J. Infected </w:t>
      </w:r>
      <w:r>
        <w:rPr>
          <w:rFonts w:ascii="Calibri" w:hAnsi="Calibri" w:cs="Arial"/>
          <w:noProof/>
          <w:spacing w:val="0"/>
        </w:rPr>
        <w:t>healthcare</w:t>
      </w:r>
      <w:r w:rsidRPr="00F71DE4">
        <w:rPr>
          <w:rFonts w:ascii="Calibri" w:hAnsi="Calibri" w:cs="Arial"/>
          <w:noProof/>
          <w:spacing w:val="0"/>
        </w:rPr>
        <w:t xml:space="preserve"> workers and patient safety: a double standard. American Journal of Infection Control. 2006;34(5):313-9. </w:t>
      </w:r>
      <w:bookmarkEnd w:id="111"/>
    </w:p>
    <w:p w14:paraId="6468511B" w14:textId="77777777" w:rsidR="002F1BC7" w:rsidRPr="00F71DE4" w:rsidRDefault="002F1BC7" w:rsidP="002F1BC7">
      <w:pPr>
        <w:pStyle w:val="BodyText"/>
        <w:widowControl/>
        <w:spacing w:after="0" w:line="240" w:lineRule="atLeast"/>
        <w:rPr>
          <w:rFonts w:ascii="Calibri" w:hAnsi="Calibri" w:cs="Arial"/>
          <w:noProof/>
          <w:spacing w:val="0"/>
        </w:rPr>
      </w:pPr>
      <w:bookmarkStart w:id="112" w:name="_ENREF_24"/>
      <w:r w:rsidRPr="00F71DE4">
        <w:rPr>
          <w:rFonts w:ascii="Calibri" w:hAnsi="Calibri" w:cs="Arial"/>
          <w:noProof/>
          <w:spacing w:val="0"/>
        </w:rPr>
        <w:t>24.</w:t>
      </w:r>
      <w:r w:rsidRPr="00F71DE4">
        <w:rPr>
          <w:rFonts w:ascii="Calibri" w:hAnsi="Calibri" w:cs="Arial"/>
          <w:noProof/>
          <w:spacing w:val="0"/>
        </w:rPr>
        <w:tab/>
        <w:t xml:space="preserve">Lewis JD, Enfield KB, Sifri CD. Hepatitis B in healthcare workers: Transmission events and guidance for management. World journal of hepatology. 2015;7(3):488. </w:t>
      </w:r>
      <w:bookmarkEnd w:id="112"/>
    </w:p>
    <w:p w14:paraId="10FC57E5" w14:textId="77777777" w:rsidR="002F1BC7" w:rsidRPr="00F71DE4" w:rsidRDefault="002F1BC7" w:rsidP="002F1BC7">
      <w:pPr>
        <w:pStyle w:val="BodyText"/>
        <w:widowControl/>
        <w:spacing w:after="0" w:line="240" w:lineRule="atLeast"/>
        <w:rPr>
          <w:rFonts w:ascii="Calibri" w:hAnsi="Calibri" w:cs="Arial"/>
          <w:noProof/>
          <w:spacing w:val="0"/>
        </w:rPr>
      </w:pPr>
      <w:bookmarkStart w:id="113" w:name="_ENREF_25"/>
      <w:r w:rsidRPr="00F71DE4">
        <w:rPr>
          <w:rFonts w:ascii="Calibri" w:hAnsi="Calibri" w:cs="Arial"/>
          <w:noProof/>
          <w:spacing w:val="0"/>
        </w:rPr>
        <w:t>25.</w:t>
      </w:r>
      <w:r w:rsidRPr="00F71DE4">
        <w:rPr>
          <w:rFonts w:ascii="Calibri" w:hAnsi="Calibri" w:cs="Arial"/>
          <w:noProof/>
          <w:spacing w:val="0"/>
        </w:rPr>
        <w:tab/>
        <w:t xml:space="preserve">Henderson DK, Dembry L, Fishman NO, Grady C, Lundstrom T, Palmore TN, et al. SHEA guideline for management of healthcare workers who are infected with hepatitis B virus, hepatitis C virus, and/or human immunodeficiency virus. Infection Control. 2010;31(03):203-32. </w:t>
      </w:r>
      <w:bookmarkEnd w:id="113"/>
    </w:p>
    <w:p w14:paraId="3BC4B2ED" w14:textId="77777777" w:rsidR="002F1BC7" w:rsidRPr="00F71DE4" w:rsidRDefault="002F1BC7" w:rsidP="002F1BC7">
      <w:pPr>
        <w:pStyle w:val="BodyText"/>
        <w:widowControl/>
        <w:spacing w:after="0" w:line="240" w:lineRule="atLeast"/>
        <w:rPr>
          <w:rFonts w:ascii="Calibri" w:hAnsi="Calibri" w:cs="Arial"/>
          <w:noProof/>
          <w:spacing w:val="0"/>
        </w:rPr>
      </w:pPr>
      <w:bookmarkStart w:id="114" w:name="_ENREF_26"/>
      <w:r w:rsidRPr="00F71DE4">
        <w:rPr>
          <w:rFonts w:ascii="Calibri" w:hAnsi="Calibri" w:cs="Arial"/>
          <w:noProof/>
          <w:spacing w:val="0"/>
        </w:rPr>
        <w:t>26.</w:t>
      </w:r>
      <w:r w:rsidRPr="00F71DE4">
        <w:rPr>
          <w:rFonts w:ascii="Calibri" w:hAnsi="Calibri" w:cs="Arial"/>
          <w:noProof/>
          <w:spacing w:val="0"/>
        </w:rPr>
        <w:tab/>
        <w:t>Holmberg SD, Suryaprasad A, Ward JW. Updated CDC recommendations for the management of hepatitis B virus-infected health-care providers and students: US Department of Health and Human Services, Centers for Disease Control and Prevention; 2012.  (accessed.</w:t>
      </w:r>
      <w:bookmarkEnd w:id="114"/>
    </w:p>
    <w:p w14:paraId="0410F38F" w14:textId="77777777" w:rsidR="002F1BC7" w:rsidRPr="00F71DE4" w:rsidRDefault="002F1BC7" w:rsidP="002F1BC7">
      <w:pPr>
        <w:pStyle w:val="BodyText"/>
        <w:widowControl/>
        <w:spacing w:after="0" w:line="240" w:lineRule="atLeast"/>
        <w:rPr>
          <w:rFonts w:ascii="Calibri" w:hAnsi="Calibri" w:cs="Arial"/>
          <w:noProof/>
          <w:spacing w:val="0"/>
        </w:rPr>
      </w:pPr>
      <w:bookmarkStart w:id="115" w:name="_ENREF_27"/>
      <w:r w:rsidRPr="00F71DE4">
        <w:rPr>
          <w:rFonts w:ascii="Calibri" w:hAnsi="Calibri" w:cs="Arial"/>
          <w:noProof/>
          <w:spacing w:val="0"/>
        </w:rPr>
        <w:t>27.</w:t>
      </w:r>
      <w:r w:rsidRPr="00F71DE4">
        <w:rPr>
          <w:rFonts w:ascii="Calibri" w:hAnsi="Calibri" w:cs="Arial"/>
          <w:noProof/>
          <w:spacing w:val="0"/>
        </w:rPr>
        <w:tab/>
        <w:t xml:space="preserve">Department of Health. Hepatitis B Infected </w:t>
      </w:r>
      <w:r>
        <w:rPr>
          <w:rFonts w:ascii="Calibri" w:hAnsi="Calibri" w:cs="Arial"/>
          <w:noProof/>
          <w:spacing w:val="0"/>
        </w:rPr>
        <w:t>Healthcare</w:t>
      </w:r>
      <w:r w:rsidRPr="00F71DE4">
        <w:rPr>
          <w:rFonts w:ascii="Calibri" w:hAnsi="Calibri" w:cs="Arial"/>
          <w:noProof/>
          <w:spacing w:val="0"/>
        </w:rPr>
        <w:t xml:space="preserve"> Workers: Guidance on Implementation of Health Service Circular 2000/020 2000. Available from: </w:t>
      </w:r>
      <w:r w:rsidRPr="00013F35">
        <w:rPr>
          <w:rFonts w:ascii="Calibri" w:hAnsi="Calibri" w:cs="Arial"/>
          <w:noProof/>
          <w:spacing w:val="0"/>
        </w:rPr>
        <w:t>http://webarchive.nationalarchives.gov.uk//www.dh.gov.uk/en/Publicationsandstatistics/Publications/PublicationsPolicyAndGuidance/DH_4008156</w:t>
      </w:r>
      <w:r w:rsidRPr="00F71DE4">
        <w:rPr>
          <w:rFonts w:ascii="Calibri" w:hAnsi="Calibri" w:cs="Arial"/>
          <w:noProof/>
          <w:spacing w:val="0"/>
        </w:rPr>
        <w:t xml:space="preserve"> (accessed.</w:t>
      </w:r>
      <w:bookmarkEnd w:id="115"/>
    </w:p>
    <w:p w14:paraId="195C770A" w14:textId="77777777" w:rsidR="002F1BC7" w:rsidRPr="00F71DE4" w:rsidRDefault="002F1BC7" w:rsidP="002F1BC7">
      <w:pPr>
        <w:pStyle w:val="BodyText"/>
        <w:widowControl/>
        <w:spacing w:after="0" w:line="240" w:lineRule="atLeast"/>
        <w:rPr>
          <w:rFonts w:ascii="Calibri" w:hAnsi="Calibri" w:cs="Arial"/>
          <w:noProof/>
          <w:spacing w:val="0"/>
        </w:rPr>
      </w:pPr>
      <w:bookmarkStart w:id="116" w:name="_ENREF_28"/>
      <w:r w:rsidRPr="00F71DE4">
        <w:rPr>
          <w:rFonts w:ascii="Calibri" w:hAnsi="Calibri" w:cs="Arial"/>
          <w:noProof/>
          <w:spacing w:val="0"/>
        </w:rPr>
        <w:lastRenderedPageBreak/>
        <w:t>28.</w:t>
      </w:r>
      <w:r w:rsidRPr="00F71DE4">
        <w:rPr>
          <w:rFonts w:ascii="Calibri" w:hAnsi="Calibri" w:cs="Arial"/>
          <w:noProof/>
          <w:spacing w:val="0"/>
        </w:rPr>
        <w:tab/>
        <w:t xml:space="preserve">Gunson R, Shouval D, Roggendorf M, Zaaijer H, Nicholas H, Holzmann H, et al. Hepatitis B virus (HBV) and hepatitis C virus (HCV) infections in </w:t>
      </w:r>
      <w:r>
        <w:rPr>
          <w:rFonts w:ascii="Calibri" w:hAnsi="Calibri" w:cs="Arial"/>
          <w:noProof/>
          <w:spacing w:val="0"/>
        </w:rPr>
        <w:t>healthcare</w:t>
      </w:r>
      <w:r w:rsidRPr="00F71DE4">
        <w:rPr>
          <w:rFonts w:ascii="Calibri" w:hAnsi="Calibri" w:cs="Arial"/>
          <w:noProof/>
          <w:spacing w:val="0"/>
        </w:rPr>
        <w:t xml:space="preserve"> workers (HCWs): guidelines for prevention of transmission of HBV and HCV from HCW to patients. Journal of Clinical Virology. 2003;27(3):213-30. </w:t>
      </w:r>
      <w:bookmarkEnd w:id="116"/>
    </w:p>
    <w:p w14:paraId="0B4F760E" w14:textId="77777777" w:rsidR="002F1BC7" w:rsidRPr="00F71DE4" w:rsidRDefault="002F1BC7" w:rsidP="002F1BC7">
      <w:pPr>
        <w:pStyle w:val="BodyText"/>
        <w:widowControl/>
        <w:spacing w:after="0" w:line="240" w:lineRule="atLeast"/>
        <w:rPr>
          <w:rFonts w:ascii="Calibri" w:hAnsi="Calibri" w:cs="Arial"/>
          <w:noProof/>
          <w:spacing w:val="0"/>
        </w:rPr>
      </w:pPr>
      <w:bookmarkStart w:id="117" w:name="_ENREF_29"/>
      <w:r w:rsidRPr="00F71DE4">
        <w:rPr>
          <w:rFonts w:ascii="Calibri" w:hAnsi="Calibri" w:cs="Arial"/>
          <w:noProof/>
          <w:spacing w:val="0"/>
        </w:rPr>
        <w:t>29.</w:t>
      </w:r>
      <w:r w:rsidRPr="00F71DE4">
        <w:rPr>
          <w:rFonts w:ascii="Calibri" w:hAnsi="Calibri" w:cs="Arial"/>
          <w:noProof/>
          <w:spacing w:val="0"/>
        </w:rPr>
        <w:tab/>
        <w:t xml:space="preserve">Daha T, Bilkert-Mooiman M, Ballemans C, Frijstein G, Keeman J, De Man R, et al. Hepatitis B virus infected </w:t>
      </w:r>
      <w:r>
        <w:rPr>
          <w:rFonts w:ascii="Calibri" w:hAnsi="Calibri" w:cs="Arial"/>
          <w:noProof/>
          <w:spacing w:val="0"/>
        </w:rPr>
        <w:t>healthcare</w:t>
      </w:r>
      <w:r w:rsidRPr="00F71DE4">
        <w:rPr>
          <w:rFonts w:ascii="Calibri" w:hAnsi="Calibri" w:cs="Arial"/>
          <w:noProof/>
          <w:spacing w:val="0"/>
        </w:rPr>
        <w:t xml:space="preserve"> workers in The Netherlands, 2000-2008. European journal of clinical microbiology &amp; infectious diseases. 2009;28(9):1041-4. </w:t>
      </w:r>
      <w:bookmarkEnd w:id="117"/>
    </w:p>
    <w:p w14:paraId="0270AC24" w14:textId="77777777" w:rsidR="002F1BC7" w:rsidRPr="00F71DE4" w:rsidRDefault="002F1BC7" w:rsidP="002F1BC7">
      <w:pPr>
        <w:pStyle w:val="BodyText"/>
        <w:widowControl/>
        <w:spacing w:after="0" w:line="240" w:lineRule="atLeast"/>
        <w:rPr>
          <w:rFonts w:ascii="Calibri" w:hAnsi="Calibri" w:cs="Arial"/>
          <w:noProof/>
          <w:spacing w:val="0"/>
        </w:rPr>
      </w:pPr>
      <w:bookmarkStart w:id="118" w:name="_ENREF_30"/>
      <w:r w:rsidRPr="00F71DE4">
        <w:rPr>
          <w:rFonts w:ascii="Calibri" w:hAnsi="Calibri" w:cs="Arial"/>
          <w:noProof/>
          <w:spacing w:val="0"/>
        </w:rPr>
        <w:t>30.</w:t>
      </w:r>
      <w:r w:rsidRPr="00F71DE4">
        <w:rPr>
          <w:rFonts w:ascii="Calibri" w:hAnsi="Calibri" w:cs="Arial"/>
          <w:noProof/>
          <w:spacing w:val="0"/>
        </w:rPr>
        <w:tab/>
        <w:t xml:space="preserve">Corden S, Ballard A, Ijaz S, Barbara J, Gilbert N, Gilson R, et al. HBV DNA levels and transmission of hepatitis B by </w:t>
      </w:r>
      <w:r>
        <w:rPr>
          <w:rFonts w:ascii="Calibri" w:hAnsi="Calibri" w:cs="Arial"/>
          <w:noProof/>
          <w:spacing w:val="0"/>
        </w:rPr>
        <w:t>healthcare</w:t>
      </w:r>
      <w:r w:rsidRPr="00F71DE4">
        <w:rPr>
          <w:rFonts w:ascii="Calibri" w:hAnsi="Calibri" w:cs="Arial"/>
          <w:noProof/>
          <w:spacing w:val="0"/>
        </w:rPr>
        <w:t xml:space="preserve"> workers. Journal of Clinical Virology. 2003;27(1):52-8. </w:t>
      </w:r>
      <w:bookmarkEnd w:id="118"/>
    </w:p>
    <w:p w14:paraId="37888545" w14:textId="77777777" w:rsidR="002F1BC7" w:rsidRPr="00F71DE4" w:rsidRDefault="002F1BC7" w:rsidP="002F1BC7">
      <w:pPr>
        <w:pStyle w:val="BodyText"/>
        <w:widowControl/>
        <w:spacing w:after="0" w:line="240" w:lineRule="atLeast"/>
        <w:rPr>
          <w:rFonts w:ascii="Calibri" w:hAnsi="Calibri" w:cs="Arial"/>
          <w:noProof/>
          <w:spacing w:val="0"/>
        </w:rPr>
      </w:pPr>
      <w:bookmarkStart w:id="119" w:name="_ENREF_31"/>
      <w:r w:rsidRPr="00F71DE4">
        <w:rPr>
          <w:rFonts w:ascii="Calibri" w:hAnsi="Calibri" w:cs="Arial"/>
          <w:noProof/>
          <w:spacing w:val="0"/>
        </w:rPr>
        <w:t>31.</w:t>
      </w:r>
      <w:r w:rsidRPr="00F71DE4">
        <w:rPr>
          <w:rFonts w:ascii="Calibri" w:hAnsi="Calibri" w:cs="Arial"/>
          <w:noProof/>
          <w:spacing w:val="0"/>
        </w:rPr>
        <w:tab/>
        <w:t xml:space="preserve">Buster E, Van der Eijk A, Schalm S. Doctor to patient transmission of hepatitis B virus: implications of HBV DNA levels and potential new solutions. Antiviral research. 2003;60(2):79-85. </w:t>
      </w:r>
      <w:bookmarkEnd w:id="119"/>
    </w:p>
    <w:p w14:paraId="0B6D77A5" w14:textId="77777777" w:rsidR="002F1BC7" w:rsidRPr="00F71DE4" w:rsidRDefault="002F1BC7" w:rsidP="002F1BC7">
      <w:pPr>
        <w:pStyle w:val="BodyText"/>
        <w:widowControl/>
        <w:spacing w:after="0" w:line="240" w:lineRule="atLeast"/>
        <w:rPr>
          <w:rFonts w:ascii="Calibri" w:hAnsi="Calibri" w:cs="Arial"/>
          <w:noProof/>
          <w:spacing w:val="0"/>
        </w:rPr>
      </w:pPr>
      <w:bookmarkStart w:id="120" w:name="_ENREF_32"/>
      <w:r w:rsidRPr="00F71DE4">
        <w:rPr>
          <w:rFonts w:ascii="Calibri" w:hAnsi="Calibri" w:cs="Arial"/>
          <w:noProof/>
          <w:spacing w:val="0"/>
        </w:rPr>
        <w:t>32.</w:t>
      </w:r>
      <w:r w:rsidRPr="00F71DE4">
        <w:rPr>
          <w:rFonts w:ascii="Calibri" w:hAnsi="Calibri" w:cs="Arial"/>
          <w:noProof/>
          <w:spacing w:val="0"/>
        </w:rPr>
        <w:tab/>
        <w:t>Papatheodoridis G, Chrysanthos N, Hadziyannis E, Cholongitas E, Manesis E. Longitudinal changes in serum HBV DNA levels and predictors of progression during the natural course of HBeAg</w:t>
      </w:r>
      <w:r w:rsidRPr="00F71DE4">
        <w:rPr>
          <w:rFonts w:ascii="Calibri" w:hAnsi="Calibri" w:cs="Cambria Math"/>
          <w:noProof/>
          <w:spacing w:val="0"/>
        </w:rPr>
        <w:t>‐</w:t>
      </w:r>
      <w:r w:rsidRPr="00F71DE4">
        <w:rPr>
          <w:rFonts w:ascii="Calibri" w:hAnsi="Calibri" w:cs="Arial"/>
          <w:noProof/>
          <w:spacing w:val="0"/>
        </w:rPr>
        <w:t xml:space="preserve">negative chronic hepatitis B virus infection. Journal of viral hepatitis. 2008;15(6):434-41. </w:t>
      </w:r>
      <w:bookmarkEnd w:id="120"/>
    </w:p>
    <w:p w14:paraId="0193BBAE" w14:textId="77777777" w:rsidR="002F1BC7" w:rsidRPr="00F71DE4" w:rsidRDefault="002F1BC7" w:rsidP="002F1BC7">
      <w:pPr>
        <w:pStyle w:val="BodyText"/>
        <w:widowControl/>
        <w:spacing w:after="0" w:line="240" w:lineRule="atLeast"/>
        <w:rPr>
          <w:rFonts w:ascii="Calibri" w:hAnsi="Calibri" w:cs="Arial"/>
          <w:noProof/>
          <w:spacing w:val="0"/>
        </w:rPr>
      </w:pPr>
      <w:bookmarkStart w:id="121" w:name="_ENREF_33"/>
      <w:r w:rsidRPr="00F71DE4">
        <w:rPr>
          <w:rFonts w:ascii="Calibri" w:hAnsi="Calibri" w:cs="Arial"/>
          <w:noProof/>
          <w:spacing w:val="0"/>
        </w:rPr>
        <w:t>33.</w:t>
      </w:r>
      <w:r w:rsidRPr="00F71DE4">
        <w:rPr>
          <w:rFonts w:ascii="Calibri" w:hAnsi="Calibri" w:cs="Arial"/>
          <w:noProof/>
          <w:spacing w:val="0"/>
        </w:rPr>
        <w:tab/>
        <w:t xml:space="preserve">Maylin S, Sire J-M, Mbaye PS, Simon F, Sarr A, Evra M-L, et al. Short-term spontaneous fluctuations of HBV DNA levels in a Senegalese population with chronic hepatitis B. BMC infectious diseases. 2015;15(1):154. </w:t>
      </w:r>
      <w:bookmarkEnd w:id="121"/>
    </w:p>
    <w:p w14:paraId="1B93A14F" w14:textId="77777777" w:rsidR="002F1BC7" w:rsidRPr="00F71DE4" w:rsidRDefault="002F1BC7" w:rsidP="002F1BC7">
      <w:pPr>
        <w:pStyle w:val="BodyText"/>
        <w:widowControl/>
        <w:spacing w:after="0" w:line="240" w:lineRule="atLeast"/>
        <w:rPr>
          <w:rFonts w:ascii="Calibri" w:hAnsi="Calibri" w:cs="Arial"/>
          <w:noProof/>
          <w:spacing w:val="0"/>
        </w:rPr>
      </w:pPr>
      <w:bookmarkStart w:id="122" w:name="_ENREF_34"/>
      <w:r w:rsidRPr="00F71DE4">
        <w:rPr>
          <w:rFonts w:ascii="Calibri" w:hAnsi="Calibri" w:cs="Arial"/>
          <w:noProof/>
          <w:spacing w:val="0"/>
        </w:rPr>
        <w:t>34.</w:t>
      </w:r>
      <w:r w:rsidRPr="00F71DE4">
        <w:rPr>
          <w:rFonts w:ascii="Calibri" w:hAnsi="Calibri" w:cs="Arial"/>
          <w:noProof/>
          <w:spacing w:val="0"/>
        </w:rPr>
        <w:tab/>
        <w:t xml:space="preserve">ASHM. B Positive (2nd Edition) - all you wanted to know about hepatitis B - a guide for primary care providers 2014. Available from: </w:t>
      </w:r>
      <w:r w:rsidRPr="00013F35">
        <w:rPr>
          <w:rFonts w:ascii="Calibri" w:hAnsi="Calibri" w:cs="Arial"/>
          <w:noProof/>
          <w:spacing w:val="0"/>
        </w:rPr>
        <w:t>http://www.ashm.org.au/resources/Pages/1976963310.aspx</w:t>
      </w:r>
      <w:r w:rsidRPr="00F71DE4">
        <w:rPr>
          <w:rFonts w:ascii="Calibri" w:hAnsi="Calibri" w:cs="Arial"/>
          <w:noProof/>
          <w:spacing w:val="0"/>
        </w:rPr>
        <w:t xml:space="preserve"> (accessed March 2016).</w:t>
      </w:r>
      <w:bookmarkEnd w:id="122"/>
    </w:p>
    <w:p w14:paraId="09A015CA" w14:textId="77777777" w:rsidR="002F1BC7" w:rsidRPr="00F71DE4" w:rsidRDefault="002F1BC7" w:rsidP="002F1BC7">
      <w:pPr>
        <w:pStyle w:val="BodyText"/>
        <w:widowControl/>
        <w:spacing w:after="0" w:line="240" w:lineRule="atLeast"/>
        <w:rPr>
          <w:rFonts w:ascii="Calibri" w:hAnsi="Calibri" w:cs="Arial"/>
          <w:noProof/>
          <w:spacing w:val="0"/>
        </w:rPr>
      </w:pPr>
      <w:bookmarkStart w:id="123" w:name="_ENREF_35"/>
      <w:r w:rsidRPr="00F71DE4">
        <w:rPr>
          <w:rFonts w:ascii="Calibri" w:hAnsi="Calibri" w:cs="Arial"/>
          <w:noProof/>
          <w:spacing w:val="0"/>
        </w:rPr>
        <w:t>35.</w:t>
      </w:r>
      <w:r w:rsidRPr="00F71DE4">
        <w:rPr>
          <w:rFonts w:ascii="Calibri" w:hAnsi="Calibri" w:cs="Arial"/>
          <w:noProof/>
          <w:spacing w:val="0"/>
        </w:rPr>
        <w:tab/>
        <w:t xml:space="preserve">Pozzetto B, Memmi M, Garraud O, Roblin X, Berthelot P. </w:t>
      </w:r>
      <w:r>
        <w:rPr>
          <w:rFonts w:ascii="Calibri" w:hAnsi="Calibri" w:cs="Arial"/>
          <w:noProof/>
          <w:spacing w:val="0"/>
        </w:rPr>
        <w:t>Healthcare</w:t>
      </w:r>
      <w:r w:rsidRPr="00F71DE4">
        <w:rPr>
          <w:rFonts w:ascii="Calibri" w:hAnsi="Calibri" w:cs="Arial"/>
          <w:noProof/>
          <w:spacing w:val="0"/>
        </w:rPr>
        <w:t xml:space="preserve">-associated hepatitis C virus infection. World journal of gastroenterology: WJG. 2014;20(46):17265. </w:t>
      </w:r>
      <w:bookmarkEnd w:id="123"/>
    </w:p>
    <w:p w14:paraId="5D70AD4D" w14:textId="77777777" w:rsidR="002F1BC7" w:rsidRPr="00F71DE4" w:rsidRDefault="002F1BC7" w:rsidP="002F1BC7">
      <w:pPr>
        <w:pStyle w:val="BodyText"/>
        <w:widowControl/>
        <w:spacing w:after="0" w:line="240" w:lineRule="atLeast"/>
        <w:rPr>
          <w:rFonts w:ascii="Calibri" w:hAnsi="Calibri" w:cs="Arial"/>
          <w:noProof/>
          <w:spacing w:val="0"/>
        </w:rPr>
      </w:pPr>
      <w:bookmarkStart w:id="124" w:name="_ENREF_36"/>
      <w:r w:rsidRPr="00F71DE4">
        <w:rPr>
          <w:rFonts w:ascii="Calibri" w:hAnsi="Calibri" w:cs="Arial"/>
          <w:noProof/>
          <w:spacing w:val="0"/>
        </w:rPr>
        <w:t>36.</w:t>
      </w:r>
      <w:r w:rsidRPr="00F71DE4">
        <w:rPr>
          <w:rFonts w:ascii="Calibri" w:hAnsi="Calibri" w:cs="Arial"/>
          <w:noProof/>
          <w:spacing w:val="0"/>
        </w:rPr>
        <w:tab/>
        <w:t xml:space="preserve">Strasser M, Aigner E, Schmid I, Stadlmayr A, Niederseer D, Patsch W, et al. Risk of Hepatitis C Virus Transmission from Patients to Healthcare Workers A Prospective Observational Study. Infection Control. 2013;34(07):759-61. </w:t>
      </w:r>
      <w:bookmarkEnd w:id="124"/>
    </w:p>
    <w:p w14:paraId="46B54D09" w14:textId="77777777" w:rsidR="002F1BC7" w:rsidRPr="00F71DE4" w:rsidRDefault="002F1BC7" w:rsidP="002F1BC7">
      <w:pPr>
        <w:pStyle w:val="BodyText"/>
        <w:widowControl/>
        <w:spacing w:after="0" w:line="240" w:lineRule="atLeast"/>
        <w:rPr>
          <w:rFonts w:ascii="Calibri" w:hAnsi="Calibri" w:cs="Arial"/>
          <w:noProof/>
          <w:spacing w:val="0"/>
        </w:rPr>
      </w:pPr>
      <w:bookmarkStart w:id="125" w:name="_ENREF_37"/>
      <w:r w:rsidRPr="00F71DE4">
        <w:rPr>
          <w:rFonts w:ascii="Calibri" w:hAnsi="Calibri" w:cs="Arial"/>
          <w:noProof/>
          <w:spacing w:val="0"/>
        </w:rPr>
        <w:t>37.</w:t>
      </w:r>
      <w:r w:rsidRPr="00F71DE4">
        <w:rPr>
          <w:rFonts w:ascii="Calibri" w:hAnsi="Calibri" w:cs="Arial"/>
          <w:noProof/>
          <w:spacing w:val="0"/>
        </w:rPr>
        <w:tab/>
        <w:t xml:space="preserve">Tomkins S, Elford J, Nichols T, Aston J, Cliffe S, Roy K, et al. Occupational transmission of hepatitis C in healthcare workers and factors associated with seroconversion: UK surveillance data. Journal of viral hepatitis. 2012;19(3):199-204. </w:t>
      </w:r>
      <w:bookmarkEnd w:id="125"/>
    </w:p>
    <w:p w14:paraId="34591D33" w14:textId="77777777" w:rsidR="002F1BC7" w:rsidRPr="00F71DE4" w:rsidRDefault="002F1BC7" w:rsidP="002F1BC7">
      <w:pPr>
        <w:pStyle w:val="BodyText"/>
        <w:widowControl/>
        <w:spacing w:after="0" w:line="240" w:lineRule="atLeast"/>
        <w:rPr>
          <w:rFonts w:ascii="Calibri" w:hAnsi="Calibri" w:cs="Arial"/>
          <w:noProof/>
          <w:spacing w:val="0"/>
        </w:rPr>
      </w:pPr>
      <w:bookmarkStart w:id="126" w:name="_ENREF_38"/>
      <w:r w:rsidRPr="00F71DE4">
        <w:rPr>
          <w:rFonts w:ascii="Calibri" w:hAnsi="Calibri" w:cs="Arial"/>
          <w:noProof/>
          <w:spacing w:val="0"/>
        </w:rPr>
        <w:t>38.</w:t>
      </w:r>
      <w:r w:rsidRPr="00F71DE4">
        <w:rPr>
          <w:rFonts w:ascii="Calibri" w:hAnsi="Calibri" w:cs="Arial"/>
          <w:noProof/>
          <w:spacing w:val="0"/>
        </w:rPr>
        <w:tab/>
        <w:t xml:space="preserve">Medeiros W, Setúbal S, Pinheiro P, Dalston M, Bazin A, de Oliveira S. Occupational hepatitis C seroconversions in a Brazilian hospital. Occupational medicine. 2012. </w:t>
      </w:r>
      <w:bookmarkEnd w:id="126"/>
    </w:p>
    <w:p w14:paraId="59C1F994" w14:textId="77777777" w:rsidR="002F1BC7" w:rsidRPr="00F71DE4" w:rsidRDefault="002F1BC7" w:rsidP="002F1BC7">
      <w:pPr>
        <w:pStyle w:val="BodyText"/>
        <w:widowControl/>
        <w:spacing w:after="0" w:line="240" w:lineRule="atLeast"/>
        <w:rPr>
          <w:rFonts w:ascii="Calibri" w:hAnsi="Calibri" w:cs="Arial"/>
          <w:noProof/>
          <w:spacing w:val="0"/>
        </w:rPr>
      </w:pPr>
      <w:bookmarkStart w:id="127" w:name="_ENREF_39"/>
      <w:r w:rsidRPr="00F71DE4">
        <w:rPr>
          <w:rFonts w:ascii="Calibri" w:hAnsi="Calibri" w:cs="Arial"/>
          <w:noProof/>
          <w:spacing w:val="0"/>
        </w:rPr>
        <w:t>39.</w:t>
      </w:r>
      <w:r w:rsidRPr="00F71DE4">
        <w:rPr>
          <w:rFonts w:ascii="Calibri" w:hAnsi="Calibri" w:cs="Arial"/>
          <w:noProof/>
          <w:spacing w:val="0"/>
        </w:rPr>
        <w:tab/>
        <w:t xml:space="preserve">US Public Health Service. Updated US Public Health Service guidelines for the management of occupational exposures to HBV, HCV, and HIV and recommendations for postexposure prophylaxis. MMWR Recomm Rep. 2001;50(1):16. </w:t>
      </w:r>
      <w:bookmarkEnd w:id="127"/>
    </w:p>
    <w:p w14:paraId="01908A9F" w14:textId="77777777" w:rsidR="002F1BC7" w:rsidRPr="00F71DE4" w:rsidRDefault="002F1BC7" w:rsidP="002F1BC7">
      <w:pPr>
        <w:pStyle w:val="BodyText"/>
        <w:widowControl/>
        <w:spacing w:after="0" w:line="240" w:lineRule="atLeast"/>
        <w:rPr>
          <w:rFonts w:ascii="Calibri" w:hAnsi="Calibri" w:cs="Arial"/>
          <w:noProof/>
          <w:spacing w:val="0"/>
        </w:rPr>
      </w:pPr>
      <w:bookmarkStart w:id="128" w:name="_ENREF_40"/>
      <w:r w:rsidRPr="00F71DE4">
        <w:rPr>
          <w:rFonts w:ascii="Calibri" w:hAnsi="Calibri" w:cs="Arial"/>
          <w:noProof/>
          <w:spacing w:val="0"/>
        </w:rPr>
        <w:t>40.</w:t>
      </w:r>
      <w:r w:rsidRPr="00F71DE4">
        <w:rPr>
          <w:rFonts w:ascii="Calibri" w:hAnsi="Calibri" w:cs="Arial"/>
          <w:noProof/>
          <w:spacing w:val="0"/>
        </w:rPr>
        <w:tab/>
        <w:t xml:space="preserve">Henderson DK. Managing occupational risks for hepatitis C transmission in the </w:t>
      </w:r>
      <w:r>
        <w:rPr>
          <w:rFonts w:ascii="Calibri" w:hAnsi="Calibri" w:cs="Arial"/>
          <w:noProof/>
          <w:spacing w:val="0"/>
        </w:rPr>
        <w:t>healthcare</w:t>
      </w:r>
      <w:r w:rsidRPr="00F71DE4">
        <w:rPr>
          <w:rFonts w:ascii="Calibri" w:hAnsi="Calibri" w:cs="Arial"/>
          <w:noProof/>
          <w:spacing w:val="0"/>
        </w:rPr>
        <w:t xml:space="preserve"> setting. Clinical microbiology reviews. 2003;16(3):546-68. </w:t>
      </w:r>
      <w:bookmarkEnd w:id="128"/>
    </w:p>
    <w:p w14:paraId="21229FCC" w14:textId="77777777" w:rsidR="002F1BC7" w:rsidRPr="00F71DE4" w:rsidRDefault="002F1BC7" w:rsidP="002F1BC7">
      <w:pPr>
        <w:pStyle w:val="BodyText"/>
        <w:widowControl/>
        <w:spacing w:after="0" w:line="240" w:lineRule="atLeast"/>
        <w:rPr>
          <w:rFonts w:ascii="Calibri" w:hAnsi="Calibri" w:cs="Arial"/>
          <w:noProof/>
          <w:spacing w:val="0"/>
        </w:rPr>
      </w:pPr>
      <w:bookmarkStart w:id="129" w:name="_ENREF_41"/>
      <w:r w:rsidRPr="00F71DE4">
        <w:rPr>
          <w:rFonts w:ascii="Calibri" w:hAnsi="Calibri" w:cs="Arial"/>
          <w:noProof/>
          <w:spacing w:val="0"/>
        </w:rPr>
        <w:t>41.</w:t>
      </w:r>
      <w:r w:rsidRPr="00F71DE4">
        <w:rPr>
          <w:rFonts w:ascii="Calibri" w:hAnsi="Calibri" w:cs="Arial"/>
          <w:noProof/>
          <w:spacing w:val="0"/>
        </w:rPr>
        <w:tab/>
        <w:t xml:space="preserve">González-Candelas F, Bracho MA, Wróbel B, Moya A. Molecular evolution in court: analysis of a large hepatitis C virus outbreak from an evolving source. BMC biology. 2013;11(1):76. </w:t>
      </w:r>
      <w:bookmarkEnd w:id="129"/>
    </w:p>
    <w:p w14:paraId="48592B21" w14:textId="77777777" w:rsidR="002F1BC7" w:rsidRPr="00F71DE4" w:rsidRDefault="002F1BC7" w:rsidP="002F1BC7">
      <w:pPr>
        <w:pStyle w:val="BodyText"/>
        <w:widowControl/>
        <w:spacing w:after="0" w:line="240" w:lineRule="atLeast"/>
        <w:rPr>
          <w:rFonts w:ascii="Calibri" w:hAnsi="Calibri" w:cs="Arial"/>
          <w:noProof/>
          <w:spacing w:val="0"/>
        </w:rPr>
      </w:pPr>
      <w:bookmarkStart w:id="130" w:name="_ENREF_42"/>
      <w:r w:rsidRPr="00F71DE4">
        <w:rPr>
          <w:rFonts w:ascii="Calibri" w:hAnsi="Calibri" w:cs="Arial"/>
          <w:noProof/>
          <w:spacing w:val="0"/>
        </w:rPr>
        <w:t>42.</w:t>
      </w:r>
      <w:r w:rsidRPr="00F71DE4">
        <w:rPr>
          <w:rFonts w:ascii="Calibri" w:hAnsi="Calibri" w:cs="Arial"/>
          <w:noProof/>
          <w:spacing w:val="0"/>
        </w:rPr>
        <w:tab/>
        <w:t xml:space="preserve">Hatia RI, Dimitrova Z, Skums P, Teo EYL, Teo CG. Nosocomial hepatitis C virus transmission from tampering with injectable anesthetic opioids. Hepatology. 2015;62(1):101-10. </w:t>
      </w:r>
      <w:bookmarkEnd w:id="130"/>
    </w:p>
    <w:p w14:paraId="1FD8640C" w14:textId="77777777" w:rsidR="002F1BC7" w:rsidRPr="00F71DE4" w:rsidRDefault="002F1BC7" w:rsidP="002F1BC7">
      <w:pPr>
        <w:pStyle w:val="BodyText"/>
        <w:widowControl/>
        <w:spacing w:after="0" w:line="240" w:lineRule="atLeast"/>
        <w:rPr>
          <w:rFonts w:ascii="Calibri" w:hAnsi="Calibri" w:cs="Arial"/>
          <w:noProof/>
          <w:spacing w:val="0"/>
        </w:rPr>
      </w:pPr>
      <w:bookmarkStart w:id="131" w:name="_ENREF_43"/>
      <w:r w:rsidRPr="00F71DE4">
        <w:rPr>
          <w:rFonts w:ascii="Calibri" w:hAnsi="Calibri" w:cs="Arial"/>
          <w:noProof/>
          <w:spacing w:val="0"/>
        </w:rPr>
        <w:t>43.</w:t>
      </w:r>
      <w:r w:rsidRPr="00F71DE4">
        <w:rPr>
          <w:rFonts w:ascii="Calibri" w:hAnsi="Calibri" w:cs="Arial"/>
          <w:noProof/>
          <w:spacing w:val="0"/>
        </w:rPr>
        <w:tab/>
        <w:t xml:space="preserve">Sehulster L, Taylor J, Hendricks K, VanEgdom M, Whitely S, Manning S, editors. Hepatitis C outbreak linked to narcotic tampering in an ambulatory surgical center. </w:t>
      </w:r>
      <w:r w:rsidRPr="00F71DE4">
        <w:rPr>
          <w:rFonts w:ascii="Calibri" w:hAnsi="Calibri" w:cs="Arial"/>
          <w:noProof/>
          <w:spacing w:val="0"/>
        </w:rPr>
        <w:lastRenderedPageBreak/>
        <w:t>Proceedings of the Interscience Conference on Antimicrobial Agents and Chemotherapy; 1997.</w:t>
      </w:r>
      <w:bookmarkEnd w:id="131"/>
    </w:p>
    <w:p w14:paraId="4B82F46E" w14:textId="77777777" w:rsidR="002F1BC7" w:rsidRPr="00F71DE4" w:rsidRDefault="002F1BC7" w:rsidP="002F1BC7">
      <w:pPr>
        <w:pStyle w:val="BodyText"/>
        <w:widowControl/>
        <w:spacing w:after="0" w:line="240" w:lineRule="atLeast"/>
        <w:rPr>
          <w:rFonts w:ascii="Calibri" w:hAnsi="Calibri" w:cs="Arial"/>
          <w:noProof/>
          <w:spacing w:val="0"/>
        </w:rPr>
      </w:pPr>
      <w:bookmarkStart w:id="132" w:name="_ENREF_44"/>
      <w:r w:rsidRPr="00F71DE4">
        <w:rPr>
          <w:rFonts w:ascii="Calibri" w:hAnsi="Calibri" w:cs="Arial"/>
          <w:noProof/>
          <w:spacing w:val="0"/>
        </w:rPr>
        <w:t>44.</w:t>
      </w:r>
      <w:r w:rsidRPr="00F71DE4">
        <w:rPr>
          <w:rFonts w:ascii="Calibri" w:hAnsi="Calibri" w:cs="Arial"/>
          <w:noProof/>
          <w:spacing w:val="0"/>
        </w:rPr>
        <w:tab/>
        <w:t xml:space="preserve">Duckworth GJ, Heptonstall J, Aitken C. Transmission of hepatitis C virus from a surgeon to a patient. The Incident Control Team. Communicable disease and public health/PHLS. 1999;2(3):188-92. </w:t>
      </w:r>
      <w:bookmarkEnd w:id="132"/>
    </w:p>
    <w:p w14:paraId="79E7F227" w14:textId="77777777" w:rsidR="002F1BC7" w:rsidRPr="00F71DE4" w:rsidRDefault="002F1BC7" w:rsidP="002F1BC7">
      <w:pPr>
        <w:pStyle w:val="BodyText"/>
        <w:widowControl/>
        <w:spacing w:after="0" w:line="240" w:lineRule="atLeast"/>
        <w:rPr>
          <w:rFonts w:ascii="Calibri" w:hAnsi="Calibri" w:cs="Arial"/>
          <w:noProof/>
          <w:spacing w:val="0"/>
        </w:rPr>
      </w:pPr>
      <w:bookmarkStart w:id="133" w:name="_ENREF_45"/>
      <w:r w:rsidRPr="00F71DE4">
        <w:rPr>
          <w:rFonts w:ascii="Calibri" w:hAnsi="Calibri" w:cs="Arial"/>
          <w:noProof/>
          <w:spacing w:val="0"/>
        </w:rPr>
        <w:t>45.</w:t>
      </w:r>
      <w:r w:rsidRPr="00F71DE4">
        <w:rPr>
          <w:rFonts w:ascii="Calibri" w:hAnsi="Calibri" w:cs="Arial"/>
          <w:noProof/>
          <w:spacing w:val="0"/>
        </w:rPr>
        <w:tab/>
        <w:t xml:space="preserve">Ross RS, Viazov S, Thormählen M, Bartz L, Tamm J, Rautenberg P, et al. Risk of hepatitis C virus transmission from an infected gynecologist to patients: results of a 7-year retrospective investigation. Archives of Internal Medicine. 2002;162(7):805-10. </w:t>
      </w:r>
      <w:bookmarkEnd w:id="133"/>
    </w:p>
    <w:p w14:paraId="5241CC56" w14:textId="77777777" w:rsidR="002F1BC7" w:rsidRPr="00F71DE4" w:rsidRDefault="002F1BC7" w:rsidP="002F1BC7">
      <w:pPr>
        <w:pStyle w:val="BodyText"/>
        <w:widowControl/>
        <w:spacing w:after="0" w:line="240" w:lineRule="atLeast"/>
        <w:rPr>
          <w:rFonts w:ascii="Calibri" w:hAnsi="Calibri" w:cs="Arial"/>
          <w:noProof/>
          <w:spacing w:val="0"/>
        </w:rPr>
      </w:pPr>
      <w:bookmarkStart w:id="134" w:name="_ENREF_46"/>
      <w:r w:rsidRPr="00F71DE4">
        <w:rPr>
          <w:rFonts w:ascii="Calibri" w:hAnsi="Calibri" w:cs="Arial"/>
          <w:noProof/>
          <w:spacing w:val="0"/>
        </w:rPr>
        <w:t>46.</w:t>
      </w:r>
      <w:r w:rsidRPr="00F71DE4">
        <w:rPr>
          <w:rFonts w:ascii="Calibri" w:hAnsi="Calibri" w:cs="Arial"/>
          <w:noProof/>
          <w:spacing w:val="0"/>
        </w:rPr>
        <w:tab/>
        <w:t xml:space="preserve">Cody SH, Nainan OV, Garfein RS, Meyers H, Bell BP, Shapiro CN, et al. Hepatitis C virus transmission from an anesthesiologist to a patient. Archives of Internal Medicine. 2002;162(3):345-50. </w:t>
      </w:r>
      <w:bookmarkEnd w:id="134"/>
    </w:p>
    <w:p w14:paraId="4148D6FC" w14:textId="77777777" w:rsidR="002F1BC7" w:rsidRPr="00F71DE4" w:rsidRDefault="002F1BC7" w:rsidP="002F1BC7">
      <w:pPr>
        <w:pStyle w:val="BodyText"/>
        <w:widowControl/>
        <w:spacing w:after="0" w:line="240" w:lineRule="atLeast"/>
        <w:rPr>
          <w:rFonts w:ascii="Calibri" w:hAnsi="Calibri" w:cs="Arial"/>
          <w:noProof/>
          <w:spacing w:val="0"/>
        </w:rPr>
      </w:pPr>
      <w:bookmarkStart w:id="135" w:name="_ENREF_47"/>
      <w:r w:rsidRPr="00F71DE4">
        <w:rPr>
          <w:rFonts w:ascii="Calibri" w:hAnsi="Calibri" w:cs="Arial"/>
          <w:noProof/>
          <w:spacing w:val="0"/>
        </w:rPr>
        <w:t>47.</w:t>
      </w:r>
      <w:r w:rsidRPr="00F71DE4">
        <w:rPr>
          <w:rFonts w:ascii="Calibri" w:hAnsi="Calibri" w:cs="Arial"/>
          <w:noProof/>
          <w:spacing w:val="0"/>
        </w:rPr>
        <w:tab/>
        <w:t xml:space="preserve">Ross RS, Viazov S, Gross T, Hofmann F, Seipp H-M, Roggendorf M. Transmission of hepatitis C virus from a patient to an anesthesiology assistant to five patients. New England Journal of Medicine. 2000;343(25):1851-4. </w:t>
      </w:r>
      <w:bookmarkEnd w:id="135"/>
    </w:p>
    <w:p w14:paraId="226C4FED" w14:textId="77777777" w:rsidR="002F1BC7" w:rsidRPr="00F71DE4" w:rsidRDefault="002F1BC7" w:rsidP="002F1BC7">
      <w:pPr>
        <w:pStyle w:val="BodyText"/>
        <w:widowControl/>
        <w:spacing w:after="0" w:line="240" w:lineRule="atLeast"/>
        <w:rPr>
          <w:rFonts w:ascii="Calibri" w:hAnsi="Calibri" w:cs="Arial"/>
          <w:noProof/>
          <w:spacing w:val="0"/>
        </w:rPr>
      </w:pPr>
      <w:bookmarkStart w:id="136" w:name="_ENREF_48"/>
      <w:r w:rsidRPr="00F71DE4">
        <w:rPr>
          <w:rFonts w:ascii="Calibri" w:hAnsi="Calibri" w:cs="Arial"/>
          <w:noProof/>
          <w:spacing w:val="0"/>
        </w:rPr>
        <w:t>48.</w:t>
      </w:r>
      <w:r w:rsidRPr="00F71DE4">
        <w:rPr>
          <w:rFonts w:ascii="Calibri" w:hAnsi="Calibri" w:cs="Arial"/>
          <w:noProof/>
          <w:spacing w:val="0"/>
        </w:rPr>
        <w:tab/>
        <w:t xml:space="preserve">Ross RS, Viazov S, Roggendorf M. Phylogenetic analysis indicates transmission of hepatitis C virus from an infected orthopedic surgeon to a patient. Journal of medical virology. 2002;66(4):461-7. </w:t>
      </w:r>
      <w:bookmarkEnd w:id="136"/>
    </w:p>
    <w:p w14:paraId="3042EA6D" w14:textId="77777777" w:rsidR="002F1BC7" w:rsidRPr="00F71DE4" w:rsidRDefault="002F1BC7" w:rsidP="002F1BC7">
      <w:pPr>
        <w:pStyle w:val="BodyText"/>
        <w:widowControl/>
        <w:spacing w:after="0" w:line="240" w:lineRule="atLeast"/>
        <w:rPr>
          <w:rFonts w:ascii="Calibri" w:hAnsi="Calibri" w:cs="Arial"/>
          <w:noProof/>
          <w:spacing w:val="0"/>
        </w:rPr>
      </w:pPr>
      <w:bookmarkStart w:id="137" w:name="_ENREF_49"/>
      <w:r w:rsidRPr="00F71DE4">
        <w:rPr>
          <w:rFonts w:ascii="Calibri" w:hAnsi="Calibri" w:cs="Arial"/>
          <w:noProof/>
          <w:spacing w:val="0"/>
        </w:rPr>
        <w:t>49.</w:t>
      </w:r>
      <w:r w:rsidRPr="00F71DE4">
        <w:rPr>
          <w:rFonts w:ascii="Calibri" w:hAnsi="Calibri" w:cs="Arial"/>
          <w:noProof/>
          <w:spacing w:val="0"/>
        </w:rPr>
        <w:tab/>
        <w:t xml:space="preserve">Stark K, Hänel M, Berg T, Schreier E. Nosocomial transmission of hepatitis C virus from an anesthesiologist to three patients–epidemiologic and molecular evidence. Archives of Virology. 2006;151(5):1025-30. </w:t>
      </w:r>
      <w:bookmarkEnd w:id="137"/>
    </w:p>
    <w:p w14:paraId="12281B56" w14:textId="77777777" w:rsidR="002F1BC7" w:rsidRPr="00F71DE4" w:rsidRDefault="002F1BC7" w:rsidP="002F1BC7">
      <w:pPr>
        <w:pStyle w:val="BodyText"/>
        <w:widowControl/>
        <w:spacing w:after="0" w:line="240" w:lineRule="atLeast"/>
        <w:rPr>
          <w:rFonts w:ascii="Calibri" w:hAnsi="Calibri" w:cs="Arial"/>
          <w:noProof/>
          <w:spacing w:val="0"/>
        </w:rPr>
      </w:pPr>
      <w:bookmarkStart w:id="138" w:name="_ENREF_50"/>
      <w:r w:rsidRPr="00F71DE4">
        <w:rPr>
          <w:rFonts w:ascii="Calibri" w:hAnsi="Calibri" w:cs="Arial"/>
          <w:noProof/>
          <w:spacing w:val="0"/>
        </w:rPr>
        <w:t>50.</w:t>
      </w:r>
      <w:r w:rsidRPr="00F71DE4">
        <w:rPr>
          <w:rFonts w:ascii="Calibri" w:hAnsi="Calibri" w:cs="Arial"/>
          <w:noProof/>
          <w:spacing w:val="0"/>
        </w:rPr>
        <w:tab/>
        <w:t xml:space="preserve">Shemer-Avni Y, Cohen M, Keren-Naus A, Sikuler E, Hanuka N, Yaari A, et al. Iatrogenic transmission of hepatitis C virus (HCV) by an anesthesiologist: comparative molecular analysis of the HCV-E1 and HCV-E2 hypervariable regions. Clinical Infectious Diseases. 2007;45(4):e32-e8. </w:t>
      </w:r>
      <w:bookmarkEnd w:id="138"/>
    </w:p>
    <w:p w14:paraId="27AD6D83" w14:textId="77777777" w:rsidR="002F1BC7" w:rsidRPr="00F71DE4" w:rsidRDefault="002F1BC7" w:rsidP="002F1BC7">
      <w:pPr>
        <w:pStyle w:val="BodyText"/>
        <w:widowControl/>
        <w:spacing w:after="0" w:line="240" w:lineRule="atLeast"/>
        <w:rPr>
          <w:rFonts w:ascii="Calibri" w:hAnsi="Calibri" w:cs="Arial"/>
          <w:noProof/>
          <w:spacing w:val="0"/>
        </w:rPr>
      </w:pPr>
      <w:bookmarkStart w:id="139" w:name="_ENREF_51"/>
      <w:r w:rsidRPr="00F71DE4">
        <w:rPr>
          <w:rFonts w:ascii="Calibri" w:hAnsi="Calibri" w:cs="Arial"/>
          <w:noProof/>
          <w:spacing w:val="0"/>
        </w:rPr>
        <w:t>51.</w:t>
      </w:r>
      <w:r w:rsidRPr="00F71DE4">
        <w:rPr>
          <w:rFonts w:ascii="Calibri" w:hAnsi="Calibri" w:cs="Arial"/>
          <w:noProof/>
          <w:spacing w:val="0"/>
        </w:rPr>
        <w:tab/>
        <w:t xml:space="preserve">Ross R, Steinbrückner B, Böhm S, Viazov S, Jilg W, Roggendorf M. Outcome of an exercise to notify patients treated by a general surgeon infected with the hepatitis C virus. Journal of Clinical Virology. 2008;41(4):314-7. </w:t>
      </w:r>
      <w:bookmarkEnd w:id="139"/>
    </w:p>
    <w:p w14:paraId="434F0811" w14:textId="77777777" w:rsidR="002F1BC7" w:rsidRPr="00F71DE4" w:rsidRDefault="002F1BC7" w:rsidP="002F1BC7">
      <w:pPr>
        <w:pStyle w:val="BodyText"/>
        <w:widowControl/>
        <w:spacing w:after="0" w:line="240" w:lineRule="atLeast"/>
        <w:rPr>
          <w:rFonts w:ascii="Calibri" w:hAnsi="Calibri" w:cs="Arial"/>
          <w:noProof/>
          <w:spacing w:val="0"/>
        </w:rPr>
      </w:pPr>
      <w:bookmarkStart w:id="140" w:name="_ENREF_52"/>
      <w:r w:rsidRPr="00F71DE4">
        <w:rPr>
          <w:rFonts w:ascii="Calibri" w:hAnsi="Calibri" w:cs="Arial"/>
          <w:noProof/>
          <w:spacing w:val="0"/>
        </w:rPr>
        <w:t>52.</w:t>
      </w:r>
      <w:r w:rsidRPr="00F71DE4">
        <w:rPr>
          <w:rFonts w:ascii="Calibri" w:hAnsi="Calibri" w:cs="Arial"/>
          <w:noProof/>
          <w:spacing w:val="0"/>
        </w:rPr>
        <w:tab/>
        <w:t xml:space="preserve">Olsen K, Dahl PE, Paulssen EJ, Husebekk A, Widell A, Busund R. Increased risk of transmission of hepatitis C in open heart surgery compared with vascular and pulmonary surgery. The Annals of thoracic surgery. 2010;90(5):1425-31. </w:t>
      </w:r>
      <w:bookmarkEnd w:id="140"/>
    </w:p>
    <w:p w14:paraId="49F546F9" w14:textId="77777777" w:rsidR="002F1BC7" w:rsidRPr="00F71DE4" w:rsidRDefault="002F1BC7" w:rsidP="002F1BC7">
      <w:pPr>
        <w:pStyle w:val="BodyText"/>
        <w:widowControl/>
        <w:spacing w:after="0" w:line="240" w:lineRule="atLeast"/>
        <w:rPr>
          <w:rFonts w:ascii="Calibri" w:hAnsi="Calibri" w:cs="Arial"/>
          <w:noProof/>
          <w:spacing w:val="0"/>
        </w:rPr>
      </w:pPr>
      <w:bookmarkStart w:id="141" w:name="_ENREF_53"/>
      <w:r w:rsidRPr="00F71DE4">
        <w:rPr>
          <w:rFonts w:ascii="Calibri" w:hAnsi="Calibri" w:cs="Arial"/>
          <w:noProof/>
          <w:spacing w:val="0"/>
        </w:rPr>
        <w:t>53.</w:t>
      </w:r>
      <w:r w:rsidRPr="00F71DE4">
        <w:rPr>
          <w:rFonts w:ascii="Calibri" w:hAnsi="Calibri" w:cs="Arial"/>
          <w:noProof/>
          <w:spacing w:val="0"/>
        </w:rPr>
        <w:tab/>
        <w:t>Lee K, editor. Outbreak of acute hepatitis C virus (HCV) infections of two different genotypes associated with an HCV-infected anesthetist. 43rd Annual Meeting; 2005: Idsa.</w:t>
      </w:r>
      <w:bookmarkEnd w:id="141"/>
    </w:p>
    <w:p w14:paraId="61B08D48" w14:textId="77777777" w:rsidR="002F1BC7" w:rsidRPr="00F71DE4" w:rsidRDefault="002F1BC7" w:rsidP="002F1BC7">
      <w:pPr>
        <w:pStyle w:val="BodyText"/>
        <w:widowControl/>
        <w:spacing w:after="0" w:line="240" w:lineRule="atLeast"/>
        <w:rPr>
          <w:rFonts w:ascii="Calibri" w:hAnsi="Calibri" w:cs="Arial"/>
          <w:noProof/>
          <w:spacing w:val="0"/>
        </w:rPr>
      </w:pPr>
      <w:bookmarkStart w:id="142" w:name="_ENREF_54"/>
      <w:r w:rsidRPr="00F71DE4">
        <w:rPr>
          <w:rFonts w:ascii="Calibri" w:hAnsi="Calibri" w:cs="Arial"/>
          <w:noProof/>
          <w:spacing w:val="0"/>
        </w:rPr>
        <w:t>54.</w:t>
      </w:r>
      <w:r w:rsidRPr="00F71DE4">
        <w:rPr>
          <w:rFonts w:ascii="Calibri" w:hAnsi="Calibri" w:cs="Arial"/>
          <w:noProof/>
          <w:spacing w:val="0"/>
        </w:rPr>
        <w:tab/>
        <w:t xml:space="preserve">UK Health Protection Agency. Nationally co-ordinated hepatitis C look-back: England and Scotland. . CDR Weekly. 2005;15(5). </w:t>
      </w:r>
      <w:bookmarkEnd w:id="142"/>
    </w:p>
    <w:p w14:paraId="4D28E04B" w14:textId="77777777" w:rsidR="002F1BC7" w:rsidRPr="00F71DE4" w:rsidRDefault="002F1BC7" w:rsidP="002F1BC7">
      <w:pPr>
        <w:pStyle w:val="BodyText"/>
        <w:widowControl/>
        <w:spacing w:after="0" w:line="240" w:lineRule="atLeast"/>
        <w:rPr>
          <w:rFonts w:ascii="Calibri" w:hAnsi="Calibri" w:cs="Arial"/>
          <w:noProof/>
          <w:spacing w:val="0"/>
        </w:rPr>
      </w:pPr>
      <w:bookmarkStart w:id="143" w:name="_ENREF_55"/>
      <w:r w:rsidRPr="00F71DE4">
        <w:rPr>
          <w:rFonts w:ascii="Calibri" w:hAnsi="Calibri" w:cs="Arial"/>
          <w:noProof/>
          <w:spacing w:val="0"/>
        </w:rPr>
        <w:t>55.</w:t>
      </w:r>
      <w:r w:rsidRPr="00F71DE4">
        <w:rPr>
          <w:rFonts w:ascii="Calibri" w:hAnsi="Calibri" w:cs="Arial"/>
          <w:noProof/>
          <w:spacing w:val="0"/>
        </w:rPr>
        <w:tab/>
        <w:t xml:space="preserve">Hellinger WC, Bacalis LP, Kay RS, Thompson ND, Xia G-L, Lin Y, et al. </w:t>
      </w:r>
      <w:r>
        <w:rPr>
          <w:rFonts w:ascii="Calibri" w:hAnsi="Calibri" w:cs="Arial"/>
          <w:noProof/>
          <w:spacing w:val="0"/>
        </w:rPr>
        <w:t>Healthcare</w:t>
      </w:r>
      <w:r w:rsidRPr="00F71DE4">
        <w:rPr>
          <w:rFonts w:ascii="Calibri" w:hAnsi="Calibri" w:cs="Arial"/>
          <w:noProof/>
          <w:spacing w:val="0"/>
        </w:rPr>
        <w:t xml:space="preserve">–associated hepatitis C virus infections attributed to narcotic diversion. Annals of Internal Medicine. 2012;156(7):477-82. </w:t>
      </w:r>
      <w:bookmarkEnd w:id="143"/>
    </w:p>
    <w:p w14:paraId="34316E9F" w14:textId="77777777" w:rsidR="002F1BC7" w:rsidRPr="00F71DE4" w:rsidRDefault="002F1BC7" w:rsidP="002F1BC7">
      <w:pPr>
        <w:pStyle w:val="BodyText"/>
        <w:widowControl/>
        <w:spacing w:after="0" w:line="240" w:lineRule="atLeast"/>
        <w:rPr>
          <w:rFonts w:ascii="Calibri" w:hAnsi="Calibri" w:cs="Arial"/>
          <w:noProof/>
          <w:spacing w:val="0"/>
        </w:rPr>
      </w:pPr>
      <w:bookmarkStart w:id="144" w:name="_ENREF_56"/>
      <w:r w:rsidRPr="00F71DE4">
        <w:rPr>
          <w:rFonts w:ascii="Calibri" w:hAnsi="Calibri" w:cs="Arial"/>
          <w:noProof/>
          <w:spacing w:val="0"/>
        </w:rPr>
        <w:t>56.</w:t>
      </w:r>
      <w:r w:rsidRPr="00F71DE4">
        <w:rPr>
          <w:rFonts w:ascii="Calibri" w:hAnsi="Calibri" w:cs="Arial"/>
          <w:noProof/>
          <w:spacing w:val="0"/>
        </w:rPr>
        <w:tab/>
        <w:t xml:space="preserve">Warner AE, Schaefer MK, Patel PR, Drobeniuc J, Xia G, Lin Y, et al. Outbreak of hepatitis C virus infection associated with narcotics diversion by an hepatitis C virus–infected surgical technician. American journal of infection control. 2015;43(1):53-8. </w:t>
      </w:r>
      <w:bookmarkEnd w:id="144"/>
    </w:p>
    <w:p w14:paraId="676D8747" w14:textId="77777777" w:rsidR="002F1BC7" w:rsidRPr="00F71DE4" w:rsidRDefault="002F1BC7" w:rsidP="002F1BC7">
      <w:pPr>
        <w:pStyle w:val="BodyText"/>
        <w:widowControl/>
        <w:spacing w:after="0" w:line="240" w:lineRule="atLeast"/>
        <w:rPr>
          <w:rFonts w:ascii="Calibri" w:hAnsi="Calibri" w:cs="Arial"/>
          <w:noProof/>
          <w:spacing w:val="0"/>
        </w:rPr>
      </w:pPr>
      <w:bookmarkStart w:id="145" w:name="_ENREF_57"/>
      <w:r w:rsidRPr="00F71DE4">
        <w:rPr>
          <w:rFonts w:ascii="Calibri" w:hAnsi="Calibri" w:cs="Arial"/>
          <w:noProof/>
          <w:spacing w:val="0"/>
        </w:rPr>
        <w:t>57.</w:t>
      </w:r>
      <w:r w:rsidRPr="00F71DE4">
        <w:rPr>
          <w:rFonts w:ascii="Calibri" w:hAnsi="Calibri" w:cs="Arial"/>
          <w:noProof/>
          <w:spacing w:val="0"/>
        </w:rPr>
        <w:tab/>
        <w:t xml:space="preserve">Roy K, Galmés-Truyols A, Giménez-Duran J, Anderson E, Prempeh H, González-Candelas F, et al. Epidemiology and molecular investigation of hepatitis C infection following holiday haemodialysis. Journal of Hospital Infection. 2012;82(3):158-63. </w:t>
      </w:r>
      <w:bookmarkEnd w:id="145"/>
    </w:p>
    <w:p w14:paraId="6FEB8D80" w14:textId="77777777" w:rsidR="002F1BC7" w:rsidRPr="00F71DE4" w:rsidRDefault="002F1BC7" w:rsidP="002F1BC7">
      <w:pPr>
        <w:pStyle w:val="BodyText"/>
        <w:widowControl/>
        <w:spacing w:after="0" w:line="240" w:lineRule="atLeast"/>
        <w:rPr>
          <w:rFonts w:ascii="Calibri" w:hAnsi="Calibri" w:cs="Arial"/>
          <w:noProof/>
          <w:spacing w:val="0"/>
        </w:rPr>
      </w:pPr>
      <w:bookmarkStart w:id="146" w:name="_ENREF_58"/>
      <w:r w:rsidRPr="00F71DE4">
        <w:rPr>
          <w:rFonts w:ascii="Calibri" w:hAnsi="Calibri" w:cs="Arial"/>
          <w:noProof/>
          <w:spacing w:val="0"/>
        </w:rPr>
        <w:t>58.</w:t>
      </w:r>
      <w:r w:rsidRPr="00F71DE4">
        <w:rPr>
          <w:rFonts w:ascii="Calibri" w:hAnsi="Calibri" w:cs="Arial"/>
          <w:noProof/>
          <w:spacing w:val="0"/>
        </w:rPr>
        <w:tab/>
        <w:t xml:space="preserve">New Hampshire Department of Health and Human Services. Hepatitis C outbreak investigation Exeter Hospital public report 2003. Available from: </w:t>
      </w:r>
      <w:r w:rsidRPr="00013F35">
        <w:rPr>
          <w:rFonts w:ascii="Calibri" w:hAnsi="Calibri" w:cs="Arial"/>
          <w:noProof/>
          <w:spacing w:val="0"/>
        </w:rPr>
        <w:t>http://www.dhhs.nh.gov/dphs/cdcs/hepatitisc/documents/hepc-outbreak-rpt.pdf</w:t>
      </w:r>
      <w:r w:rsidRPr="00F71DE4">
        <w:rPr>
          <w:rFonts w:ascii="Calibri" w:hAnsi="Calibri" w:cs="Arial"/>
          <w:noProof/>
          <w:spacing w:val="0"/>
        </w:rPr>
        <w:t xml:space="preserve"> (accessed 5 February 2016).</w:t>
      </w:r>
      <w:bookmarkEnd w:id="146"/>
    </w:p>
    <w:p w14:paraId="3AA0581E" w14:textId="77777777" w:rsidR="002F1BC7" w:rsidRPr="00F71DE4" w:rsidRDefault="002F1BC7" w:rsidP="002F1BC7">
      <w:pPr>
        <w:pStyle w:val="BodyText"/>
        <w:widowControl/>
        <w:spacing w:after="0" w:line="240" w:lineRule="atLeast"/>
        <w:rPr>
          <w:rFonts w:ascii="Calibri" w:hAnsi="Calibri" w:cs="Arial"/>
          <w:noProof/>
          <w:spacing w:val="0"/>
        </w:rPr>
      </w:pPr>
      <w:bookmarkStart w:id="147" w:name="_ENREF_59"/>
      <w:r w:rsidRPr="00F71DE4">
        <w:rPr>
          <w:rFonts w:ascii="Calibri" w:hAnsi="Calibri" w:cs="Arial"/>
          <w:noProof/>
          <w:spacing w:val="0"/>
        </w:rPr>
        <w:lastRenderedPageBreak/>
        <w:t>59.</w:t>
      </w:r>
      <w:r w:rsidRPr="00F71DE4">
        <w:rPr>
          <w:rFonts w:ascii="Calibri" w:hAnsi="Calibri" w:cs="Arial"/>
          <w:noProof/>
          <w:spacing w:val="0"/>
        </w:rPr>
        <w:tab/>
        <w:t xml:space="preserve">Esteban JI, Gómez J, Martell M, Cabot B, Quer J, Camps J, et al. Transmission of hepatitis C virus by a cardiac surgeon. New England Journal of Medicine. 1996;334(9):555-61. </w:t>
      </w:r>
      <w:bookmarkEnd w:id="147"/>
    </w:p>
    <w:p w14:paraId="3461510A" w14:textId="77777777" w:rsidR="002F1BC7" w:rsidRPr="00F71DE4" w:rsidRDefault="002F1BC7" w:rsidP="002F1BC7">
      <w:pPr>
        <w:pStyle w:val="BodyText"/>
        <w:widowControl/>
        <w:spacing w:after="0" w:line="240" w:lineRule="atLeast"/>
        <w:rPr>
          <w:rFonts w:ascii="Calibri" w:hAnsi="Calibri" w:cs="Arial"/>
          <w:noProof/>
          <w:spacing w:val="0"/>
        </w:rPr>
      </w:pPr>
      <w:bookmarkStart w:id="148" w:name="_ENREF_60"/>
      <w:r w:rsidRPr="00F71DE4">
        <w:rPr>
          <w:rFonts w:ascii="Calibri" w:hAnsi="Calibri" w:cs="Arial"/>
          <w:noProof/>
          <w:spacing w:val="0"/>
        </w:rPr>
        <w:t>60.</w:t>
      </w:r>
      <w:r w:rsidRPr="00F71DE4">
        <w:rPr>
          <w:rFonts w:ascii="Calibri" w:hAnsi="Calibri" w:cs="Arial"/>
          <w:noProof/>
          <w:spacing w:val="0"/>
        </w:rPr>
        <w:tab/>
        <w:t xml:space="preserve">Lot F, Delarocque-Astagneau E, Thiers V, Bernet C, Rimlinger F, Desenclos J-C, et al. Hepatitis C virus transmission from a healthcare worker to a patient. Infection Control and Hospital Epidemiology. 2007;28(2):227-9. </w:t>
      </w:r>
      <w:bookmarkEnd w:id="148"/>
    </w:p>
    <w:p w14:paraId="146EB3D1" w14:textId="77777777" w:rsidR="002F1BC7" w:rsidRPr="00F71DE4" w:rsidRDefault="002F1BC7" w:rsidP="002F1BC7">
      <w:pPr>
        <w:pStyle w:val="BodyText"/>
        <w:widowControl/>
        <w:spacing w:after="0" w:line="240" w:lineRule="atLeast"/>
        <w:rPr>
          <w:rFonts w:ascii="Calibri" w:hAnsi="Calibri" w:cs="Arial"/>
          <w:noProof/>
          <w:spacing w:val="0"/>
        </w:rPr>
      </w:pPr>
      <w:bookmarkStart w:id="149" w:name="_ENREF_61"/>
      <w:r w:rsidRPr="00F71DE4">
        <w:rPr>
          <w:rFonts w:ascii="Calibri" w:hAnsi="Calibri" w:cs="Arial"/>
          <w:noProof/>
          <w:spacing w:val="0"/>
        </w:rPr>
        <w:t>61.</w:t>
      </w:r>
      <w:r w:rsidRPr="00F71DE4">
        <w:rPr>
          <w:rFonts w:ascii="Calibri" w:hAnsi="Calibri" w:cs="Arial"/>
          <w:noProof/>
          <w:spacing w:val="0"/>
        </w:rPr>
        <w:tab/>
        <w:t xml:space="preserve">Brown P. Surgeon infects patient with hepatitis C. BMJ: British Medical Journal. 1999;319(7219):1219. </w:t>
      </w:r>
      <w:bookmarkEnd w:id="149"/>
    </w:p>
    <w:p w14:paraId="75F521D4" w14:textId="77777777" w:rsidR="002F1BC7" w:rsidRPr="00F71DE4" w:rsidRDefault="002F1BC7" w:rsidP="002F1BC7">
      <w:pPr>
        <w:pStyle w:val="BodyText"/>
        <w:widowControl/>
        <w:spacing w:after="0" w:line="240" w:lineRule="atLeast"/>
        <w:rPr>
          <w:rFonts w:ascii="Calibri" w:hAnsi="Calibri" w:cs="Arial"/>
          <w:noProof/>
          <w:spacing w:val="0"/>
        </w:rPr>
      </w:pPr>
      <w:bookmarkStart w:id="150" w:name="_ENREF_62"/>
      <w:r w:rsidRPr="00F71DE4">
        <w:rPr>
          <w:rFonts w:ascii="Calibri" w:hAnsi="Calibri" w:cs="Arial"/>
          <w:noProof/>
          <w:spacing w:val="0"/>
        </w:rPr>
        <w:t>62.</w:t>
      </w:r>
      <w:r w:rsidRPr="00F71DE4">
        <w:rPr>
          <w:rFonts w:ascii="Calibri" w:hAnsi="Calibri" w:cs="Arial"/>
          <w:noProof/>
          <w:spacing w:val="0"/>
        </w:rPr>
        <w:tab/>
        <w:t xml:space="preserve">Transmission of hepatitis C virus from surgeon to patient prompts lookback. Commun Dis Rep CDR Wkly. 1999;9:387. </w:t>
      </w:r>
      <w:bookmarkEnd w:id="150"/>
    </w:p>
    <w:p w14:paraId="581FB81A" w14:textId="77777777" w:rsidR="002F1BC7" w:rsidRPr="00F71DE4" w:rsidRDefault="002F1BC7" w:rsidP="002F1BC7">
      <w:pPr>
        <w:pStyle w:val="BodyText"/>
        <w:widowControl/>
        <w:spacing w:after="0" w:line="240" w:lineRule="atLeast"/>
        <w:rPr>
          <w:rFonts w:ascii="Calibri" w:hAnsi="Calibri" w:cs="Arial"/>
          <w:noProof/>
          <w:spacing w:val="0"/>
        </w:rPr>
      </w:pPr>
      <w:bookmarkStart w:id="151" w:name="_ENREF_63"/>
      <w:r w:rsidRPr="00F71DE4">
        <w:rPr>
          <w:rFonts w:ascii="Calibri" w:hAnsi="Calibri" w:cs="Arial"/>
          <w:noProof/>
          <w:spacing w:val="0"/>
        </w:rPr>
        <w:t>63.</w:t>
      </w:r>
      <w:r w:rsidRPr="00F71DE4">
        <w:rPr>
          <w:rFonts w:ascii="Calibri" w:hAnsi="Calibri" w:cs="Arial"/>
          <w:noProof/>
          <w:spacing w:val="0"/>
        </w:rPr>
        <w:tab/>
        <w:t xml:space="preserve">Two hepatitis C lookback exercises - national and in London. Commun Dis Rep CDR Wkly  2000;10(14):128-8. </w:t>
      </w:r>
      <w:bookmarkEnd w:id="151"/>
    </w:p>
    <w:p w14:paraId="53E6A179" w14:textId="77777777" w:rsidR="002F1BC7" w:rsidRPr="00F71DE4" w:rsidRDefault="002F1BC7" w:rsidP="002F1BC7">
      <w:pPr>
        <w:pStyle w:val="BodyText"/>
        <w:widowControl/>
        <w:spacing w:after="0" w:line="240" w:lineRule="atLeast"/>
        <w:rPr>
          <w:rFonts w:ascii="Calibri" w:hAnsi="Calibri" w:cs="Arial"/>
          <w:noProof/>
          <w:spacing w:val="0"/>
        </w:rPr>
      </w:pPr>
      <w:bookmarkStart w:id="152" w:name="_ENREF_64"/>
      <w:r w:rsidRPr="00F71DE4">
        <w:rPr>
          <w:rFonts w:ascii="Calibri" w:hAnsi="Calibri" w:cs="Arial"/>
          <w:noProof/>
          <w:spacing w:val="0"/>
        </w:rPr>
        <w:t>64.</w:t>
      </w:r>
      <w:r w:rsidRPr="00F71DE4">
        <w:rPr>
          <w:rFonts w:ascii="Calibri" w:hAnsi="Calibri" w:cs="Arial"/>
          <w:noProof/>
          <w:spacing w:val="0"/>
        </w:rPr>
        <w:tab/>
        <w:t xml:space="preserve">Hepatitis C lookback exercise. Commun Dis Rep CDR Wkly Commun Dis Rep CDR Wkly. 2000;10(23):203-6. </w:t>
      </w:r>
      <w:bookmarkEnd w:id="152"/>
    </w:p>
    <w:p w14:paraId="51CD8B9A" w14:textId="77777777" w:rsidR="002F1BC7" w:rsidRPr="00F71DE4" w:rsidRDefault="002F1BC7" w:rsidP="002F1BC7">
      <w:pPr>
        <w:pStyle w:val="BodyText"/>
        <w:widowControl/>
        <w:spacing w:after="0" w:line="240" w:lineRule="atLeast"/>
        <w:rPr>
          <w:rFonts w:ascii="Calibri" w:hAnsi="Calibri" w:cs="Arial"/>
          <w:noProof/>
          <w:spacing w:val="0"/>
        </w:rPr>
      </w:pPr>
      <w:bookmarkStart w:id="153" w:name="_ENREF_65"/>
      <w:r w:rsidRPr="00F71DE4">
        <w:rPr>
          <w:rFonts w:ascii="Calibri" w:hAnsi="Calibri" w:cs="Arial"/>
          <w:noProof/>
          <w:spacing w:val="0"/>
        </w:rPr>
        <w:t>65.</w:t>
      </w:r>
      <w:r w:rsidRPr="00F71DE4">
        <w:rPr>
          <w:rFonts w:ascii="Calibri" w:hAnsi="Calibri" w:cs="Arial"/>
          <w:noProof/>
          <w:spacing w:val="0"/>
        </w:rPr>
        <w:tab/>
        <w:t xml:space="preserve">Williams I, Perz J, Bell B. Viral hepatitis transmission in ambulatory </w:t>
      </w:r>
      <w:r>
        <w:rPr>
          <w:rFonts w:ascii="Calibri" w:hAnsi="Calibri" w:cs="Arial"/>
          <w:noProof/>
          <w:spacing w:val="0"/>
        </w:rPr>
        <w:t>healthcare</w:t>
      </w:r>
      <w:r w:rsidRPr="00F71DE4">
        <w:rPr>
          <w:rFonts w:ascii="Calibri" w:hAnsi="Calibri" w:cs="Arial"/>
          <w:noProof/>
          <w:spacing w:val="0"/>
        </w:rPr>
        <w:t xml:space="preserve"> settings. Clinical infectious diseases. 2004;38(11):1592-8. </w:t>
      </w:r>
      <w:bookmarkEnd w:id="153"/>
    </w:p>
    <w:p w14:paraId="55717B52" w14:textId="77777777" w:rsidR="002F1BC7" w:rsidRPr="00F71DE4" w:rsidRDefault="002F1BC7" w:rsidP="002F1BC7">
      <w:pPr>
        <w:pStyle w:val="BodyText"/>
        <w:widowControl/>
        <w:spacing w:after="0" w:line="240" w:lineRule="atLeast"/>
        <w:rPr>
          <w:rFonts w:ascii="Calibri" w:hAnsi="Calibri" w:cs="Arial"/>
          <w:noProof/>
          <w:spacing w:val="0"/>
        </w:rPr>
      </w:pPr>
      <w:bookmarkStart w:id="154" w:name="_ENREF_66"/>
      <w:r w:rsidRPr="00F71DE4">
        <w:rPr>
          <w:rFonts w:ascii="Calibri" w:hAnsi="Calibri" w:cs="Arial"/>
          <w:noProof/>
          <w:spacing w:val="0"/>
        </w:rPr>
        <w:t>66.</w:t>
      </w:r>
      <w:r w:rsidRPr="00F71DE4">
        <w:rPr>
          <w:rFonts w:ascii="Calibri" w:hAnsi="Calibri" w:cs="Arial"/>
          <w:noProof/>
          <w:spacing w:val="0"/>
        </w:rPr>
        <w:tab/>
        <w:t xml:space="preserve">UK Communicable Disease Surveillance Centre. Hepatitis C lookback in two Trusts in the south of England. CDR Weekly. 2001;11(21). </w:t>
      </w:r>
      <w:bookmarkEnd w:id="154"/>
    </w:p>
    <w:p w14:paraId="7D94D399" w14:textId="77777777" w:rsidR="002F1BC7" w:rsidRPr="00F71DE4" w:rsidRDefault="002F1BC7" w:rsidP="002F1BC7">
      <w:pPr>
        <w:pStyle w:val="BodyText"/>
        <w:widowControl/>
        <w:spacing w:after="0" w:line="240" w:lineRule="atLeast"/>
        <w:rPr>
          <w:rFonts w:ascii="Calibri" w:hAnsi="Calibri" w:cs="Arial"/>
          <w:noProof/>
          <w:spacing w:val="0"/>
        </w:rPr>
      </w:pPr>
      <w:bookmarkStart w:id="155" w:name="_ENREF_67"/>
      <w:r w:rsidRPr="00F71DE4">
        <w:rPr>
          <w:rFonts w:ascii="Calibri" w:hAnsi="Calibri" w:cs="Arial"/>
          <w:noProof/>
          <w:spacing w:val="0"/>
        </w:rPr>
        <w:t>67.</w:t>
      </w:r>
      <w:r w:rsidRPr="00F71DE4">
        <w:rPr>
          <w:rFonts w:ascii="Calibri" w:hAnsi="Calibri" w:cs="Arial"/>
          <w:noProof/>
          <w:spacing w:val="0"/>
        </w:rPr>
        <w:tab/>
        <w:t xml:space="preserve">Bosch X. Hepatitis C outbreak astounds Spain. The Lancet. 1998;351:1415. </w:t>
      </w:r>
      <w:bookmarkEnd w:id="155"/>
    </w:p>
    <w:p w14:paraId="51869A7A" w14:textId="77777777" w:rsidR="002F1BC7" w:rsidRPr="00F71DE4" w:rsidRDefault="002F1BC7" w:rsidP="002F1BC7">
      <w:pPr>
        <w:pStyle w:val="BodyText"/>
        <w:widowControl/>
        <w:spacing w:after="0" w:line="240" w:lineRule="atLeast"/>
        <w:rPr>
          <w:rFonts w:ascii="Calibri" w:hAnsi="Calibri" w:cs="Arial"/>
          <w:noProof/>
          <w:spacing w:val="0"/>
        </w:rPr>
      </w:pPr>
      <w:bookmarkStart w:id="156" w:name="_ENREF_68"/>
      <w:r w:rsidRPr="00F71DE4">
        <w:rPr>
          <w:rFonts w:ascii="Calibri" w:hAnsi="Calibri" w:cs="Arial"/>
          <w:noProof/>
          <w:spacing w:val="0"/>
        </w:rPr>
        <w:t>68.</w:t>
      </w:r>
      <w:r w:rsidRPr="00F71DE4">
        <w:rPr>
          <w:rFonts w:ascii="Calibri" w:hAnsi="Calibri" w:cs="Arial"/>
          <w:noProof/>
          <w:spacing w:val="0"/>
        </w:rPr>
        <w:tab/>
        <w:t xml:space="preserve">Bosch X. Newspaper apportions blame in Spanish hepatitis C scandal. The Lancet. 2000;355. </w:t>
      </w:r>
      <w:bookmarkEnd w:id="156"/>
    </w:p>
    <w:p w14:paraId="33E12AF0" w14:textId="77777777" w:rsidR="002F1BC7" w:rsidRPr="00F71DE4" w:rsidRDefault="002F1BC7" w:rsidP="002F1BC7">
      <w:pPr>
        <w:pStyle w:val="BodyText"/>
        <w:widowControl/>
        <w:spacing w:after="0" w:line="240" w:lineRule="atLeast"/>
        <w:rPr>
          <w:rFonts w:ascii="Calibri" w:hAnsi="Calibri" w:cs="Arial"/>
          <w:noProof/>
          <w:spacing w:val="0"/>
        </w:rPr>
      </w:pPr>
      <w:bookmarkStart w:id="157" w:name="_ENREF_69"/>
      <w:r w:rsidRPr="00F71DE4">
        <w:rPr>
          <w:rFonts w:ascii="Calibri" w:hAnsi="Calibri" w:cs="Arial"/>
          <w:noProof/>
          <w:spacing w:val="0"/>
        </w:rPr>
        <w:t>69.</w:t>
      </w:r>
      <w:r w:rsidRPr="00F71DE4">
        <w:rPr>
          <w:rFonts w:ascii="Calibri" w:hAnsi="Calibri" w:cs="Arial"/>
          <w:noProof/>
          <w:spacing w:val="0"/>
        </w:rPr>
        <w:tab/>
        <w:t xml:space="preserve">Roche W. Nurse accused of spreading hepatitis C at a military hospital. Los Angeles Times. 2008. </w:t>
      </w:r>
      <w:bookmarkEnd w:id="157"/>
    </w:p>
    <w:p w14:paraId="60391340" w14:textId="77777777" w:rsidR="002F1BC7" w:rsidRPr="00F71DE4" w:rsidRDefault="002F1BC7" w:rsidP="002F1BC7">
      <w:pPr>
        <w:pStyle w:val="BodyText"/>
        <w:widowControl/>
        <w:spacing w:after="0" w:line="240" w:lineRule="atLeast"/>
        <w:rPr>
          <w:rFonts w:ascii="Calibri" w:hAnsi="Calibri" w:cs="Arial"/>
          <w:noProof/>
          <w:spacing w:val="0"/>
        </w:rPr>
      </w:pPr>
      <w:bookmarkStart w:id="158" w:name="_ENREF_70"/>
      <w:r w:rsidRPr="00F71DE4">
        <w:rPr>
          <w:rFonts w:ascii="Calibri" w:hAnsi="Calibri" w:cs="Arial"/>
          <w:noProof/>
          <w:spacing w:val="0"/>
        </w:rPr>
        <w:t>70.</w:t>
      </w:r>
      <w:r w:rsidRPr="00F71DE4">
        <w:rPr>
          <w:rFonts w:ascii="Calibri" w:hAnsi="Calibri" w:cs="Arial"/>
          <w:noProof/>
          <w:spacing w:val="0"/>
        </w:rPr>
        <w:tab/>
        <w:t xml:space="preserve">Hepatitis C Virus Infection Consensus Statement Working Group. Australian recommendations for the management of hepatitis C virus infection: a consensus statement 2016. Melbourne: Gastroenterological Society of Australia. 2016. </w:t>
      </w:r>
      <w:bookmarkEnd w:id="158"/>
    </w:p>
    <w:p w14:paraId="08A464D5" w14:textId="77777777" w:rsidR="002F1BC7" w:rsidRPr="00F71DE4" w:rsidRDefault="002F1BC7" w:rsidP="002F1BC7">
      <w:pPr>
        <w:pStyle w:val="BodyText"/>
        <w:widowControl/>
        <w:spacing w:after="0" w:line="240" w:lineRule="atLeast"/>
        <w:rPr>
          <w:rFonts w:ascii="Calibri" w:hAnsi="Calibri" w:cs="Arial"/>
          <w:noProof/>
          <w:spacing w:val="0"/>
        </w:rPr>
      </w:pPr>
      <w:bookmarkStart w:id="159" w:name="_ENREF_71"/>
      <w:r w:rsidRPr="00F71DE4">
        <w:rPr>
          <w:rFonts w:ascii="Calibri" w:hAnsi="Calibri" w:cs="Arial"/>
          <w:noProof/>
          <w:spacing w:val="0"/>
        </w:rPr>
        <w:t>71.</w:t>
      </w:r>
      <w:r w:rsidRPr="00F71DE4">
        <w:rPr>
          <w:rFonts w:ascii="Calibri" w:hAnsi="Calibri" w:cs="Arial"/>
          <w:noProof/>
          <w:spacing w:val="0"/>
        </w:rPr>
        <w:tab/>
        <w:t xml:space="preserve">Public Health England. The Management of HIV-infected Healthcare Workers who perform exposure prone procedures: updated guidance, January 2014 2014. Available from: </w:t>
      </w:r>
      <w:r w:rsidRPr="00013F35">
        <w:rPr>
          <w:rFonts w:ascii="Calibri" w:hAnsi="Calibri" w:cs="Arial"/>
          <w:noProof/>
          <w:spacing w:val="0"/>
        </w:rPr>
        <w:t>http://www.hpa.org.uk/webc/HPAwebFile/HPAweb_C/1317140704390</w:t>
      </w:r>
      <w:r w:rsidRPr="00F71DE4">
        <w:rPr>
          <w:rFonts w:ascii="Calibri" w:hAnsi="Calibri" w:cs="Arial"/>
          <w:noProof/>
          <w:spacing w:val="0"/>
        </w:rPr>
        <w:t xml:space="preserve"> (accessed April 2014).</w:t>
      </w:r>
      <w:bookmarkEnd w:id="159"/>
    </w:p>
    <w:p w14:paraId="25BCE60B" w14:textId="77777777" w:rsidR="002F1BC7" w:rsidRPr="00F71DE4" w:rsidRDefault="002F1BC7" w:rsidP="002F1BC7">
      <w:pPr>
        <w:pStyle w:val="BodyText"/>
        <w:widowControl/>
        <w:spacing w:after="0" w:line="240" w:lineRule="atLeast"/>
        <w:rPr>
          <w:rFonts w:ascii="Calibri" w:hAnsi="Calibri" w:cs="Arial"/>
          <w:noProof/>
          <w:spacing w:val="0"/>
        </w:rPr>
      </w:pPr>
      <w:bookmarkStart w:id="160" w:name="_ENREF_72"/>
      <w:r w:rsidRPr="00F71DE4">
        <w:rPr>
          <w:rFonts w:ascii="Calibri" w:hAnsi="Calibri" w:cs="Arial"/>
          <w:noProof/>
          <w:spacing w:val="0"/>
        </w:rPr>
        <w:t>72.</w:t>
      </w:r>
      <w:r w:rsidRPr="00F71DE4">
        <w:rPr>
          <w:rFonts w:ascii="Calibri" w:hAnsi="Calibri" w:cs="Arial"/>
          <w:noProof/>
          <w:spacing w:val="0"/>
        </w:rPr>
        <w:tab/>
        <w:t xml:space="preserve">Ciesielski C, Marianos D, Ou C-Y, Dumbaugh R, Witte J, Berkelman R, et al. Transmission of human immunodeficiency virus in a dental practice. Annals of Internal Medicine. 1992;116(10):798-805. </w:t>
      </w:r>
      <w:bookmarkEnd w:id="160"/>
    </w:p>
    <w:p w14:paraId="5AD20358" w14:textId="77777777" w:rsidR="002F1BC7" w:rsidRPr="00F71DE4" w:rsidRDefault="002F1BC7" w:rsidP="002F1BC7">
      <w:pPr>
        <w:pStyle w:val="BodyText"/>
        <w:widowControl/>
        <w:spacing w:after="0" w:line="240" w:lineRule="atLeast"/>
        <w:rPr>
          <w:rFonts w:ascii="Calibri" w:hAnsi="Calibri" w:cs="Arial"/>
          <w:noProof/>
          <w:spacing w:val="0"/>
        </w:rPr>
      </w:pPr>
      <w:bookmarkStart w:id="161" w:name="_ENREF_73"/>
      <w:r w:rsidRPr="00F71DE4">
        <w:rPr>
          <w:rFonts w:ascii="Calibri" w:hAnsi="Calibri" w:cs="Arial"/>
          <w:noProof/>
          <w:spacing w:val="0"/>
        </w:rPr>
        <w:t>73.</w:t>
      </w:r>
      <w:r w:rsidRPr="00F71DE4">
        <w:rPr>
          <w:rFonts w:ascii="Calibri" w:hAnsi="Calibri" w:cs="Arial"/>
          <w:noProof/>
          <w:spacing w:val="0"/>
        </w:rPr>
        <w:tab/>
        <w:t xml:space="preserve">Lot F, Séguier J-C, Fégueux S, Astagneau P, Simon P, Aggoune M, et al. Probable transmission of HIV from an orthopedic surgeon to a patient in France. Annals of Internal Medicine. 1999;130(1):1-6. </w:t>
      </w:r>
      <w:bookmarkEnd w:id="161"/>
    </w:p>
    <w:p w14:paraId="45D72E85" w14:textId="77777777" w:rsidR="002F1BC7" w:rsidRPr="00F71DE4" w:rsidRDefault="002F1BC7" w:rsidP="002F1BC7">
      <w:pPr>
        <w:pStyle w:val="BodyText"/>
        <w:widowControl/>
        <w:spacing w:after="0" w:line="240" w:lineRule="atLeast"/>
        <w:rPr>
          <w:rFonts w:ascii="Calibri" w:hAnsi="Calibri" w:cs="Arial"/>
          <w:noProof/>
          <w:spacing w:val="0"/>
        </w:rPr>
      </w:pPr>
      <w:bookmarkStart w:id="162" w:name="_ENREF_74"/>
      <w:r w:rsidRPr="00F71DE4">
        <w:rPr>
          <w:rFonts w:ascii="Calibri" w:hAnsi="Calibri" w:cs="Arial"/>
          <w:noProof/>
          <w:spacing w:val="0"/>
        </w:rPr>
        <w:t>74.</w:t>
      </w:r>
      <w:r w:rsidRPr="00F71DE4">
        <w:rPr>
          <w:rFonts w:ascii="Calibri" w:hAnsi="Calibri" w:cs="Arial"/>
          <w:noProof/>
          <w:spacing w:val="0"/>
        </w:rPr>
        <w:tab/>
        <w:t xml:space="preserve">Mallolas J, Gatell JM, Bruguera M. Transmission of HIV-1 from an obstetrician to a patient during a caesarean section. AIDS. 2006;20(13):1785. </w:t>
      </w:r>
      <w:bookmarkEnd w:id="162"/>
    </w:p>
    <w:p w14:paraId="6B207F34" w14:textId="77777777" w:rsidR="002F1BC7" w:rsidRPr="00F71DE4" w:rsidRDefault="002F1BC7" w:rsidP="002F1BC7">
      <w:pPr>
        <w:pStyle w:val="BodyText"/>
        <w:widowControl/>
        <w:spacing w:after="0" w:line="240" w:lineRule="atLeast"/>
        <w:rPr>
          <w:rFonts w:ascii="Calibri" w:hAnsi="Calibri" w:cs="Arial"/>
          <w:noProof/>
          <w:spacing w:val="0"/>
        </w:rPr>
      </w:pPr>
      <w:bookmarkStart w:id="163" w:name="_ENREF_75"/>
      <w:r w:rsidRPr="00F71DE4">
        <w:rPr>
          <w:rFonts w:ascii="Calibri" w:hAnsi="Calibri" w:cs="Arial"/>
          <w:noProof/>
          <w:spacing w:val="0"/>
        </w:rPr>
        <w:t>75.</w:t>
      </w:r>
      <w:r w:rsidRPr="00F71DE4">
        <w:rPr>
          <w:rFonts w:ascii="Calibri" w:hAnsi="Calibri" w:cs="Arial"/>
          <w:noProof/>
          <w:spacing w:val="0"/>
        </w:rPr>
        <w:tab/>
        <w:t>The Expert Advisory Group on HIV and AIDS tAGoH, The UK Advisory Panel for Healthcare Workers Infected with Bloodborne Viruses,. The Report of the Tripartite Working Group, Management of HIV-infected Healthcare Workers 2011. Available from: https://</w:t>
      </w:r>
      <w:r w:rsidRPr="00013F35">
        <w:rPr>
          <w:rFonts w:ascii="Calibri" w:hAnsi="Calibri" w:cs="Arial"/>
          <w:noProof/>
          <w:spacing w:val="0"/>
        </w:rPr>
        <w:t>www.gov.uk/government/uploads/system/uploads/attachment_data/file/216126/dh_131574.pdf</w:t>
      </w:r>
      <w:r w:rsidRPr="00F71DE4">
        <w:rPr>
          <w:rFonts w:ascii="Calibri" w:hAnsi="Calibri" w:cs="Arial"/>
          <w:noProof/>
          <w:spacing w:val="0"/>
        </w:rPr>
        <w:t xml:space="preserve"> (accessed July 2015).</w:t>
      </w:r>
      <w:bookmarkEnd w:id="163"/>
    </w:p>
    <w:p w14:paraId="58BCD464" w14:textId="77777777" w:rsidR="002F1BC7" w:rsidRPr="00F71DE4" w:rsidRDefault="002F1BC7" w:rsidP="002F1BC7">
      <w:pPr>
        <w:pStyle w:val="BodyText"/>
        <w:widowControl/>
        <w:spacing w:after="0" w:line="240" w:lineRule="atLeast"/>
        <w:rPr>
          <w:rFonts w:ascii="Calibri" w:hAnsi="Calibri" w:cs="Arial"/>
          <w:noProof/>
          <w:spacing w:val="0"/>
        </w:rPr>
      </w:pPr>
      <w:bookmarkStart w:id="164" w:name="_ENREF_76"/>
      <w:r w:rsidRPr="00F71DE4">
        <w:rPr>
          <w:rFonts w:ascii="Calibri" w:hAnsi="Calibri" w:cs="Arial"/>
          <w:noProof/>
          <w:spacing w:val="0"/>
        </w:rPr>
        <w:t>76.</w:t>
      </w:r>
      <w:r w:rsidRPr="00F71DE4">
        <w:rPr>
          <w:rFonts w:ascii="Calibri" w:hAnsi="Calibri" w:cs="Arial"/>
          <w:noProof/>
          <w:spacing w:val="0"/>
        </w:rPr>
        <w:tab/>
        <w:t xml:space="preserve">Department of Health/Health Protection Division/General Health Protection. HIV-infected </w:t>
      </w:r>
      <w:r>
        <w:rPr>
          <w:rFonts w:ascii="Calibri" w:hAnsi="Calibri" w:cs="Arial"/>
          <w:noProof/>
          <w:spacing w:val="0"/>
        </w:rPr>
        <w:t>Healthcare</w:t>
      </w:r>
      <w:r w:rsidRPr="00F71DE4">
        <w:rPr>
          <w:rFonts w:ascii="Calibri" w:hAnsi="Calibri" w:cs="Arial"/>
          <w:noProof/>
          <w:spacing w:val="0"/>
        </w:rPr>
        <w:t xml:space="preserve"> Workers: Guidance on management and patient notification. London2005. Available from: </w:t>
      </w:r>
      <w:r w:rsidRPr="00013F35">
        <w:rPr>
          <w:rFonts w:ascii="Calibri" w:hAnsi="Calibri" w:cs="Arial"/>
          <w:noProof/>
          <w:spacing w:val="0"/>
        </w:rPr>
        <w:t>http://webarchive.nationalarchives.gov.uk/20130107105354/http:/www.dh.gov.uk/prod_c</w:t>
      </w:r>
      <w:r w:rsidRPr="00013F35">
        <w:rPr>
          <w:rFonts w:ascii="Calibri" w:hAnsi="Calibri" w:cs="Arial"/>
          <w:noProof/>
          <w:spacing w:val="0"/>
        </w:rPr>
        <w:lastRenderedPageBreak/>
        <w:t>onsum_dh/groups/dh_digitalassets/@dh/@en/documents/digitalasset/dh_4116416.pdf</w:t>
      </w:r>
      <w:r w:rsidRPr="00F71DE4">
        <w:rPr>
          <w:rFonts w:ascii="Calibri" w:hAnsi="Calibri" w:cs="Arial"/>
          <w:noProof/>
          <w:spacing w:val="0"/>
        </w:rPr>
        <w:t xml:space="preserve"> (accessed July 2015).</w:t>
      </w:r>
      <w:bookmarkEnd w:id="164"/>
    </w:p>
    <w:p w14:paraId="5F2CECBF" w14:textId="77777777" w:rsidR="002F1BC7" w:rsidRPr="00F71DE4" w:rsidRDefault="002F1BC7" w:rsidP="002F1BC7">
      <w:pPr>
        <w:pStyle w:val="BodyText"/>
        <w:widowControl/>
        <w:spacing w:after="0" w:line="240" w:lineRule="atLeast"/>
        <w:rPr>
          <w:rFonts w:ascii="Calibri" w:hAnsi="Calibri" w:cs="Arial"/>
          <w:noProof/>
          <w:spacing w:val="0"/>
        </w:rPr>
      </w:pPr>
      <w:bookmarkStart w:id="165" w:name="_ENREF_77"/>
      <w:r w:rsidRPr="00F71DE4">
        <w:rPr>
          <w:rFonts w:ascii="Calibri" w:hAnsi="Calibri" w:cs="Arial"/>
          <w:noProof/>
          <w:spacing w:val="0"/>
        </w:rPr>
        <w:t>77.</w:t>
      </w:r>
      <w:r w:rsidRPr="00F71DE4">
        <w:rPr>
          <w:rFonts w:ascii="Calibri" w:hAnsi="Calibri" w:cs="Arial"/>
          <w:noProof/>
          <w:spacing w:val="0"/>
        </w:rPr>
        <w:tab/>
        <w:t xml:space="preserve">Robert LM, Chamberland ME, Cleveland JL, Marcus R, Gooch BF, Srivastava PU, et al. Investigations of patients of </w:t>
      </w:r>
      <w:r>
        <w:rPr>
          <w:rFonts w:ascii="Calibri" w:hAnsi="Calibri" w:cs="Arial"/>
          <w:noProof/>
          <w:spacing w:val="0"/>
        </w:rPr>
        <w:t>healthcare</w:t>
      </w:r>
      <w:r w:rsidRPr="00F71DE4">
        <w:rPr>
          <w:rFonts w:ascii="Calibri" w:hAnsi="Calibri" w:cs="Arial"/>
          <w:noProof/>
          <w:spacing w:val="0"/>
        </w:rPr>
        <w:t xml:space="preserve"> workers infected with HIV: the Centers for Disease Control and Prevention database. Annals of Internal Medicine. 1995;122(9):653-7. </w:t>
      </w:r>
      <w:bookmarkEnd w:id="165"/>
    </w:p>
    <w:p w14:paraId="59835538" w14:textId="77777777" w:rsidR="002F1BC7" w:rsidRPr="00F71DE4" w:rsidRDefault="002F1BC7" w:rsidP="002F1BC7">
      <w:pPr>
        <w:pStyle w:val="BodyText"/>
        <w:widowControl/>
        <w:spacing w:after="0" w:line="240" w:lineRule="atLeast"/>
        <w:rPr>
          <w:rFonts w:ascii="Calibri" w:hAnsi="Calibri" w:cs="Arial"/>
          <w:noProof/>
          <w:spacing w:val="0"/>
        </w:rPr>
      </w:pPr>
      <w:bookmarkStart w:id="166" w:name="_ENREF_78"/>
      <w:r w:rsidRPr="00F71DE4">
        <w:rPr>
          <w:rFonts w:ascii="Calibri" w:hAnsi="Calibri" w:cs="Arial"/>
          <w:noProof/>
          <w:spacing w:val="0"/>
        </w:rPr>
        <w:t>78.</w:t>
      </w:r>
      <w:r w:rsidRPr="00F71DE4">
        <w:rPr>
          <w:rFonts w:ascii="Calibri" w:hAnsi="Calibri" w:cs="Arial"/>
          <w:noProof/>
          <w:spacing w:val="0"/>
        </w:rPr>
        <w:tab/>
        <w:t xml:space="preserve">Schwaber M, Sereti I. Investigation of patients treated by an HIV-infected cardiothoracic surgeon: Israel, 2007. MMWR Morb Mortal Wkly Rep. 2009;57(53):1413-5. </w:t>
      </w:r>
      <w:bookmarkEnd w:id="166"/>
    </w:p>
    <w:p w14:paraId="1E692C86" w14:textId="77777777" w:rsidR="002F1BC7" w:rsidRPr="00F71DE4" w:rsidRDefault="002F1BC7" w:rsidP="002F1BC7">
      <w:pPr>
        <w:pStyle w:val="BodyText"/>
        <w:widowControl/>
        <w:spacing w:after="0" w:line="240" w:lineRule="atLeast"/>
        <w:rPr>
          <w:rFonts w:ascii="Calibri" w:hAnsi="Calibri" w:cs="Arial"/>
          <w:noProof/>
          <w:spacing w:val="0"/>
        </w:rPr>
      </w:pPr>
      <w:bookmarkStart w:id="167" w:name="_ENREF_79"/>
      <w:r w:rsidRPr="00F71DE4">
        <w:rPr>
          <w:rFonts w:ascii="Calibri" w:hAnsi="Calibri" w:cs="Arial"/>
          <w:noProof/>
          <w:spacing w:val="0"/>
        </w:rPr>
        <w:t>79.</w:t>
      </w:r>
      <w:r w:rsidRPr="00F71DE4">
        <w:rPr>
          <w:rFonts w:ascii="Calibri" w:hAnsi="Calibri" w:cs="Arial"/>
          <w:noProof/>
          <w:spacing w:val="0"/>
        </w:rPr>
        <w:tab/>
        <w:t xml:space="preserve">Chua A, Leo YS, Kurup A, Chlebicki MP, Lee CC. Healthcare workers and HIV health issues. Ann Acad Med Singapore. 2008;37:576-9. </w:t>
      </w:r>
      <w:bookmarkEnd w:id="167"/>
    </w:p>
    <w:p w14:paraId="43DDC8BA" w14:textId="77777777" w:rsidR="002F1BC7" w:rsidRPr="00F71DE4" w:rsidRDefault="002F1BC7" w:rsidP="002F1BC7">
      <w:pPr>
        <w:pStyle w:val="BodyText"/>
        <w:widowControl/>
        <w:spacing w:after="0" w:line="240" w:lineRule="atLeast"/>
        <w:rPr>
          <w:rFonts w:ascii="Calibri" w:hAnsi="Calibri" w:cs="Arial"/>
          <w:noProof/>
          <w:spacing w:val="0"/>
        </w:rPr>
      </w:pPr>
      <w:bookmarkStart w:id="168" w:name="_ENREF_80"/>
      <w:r w:rsidRPr="00F71DE4">
        <w:rPr>
          <w:rFonts w:ascii="Calibri" w:hAnsi="Calibri" w:cs="Arial"/>
          <w:noProof/>
          <w:spacing w:val="0"/>
        </w:rPr>
        <w:t>80.</w:t>
      </w:r>
      <w:r w:rsidRPr="00F71DE4">
        <w:rPr>
          <w:rFonts w:ascii="Calibri" w:hAnsi="Calibri" w:cs="Arial"/>
          <w:noProof/>
          <w:spacing w:val="0"/>
        </w:rPr>
        <w:tab/>
        <w:t xml:space="preserve">Cohen MS, Chen YQ, McCauley M, Gamble T, Hosseinipour MC, Kumarasamy N, et al. Prevention of HIV-1 infection with early antiretroviral therapy. New England Journal of Medicine. 2011;365(6):493-505. </w:t>
      </w:r>
      <w:bookmarkEnd w:id="168"/>
    </w:p>
    <w:p w14:paraId="2E6A5C51" w14:textId="77777777" w:rsidR="002F1BC7" w:rsidRPr="00F71DE4" w:rsidRDefault="002F1BC7" w:rsidP="002F1BC7">
      <w:pPr>
        <w:pStyle w:val="BodyText"/>
        <w:widowControl/>
        <w:spacing w:after="0" w:line="240" w:lineRule="atLeast"/>
        <w:rPr>
          <w:rFonts w:ascii="Calibri" w:hAnsi="Calibri" w:cs="Arial"/>
          <w:noProof/>
          <w:spacing w:val="0"/>
        </w:rPr>
      </w:pPr>
      <w:bookmarkStart w:id="169" w:name="_ENREF_81"/>
      <w:r w:rsidRPr="00F71DE4">
        <w:rPr>
          <w:rFonts w:ascii="Calibri" w:hAnsi="Calibri" w:cs="Arial"/>
          <w:noProof/>
          <w:spacing w:val="0"/>
        </w:rPr>
        <w:t>81.</w:t>
      </w:r>
      <w:r w:rsidRPr="00F71DE4">
        <w:rPr>
          <w:rFonts w:ascii="Calibri" w:hAnsi="Calibri" w:cs="Arial"/>
          <w:noProof/>
          <w:spacing w:val="0"/>
        </w:rPr>
        <w:tab/>
        <w:t xml:space="preserve">Fidler S, Anderson J, Azad Y, Delpech V, Evans C, Fisher M, et al. Position statement on the use of antiretroviral therapy to reduce HIV transmission, January 2013: the British HIV Association (BHIVA) and the Expert Advisory Group on AIDS (EAGA). HIV medicine. 2013;14(5):259-62. </w:t>
      </w:r>
      <w:bookmarkEnd w:id="169"/>
    </w:p>
    <w:p w14:paraId="4164539C" w14:textId="77777777" w:rsidR="002F1BC7" w:rsidRPr="00F71DE4" w:rsidRDefault="002F1BC7" w:rsidP="002F1BC7">
      <w:pPr>
        <w:pStyle w:val="BodyText"/>
        <w:widowControl/>
        <w:spacing w:after="0" w:line="240" w:lineRule="atLeast"/>
        <w:rPr>
          <w:rFonts w:ascii="Calibri" w:hAnsi="Calibri" w:cs="Arial"/>
          <w:noProof/>
          <w:spacing w:val="0"/>
        </w:rPr>
      </w:pPr>
      <w:bookmarkStart w:id="170" w:name="_ENREF_82"/>
      <w:r w:rsidRPr="00F71DE4">
        <w:rPr>
          <w:rFonts w:ascii="Calibri" w:hAnsi="Calibri" w:cs="Arial"/>
          <w:noProof/>
          <w:spacing w:val="0"/>
        </w:rPr>
        <w:t>82.</w:t>
      </w:r>
      <w:r w:rsidRPr="00F71DE4">
        <w:rPr>
          <w:rFonts w:ascii="Calibri" w:hAnsi="Calibri" w:cs="Arial"/>
          <w:noProof/>
          <w:spacing w:val="0"/>
        </w:rPr>
        <w:tab/>
        <w:t xml:space="preserve">Patel P, Borkowf CB, Brooks JT, Lasry A, Lansky A, Mermin J. Estimating per-act HIV transmission risk: a systematic review. Aids. 2014;28(10):1509-19. </w:t>
      </w:r>
      <w:bookmarkEnd w:id="170"/>
    </w:p>
    <w:p w14:paraId="40E86CC0" w14:textId="77777777" w:rsidR="002F1BC7" w:rsidRPr="00F71DE4" w:rsidRDefault="002F1BC7" w:rsidP="002F1BC7">
      <w:pPr>
        <w:pStyle w:val="BodyText"/>
        <w:widowControl/>
        <w:spacing w:after="0" w:line="240" w:lineRule="atLeast"/>
        <w:rPr>
          <w:rFonts w:ascii="Calibri" w:hAnsi="Calibri" w:cs="Arial"/>
          <w:noProof/>
          <w:spacing w:val="0"/>
        </w:rPr>
      </w:pPr>
      <w:bookmarkStart w:id="171" w:name="_ENREF_83"/>
      <w:r w:rsidRPr="00F71DE4">
        <w:rPr>
          <w:rFonts w:ascii="Calibri" w:hAnsi="Calibri" w:cs="Arial"/>
          <w:noProof/>
          <w:spacing w:val="0"/>
        </w:rPr>
        <w:t>83.</w:t>
      </w:r>
      <w:r w:rsidRPr="00F71DE4">
        <w:rPr>
          <w:rFonts w:ascii="Calibri" w:hAnsi="Calibri" w:cs="Arial"/>
          <w:noProof/>
          <w:spacing w:val="0"/>
        </w:rPr>
        <w:tab/>
        <w:t xml:space="preserve">Panel on Antiretroviral Guidelines for Adults and Adolescents. Guidelines for the use of antiretroviral agents in HIV-1-infected adults and adolescents. Department of Health and Human Services. Available from: </w:t>
      </w:r>
      <w:r w:rsidRPr="00013F35">
        <w:rPr>
          <w:rFonts w:ascii="Calibri" w:hAnsi="Calibri" w:cs="Arial"/>
          <w:noProof/>
          <w:spacing w:val="0"/>
        </w:rPr>
        <w:t>http://www.aidsinfo.nih.gov/ContentFiles/AdultandAdolescentGL.pdf</w:t>
      </w:r>
      <w:r w:rsidRPr="00F71DE4">
        <w:rPr>
          <w:rFonts w:ascii="Calibri" w:hAnsi="Calibri" w:cs="Arial"/>
          <w:noProof/>
          <w:spacing w:val="0"/>
        </w:rPr>
        <w:t xml:space="preserve"> (accessed July 2015).</w:t>
      </w:r>
      <w:bookmarkEnd w:id="171"/>
    </w:p>
    <w:p w14:paraId="2FA0DCDD" w14:textId="77777777" w:rsidR="002F1BC7" w:rsidRPr="00F71DE4" w:rsidRDefault="002F1BC7" w:rsidP="002F1BC7">
      <w:pPr>
        <w:pStyle w:val="BodyText"/>
        <w:widowControl/>
        <w:spacing w:after="0" w:line="240" w:lineRule="atLeast"/>
        <w:rPr>
          <w:rFonts w:ascii="Calibri" w:hAnsi="Calibri" w:cs="Arial"/>
          <w:noProof/>
          <w:spacing w:val="0"/>
        </w:rPr>
      </w:pPr>
      <w:bookmarkStart w:id="172" w:name="_ENREF_84"/>
      <w:r w:rsidRPr="00F71DE4">
        <w:rPr>
          <w:rFonts w:ascii="Calibri" w:hAnsi="Calibri" w:cs="Arial"/>
          <w:noProof/>
          <w:spacing w:val="0"/>
        </w:rPr>
        <w:t>84.</w:t>
      </w:r>
      <w:r w:rsidRPr="00F71DE4">
        <w:rPr>
          <w:rFonts w:ascii="Calibri" w:hAnsi="Calibri" w:cs="Arial"/>
          <w:noProof/>
          <w:spacing w:val="0"/>
        </w:rPr>
        <w:tab/>
        <w:t xml:space="preserve">ASHM. Antiretroviral Guidelines: US DHHS Guidelines with Australian Commentary. Clinical Guidance. 2015 [18 February 2016]; Available from: </w:t>
      </w:r>
      <w:r w:rsidRPr="00013F35">
        <w:rPr>
          <w:rFonts w:ascii="Calibri" w:hAnsi="Calibri" w:cs="Arial"/>
          <w:noProof/>
          <w:spacing w:val="0"/>
        </w:rPr>
        <w:t>http://arv.ashm.org.au/clinical-guidance</w:t>
      </w:r>
      <w:r w:rsidRPr="00F71DE4">
        <w:rPr>
          <w:rFonts w:ascii="Calibri" w:hAnsi="Calibri" w:cs="Arial"/>
          <w:noProof/>
          <w:spacing w:val="0"/>
        </w:rPr>
        <w:t>.</w:t>
      </w:r>
      <w:bookmarkEnd w:id="172"/>
    </w:p>
    <w:p w14:paraId="4945DF54" w14:textId="77777777" w:rsidR="002F1BC7" w:rsidRPr="00F71DE4" w:rsidRDefault="002F1BC7" w:rsidP="002F1BC7">
      <w:pPr>
        <w:pStyle w:val="BodyText"/>
        <w:widowControl/>
        <w:spacing w:after="0" w:line="240" w:lineRule="atLeast"/>
        <w:rPr>
          <w:rFonts w:ascii="Calibri" w:hAnsi="Calibri" w:cs="Arial"/>
          <w:noProof/>
          <w:spacing w:val="0"/>
        </w:rPr>
      </w:pPr>
      <w:bookmarkStart w:id="173" w:name="_ENREF_85"/>
      <w:r w:rsidRPr="00F71DE4">
        <w:rPr>
          <w:rFonts w:ascii="Calibri" w:hAnsi="Calibri" w:cs="Arial"/>
          <w:noProof/>
          <w:spacing w:val="0"/>
        </w:rPr>
        <w:t>85.</w:t>
      </w:r>
      <w:r w:rsidRPr="00F71DE4">
        <w:rPr>
          <w:rFonts w:ascii="Calibri" w:hAnsi="Calibri" w:cs="Arial"/>
          <w:noProof/>
          <w:spacing w:val="0"/>
        </w:rPr>
        <w:tab/>
        <w:t xml:space="preserve">Johnston BL, MacDonald S, Lee S, LeBlanc JC, Gross M, Schlech WF, et al. Nosocomial hepatitis B associated with orthopedic surgery -- Nova Scotia. Canada Communicable Disease Report. 1992;18:89-90. </w:t>
      </w:r>
      <w:bookmarkEnd w:id="173"/>
    </w:p>
    <w:p w14:paraId="18957994" w14:textId="77777777" w:rsidR="002F1BC7" w:rsidRPr="00F71DE4" w:rsidRDefault="002F1BC7" w:rsidP="002F1BC7">
      <w:pPr>
        <w:pStyle w:val="BodyText"/>
        <w:widowControl/>
        <w:spacing w:after="0" w:line="240" w:lineRule="atLeast"/>
        <w:rPr>
          <w:rFonts w:ascii="Calibri" w:hAnsi="Calibri" w:cs="Arial"/>
          <w:noProof/>
          <w:spacing w:val="0"/>
        </w:rPr>
      </w:pPr>
      <w:bookmarkStart w:id="174" w:name="_ENREF_86"/>
      <w:r w:rsidRPr="00F71DE4">
        <w:rPr>
          <w:rFonts w:ascii="Calibri" w:hAnsi="Calibri" w:cs="Arial"/>
          <w:noProof/>
          <w:spacing w:val="0"/>
        </w:rPr>
        <w:t>86.</w:t>
      </w:r>
      <w:r w:rsidRPr="00F71DE4">
        <w:rPr>
          <w:rFonts w:ascii="Calibri" w:hAnsi="Calibri" w:cs="Arial"/>
          <w:noProof/>
          <w:spacing w:val="0"/>
        </w:rPr>
        <w:tab/>
        <w:t xml:space="preserve">Bell B. An outbreak of hepatitis B associated with reusable subdermal electroencephalogram electrodes. Canadian Medical Association Journal. 2000;162(8):1127. </w:t>
      </w:r>
      <w:bookmarkEnd w:id="174"/>
    </w:p>
    <w:p w14:paraId="3965D0FF" w14:textId="77777777" w:rsidR="002F1BC7" w:rsidRPr="00F71DE4" w:rsidRDefault="002F1BC7" w:rsidP="002F1BC7">
      <w:pPr>
        <w:pStyle w:val="BodyText"/>
        <w:widowControl/>
        <w:spacing w:after="0" w:line="240" w:lineRule="atLeast"/>
        <w:rPr>
          <w:rFonts w:ascii="Calibri" w:hAnsi="Calibri" w:cs="Arial"/>
          <w:noProof/>
          <w:spacing w:val="0"/>
        </w:rPr>
      </w:pPr>
      <w:bookmarkStart w:id="175" w:name="_ENREF_87"/>
      <w:r w:rsidRPr="00F71DE4">
        <w:rPr>
          <w:rFonts w:ascii="Calibri" w:hAnsi="Calibri" w:cs="Arial"/>
          <w:noProof/>
          <w:spacing w:val="0"/>
        </w:rPr>
        <w:t>87.</w:t>
      </w:r>
      <w:r w:rsidRPr="00F71DE4">
        <w:rPr>
          <w:rFonts w:ascii="Calibri" w:hAnsi="Calibri" w:cs="Arial"/>
          <w:noProof/>
          <w:spacing w:val="0"/>
        </w:rPr>
        <w:tab/>
        <w:t xml:space="preserve">Laurenson IF, Jones DG, Hallam NF, Saunders CJP, Fraser DM, Carman WF. Transmission of hepatitis B virus from a vaccinated healthcare worker. Journal of Hospital Infection.66(4):393-4. </w:t>
      </w:r>
      <w:bookmarkEnd w:id="175"/>
    </w:p>
    <w:p w14:paraId="120FA340" w14:textId="77777777" w:rsidR="002F1BC7" w:rsidRPr="00F71DE4" w:rsidRDefault="002F1BC7" w:rsidP="002F1BC7">
      <w:pPr>
        <w:pStyle w:val="BodyText"/>
        <w:widowControl/>
        <w:spacing w:after="0" w:line="240" w:lineRule="atLeast"/>
        <w:rPr>
          <w:rFonts w:ascii="Calibri" w:hAnsi="Calibri" w:cs="Arial"/>
          <w:noProof/>
          <w:spacing w:val="0"/>
        </w:rPr>
      </w:pPr>
      <w:bookmarkStart w:id="176" w:name="_ENREF_88"/>
      <w:r w:rsidRPr="00F71DE4">
        <w:rPr>
          <w:rFonts w:ascii="Calibri" w:hAnsi="Calibri" w:cs="Arial"/>
          <w:noProof/>
          <w:spacing w:val="0"/>
        </w:rPr>
        <w:t>88.</w:t>
      </w:r>
      <w:r w:rsidRPr="00F71DE4">
        <w:rPr>
          <w:rFonts w:ascii="Calibri" w:hAnsi="Calibri" w:cs="Arial"/>
          <w:noProof/>
          <w:spacing w:val="0"/>
        </w:rPr>
        <w:tab/>
        <w:t xml:space="preserve">Enfield KB, Sharapov U, Hall KK, Leiner J, Berg CL, Xia G-l, et al. Transmission of hepatitis B virus from an orthopedic surgeon with a high viral load. Clinical infectious diseases. 2013;56(2):218-24. </w:t>
      </w:r>
      <w:bookmarkEnd w:id="176"/>
    </w:p>
    <w:p w14:paraId="7CF69534" w14:textId="77777777" w:rsidR="002F1BC7" w:rsidRPr="00F71DE4" w:rsidRDefault="002F1BC7" w:rsidP="002F1BC7">
      <w:pPr>
        <w:pStyle w:val="BodyText"/>
        <w:widowControl/>
        <w:spacing w:after="0" w:line="240" w:lineRule="atLeast"/>
        <w:rPr>
          <w:rFonts w:ascii="Calibri" w:hAnsi="Calibri" w:cs="Arial"/>
          <w:noProof/>
          <w:spacing w:val="0"/>
        </w:rPr>
      </w:pPr>
      <w:bookmarkStart w:id="177" w:name="_ENREF_89"/>
      <w:r w:rsidRPr="00F71DE4">
        <w:rPr>
          <w:rFonts w:ascii="Calibri" w:hAnsi="Calibri" w:cs="Arial"/>
          <w:noProof/>
          <w:spacing w:val="0"/>
        </w:rPr>
        <w:t>89.</w:t>
      </w:r>
      <w:r w:rsidRPr="00F71DE4">
        <w:rPr>
          <w:rFonts w:ascii="Calibri" w:hAnsi="Calibri" w:cs="Arial"/>
          <w:noProof/>
          <w:spacing w:val="0"/>
        </w:rPr>
        <w:tab/>
        <w:t xml:space="preserve">Valsamakis A. Molecular testing in the diagnosis and management of chronic hepatitis B. Clinical microbiology reviews. 2007;20(3):426-39. </w:t>
      </w:r>
      <w:bookmarkEnd w:id="177"/>
    </w:p>
    <w:p w14:paraId="1AC6EC9F" w14:textId="77777777" w:rsidR="002F1BC7" w:rsidRPr="00F71DE4" w:rsidRDefault="002F1BC7" w:rsidP="002F1BC7">
      <w:pPr>
        <w:pStyle w:val="BodyText"/>
        <w:widowControl/>
        <w:spacing w:after="0" w:line="240" w:lineRule="atLeast"/>
        <w:rPr>
          <w:rFonts w:ascii="Calibri" w:hAnsi="Calibri" w:cs="Arial"/>
          <w:noProof/>
          <w:spacing w:val="0"/>
        </w:rPr>
      </w:pPr>
      <w:bookmarkStart w:id="178" w:name="_ENREF_90"/>
      <w:r w:rsidRPr="00F71DE4">
        <w:rPr>
          <w:rFonts w:ascii="Calibri" w:hAnsi="Calibri" w:cs="Arial"/>
          <w:noProof/>
          <w:spacing w:val="0"/>
        </w:rPr>
        <w:t>90.</w:t>
      </w:r>
      <w:r w:rsidRPr="00F71DE4">
        <w:rPr>
          <w:rFonts w:ascii="Calibri" w:hAnsi="Calibri" w:cs="Arial"/>
          <w:noProof/>
          <w:spacing w:val="0"/>
        </w:rPr>
        <w:tab/>
        <w:t>Muir D, Chow Y, Tedder R, Smith D, Harrison J, Holmes A. Transmission of hepatitis C from a midwife to a patient through non</w:t>
      </w:r>
      <w:r w:rsidRPr="00F71DE4">
        <w:rPr>
          <w:rFonts w:ascii="Calibri" w:hAnsi="Calibri" w:cs="Cambria Math"/>
          <w:noProof/>
          <w:spacing w:val="0"/>
        </w:rPr>
        <w:t>‐</w:t>
      </w:r>
      <w:r w:rsidRPr="00F71DE4">
        <w:rPr>
          <w:rFonts w:ascii="Calibri" w:hAnsi="Calibri" w:cs="Arial"/>
          <w:noProof/>
          <w:spacing w:val="0"/>
        </w:rPr>
        <w:t xml:space="preserve">exposure prone procedures. Journal of medical virology. 2014;86(2):235-40. </w:t>
      </w:r>
      <w:bookmarkEnd w:id="178"/>
    </w:p>
    <w:p w14:paraId="5C7045A2" w14:textId="77777777" w:rsidR="002F1BC7" w:rsidRPr="00F71DE4" w:rsidRDefault="002F1BC7" w:rsidP="002F1BC7">
      <w:pPr>
        <w:pStyle w:val="BodyText"/>
        <w:widowControl/>
        <w:spacing w:after="0" w:line="240" w:lineRule="atLeast"/>
        <w:rPr>
          <w:rFonts w:ascii="Calibri" w:hAnsi="Calibri" w:cs="Arial"/>
          <w:noProof/>
          <w:spacing w:val="0"/>
        </w:rPr>
      </w:pPr>
      <w:bookmarkStart w:id="179" w:name="_ENREF_91"/>
      <w:r w:rsidRPr="00F71DE4">
        <w:rPr>
          <w:rFonts w:ascii="Calibri" w:hAnsi="Calibri" w:cs="Arial"/>
          <w:noProof/>
          <w:spacing w:val="0"/>
        </w:rPr>
        <w:t>91.</w:t>
      </w:r>
      <w:r w:rsidRPr="00F71DE4">
        <w:rPr>
          <w:rFonts w:ascii="Calibri" w:hAnsi="Calibri" w:cs="Arial"/>
          <w:noProof/>
          <w:spacing w:val="0"/>
        </w:rPr>
        <w:tab/>
        <w:t xml:space="preserve">Astagneau P, Lot F, Bouvet E, Lebascle K, Baffoy N, Aggoune M, et al. Lookback investigation of patients potentially exposed to HIV type 1 after a nurse-to-patient transmission. American journal of infection control. 2002;30(4):242-5. </w:t>
      </w:r>
      <w:bookmarkEnd w:id="179"/>
    </w:p>
    <w:p w14:paraId="5A2C48B1" w14:textId="77777777" w:rsidR="002F1BC7" w:rsidRPr="00F71DE4" w:rsidRDefault="002F1BC7" w:rsidP="002F1BC7">
      <w:pPr>
        <w:pStyle w:val="BodyText"/>
        <w:widowControl/>
        <w:spacing w:line="240" w:lineRule="atLeast"/>
        <w:rPr>
          <w:rFonts w:ascii="Calibri" w:hAnsi="Calibri"/>
          <w:spacing w:val="0"/>
        </w:rPr>
      </w:pPr>
      <w:bookmarkStart w:id="180" w:name="_ENREF_92"/>
      <w:r w:rsidRPr="00F71DE4">
        <w:rPr>
          <w:rFonts w:ascii="Calibri" w:hAnsi="Calibri" w:cs="Arial"/>
          <w:noProof/>
          <w:spacing w:val="0"/>
        </w:rPr>
        <w:t>92.</w:t>
      </w:r>
      <w:r w:rsidRPr="00F71DE4">
        <w:rPr>
          <w:rFonts w:ascii="Calibri" w:hAnsi="Calibri" w:cs="Arial"/>
          <w:noProof/>
          <w:spacing w:val="0"/>
        </w:rPr>
        <w:tab/>
        <w:t xml:space="preserve">Bosch X. Second case of doctor-to-patient HIV transmission. The Lancet infectious diseases. 2003;3(5):261. </w:t>
      </w:r>
      <w:bookmarkEnd w:id="180"/>
      <w:r w:rsidRPr="00F71DE4">
        <w:rPr>
          <w:rFonts w:ascii="Calibri" w:hAnsi="Calibri"/>
          <w:spacing w:val="0"/>
        </w:rPr>
        <w:fldChar w:fldCharType="end"/>
      </w:r>
    </w:p>
    <w:p w14:paraId="6752EE8F" w14:textId="77777777" w:rsidR="002F1BC7" w:rsidRPr="002F1BC7" w:rsidRDefault="002F1BC7" w:rsidP="002F1BC7"/>
    <w:p w14:paraId="5639C46C" w14:textId="0933F3D4" w:rsidR="002F1BC7" w:rsidRPr="002F1BC7" w:rsidRDefault="002F1BC7" w:rsidP="002F1BC7">
      <w:pPr>
        <w:tabs>
          <w:tab w:val="left" w:pos="5606"/>
        </w:tabs>
        <w:sectPr w:rsidR="002F1BC7" w:rsidRPr="002F1BC7" w:rsidSect="00144204">
          <w:headerReference w:type="first" r:id="rId52"/>
          <w:footerReference w:type="first" r:id="rId53"/>
          <w:pgSz w:w="11900" w:h="16840"/>
          <w:pgMar w:top="1440" w:right="1440" w:bottom="1440" w:left="1440" w:header="284" w:footer="220" w:gutter="0"/>
          <w:cols w:space="708"/>
          <w:titlePg/>
          <w:docGrid w:linePitch="326"/>
        </w:sectPr>
      </w:pPr>
    </w:p>
    <w:p w14:paraId="506A45D6" w14:textId="77777777" w:rsidR="0037426D" w:rsidRPr="00B84700" w:rsidRDefault="0037426D" w:rsidP="0037426D">
      <w:pPr>
        <w:pStyle w:val="AHPRAHeadline"/>
        <w:spacing w:after="0"/>
        <w:rPr>
          <w:sz w:val="22"/>
          <w:szCs w:val="22"/>
        </w:rPr>
      </w:pPr>
    </w:p>
    <w:p w14:paraId="519AED5A" w14:textId="77777777" w:rsidR="0037426D" w:rsidRDefault="0037426D" w:rsidP="0037426D">
      <w:pPr>
        <w:pStyle w:val="AHPRADocumenttitle"/>
        <w:pBdr>
          <w:bottom w:val="single" w:sz="4" w:space="1" w:color="auto"/>
        </w:pBdr>
        <w:ind w:left="-1418" w:right="5765" w:firstLine="1418"/>
        <w:rPr>
          <w:sz w:val="28"/>
        </w:rPr>
      </w:pPr>
    </w:p>
    <w:p w14:paraId="21D77AAB" w14:textId="77777777" w:rsidR="0037426D" w:rsidRDefault="0037426D" w:rsidP="0037426D">
      <w:pPr>
        <w:pStyle w:val="AHPRADocumenttitle"/>
        <w:pBdr>
          <w:bottom w:val="single" w:sz="4" w:space="1" w:color="auto"/>
        </w:pBdr>
        <w:ind w:left="-1418" w:right="5765" w:firstLine="1418"/>
        <w:rPr>
          <w:sz w:val="28"/>
        </w:rPr>
      </w:pPr>
    </w:p>
    <w:p w14:paraId="18060AD2" w14:textId="3F90674B" w:rsidR="0037426D" w:rsidRPr="005344DD" w:rsidRDefault="0037426D" w:rsidP="0037426D">
      <w:pPr>
        <w:pStyle w:val="AHPRADocumenttitle"/>
        <w:pBdr>
          <w:bottom w:val="single" w:sz="4" w:space="1" w:color="auto"/>
        </w:pBdr>
        <w:ind w:left="-1418" w:right="5765" w:firstLine="1418"/>
        <w:rPr>
          <w:sz w:val="28"/>
        </w:rPr>
      </w:pPr>
      <w:r w:rsidRPr="005344DD">
        <w:rPr>
          <w:sz w:val="28"/>
        </w:rPr>
        <w:t xml:space="preserve">Statement of assessment </w:t>
      </w:r>
    </w:p>
    <w:p w14:paraId="3AD9D93B" w14:textId="77777777" w:rsidR="0037426D" w:rsidRDefault="0037426D" w:rsidP="0037426D">
      <w:pPr>
        <w:pStyle w:val="AHPRADocumentsubheading"/>
        <w:spacing w:before="360"/>
        <w:rPr>
          <w:i/>
        </w:rPr>
      </w:pPr>
      <w:r w:rsidRPr="00C2396E">
        <w:t>Boards</w:t>
      </w:r>
      <w:r>
        <w:t>’</w:t>
      </w:r>
      <w:r w:rsidRPr="00C2396E">
        <w:t xml:space="preserve"> statement of assessment against AHPRA’s </w:t>
      </w:r>
      <w:r w:rsidRPr="00F46C6C">
        <w:rPr>
          <w:i/>
        </w:rPr>
        <w:t>Procedures for the development of registration standards, codes and guidelines</w:t>
      </w:r>
      <w:r>
        <w:rPr>
          <w:i/>
        </w:rPr>
        <w:t xml:space="preserve"> </w:t>
      </w:r>
      <w:r w:rsidRPr="00C2396E">
        <w:t xml:space="preserve">and </w:t>
      </w:r>
      <w:r w:rsidRPr="00C2396E">
        <w:rPr>
          <w:i/>
        </w:rPr>
        <w:t>COAG principles for best practice regulation</w:t>
      </w:r>
    </w:p>
    <w:p w14:paraId="526F7616" w14:textId="77777777" w:rsidR="0037426D" w:rsidRPr="00D9551E" w:rsidRDefault="0037426D" w:rsidP="0037426D">
      <w:pPr>
        <w:pStyle w:val="AHPRAHeadline"/>
        <w:rPr>
          <w:sz w:val="24"/>
        </w:rPr>
      </w:pPr>
      <w:r w:rsidRPr="00D9551E">
        <w:rPr>
          <w:sz w:val="24"/>
        </w:rPr>
        <w:t xml:space="preserve">Draft Guidelines for registered health practitioners and students in relation to blood-borne viruses </w:t>
      </w:r>
    </w:p>
    <w:p w14:paraId="1912190A" w14:textId="77777777" w:rsidR="0037426D" w:rsidRPr="00C060DA" w:rsidRDefault="0037426D" w:rsidP="0037426D">
      <w:pPr>
        <w:pStyle w:val="AHPRADocumentsubheading"/>
        <w:spacing w:before="200"/>
      </w:pPr>
      <w:r w:rsidRPr="00C2396E">
        <w:rPr>
          <w:color w:val="000000"/>
          <w:sz w:val="20"/>
          <w:szCs w:val="20"/>
          <w:lang w:val="en-AU"/>
        </w:rPr>
        <w:t xml:space="preserve">The Australian Health Practitioner Regulation Agency (AHPRA) has </w:t>
      </w:r>
      <w:r w:rsidRPr="00CD21AB">
        <w:rPr>
          <w:i/>
          <w:color w:val="000000"/>
          <w:sz w:val="20"/>
          <w:szCs w:val="20"/>
          <w:lang w:val="en-AU"/>
        </w:rPr>
        <w:t xml:space="preserve">Procedures for the development of registration standards, codes and guidelines </w:t>
      </w:r>
      <w:r w:rsidRPr="00C2396E">
        <w:rPr>
          <w:color w:val="000000"/>
          <w:sz w:val="20"/>
          <w:szCs w:val="20"/>
          <w:lang w:val="en-AU"/>
        </w:rPr>
        <w:t xml:space="preserve">which are available at: </w:t>
      </w:r>
      <w:hyperlink r:id="rId54" w:history="1">
        <w:r w:rsidRPr="00C2396E">
          <w:rPr>
            <w:rStyle w:val="Hyperlink"/>
            <w:sz w:val="20"/>
            <w:szCs w:val="20"/>
            <w:lang w:val="en-AU"/>
          </w:rPr>
          <w:t>www.ahpra.gov.au</w:t>
        </w:r>
      </w:hyperlink>
    </w:p>
    <w:p w14:paraId="66574F73" w14:textId="77777777" w:rsidR="0037426D" w:rsidRDefault="0037426D" w:rsidP="0037426D">
      <w:pPr>
        <w:pStyle w:val="AHPRAHeadline"/>
        <w:spacing w:before="200"/>
        <w:outlineLvl w:val="0"/>
        <w:rPr>
          <w:rFonts w:cs="Arial"/>
          <w:color w:val="000000"/>
          <w:sz w:val="20"/>
          <w:szCs w:val="20"/>
          <w:lang w:val="en-AU"/>
        </w:rPr>
      </w:pPr>
      <w:r w:rsidRPr="00C2396E">
        <w:rPr>
          <w:rFonts w:cs="Arial"/>
          <w:color w:val="000000"/>
          <w:sz w:val="20"/>
          <w:szCs w:val="20"/>
          <w:lang w:val="en-AU"/>
        </w:rPr>
        <w:t>These procedures have been developed by AHPRA in accordance with section 25 of the Health Practitioner Regulation National Law</w:t>
      </w:r>
      <w:r w:rsidRPr="00C2396E">
        <w:rPr>
          <w:rFonts w:cs="Arial"/>
          <w:i/>
          <w:color w:val="000000"/>
          <w:sz w:val="20"/>
          <w:szCs w:val="20"/>
          <w:lang w:val="en-AU"/>
        </w:rPr>
        <w:t xml:space="preserve"> </w:t>
      </w:r>
      <w:r w:rsidRPr="00C2396E">
        <w:rPr>
          <w:rFonts w:cs="Arial"/>
          <w:color w:val="000000"/>
          <w:sz w:val="20"/>
          <w:szCs w:val="20"/>
          <w:lang w:val="en-AU"/>
        </w:rPr>
        <w:t>as in force in each state and territory (the National Law) which requires AHPRA to establish procedures for the purpose of ensuring that the National Registration and Accreditation Scheme (the National Scheme) operates in accordance with good regulatory practice.</w:t>
      </w:r>
    </w:p>
    <w:p w14:paraId="3E8FDF2C" w14:textId="77777777" w:rsidR="0037426D" w:rsidRDefault="0037426D" w:rsidP="0037426D">
      <w:pPr>
        <w:pStyle w:val="AHPRAHeadline"/>
        <w:spacing w:before="200"/>
        <w:outlineLvl w:val="0"/>
        <w:rPr>
          <w:rFonts w:cs="Arial"/>
          <w:color w:val="000000"/>
          <w:sz w:val="20"/>
          <w:szCs w:val="20"/>
          <w:lang w:val="en-AU"/>
        </w:rPr>
      </w:pPr>
      <w:r>
        <w:rPr>
          <w:rFonts w:cs="Arial"/>
          <w:color w:val="000000"/>
          <w:sz w:val="20"/>
          <w:szCs w:val="20"/>
          <w:lang w:val="en-AU"/>
        </w:rPr>
        <w:t xml:space="preserve">The </w:t>
      </w:r>
      <w:r w:rsidRPr="00BD23F1">
        <w:rPr>
          <w:rFonts w:cs="Arial"/>
          <w:color w:val="000000"/>
          <w:sz w:val="20"/>
          <w:szCs w:val="20"/>
          <w:lang w:val="en-AU"/>
        </w:rPr>
        <w:t>Dental, Medical, Nursing and Midwifery, Paramedic</w:t>
      </w:r>
      <w:r>
        <w:rPr>
          <w:rFonts w:cs="Arial"/>
          <w:color w:val="000000"/>
          <w:sz w:val="20"/>
          <w:szCs w:val="20"/>
          <w:lang w:val="en-AU"/>
        </w:rPr>
        <w:t>ine</w:t>
      </w:r>
      <w:r w:rsidRPr="00BD23F1">
        <w:rPr>
          <w:rFonts w:cs="Arial"/>
          <w:color w:val="000000"/>
          <w:sz w:val="20"/>
          <w:szCs w:val="20"/>
          <w:lang w:val="en-AU"/>
        </w:rPr>
        <w:t xml:space="preserve"> and Podiatry Boards of Australia </w:t>
      </w:r>
      <w:r>
        <w:rPr>
          <w:rFonts w:cs="Arial"/>
          <w:color w:val="000000"/>
          <w:sz w:val="20"/>
          <w:szCs w:val="20"/>
          <w:lang w:val="en-AU"/>
        </w:rPr>
        <w:t>have agreed to consult on draft guidelines for registered health practitioners and students in relation to blood-borne viruses. These Boards all regulate practitioners whose scope of practice may include exposure-prone procedures that carry a higher risk of transmission of virus.</w:t>
      </w:r>
    </w:p>
    <w:p w14:paraId="30716025" w14:textId="77777777" w:rsidR="0037426D" w:rsidRPr="00C2396E" w:rsidRDefault="0037426D" w:rsidP="0037426D">
      <w:pPr>
        <w:pStyle w:val="AHPRAHeadline"/>
        <w:spacing w:before="200"/>
        <w:outlineLvl w:val="0"/>
        <w:rPr>
          <w:rFonts w:cs="Arial"/>
          <w:color w:val="000000"/>
          <w:sz w:val="20"/>
          <w:szCs w:val="20"/>
          <w:lang w:val="en-AU"/>
        </w:rPr>
      </w:pPr>
      <w:r>
        <w:rPr>
          <w:rFonts w:cs="Arial"/>
          <w:color w:val="000000"/>
          <w:sz w:val="20"/>
          <w:szCs w:val="20"/>
          <w:lang w:val="en-AU"/>
        </w:rPr>
        <w:t xml:space="preserve">Below is the Boards’ </w:t>
      </w:r>
      <w:r w:rsidRPr="00C2396E">
        <w:rPr>
          <w:rFonts w:cs="Arial"/>
          <w:color w:val="000000"/>
          <w:sz w:val="20"/>
          <w:szCs w:val="20"/>
          <w:lang w:val="en-AU"/>
        </w:rPr>
        <w:t xml:space="preserve">assessment of their proposal for its </w:t>
      </w:r>
      <w:r>
        <w:rPr>
          <w:rFonts w:cs="Arial"/>
          <w:color w:val="000000"/>
          <w:sz w:val="20"/>
          <w:szCs w:val="20"/>
          <w:lang w:val="en-AU"/>
        </w:rPr>
        <w:t>draft</w:t>
      </w:r>
      <w:r w:rsidRPr="00C2396E">
        <w:rPr>
          <w:rFonts w:cs="Arial"/>
          <w:color w:val="000000"/>
          <w:sz w:val="20"/>
          <w:szCs w:val="20"/>
          <w:lang w:val="en-AU"/>
        </w:rPr>
        <w:t xml:space="preserve"> </w:t>
      </w:r>
      <w:r>
        <w:rPr>
          <w:rFonts w:cs="Arial"/>
          <w:color w:val="000000"/>
          <w:sz w:val="20"/>
          <w:szCs w:val="20"/>
          <w:lang w:val="en-AU"/>
        </w:rPr>
        <w:t>revised guidelines</w:t>
      </w:r>
      <w:r w:rsidRPr="00C2396E">
        <w:rPr>
          <w:rFonts w:cs="Arial"/>
          <w:color w:val="000000"/>
          <w:sz w:val="20"/>
          <w:szCs w:val="20"/>
          <w:lang w:val="en-AU"/>
        </w:rPr>
        <w:t xml:space="preserve"> against the three elements outlined in the AHPRA procedures.</w:t>
      </w:r>
    </w:p>
    <w:p w14:paraId="08823806" w14:textId="77777777" w:rsidR="0037426D" w:rsidRPr="00C2396E" w:rsidRDefault="0037426D" w:rsidP="002F1BC7">
      <w:pPr>
        <w:pStyle w:val="AHPRASubhead"/>
        <w:numPr>
          <w:ilvl w:val="0"/>
          <w:numId w:val="31"/>
        </w:numPr>
        <w:spacing w:before="200"/>
        <w:ind w:left="357" w:hanging="357"/>
        <w:rPr>
          <w:rFonts w:cs="Arial"/>
        </w:rPr>
      </w:pPr>
      <w:r w:rsidRPr="00C2396E">
        <w:rPr>
          <w:rFonts w:cs="Arial"/>
        </w:rPr>
        <w:t>The proposal takes into account the National Scheme’s objectives and guiding principles set out in section 3 of the National Law</w:t>
      </w:r>
    </w:p>
    <w:p w14:paraId="06ABE3B9" w14:textId="77777777" w:rsidR="0037426D" w:rsidRPr="00C2396E" w:rsidRDefault="0037426D" w:rsidP="0037426D">
      <w:pPr>
        <w:pStyle w:val="AHPRAHeadline"/>
        <w:spacing w:before="200"/>
        <w:outlineLvl w:val="0"/>
        <w:rPr>
          <w:rFonts w:cs="Arial"/>
          <w:b/>
          <w:color w:val="auto"/>
          <w:sz w:val="20"/>
          <w:szCs w:val="20"/>
        </w:rPr>
      </w:pPr>
      <w:r w:rsidRPr="00C2396E">
        <w:rPr>
          <w:rFonts w:cs="Arial"/>
          <w:b/>
          <w:color w:val="auto"/>
          <w:sz w:val="20"/>
          <w:szCs w:val="20"/>
        </w:rPr>
        <w:t>Board</w:t>
      </w:r>
      <w:r>
        <w:rPr>
          <w:rFonts w:cs="Arial"/>
          <w:b/>
          <w:color w:val="auto"/>
          <w:sz w:val="20"/>
          <w:szCs w:val="20"/>
        </w:rPr>
        <w:t>s</w:t>
      </w:r>
      <w:r w:rsidRPr="00C2396E">
        <w:rPr>
          <w:rFonts w:cs="Arial"/>
          <w:b/>
          <w:color w:val="auto"/>
          <w:sz w:val="20"/>
          <w:szCs w:val="20"/>
        </w:rPr>
        <w:t xml:space="preserve"> assessment</w:t>
      </w:r>
    </w:p>
    <w:p w14:paraId="0B4BE3C3" w14:textId="77777777" w:rsidR="0037426D" w:rsidRDefault="0037426D" w:rsidP="0037426D">
      <w:pPr>
        <w:pStyle w:val="AHPRAHeadline"/>
        <w:spacing w:before="200"/>
        <w:outlineLvl w:val="0"/>
        <w:rPr>
          <w:rFonts w:cs="Arial"/>
          <w:color w:val="auto"/>
          <w:sz w:val="20"/>
          <w:szCs w:val="20"/>
        </w:rPr>
      </w:pPr>
      <w:r w:rsidRPr="00C2396E">
        <w:rPr>
          <w:rFonts w:cs="Arial"/>
          <w:color w:val="auto"/>
          <w:sz w:val="20"/>
          <w:szCs w:val="20"/>
        </w:rPr>
        <w:t>The Board</w:t>
      </w:r>
      <w:r>
        <w:rPr>
          <w:rFonts w:cs="Arial"/>
          <w:color w:val="auto"/>
          <w:sz w:val="20"/>
          <w:szCs w:val="20"/>
        </w:rPr>
        <w:t>s</w:t>
      </w:r>
      <w:r w:rsidRPr="00C2396E">
        <w:rPr>
          <w:rFonts w:cs="Arial"/>
          <w:color w:val="auto"/>
          <w:sz w:val="20"/>
          <w:szCs w:val="20"/>
        </w:rPr>
        <w:t xml:space="preserve"> consider that the </w:t>
      </w:r>
      <w:r>
        <w:rPr>
          <w:rFonts w:cs="Arial"/>
          <w:color w:val="auto"/>
          <w:sz w:val="20"/>
          <w:szCs w:val="20"/>
        </w:rPr>
        <w:t>draft revised guidelines</w:t>
      </w:r>
      <w:r w:rsidRPr="00C2396E">
        <w:rPr>
          <w:rFonts w:cs="Arial"/>
          <w:color w:val="auto"/>
          <w:sz w:val="20"/>
          <w:szCs w:val="20"/>
        </w:rPr>
        <w:t xml:space="preserve"> meet the objectives and guiding principles of the National Law.</w:t>
      </w:r>
    </w:p>
    <w:p w14:paraId="796D621D" w14:textId="77777777" w:rsidR="0037426D" w:rsidRDefault="0037426D" w:rsidP="0037426D">
      <w:pPr>
        <w:pStyle w:val="AHPRAHeadline"/>
        <w:spacing w:before="200"/>
        <w:outlineLvl w:val="0"/>
        <w:rPr>
          <w:rFonts w:cs="Arial"/>
          <w:color w:val="auto"/>
          <w:sz w:val="20"/>
          <w:szCs w:val="20"/>
        </w:rPr>
      </w:pPr>
      <w:r>
        <w:rPr>
          <w:rFonts w:cs="Arial"/>
          <w:color w:val="auto"/>
          <w:sz w:val="20"/>
          <w:szCs w:val="20"/>
        </w:rPr>
        <w:t xml:space="preserve">The proposal takes into account the National Scheme’s key objective is to </w:t>
      </w:r>
      <w:r w:rsidRPr="009D231C">
        <w:rPr>
          <w:rFonts w:cs="Arial"/>
          <w:b/>
          <w:color w:val="auto"/>
          <w:sz w:val="20"/>
          <w:szCs w:val="20"/>
        </w:rPr>
        <w:t>protect the public</w:t>
      </w:r>
      <w:r>
        <w:rPr>
          <w:rFonts w:cs="Arial"/>
          <w:color w:val="auto"/>
          <w:sz w:val="20"/>
          <w:szCs w:val="20"/>
        </w:rPr>
        <w:t xml:space="preserve"> by setting out the standards of conduct expected of practitioners in relation to their scope of practice if they are living with a blood-borne virus. It also supports protection of the public by informing treating practitioners when they may have an obligation to report a practitioner that they are treating for a blood-borne virus to AHPRA.  </w:t>
      </w:r>
    </w:p>
    <w:p w14:paraId="7459EE2A" w14:textId="77777777" w:rsidR="0037426D" w:rsidRDefault="0037426D" w:rsidP="0037426D">
      <w:pPr>
        <w:pStyle w:val="AHPRAHeadline"/>
        <w:spacing w:before="200"/>
        <w:outlineLvl w:val="0"/>
        <w:rPr>
          <w:rFonts w:cs="Arial"/>
          <w:color w:val="auto"/>
          <w:sz w:val="20"/>
          <w:szCs w:val="20"/>
        </w:rPr>
      </w:pPr>
      <w:r>
        <w:rPr>
          <w:rFonts w:cs="Arial"/>
          <w:color w:val="auto"/>
          <w:sz w:val="20"/>
          <w:szCs w:val="20"/>
        </w:rPr>
        <w:t xml:space="preserve">The guidelines will also help to </w:t>
      </w:r>
      <w:r w:rsidRPr="009D231C">
        <w:rPr>
          <w:rFonts w:cs="Arial"/>
          <w:b/>
          <w:color w:val="auto"/>
          <w:sz w:val="20"/>
          <w:szCs w:val="20"/>
        </w:rPr>
        <w:t>facilitate access to services</w:t>
      </w:r>
      <w:r>
        <w:rPr>
          <w:rFonts w:cs="Arial"/>
          <w:color w:val="auto"/>
          <w:sz w:val="20"/>
          <w:szCs w:val="20"/>
        </w:rPr>
        <w:t xml:space="preserve"> provided by health practitioners in accordance with the </w:t>
      </w:r>
      <w:r w:rsidRPr="009D231C">
        <w:rPr>
          <w:rFonts w:cs="Arial"/>
          <w:b/>
          <w:color w:val="auto"/>
          <w:sz w:val="20"/>
          <w:szCs w:val="20"/>
        </w:rPr>
        <w:t>public interest</w:t>
      </w:r>
      <w:r>
        <w:rPr>
          <w:rFonts w:cs="Arial"/>
          <w:color w:val="auto"/>
          <w:sz w:val="20"/>
          <w:szCs w:val="20"/>
        </w:rPr>
        <w:t xml:space="preserve">. The Boards’ guidelines require health practitioners to comply with the CDNA (Communicable Diseases Network Australia) </w:t>
      </w:r>
      <w:r w:rsidRPr="00F97949">
        <w:rPr>
          <w:rFonts w:cs="Arial"/>
          <w:i/>
          <w:color w:val="auto"/>
          <w:sz w:val="20"/>
          <w:szCs w:val="20"/>
        </w:rPr>
        <w:t>Australian national guidelines for the management of healthcare workers living with blood borne viruses and healthcare workers who perform exposure prone procedures at risk of exposure to blood borne viruses</w:t>
      </w:r>
      <w:r w:rsidRPr="00D437FC">
        <w:rPr>
          <w:rFonts w:cs="Arial"/>
          <w:color w:val="auto"/>
          <w:sz w:val="20"/>
          <w:szCs w:val="20"/>
        </w:rPr>
        <w:t xml:space="preserve">. </w:t>
      </w:r>
      <w:r>
        <w:rPr>
          <w:rFonts w:cs="Arial"/>
          <w:color w:val="auto"/>
          <w:sz w:val="20"/>
          <w:szCs w:val="20"/>
        </w:rPr>
        <w:t>The CDNA guidelines have already been the subject of wide-ranging consultation and have been endorsed by AHMAC.</w:t>
      </w:r>
    </w:p>
    <w:p w14:paraId="3912B65F" w14:textId="77777777" w:rsidR="0037426D" w:rsidRDefault="0037426D" w:rsidP="0037426D">
      <w:pPr>
        <w:pStyle w:val="AHPRAHeadline"/>
        <w:spacing w:before="200"/>
        <w:outlineLvl w:val="0"/>
        <w:rPr>
          <w:rFonts w:cs="Arial"/>
          <w:color w:val="auto"/>
          <w:sz w:val="20"/>
          <w:szCs w:val="20"/>
        </w:rPr>
      </w:pPr>
      <w:r w:rsidRPr="00D437FC">
        <w:rPr>
          <w:rFonts w:cs="Arial"/>
          <w:color w:val="auto"/>
          <w:sz w:val="20"/>
          <w:szCs w:val="20"/>
        </w:rPr>
        <w:lastRenderedPageBreak/>
        <w:t>The</w:t>
      </w:r>
      <w:r>
        <w:rPr>
          <w:rFonts w:cs="Arial"/>
          <w:color w:val="auto"/>
          <w:sz w:val="20"/>
          <w:szCs w:val="20"/>
        </w:rPr>
        <w:t xml:space="preserve"> CDNA g</w:t>
      </w:r>
      <w:r w:rsidRPr="00D437FC">
        <w:rPr>
          <w:rFonts w:cs="Arial"/>
          <w:color w:val="auto"/>
          <w:sz w:val="20"/>
          <w:szCs w:val="20"/>
        </w:rPr>
        <w:t>uidelines</w:t>
      </w:r>
      <w:r>
        <w:rPr>
          <w:rFonts w:cs="Arial"/>
          <w:color w:val="auto"/>
          <w:sz w:val="20"/>
          <w:szCs w:val="20"/>
        </w:rPr>
        <w:t xml:space="preserve"> and Board guidelines are explicit that practitioners living with a blood-borne virus can practise their profession if they comply with the CDNA guidelines. The CDNA guidelines also define the circumstances when a practitioner living with a blood-borne virus can resume performing exposure-prone procedures.</w:t>
      </w:r>
    </w:p>
    <w:p w14:paraId="1DEB30C2" w14:textId="77777777" w:rsidR="0037426D" w:rsidRDefault="0037426D" w:rsidP="0037426D">
      <w:pPr>
        <w:pStyle w:val="AHPRAHeadline"/>
        <w:spacing w:before="200"/>
        <w:outlineLvl w:val="0"/>
        <w:rPr>
          <w:rFonts w:cs="Arial"/>
          <w:color w:val="auto"/>
          <w:sz w:val="20"/>
          <w:szCs w:val="20"/>
        </w:rPr>
      </w:pPr>
      <w:r w:rsidRPr="00C2396E">
        <w:rPr>
          <w:rFonts w:cs="Arial"/>
          <w:color w:val="auto"/>
          <w:sz w:val="20"/>
          <w:szCs w:val="20"/>
        </w:rPr>
        <w:t xml:space="preserve">The </w:t>
      </w:r>
      <w:r>
        <w:rPr>
          <w:rFonts w:cs="Arial"/>
          <w:color w:val="auto"/>
          <w:sz w:val="20"/>
          <w:szCs w:val="20"/>
        </w:rPr>
        <w:t>draft guidelines</w:t>
      </w:r>
      <w:r w:rsidRPr="00C2396E">
        <w:rPr>
          <w:rFonts w:cs="Arial"/>
          <w:color w:val="auto"/>
          <w:sz w:val="20"/>
          <w:szCs w:val="20"/>
        </w:rPr>
        <w:t xml:space="preserve"> support the National Scheme to operate in a transparent, accountable, efficient, effective and fair way</w:t>
      </w:r>
      <w:r>
        <w:rPr>
          <w:rFonts w:cs="Arial"/>
          <w:color w:val="auto"/>
          <w:sz w:val="20"/>
          <w:szCs w:val="20"/>
        </w:rPr>
        <w:t>. The proposal gives clear guidance that the Board expects practitioners to comply with the CDNA guidelines. It also states clearly that practitioners with a blood-borne virus do not need to be reported to the Board if they are complying with the CDNA guidelines.</w:t>
      </w:r>
    </w:p>
    <w:p w14:paraId="62BA3893" w14:textId="77777777" w:rsidR="0037426D" w:rsidRPr="005344DD" w:rsidRDefault="0037426D" w:rsidP="0037426D">
      <w:pPr>
        <w:pStyle w:val="AHPRAHeadline"/>
        <w:spacing w:before="200"/>
        <w:outlineLvl w:val="0"/>
        <w:rPr>
          <w:rFonts w:cs="Arial"/>
          <w:color w:val="auto"/>
          <w:sz w:val="20"/>
          <w:szCs w:val="20"/>
        </w:rPr>
      </w:pPr>
      <w:r>
        <w:rPr>
          <w:rFonts w:cs="Arial"/>
          <w:color w:val="auto"/>
          <w:sz w:val="20"/>
          <w:szCs w:val="20"/>
        </w:rPr>
        <w:t xml:space="preserve">The draft guidelines inform practitioners of the actions the Board might take if they are not complying with the CDNA guidelines, including a potential report to the jurisdictional health department and the way that conditions might be expressed on the Register of practitioners. In particular, Boards will not state that a practitioner has a blood-borne virus. </w:t>
      </w:r>
    </w:p>
    <w:p w14:paraId="1D193ECA" w14:textId="77777777" w:rsidR="0037426D" w:rsidRPr="00C2396E" w:rsidRDefault="0037426D" w:rsidP="002F1BC7">
      <w:pPr>
        <w:pStyle w:val="AHPRASubhead"/>
        <w:numPr>
          <w:ilvl w:val="0"/>
          <w:numId w:val="31"/>
        </w:numPr>
        <w:spacing w:before="200"/>
        <w:ind w:left="357" w:hanging="357"/>
        <w:rPr>
          <w:rFonts w:cs="Arial"/>
        </w:rPr>
      </w:pPr>
      <w:r w:rsidRPr="00C2396E">
        <w:rPr>
          <w:rFonts w:cs="Arial"/>
        </w:rPr>
        <w:t>The consultation requirements of the National Law are met</w:t>
      </w:r>
    </w:p>
    <w:p w14:paraId="6C8A879F" w14:textId="77777777" w:rsidR="0037426D" w:rsidRPr="00C2396E" w:rsidRDefault="0037426D" w:rsidP="0037426D">
      <w:pPr>
        <w:pStyle w:val="AHPRAHeadline"/>
        <w:spacing w:before="200"/>
        <w:outlineLvl w:val="0"/>
        <w:rPr>
          <w:rFonts w:cs="Arial"/>
          <w:b/>
          <w:color w:val="auto"/>
          <w:sz w:val="20"/>
          <w:szCs w:val="20"/>
        </w:rPr>
      </w:pPr>
      <w:r w:rsidRPr="00C2396E">
        <w:rPr>
          <w:rFonts w:cs="Arial"/>
          <w:b/>
          <w:color w:val="auto"/>
          <w:sz w:val="20"/>
          <w:szCs w:val="20"/>
        </w:rPr>
        <w:t>Board assessment</w:t>
      </w:r>
    </w:p>
    <w:p w14:paraId="1981E077" w14:textId="77777777" w:rsidR="0037426D" w:rsidRDefault="0037426D" w:rsidP="0037426D">
      <w:pPr>
        <w:pStyle w:val="AHPRAHeadline"/>
        <w:spacing w:before="200"/>
        <w:outlineLvl w:val="0"/>
        <w:rPr>
          <w:rFonts w:cs="Arial"/>
          <w:color w:val="auto"/>
          <w:sz w:val="20"/>
          <w:szCs w:val="20"/>
        </w:rPr>
      </w:pPr>
      <w:r w:rsidRPr="00C2396E">
        <w:rPr>
          <w:rFonts w:cs="Arial"/>
          <w:color w:val="auto"/>
          <w:sz w:val="20"/>
          <w:szCs w:val="20"/>
        </w:rPr>
        <w:t xml:space="preserve">The National Law requires wide-ranging consultation on proposed </w:t>
      </w:r>
      <w:r>
        <w:rPr>
          <w:rFonts w:cs="Arial"/>
          <w:color w:val="auto"/>
          <w:sz w:val="20"/>
          <w:szCs w:val="20"/>
        </w:rPr>
        <w:t xml:space="preserve">guidelines. </w:t>
      </w:r>
      <w:r w:rsidRPr="00C2396E">
        <w:rPr>
          <w:rFonts w:cs="Arial"/>
          <w:color w:val="auto"/>
          <w:sz w:val="20"/>
          <w:szCs w:val="20"/>
        </w:rPr>
        <w:t xml:space="preserve">The National Law also requires the Board to consult </w:t>
      </w:r>
      <w:r>
        <w:rPr>
          <w:rFonts w:cs="Arial"/>
          <w:color w:val="auto"/>
          <w:sz w:val="20"/>
          <w:szCs w:val="20"/>
        </w:rPr>
        <w:t xml:space="preserve">the </w:t>
      </w:r>
      <w:r w:rsidRPr="00C2396E">
        <w:rPr>
          <w:rFonts w:cs="Arial"/>
          <w:color w:val="auto"/>
          <w:sz w:val="20"/>
          <w:szCs w:val="20"/>
        </w:rPr>
        <w:t xml:space="preserve">other </w:t>
      </w:r>
      <w:r>
        <w:rPr>
          <w:rFonts w:cs="Arial"/>
          <w:color w:val="auto"/>
          <w:sz w:val="20"/>
          <w:szCs w:val="20"/>
        </w:rPr>
        <w:t>National B</w:t>
      </w:r>
      <w:r w:rsidRPr="00C2396E">
        <w:rPr>
          <w:rFonts w:cs="Arial"/>
          <w:color w:val="auto"/>
          <w:sz w:val="20"/>
          <w:szCs w:val="20"/>
        </w:rPr>
        <w:t>oards on matters of shared interest.</w:t>
      </w:r>
      <w:r>
        <w:rPr>
          <w:rFonts w:cs="Arial"/>
          <w:color w:val="auto"/>
          <w:sz w:val="20"/>
          <w:szCs w:val="20"/>
        </w:rPr>
        <w:t xml:space="preserve"> All National Boards have been consulted on this proposed guideline.</w:t>
      </w:r>
    </w:p>
    <w:p w14:paraId="268CF8E5" w14:textId="77777777" w:rsidR="0037426D" w:rsidRDefault="0037426D" w:rsidP="0037426D">
      <w:pPr>
        <w:autoSpaceDE w:val="0"/>
        <w:autoSpaceDN w:val="0"/>
        <w:adjustRightInd w:val="0"/>
        <w:spacing w:before="200"/>
        <w:rPr>
          <w:rFonts w:ascii="Arial" w:eastAsiaTheme="minorHAnsi" w:hAnsi="Arial" w:cs="Arial"/>
          <w:sz w:val="20"/>
          <w:szCs w:val="20"/>
        </w:rPr>
      </w:pPr>
      <w:r>
        <w:rPr>
          <w:rFonts w:ascii="Arial" w:eastAsiaTheme="minorHAnsi" w:hAnsi="Arial" w:cs="Arial"/>
          <w:sz w:val="20"/>
          <w:szCs w:val="20"/>
        </w:rPr>
        <w:t xml:space="preserve">This public consultation follows a preliminary consultation with key relevant stakeholders. </w:t>
      </w:r>
    </w:p>
    <w:p w14:paraId="09351D7F" w14:textId="77777777" w:rsidR="0037426D" w:rsidRPr="005344DD" w:rsidRDefault="0037426D" w:rsidP="0037426D">
      <w:pPr>
        <w:autoSpaceDE w:val="0"/>
        <w:autoSpaceDN w:val="0"/>
        <w:adjustRightInd w:val="0"/>
        <w:spacing w:before="200"/>
        <w:rPr>
          <w:rFonts w:ascii="Arial" w:hAnsi="Arial" w:cs="Arial"/>
          <w:sz w:val="20"/>
          <w:szCs w:val="20"/>
        </w:rPr>
      </w:pPr>
      <w:r>
        <w:rPr>
          <w:rFonts w:ascii="Arial" w:eastAsiaTheme="minorHAnsi" w:hAnsi="Arial" w:cs="Arial"/>
          <w:sz w:val="20"/>
          <w:szCs w:val="20"/>
        </w:rPr>
        <w:t xml:space="preserve">The Boards previously consulted on a similar guideline in 2014 and the feedback from that consultation has informed minor changes to this guideline. The 2014 guidelines were not approved by Boards as we received feedback that while there was in principle support for aligning the Board and CDNA guidelines, there was also feedback that the CDNA guidelines at that time were out of date and we should wait till they have been updated. Now that the CDNA guidelines have been updated and endorsed, the </w:t>
      </w:r>
      <w:r w:rsidRPr="00BD23F1">
        <w:rPr>
          <w:rFonts w:ascii="Arial" w:eastAsiaTheme="minorHAnsi" w:hAnsi="Arial" w:cs="Arial"/>
          <w:sz w:val="20"/>
          <w:szCs w:val="20"/>
        </w:rPr>
        <w:t>Dental, Medical, Nursing and Midwifery, Paramedic</w:t>
      </w:r>
      <w:r>
        <w:rPr>
          <w:rFonts w:ascii="Arial" w:eastAsiaTheme="minorHAnsi" w:hAnsi="Arial" w:cs="Arial"/>
          <w:sz w:val="20"/>
          <w:szCs w:val="20"/>
        </w:rPr>
        <w:t>ine</w:t>
      </w:r>
      <w:r w:rsidRPr="00BD23F1">
        <w:rPr>
          <w:rFonts w:ascii="Arial" w:eastAsiaTheme="minorHAnsi" w:hAnsi="Arial" w:cs="Arial"/>
          <w:sz w:val="20"/>
          <w:szCs w:val="20"/>
        </w:rPr>
        <w:t xml:space="preserve"> and Podiatry Boards of Australia </w:t>
      </w:r>
      <w:r>
        <w:rPr>
          <w:rFonts w:ascii="Arial" w:eastAsiaTheme="minorHAnsi" w:hAnsi="Arial" w:cs="Arial"/>
          <w:sz w:val="20"/>
          <w:szCs w:val="20"/>
        </w:rPr>
        <w:t xml:space="preserve">are again undertaking a further consultation. We will undertake an </w:t>
      </w:r>
      <w:r w:rsidRPr="00D10D5F">
        <w:rPr>
          <w:rFonts w:ascii="Arial" w:hAnsi="Arial" w:cs="Arial"/>
          <w:sz w:val="20"/>
          <w:szCs w:val="20"/>
        </w:rPr>
        <w:t>eight</w:t>
      </w:r>
      <w:r>
        <w:rPr>
          <w:rFonts w:ascii="Arial" w:hAnsi="Arial" w:cs="Arial"/>
          <w:sz w:val="20"/>
          <w:szCs w:val="20"/>
        </w:rPr>
        <w:t>-</w:t>
      </w:r>
      <w:r w:rsidRPr="00D10D5F">
        <w:rPr>
          <w:rFonts w:ascii="Arial" w:hAnsi="Arial" w:cs="Arial"/>
          <w:sz w:val="20"/>
          <w:szCs w:val="20"/>
        </w:rPr>
        <w:t>week public consultation process. The process will include the publication of the consultation paper on</w:t>
      </w:r>
      <w:r>
        <w:rPr>
          <w:rFonts w:ascii="Arial" w:hAnsi="Arial" w:cs="Arial"/>
          <w:sz w:val="20"/>
          <w:szCs w:val="20"/>
        </w:rPr>
        <w:t xml:space="preserve"> Board </w:t>
      </w:r>
      <w:r w:rsidRPr="00D10D5F">
        <w:rPr>
          <w:rFonts w:ascii="Arial" w:hAnsi="Arial" w:cs="Arial"/>
          <w:sz w:val="20"/>
          <w:szCs w:val="20"/>
        </w:rPr>
        <w:t>website</w:t>
      </w:r>
      <w:r>
        <w:rPr>
          <w:rFonts w:ascii="Arial" w:hAnsi="Arial" w:cs="Arial"/>
          <w:sz w:val="20"/>
          <w:szCs w:val="20"/>
        </w:rPr>
        <w:t>s</w:t>
      </w:r>
      <w:r w:rsidRPr="00D10D5F">
        <w:rPr>
          <w:rFonts w:ascii="Arial" w:hAnsi="Arial" w:cs="Arial"/>
          <w:sz w:val="20"/>
          <w:szCs w:val="20"/>
        </w:rPr>
        <w:t xml:space="preserve">, informing practitioners via Board newsletters and drawing the paper to the attention of key stakeholders. </w:t>
      </w:r>
    </w:p>
    <w:p w14:paraId="55B93C5F" w14:textId="77777777" w:rsidR="0037426D" w:rsidRPr="002D74A2" w:rsidRDefault="0037426D" w:rsidP="0037426D">
      <w:pPr>
        <w:autoSpaceDE w:val="0"/>
        <w:autoSpaceDN w:val="0"/>
        <w:adjustRightInd w:val="0"/>
        <w:spacing w:before="200"/>
        <w:rPr>
          <w:rFonts w:ascii="Arial" w:eastAsiaTheme="minorHAnsi" w:hAnsi="Arial" w:cs="Arial"/>
          <w:sz w:val="20"/>
          <w:szCs w:val="20"/>
        </w:rPr>
      </w:pPr>
      <w:r>
        <w:rPr>
          <w:rFonts w:ascii="Arial" w:eastAsiaTheme="minorHAnsi" w:hAnsi="Arial" w:cs="Arial"/>
          <w:sz w:val="20"/>
          <w:szCs w:val="20"/>
        </w:rPr>
        <w:t>The Boards will take into account the feedback it receives when finalising the draft guidelines.</w:t>
      </w:r>
    </w:p>
    <w:p w14:paraId="3E4DDAEF" w14:textId="77777777" w:rsidR="0037426D" w:rsidRPr="00C2396E" w:rsidRDefault="0037426D" w:rsidP="002F1BC7">
      <w:pPr>
        <w:pStyle w:val="AHPRASubhead"/>
        <w:numPr>
          <w:ilvl w:val="0"/>
          <w:numId w:val="31"/>
        </w:numPr>
        <w:spacing w:before="200"/>
        <w:ind w:left="357" w:hanging="357"/>
        <w:rPr>
          <w:rFonts w:cs="Arial"/>
        </w:rPr>
      </w:pPr>
      <w:r w:rsidRPr="00C2396E">
        <w:rPr>
          <w:rFonts w:cs="Arial"/>
        </w:rPr>
        <w:t>The proposal takes into account the COAG Principles for Best Practice Regulation</w:t>
      </w:r>
    </w:p>
    <w:p w14:paraId="4BD4D52C" w14:textId="77777777" w:rsidR="0037426D" w:rsidRPr="00C2396E" w:rsidRDefault="0037426D" w:rsidP="0037426D">
      <w:pPr>
        <w:pStyle w:val="AHPRAHeadline"/>
        <w:spacing w:before="200"/>
        <w:ind w:left="284" w:hanging="284"/>
        <w:outlineLvl w:val="0"/>
        <w:rPr>
          <w:rFonts w:cs="Arial"/>
          <w:b/>
          <w:i/>
          <w:color w:val="7F7F7F"/>
          <w:sz w:val="20"/>
          <w:szCs w:val="20"/>
        </w:rPr>
      </w:pPr>
      <w:r w:rsidRPr="00C2396E">
        <w:rPr>
          <w:rFonts w:cs="Arial"/>
          <w:b/>
          <w:color w:val="auto"/>
          <w:sz w:val="20"/>
          <w:szCs w:val="20"/>
        </w:rPr>
        <w:t>Board assessment</w:t>
      </w:r>
    </w:p>
    <w:p w14:paraId="3F02C45D" w14:textId="77777777" w:rsidR="0037426D" w:rsidRPr="00C2396E" w:rsidRDefault="0037426D" w:rsidP="0037426D">
      <w:pPr>
        <w:pStyle w:val="AHPRAHeadline"/>
        <w:spacing w:before="200"/>
        <w:outlineLvl w:val="0"/>
        <w:rPr>
          <w:rFonts w:cs="Arial"/>
          <w:color w:val="auto"/>
          <w:sz w:val="20"/>
          <w:szCs w:val="20"/>
        </w:rPr>
      </w:pPr>
      <w:r w:rsidRPr="00C2396E">
        <w:rPr>
          <w:rFonts w:cs="Arial"/>
          <w:color w:val="auto"/>
          <w:sz w:val="20"/>
          <w:szCs w:val="20"/>
        </w:rPr>
        <w:t xml:space="preserve">In developing the </w:t>
      </w:r>
      <w:r>
        <w:rPr>
          <w:rFonts w:cs="Arial"/>
          <w:color w:val="000000"/>
          <w:sz w:val="20"/>
          <w:szCs w:val="20"/>
          <w:lang w:eastAsia="en-AU"/>
        </w:rPr>
        <w:t>draft revised guidelines</w:t>
      </w:r>
      <w:r w:rsidRPr="00C2396E">
        <w:rPr>
          <w:rFonts w:cs="Arial"/>
          <w:color w:val="auto"/>
          <w:sz w:val="20"/>
          <w:szCs w:val="20"/>
        </w:rPr>
        <w:t>, the Board</w:t>
      </w:r>
      <w:r>
        <w:rPr>
          <w:rFonts w:cs="Arial"/>
          <w:color w:val="auto"/>
          <w:sz w:val="20"/>
          <w:szCs w:val="20"/>
        </w:rPr>
        <w:t>s</w:t>
      </w:r>
      <w:r w:rsidRPr="00C2396E">
        <w:rPr>
          <w:rFonts w:cs="Arial"/>
          <w:color w:val="auto"/>
          <w:sz w:val="20"/>
          <w:szCs w:val="20"/>
        </w:rPr>
        <w:t xml:space="preserve"> ha</w:t>
      </w:r>
      <w:r>
        <w:rPr>
          <w:rFonts w:cs="Arial"/>
          <w:color w:val="auto"/>
          <w:sz w:val="20"/>
          <w:szCs w:val="20"/>
        </w:rPr>
        <w:t>ve</w:t>
      </w:r>
      <w:r w:rsidRPr="00C2396E">
        <w:rPr>
          <w:rFonts w:cs="Arial"/>
          <w:color w:val="auto"/>
          <w:sz w:val="20"/>
          <w:szCs w:val="20"/>
        </w:rPr>
        <w:t xml:space="preserve"> taken into account the Council of Australian Governments (COAG) </w:t>
      </w:r>
      <w:r w:rsidRPr="00C2396E">
        <w:rPr>
          <w:rFonts w:cs="Arial"/>
          <w:i/>
          <w:color w:val="auto"/>
          <w:sz w:val="20"/>
          <w:szCs w:val="20"/>
        </w:rPr>
        <w:t>Principles for Best Practice Regulation</w:t>
      </w:r>
      <w:r w:rsidRPr="00C2396E">
        <w:rPr>
          <w:rFonts w:cs="Arial"/>
          <w:color w:val="auto"/>
          <w:sz w:val="20"/>
          <w:szCs w:val="20"/>
        </w:rPr>
        <w:t xml:space="preserve">.  </w:t>
      </w:r>
    </w:p>
    <w:p w14:paraId="6833F348" w14:textId="77777777" w:rsidR="0037426D" w:rsidRPr="00C2396E" w:rsidRDefault="0037426D" w:rsidP="0037426D">
      <w:pPr>
        <w:pStyle w:val="AHPRAHeadline"/>
        <w:spacing w:before="200"/>
        <w:outlineLvl w:val="0"/>
        <w:rPr>
          <w:rFonts w:cs="Arial"/>
          <w:color w:val="auto"/>
          <w:sz w:val="20"/>
          <w:szCs w:val="20"/>
        </w:rPr>
      </w:pPr>
      <w:r w:rsidRPr="00C2396E">
        <w:rPr>
          <w:rFonts w:cs="Arial"/>
          <w:color w:val="auto"/>
          <w:sz w:val="20"/>
          <w:szCs w:val="20"/>
        </w:rPr>
        <w:t>As an overall statement, the Board</w:t>
      </w:r>
      <w:r>
        <w:rPr>
          <w:rFonts w:cs="Arial"/>
          <w:color w:val="auto"/>
          <w:sz w:val="20"/>
          <w:szCs w:val="20"/>
        </w:rPr>
        <w:t>s</w:t>
      </w:r>
      <w:r w:rsidRPr="00C2396E">
        <w:rPr>
          <w:rFonts w:cs="Arial"/>
          <w:color w:val="auto"/>
          <w:sz w:val="20"/>
          <w:szCs w:val="20"/>
        </w:rPr>
        <w:t xml:space="preserve"> ha</w:t>
      </w:r>
      <w:r>
        <w:rPr>
          <w:rFonts w:cs="Arial"/>
          <w:color w:val="auto"/>
          <w:sz w:val="20"/>
          <w:szCs w:val="20"/>
        </w:rPr>
        <w:t>ve</w:t>
      </w:r>
      <w:r w:rsidRPr="00C2396E">
        <w:rPr>
          <w:rFonts w:cs="Arial"/>
          <w:color w:val="auto"/>
          <w:sz w:val="20"/>
          <w:szCs w:val="20"/>
        </w:rPr>
        <w:t xml:space="preserve"> taken care not to propose unnecessary regulatory burdens that would create unjustified costs for the prof</w:t>
      </w:r>
      <w:r>
        <w:rPr>
          <w:rFonts w:cs="Arial"/>
          <w:color w:val="auto"/>
          <w:sz w:val="20"/>
          <w:szCs w:val="20"/>
        </w:rPr>
        <w:t>ession or the community. In fact, ten out of the 15 Boards have decided to not develop guidelines as the practitioners they regulate do not perform exposure-prone procedures and guidelines in that instance would be an unnecessary regulatory burden.</w:t>
      </w:r>
    </w:p>
    <w:p w14:paraId="2C0906A5" w14:textId="77777777" w:rsidR="0037426D" w:rsidRDefault="0037426D" w:rsidP="0037426D">
      <w:pPr>
        <w:pStyle w:val="AHPRAHeadline"/>
        <w:spacing w:before="200"/>
        <w:outlineLvl w:val="0"/>
        <w:rPr>
          <w:rFonts w:cs="Arial"/>
          <w:color w:val="000000"/>
          <w:sz w:val="20"/>
          <w:szCs w:val="20"/>
        </w:rPr>
      </w:pPr>
      <w:r w:rsidRPr="00C2396E">
        <w:rPr>
          <w:rFonts w:cs="Arial"/>
          <w:color w:val="auto"/>
          <w:sz w:val="20"/>
          <w:szCs w:val="20"/>
        </w:rPr>
        <w:t xml:space="preserve">The </w:t>
      </w:r>
      <w:r>
        <w:rPr>
          <w:rFonts w:cs="Arial"/>
          <w:color w:val="auto"/>
          <w:sz w:val="20"/>
          <w:szCs w:val="20"/>
        </w:rPr>
        <w:t xml:space="preserve">participating </w:t>
      </w:r>
      <w:r w:rsidRPr="00C2396E">
        <w:rPr>
          <w:rFonts w:cs="Arial"/>
          <w:color w:val="auto"/>
          <w:sz w:val="20"/>
          <w:szCs w:val="20"/>
        </w:rPr>
        <w:t>Board</w:t>
      </w:r>
      <w:r>
        <w:rPr>
          <w:rFonts w:cs="Arial"/>
          <w:color w:val="auto"/>
          <w:sz w:val="20"/>
          <w:szCs w:val="20"/>
        </w:rPr>
        <w:t>s</w:t>
      </w:r>
      <w:r w:rsidRPr="00C2396E">
        <w:rPr>
          <w:rFonts w:cs="Arial"/>
          <w:color w:val="auto"/>
          <w:sz w:val="20"/>
          <w:szCs w:val="20"/>
        </w:rPr>
        <w:t xml:space="preserve"> make the </w:t>
      </w:r>
      <w:r w:rsidRPr="00C2396E">
        <w:rPr>
          <w:rFonts w:cs="Arial"/>
          <w:color w:val="000000"/>
          <w:sz w:val="20"/>
          <w:szCs w:val="20"/>
        </w:rPr>
        <w:t>following assessment specific to each of the COAG principles expressed in the AHPRA procedures.</w:t>
      </w:r>
    </w:p>
    <w:p w14:paraId="4112F3BE" w14:textId="03191A74" w:rsidR="0037426D" w:rsidRDefault="0037426D" w:rsidP="0037426D">
      <w:pPr>
        <w:pStyle w:val="AHPRAHeadline"/>
        <w:tabs>
          <w:tab w:val="left" w:pos="284"/>
        </w:tabs>
        <w:spacing w:before="200"/>
        <w:outlineLvl w:val="0"/>
        <w:rPr>
          <w:rFonts w:cs="Arial"/>
          <w:b/>
          <w:sz w:val="20"/>
        </w:rPr>
      </w:pPr>
    </w:p>
    <w:p w14:paraId="75188331" w14:textId="486DF1B4" w:rsidR="0037426D" w:rsidRDefault="0037426D" w:rsidP="0037426D">
      <w:pPr>
        <w:pStyle w:val="AHPRAHeadline"/>
        <w:tabs>
          <w:tab w:val="left" w:pos="284"/>
        </w:tabs>
        <w:spacing w:before="200"/>
        <w:outlineLvl w:val="0"/>
        <w:rPr>
          <w:rFonts w:cs="Arial"/>
          <w:b/>
          <w:sz w:val="20"/>
        </w:rPr>
      </w:pPr>
    </w:p>
    <w:p w14:paraId="3CDE5D62" w14:textId="77777777" w:rsidR="0037426D" w:rsidRDefault="0037426D" w:rsidP="0037426D">
      <w:pPr>
        <w:pStyle w:val="AHPRAHeadline"/>
        <w:tabs>
          <w:tab w:val="left" w:pos="284"/>
        </w:tabs>
        <w:spacing w:before="200"/>
        <w:outlineLvl w:val="0"/>
        <w:rPr>
          <w:rFonts w:cs="Arial"/>
          <w:b/>
          <w:sz w:val="20"/>
        </w:rPr>
      </w:pPr>
    </w:p>
    <w:p w14:paraId="0F1DA58E" w14:textId="77777777" w:rsidR="0037426D" w:rsidRDefault="0037426D" w:rsidP="0037426D">
      <w:pPr>
        <w:pStyle w:val="AHPRAHeadline"/>
        <w:tabs>
          <w:tab w:val="left" w:pos="284"/>
        </w:tabs>
        <w:spacing w:before="200"/>
        <w:outlineLvl w:val="0"/>
        <w:rPr>
          <w:rFonts w:cs="Arial"/>
          <w:b/>
          <w:sz w:val="20"/>
        </w:rPr>
      </w:pPr>
    </w:p>
    <w:p w14:paraId="7F64F0C7" w14:textId="77777777" w:rsidR="0037426D" w:rsidRDefault="0037426D" w:rsidP="0037426D">
      <w:pPr>
        <w:pStyle w:val="AHPRAHeadline"/>
        <w:tabs>
          <w:tab w:val="left" w:pos="284"/>
        </w:tabs>
        <w:spacing w:before="200"/>
        <w:outlineLvl w:val="0"/>
        <w:rPr>
          <w:rFonts w:cs="Arial"/>
          <w:b/>
          <w:sz w:val="20"/>
        </w:rPr>
      </w:pPr>
    </w:p>
    <w:p w14:paraId="5E760B56" w14:textId="77777777" w:rsidR="0037426D" w:rsidRDefault="0037426D" w:rsidP="0037426D">
      <w:pPr>
        <w:pStyle w:val="AHPRAHeadline"/>
        <w:tabs>
          <w:tab w:val="left" w:pos="284"/>
        </w:tabs>
        <w:spacing w:before="200"/>
        <w:outlineLvl w:val="0"/>
        <w:rPr>
          <w:rFonts w:cs="Arial"/>
          <w:b/>
          <w:sz w:val="20"/>
        </w:rPr>
      </w:pPr>
    </w:p>
    <w:p w14:paraId="4C8CF48F" w14:textId="77777777" w:rsidR="0037426D" w:rsidRPr="00C2396E" w:rsidRDefault="0037426D" w:rsidP="0037426D">
      <w:pPr>
        <w:pStyle w:val="AHPRAHeadline"/>
        <w:tabs>
          <w:tab w:val="left" w:pos="284"/>
        </w:tabs>
        <w:spacing w:before="200"/>
        <w:outlineLvl w:val="0"/>
        <w:rPr>
          <w:rFonts w:cs="Arial"/>
          <w:color w:val="000000"/>
          <w:sz w:val="20"/>
          <w:szCs w:val="20"/>
        </w:rPr>
      </w:pPr>
      <w:r w:rsidRPr="00C2396E">
        <w:rPr>
          <w:rFonts w:cs="Arial"/>
          <w:b/>
          <w:sz w:val="20"/>
        </w:rPr>
        <w:t>COAG Principles</w:t>
      </w:r>
    </w:p>
    <w:p w14:paraId="568EE1E6" w14:textId="77777777" w:rsidR="0037426D" w:rsidRPr="00C2396E" w:rsidRDefault="0037426D" w:rsidP="002F1BC7">
      <w:pPr>
        <w:pStyle w:val="AHPRASubhead"/>
        <w:numPr>
          <w:ilvl w:val="0"/>
          <w:numId w:val="30"/>
        </w:numPr>
        <w:spacing w:before="200"/>
        <w:ind w:left="426" w:hanging="426"/>
        <w:rPr>
          <w:rFonts w:cs="Arial"/>
        </w:rPr>
      </w:pPr>
      <w:r w:rsidRPr="00C2396E">
        <w:rPr>
          <w:rFonts w:cs="Arial"/>
        </w:rPr>
        <w:t xml:space="preserve">Whether the proposal is the best option for achieving the proposal’s stated purpose and protection of the public  </w:t>
      </w:r>
    </w:p>
    <w:p w14:paraId="427D0720" w14:textId="77777777" w:rsidR="0037426D" w:rsidRPr="00C2396E" w:rsidRDefault="0037426D" w:rsidP="0037426D">
      <w:pPr>
        <w:pStyle w:val="AHPRAHeadline"/>
        <w:spacing w:before="200"/>
        <w:outlineLvl w:val="0"/>
        <w:rPr>
          <w:rFonts w:cs="Arial"/>
          <w:b/>
          <w:color w:val="auto"/>
          <w:sz w:val="20"/>
          <w:szCs w:val="20"/>
        </w:rPr>
      </w:pPr>
      <w:r w:rsidRPr="00C2396E">
        <w:rPr>
          <w:rFonts w:cs="Arial"/>
          <w:b/>
          <w:color w:val="auto"/>
          <w:sz w:val="20"/>
          <w:szCs w:val="20"/>
        </w:rPr>
        <w:t>Board assessment</w:t>
      </w:r>
    </w:p>
    <w:p w14:paraId="518736E8" w14:textId="77777777" w:rsidR="0037426D" w:rsidRDefault="0037426D" w:rsidP="0037426D">
      <w:pPr>
        <w:pStyle w:val="AHPRAHeadline"/>
        <w:spacing w:before="200"/>
        <w:outlineLvl w:val="0"/>
        <w:rPr>
          <w:rFonts w:cs="Arial"/>
          <w:color w:val="auto"/>
          <w:sz w:val="20"/>
          <w:szCs w:val="20"/>
        </w:rPr>
      </w:pPr>
      <w:r w:rsidRPr="00C2396E">
        <w:rPr>
          <w:rFonts w:cs="Arial"/>
          <w:color w:val="auto"/>
          <w:sz w:val="20"/>
          <w:szCs w:val="20"/>
        </w:rPr>
        <w:t>The Bo</w:t>
      </w:r>
      <w:r>
        <w:rPr>
          <w:rFonts w:cs="Arial"/>
          <w:color w:val="auto"/>
          <w:sz w:val="20"/>
          <w:szCs w:val="20"/>
        </w:rPr>
        <w:t>ards consider that their proposal</w:t>
      </w:r>
      <w:r w:rsidRPr="00C2396E">
        <w:rPr>
          <w:rFonts w:cs="Arial"/>
          <w:color w:val="auto"/>
          <w:sz w:val="20"/>
          <w:szCs w:val="20"/>
        </w:rPr>
        <w:t xml:space="preserve"> </w:t>
      </w:r>
      <w:r>
        <w:rPr>
          <w:rFonts w:cs="Arial"/>
          <w:color w:val="auto"/>
          <w:sz w:val="20"/>
          <w:szCs w:val="20"/>
        </w:rPr>
        <w:t>is the best option</w:t>
      </w:r>
      <w:r w:rsidRPr="00C2396E">
        <w:rPr>
          <w:rFonts w:cs="Arial"/>
          <w:color w:val="auto"/>
          <w:sz w:val="20"/>
          <w:szCs w:val="20"/>
        </w:rPr>
        <w:t xml:space="preserve"> for achieving the stated purposes. </w:t>
      </w:r>
      <w:r w:rsidRPr="003F5008">
        <w:rPr>
          <w:rFonts w:cs="Arial"/>
          <w:color w:val="auto"/>
          <w:sz w:val="20"/>
          <w:szCs w:val="20"/>
        </w:rPr>
        <w:t>The draf</w:t>
      </w:r>
      <w:r>
        <w:rPr>
          <w:rFonts w:cs="Arial"/>
          <w:color w:val="auto"/>
          <w:sz w:val="20"/>
          <w:szCs w:val="20"/>
        </w:rPr>
        <w:t>t guidelines</w:t>
      </w:r>
      <w:r w:rsidRPr="003F5008">
        <w:rPr>
          <w:rFonts w:cs="Arial"/>
          <w:color w:val="auto"/>
          <w:sz w:val="20"/>
          <w:szCs w:val="20"/>
        </w:rPr>
        <w:t xml:space="preserve"> </w:t>
      </w:r>
      <w:r>
        <w:rPr>
          <w:rFonts w:cs="Arial"/>
          <w:color w:val="auto"/>
          <w:sz w:val="20"/>
          <w:szCs w:val="20"/>
        </w:rPr>
        <w:t xml:space="preserve">make clear the expectations of practitioners and students in relation to blood-borne viruses. </w:t>
      </w:r>
    </w:p>
    <w:p w14:paraId="4B524BC8" w14:textId="77777777" w:rsidR="0037426D" w:rsidRDefault="0037426D" w:rsidP="0037426D">
      <w:pPr>
        <w:pStyle w:val="AHPRAHeadline"/>
        <w:spacing w:before="200"/>
        <w:outlineLvl w:val="0"/>
        <w:rPr>
          <w:rFonts w:cs="Arial"/>
          <w:color w:val="auto"/>
          <w:sz w:val="20"/>
          <w:szCs w:val="20"/>
        </w:rPr>
      </w:pPr>
      <w:r>
        <w:rPr>
          <w:rFonts w:cs="Arial"/>
          <w:color w:val="auto"/>
          <w:sz w:val="20"/>
          <w:szCs w:val="20"/>
        </w:rPr>
        <w:t>The proposed guidelines:</w:t>
      </w:r>
    </w:p>
    <w:p w14:paraId="2F3207E8" w14:textId="77777777" w:rsidR="0037426D" w:rsidRDefault="0037426D" w:rsidP="0037426D">
      <w:pPr>
        <w:pStyle w:val="Default"/>
        <w:numPr>
          <w:ilvl w:val="0"/>
          <w:numId w:val="17"/>
        </w:numPr>
        <w:spacing w:before="200" w:after="200"/>
        <w:ind w:left="502"/>
        <w:rPr>
          <w:sz w:val="20"/>
          <w:szCs w:val="20"/>
        </w:rPr>
      </w:pPr>
      <w:r>
        <w:rPr>
          <w:sz w:val="20"/>
          <w:szCs w:val="20"/>
        </w:rPr>
        <w:t>maintain the</w:t>
      </w:r>
      <w:r w:rsidRPr="00C2396E">
        <w:rPr>
          <w:sz w:val="20"/>
          <w:szCs w:val="20"/>
        </w:rPr>
        <w:t xml:space="preserve"> balance between protecting the public and</w:t>
      </w:r>
      <w:r>
        <w:rPr>
          <w:sz w:val="20"/>
          <w:szCs w:val="20"/>
        </w:rPr>
        <w:t xml:space="preserve"> the</w:t>
      </w:r>
      <w:r w:rsidRPr="00C2396E">
        <w:rPr>
          <w:sz w:val="20"/>
          <w:szCs w:val="20"/>
        </w:rPr>
        <w:t xml:space="preserve"> impact on </w:t>
      </w:r>
      <w:r>
        <w:rPr>
          <w:sz w:val="20"/>
          <w:szCs w:val="20"/>
        </w:rPr>
        <w:t>health practitioners by requiring practitioners to comply with guidelines that are:</w:t>
      </w:r>
    </w:p>
    <w:p w14:paraId="2D66175D" w14:textId="77777777" w:rsidR="0037426D" w:rsidRDefault="0037426D" w:rsidP="002F1BC7">
      <w:pPr>
        <w:pStyle w:val="Default"/>
        <w:numPr>
          <w:ilvl w:val="1"/>
          <w:numId w:val="32"/>
        </w:numPr>
        <w:spacing w:before="200" w:after="200"/>
        <w:ind w:left="851"/>
        <w:rPr>
          <w:sz w:val="20"/>
          <w:szCs w:val="20"/>
        </w:rPr>
      </w:pPr>
      <w:r>
        <w:rPr>
          <w:sz w:val="20"/>
          <w:szCs w:val="20"/>
        </w:rPr>
        <w:t>contemporary and evidence-based guidelines</w:t>
      </w:r>
    </w:p>
    <w:p w14:paraId="409B1A96" w14:textId="77777777" w:rsidR="0037426D" w:rsidRDefault="0037426D" w:rsidP="002F1BC7">
      <w:pPr>
        <w:pStyle w:val="Default"/>
        <w:numPr>
          <w:ilvl w:val="1"/>
          <w:numId w:val="32"/>
        </w:numPr>
        <w:spacing w:before="200" w:after="200"/>
        <w:ind w:left="851"/>
        <w:rPr>
          <w:sz w:val="20"/>
          <w:szCs w:val="20"/>
        </w:rPr>
      </w:pPr>
      <w:r>
        <w:rPr>
          <w:sz w:val="20"/>
          <w:szCs w:val="20"/>
        </w:rPr>
        <w:t>clear about the limits of practice for practitioners living with a blood-borne virus but are also explicit that practitioners can practise as long as they comply with the guidelines</w:t>
      </w:r>
    </w:p>
    <w:p w14:paraId="1957B121" w14:textId="77777777" w:rsidR="0037426D" w:rsidRDefault="0037426D" w:rsidP="0037426D">
      <w:pPr>
        <w:pStyle w:val="Default"/>
        <w:numPr>
          <w:ilvl w:val="0"/>
          <w:numId w:val="17"/>
        </w:numPr>
        <w:spacing w:before="200" w:after="200"/>
        <w:ind w:left="426" w:hanging="426"/>
        <w:rPr>
          <w:sz w:val="20"/>
          <w:szCs w:val="20"/>
        </w:rPr>
      </w:pPr>
      <w:r>
        <w:rPr>
          <w:sz w:val="20"/>
          <w:szCs w:val="20"/>
        </w:rPr>
        <w:t>provide guidance to treating practitioners about the circumstances when they may need to notify AHPRA if their practitioner patient is putting the public at risk. They are also clear that treating practitioners do not need to notify AHPRA if their practitioner patient is complying with the CDNA guidelines</w:t>
      </w:r>
    </w:p>
    <w:p w14:paraId="54330126" w14:textId="77777777" w:rsidR="0037426D" w:rsidRDefault="0037426D" w:rsidP="0037426D">
      <w:pPr>
        <w:pStyle w:val="Default"/>
        <w:numPr>
          <w:ilvl w:val="0"/>
          <w:numId w:val="17"/>
        </w:numPr>
        <w:spacing w:before="200" w:after="200"/>
        <w:ind w:left="426" w:hanging="426"/>
        <w:rPr>
          <w:sz w:val="20"/>
          <w:szCs w:val="20"/>
        </w:rPr>
      </w:pPr>
      <w:r>
        <w:rPr>
          <w:sz w:val="20"/>
          <w:szCs w:val="20"/>
        </w:rPr>
        <w:t>confirm that practitioners are not required to inform AHPRA that they are living with a blood-borne virus if they are complying with the CDNA guidelines</w:t>
      </w:r>
    </w:p>
    <w:p w14:paraId="43BFF78E" w14:textId="77777777" w:rsidR="0037426D" w:rsidRDefault="0037426D" w:rsidP="0037426D">
      <w:pPr>
        <w:pStyle w:val="Default"/>
        <w:numPr>
          <w:ilvl w:val="0"/>
          <w:numId w:val="17"/>
        </w:numPr>
        <w:spacing w:before="200" w:after="200"/>
        <w:ind w:left="426" w:hanging="426"/>
        <w:rPr>
          <w:sz w:val="20"/>
          <w:szCs w:val="20"/>
        </w:rPr>
      </w:pPr>
      <w:r>
        <w:rPr>
          <w:sz w:val="20"/>
          <w:szCs w:val="20"/>
        </w:rPr>
        <w:t>confirm that practitioners are not required to provide test results to AHPRA</w:t>
      </w:r>
    </w:p>
    <w:p w14:paraId="3688D9E1" w14:textId="77777777" w:rsidR="0037426D" w:rsidRPr="005344DD" w:rsidRDefault="0037426D" w:rsidP="0037426D">
      <w:pPr>
        <w:pStyle w:val="Default"/>
        <w:numPr>
          <w:ilvl w:val="0"/>
          <w:numId w:val="17"/>
        </w:numPr>
        <w:spacing w:before="200" w:after="200"/>
        <w:ind w:left="426" w:hanging="426"/>
        <w:rPr>
          <w:sz w:val="20"/>
          <w:szCs w:val="20"/>
        </w:rPr>
      </w:pPr>
      <w:r>
        <w:rPr>
          <w:sz w:val="20"/>
          <w:szCs w:val="20"/>
        </w:rPr>
        <w:t xml:space="preserve">require compliance with a single national standard developed by the CDNA, the national expert advisory committee on communicable disease surveillance, prevention and control. The single national standard will lead to less confusion for practitioners and will support compliance. </w:t>
      </w:r>
    </w:p>
    <w:p w14:paraId="3B1B57AB" w14:textId="77777777" w:rsidR="0037426D" w:rsidRPr="001837FD" w:rsidRDefault="0037426D" w:rsidP="002F1BC7">
      <w:pPr>
        <w:pStyle w:val="AHPRASubhead"/>
        <w:numPr>
          <w:ilvl w:val="0"/>
          <w:numId w:val="30"/>
        </w:numPr>
        <w:spacing w:before="200"/>
        <w:ind w:left="426" w:hanging="426"/>
        <w:rPr>
          <w:rFonts w:cs="Arial"/>
        </w:rPr>
      </w:pPr>
      <w:r w:rsidRPr="00C2396E">
        <w:rPr>
          <w:rFonts w:cs="Arial"/>
        </w:rPr>
        <w:t xml:space="preserve">Whether the proposal results in an unnecessary restriction of competition among health practitioners </w:t>
      </w:r>
    </w:p>
    <w:p w14:paraId="22FF072D" w14:textId="77777777" w:rsidR="0037426D" w:rsidRPr="00C2396E" w:rsidRDefault="0037426D" w:rsidP="0037426D">
      <w:pPr>
        <w:pStyle w:val="AHPRAHeadline"/>
        <w:spacing w:before="200"/>
        <w:outlineLvl w:val="0"/>
        <w:rPr>
          <w:rFonts w:cs="Arial"/>
          <w:b/>
          <w:color w:val="auto"/>
          <w:sz w:val="20"/>
          <w:szCs w:val="20"/>
        </w:rPr>
      </w:pPr>
      <w:r w:rsidRPr="00C2396E">
        <w:rPr>
          <w:rFonts w:cs="Arial"/>
          <w:b/>
          <w:color w:val="auto"/>
          <w:sz w:val="20"/>
          <w:szCs w:val="20"/>
        </w:rPr>
        <w:t>Board</w:t>
      </w:r>
      <w:r>
        <w:rPr>
          <w:rFonts w:cs="Arial"/>
          <w:b/>
          <w:color w:val="auto"/>
          <w:sz w:val="20"/>
          <w:szCs w:val="20"/>
        </w:rPr>
        <w:t>s’</w:t>
      </w:r>
      <w:r w:rsidRPr="00C2396E">
        <w:rPr>
          <w:rFonts w:cs="Arial"/>
          <w:b/>
          <w:color w:val="auto"/>
          <w:sz w:val="20"/>
          <w:szCs w:val="20"/>
        </w:rPr>
        <w:t xml:space="preserve"> assessment</w:t>
      </w:r>
    </w:p>
    <w:p w14:paraId="2CC30AD6" w14:textId="77777777" w:rsidR="0037426D" w:rsidRDefault="0037426D" w:rsidP="0037426D">
      <w:pPr>
        <w:pStyle w:val="CommentText"/>
        <w:spacing w:before="200"/>
        <w:rPr>
          <w:rFonts w:cs="Arial"/>
        </w:rPr>
      </w:pPr>
      <w:r w:rsidRPr="00C2396E">
        <w:rPr>
          <w:rFonts w:cs="Arial"/>
        </w:rPr>
        <w:t xml:space="preserve">The </w:t>
      </w:r>
      <w:r>
        <w:rPr>
          <w:rFonts w:cs="Arial"/>
        </w:rPr>
        <w:t xml:space="preserve">proposal will not restrict competition. To the contrary, it will allow a small number of practitioners who were previously precluded from performing exposure-prone procedures to resume that class of procedures.   </w:t>
      </w:r>
    </w:p>
    <w:p w14:paraId="51838424" w14:textId="77777777" w:rsidR="0037426D" w:rsidRPr="001837FD" w:rsidRDefault="0037426D" w:rsidP="002F1BC7">
      <w:pPr>
        <w:pStyle w:val="AHPRASubhead"/>
        <w:numPr>
          <w:ilvl w:val="0"/>
          <w:numId w:val="30"/>
        </w:numPr>
        <w:spacing w:before="200"/>
        <w:ind w:left="426" w:hanging="426"/>
        <w:rPr>
          <w:rFonts w:cs="Arial"/>
        </w:rPr>
      </w:pPr>
      <w:r w:rsidRPr="00C2396E">
        <w:rPr>
          <w:rFonts w:cs="Arial"/>
        </w:rPr>
        <w:t xml:space="preserve">Whether the proposal results in an unnecessary restriction of consumer choice </w:t>
      </w:r>
    </w:p>
    <w:p w14:paraId="3D712F19" w14:textId="77777777" w:rsidR="0037426D" w:rsidRPr="00C2396E" w:rsidRDefault="0037426D" w:rsidP="0037426D">
      <w:pPr>
        <w:pStyle w:val="AHPRAHeadline"/>
        <w:spacing w:before="200"/>
        <w:outlineLvl w:val="0"/>
        <w:rPr>
          <w:rFonts w:cs="Arial"/>
          <w:b/>
          <w:color w:val="auto"/>
          <w:sz w:val="20"/>
          <w:szCs w:val="20"/>
        </w:rPr>
      </w:pPr>
      <w:r w:rsidRPr="00C2396E">
        <w:rPr>
          <w:rFonts w:cs="Arial"/>
          <w:b/>
          <w:color w:val="auto"/>
          <w:sz w:val="20"/>
          <w:szCs w:val="20"/>
        </w:rPr>
        <w:t>Board</w:t>
      </w:r>
      <w:r>
        <w:rPr>
          <w:rFonts w:cs="Arial"/>
          <w:b/>
          <w:color w:val="auto"/>
          <w:sz w:val="20"/>
          <w:szCs w:val="20"/>
        </w:rPr>
        <w:t>s’</w:t>
      </w:r>
      <w:r w:rsidRPr="00C2396E">
        <w:rPr>
          <w:rFonts w:cs="Arial"/>
          <w:b/>
          <w:color w:val="auto"/>
          <w:sz w:val="20"/>
          <w:szCs w:val="20"/>
        </w:rPr>
        <w:t xml:space="preserve"> assessment</w:t>
      </w:r>
    </w:p>
    <w:p w14:paraId="3A2899A4" w14:textId="77777777" w:rsidR="0037426D" w:rsidRPr="001E34A9" w:rsidRDefault="0037426D" w:rsidP="0037426D">
      <w:pPr>
        <w:pStyle w:val="TableText"/>
        <w:keepNext w:val="0"/>
        <w:spacing w:before="200" w:after="200"/>
        <w:rPr>
          <w:rFonts w:ascii="Arial" w:hAnsi="Arial" w:cs="Arial"/>
          <w:szCs w:val="20"/>
        </w:rPr>
      </w:pPr>
      <w:r w:rsidRPr="000F648E">
        <w:rPr>
          <w:rFonts w:ascii="Arial" w:hAnsi="Arial" w:cs="Arial"/>
          <w:szCs w:val="20"/>
        </w:rPr>
        <w:t>The proposal will not result in any unnecessary restrictions of consumer choice</w:t>
      </w:r>
      <w:r>
        <w:rPr>
          <w:rFonts w:ascii="Arial" w:hAnsi="Arial" w:cs="Arial"/>
          <w:szCs w:val="20"/>
        </w:rPr>
        <w:t xml:space="preserve"> as the guidelines do not add any restrictions to practitioners. By allowing a small number of practitioners who were previously precluded from performing exposure-prone procedures to resume that class of procedures, consumer choice may be (slightly) less restricted. </w:t>
      </w:r>
    </w:p>
    <w:p w14:paraId="429AEDF6" w14:textId="77777777" w:rsidR="0037426D" w:rsidRPr="001837FD" w:rsidRDefault="0037426D" w:rsidP="002F1BC7">
      <w:pPr>
        <w:pStyle w:val="AHPRASubhead"/>
        <w:numPr>
          <w:ilvl w:val="0"/>
          <w:numId w:val="30"/>
        </w:numPr>
        <w:spacing w:before="200"/>
        <w:ind w:left="426" w:hanging="426"/>
        <w:rPr>
          <w:rFonts w:cs="Arial"/>
        </w:rPr>
      </w:pPr>
      <w:r w:rsidRPr="00C2396E">
        <w:rPr>
          <w:rFonts w:cs="Arial"/>
        </w:rPr>
        <w:t xml:space="preserve">Whether the overall costs of the proposal to members of the public and/or registrants and/or governments are reasonable in relation to the benefits to be achieved </w:t>
      </w:r>
    </w:p>
    <w:p w14:paraId="4CA7D7D9" w14:textId="77777777" w:rsidR="0037426D" w:rsidRDefault="0037426D" w:rsidP="0037426D">
      <w:pPr>
        <w:pStyle w:val="AHPRAHeadline"/>
        <w:spacing w:before="200"/>
        <w:outlineLvl w:val="0"/>
        <w:rPr>
          <w:rFonts w:cs="Arial"/>
          <w:b/>
          <w:color w:val="auto"/>
          <w:sz w:val="20"/>
          <w:szCs w:val="20"/>
        </w:rPr>
      </w:pPr>
      <w:r w:rsidRPr="00C2396E">
        <w:rPr>
          <w:rFonts w:cs="Arial"/>
          <w:b/>
          <w:color w:val="auto"/>
          <w:sz w:val="20"/>
          <w:szCs w:val="20"/>
        </w:rPr>
        <w:t>Board</w:t>
      </w:r>
      <w:r>
        <w:rPr>
          <w:rFonts w:cs="Arial"/>
          <w:b/>
          <w:color w:val="auto"/>
          <w:sz w:val="20"/>
          <w:szCs w:val="20"/>
        </w:rPr>
        <w:t>s’</w:t>
      </w:r>
      <w:r w:rsidRPr="00C2396E">
        <w:rPr>
          <w:rFonts w:cs="Arial"/>
          <w:b/>
          <w:color w:val="auto"/>
          <w:sz w:val="20"/>
          <w:szCs w:val="20"/>
        </w:rPr>
        <w:t xml:space="preserve"> assessment</w:t>
      </w:r>
    </w:p>
    <w:p w14:paraId="5E1085BC" w14:textId="77777777" w:rsidR="0037426D" w:rsidRDefault="0037426D" w:rsidP="0037426D">
      <w:pPr>
        <w:pStyle w:val="TableText"/>
        <w:keepNext w:val="0"/>
        <w:spacing w:before="200" w:after="200"/>
        <w:rPr>
          <w:rFonts w:ascii="Arial" w:hAnsi="Arial" w:cs="Arial"/>
          <w:color w:val="auto"/>
          <w:szCs w:val="20"/>
        </w:rPr>
      </w:pPr>
      <w:r w:rsidRPr="00C94CAC">
        <w:rPr>
          <w:rFonts w:ascii="Arial" w:hAnsi="Arial" w:cs="Arial"/>
          <w:color w:val="auto"/>
          <w:szCs w:val="20"/>
        </w:rPr>
        <w:t xml:space="preserve">The Board considered the overall costs of the draft revised </w:t>
      </w:r>
      <w:r>
        <w:rPr>
          <w:rFonts w:ascii="Arial" w:hAnsi="Arial" w:cs="Arial"/>
          <w:color w:val="auto"/>
          <w:szCs w:val="20"/>
        </w:rPr>
        <w:t>guidelines</w:t>
      </w:r>
      <w:r w:rsidRPr="00C94CAC">
        <w:rPr>
          <w:rFonts w:ascii="Arial" w:hAnsi="Arial" w:cs="Arial"/>
          <w:color w:val="auto"/>
          <w:szCs w:val="20"/>
        </w:rPr>
        <w:t xml:space="preserve"> to members of the public, medical practitioners and governments and concluded that the likely costs are minimal </w:t>
      </w:r>
      <w:r>
        <w:rPr>
          <w:rFonts w:ascii="Arial" w:hAnsi="Arial" w:cs="Arial"/>
          <w:color w:val="auto"/>
          <w:szCs w:val="20"/>
        </w:rPr>
        <w:t xml:space="preserve">as the Boards </w:t>
      </w:r>
      <w:r>
        <w:rPr>
          <w:rFonts w:ascii="Arial" w:hAnsi="Arial" w:cs="Arial"/>
          <w:color w:val="auto"/>
          <w:szCs w:val="20"/>
        </w:rPr>
        <w:lastRenderedPageBreak/>
        <w:t xml:space="preserve">are merely confirming a requirement that practitioners comply with the CDNA guidelines. The Boards’ guidelines should not result in additional costs to the public, registrants or governments.  </w:t>
      </w:r>
    </w:p>
    <w:p w14:paraId="3AE75856" w14:textId="77777777" w:rsidR="0037426D" w:rsidRPr="005344DD" w:rsidRDefault="0037426D" w:rsidP="0037426D">
      <w:pPr>
        <w:pStyle w:val="TableText"/>
        <w:keepNext w:val="0"/>
        <w:spacing w:before="200" w:after="200"/>
        <w:rPr>
          <w:rFonts w:ascii="Arial" w:hAnsi="Arial" w:cs="Arial"/>
          <w:color w:val="auto"/>
          <w:szCs w:val="20"/>
        </w:rPr>
      </w:pPr>
      <w:r>
        <w:rPr>
          <w:rFonts w:ascii="Arial" w:hAnsi="Arial" w:cs="Arial"/>
          <w:color w:val="auto"/>
          <w:szCs w:val="20"/>
        </w:rPr>
        <w:t xml:space="preserve">Requiring compliance with the CDNA guidelines means that costs to the Boards can be contained. The Boards will not need to revise their guidelines every time the CDNA updates their guidelines on the basis of new evidence. </w:t>
      </w:r>
    </w:p>
    <w:p w14:paraId="5834A951" w14:textId="77777777" w:rsidR="0037426D" w:rsidRPr="001837FD" w:rsidRDefault="0037426D" w:rsidP="002F1BC7">
      <w:pPr>
        <w:pStyle w:val="AHPRASubhead"/>
        <w:numPr>
          <w:ilvl w:val="0"/>
          <w:numId w:val="30"/>
        </w:numPr>
        <w:spacing w:before="200"/>
        <w:ind w:left="426" w:hanging="426"/>
        <w:rPr>
          <w:rFonts w:cs="Arial"/>
        </w:rPr>
      </w:pPr>
      <w:r w:rsidRPr="00C2396E">
        <w:rPr>
          <w:rFonts w:cs="Arial"/>
        </w:rPr>
        <w:t xml:space="preserve">Whether the </w:t>
      </w:r>
      <w:r>
        <w:rPr>
          <w:rFonts w:cs="Arial"/>
        </w:rPr>
        <w:t xml:space="preserve">proposal’s </w:t>
      </w:r>
      <w:r w:rsidRPr="00C2396E">
        <w:rPr>
          <w:rFonts w:cs="Arial"/>
        </w:rPr>
        <w:t>requirements are clearly stated using ‘plain language’ to reduce uncertainty, enable the public to understand the requirements, and enable understanding and compliance by registrants</w:t>
      </w:r>
    </w:p>
    <w:p w14:paraId="77506C9A" w14:textId="77777777" w:rsidR="0037426D" w:rsidRPr="00C2396E" w:rsidRDefault="0037426D" w:rsidP="0037426D">
      <w:pPr>
        <w:pStyle w:val="AHPRAHeadline"/>
        <w:spacing w:before="200"/>
        <w:outlineLvl w:val="0"/>
        <w:rPr>
          <w:rFonts w:cs="Arial"/>
          <w:b/>
          <w:color w:val="auto"/>
          <w:sz w:val="20"/>
          <w:szCs w:val="20"/>
        </w:rPr>
      </w:pPr>
      <w:r w:rsidRPr="00C2396E">
        <w:rPr>
          <w:rFonts w:cs="Arial"/>
          <w:b/>
          <w:color w:val="auto"/>
          <w:sz w:val="20"/>
          <w:szCs w:val="20"/>
        </w:rPr>
        <w:t>Board</w:t>
      </w:r>
      <w:r>
        <w:rPr>
          <w:rFonts w:cs="Arial"/>
          <w:b/>
          <w:color w:val="auto"/>
          <w:sz w:val="20"/>
          <w:szCs w:val="20"/>
        </w:rPr>
        <w:t>s’</w:t>
      </w:r>
      <w:r w:rsidRPr="00C2396E">
        <w:rPr>
          <w:rFonts w:cs="Arial"/>
          <w:b/>
          <w:color w:val="auto"/>
          <w:sz w:val="20"/>
          <w:szCs w:val="20"/>
        </w:rPr>
        <w:t xml:space="preserve"> assessment</w:t>
      </w:r>
    </w:p>
    <w:p w14:paraId="63634A87" w14:textId="77777777" w:rsidR="0037426D" w:rsidRPr="00C2396E" w:rsidRDefault="0037426D" w:rsidP="0037426D">
      <w:pPr>
        <w:pStyle w:val="TableText"/>
        <w:keepNext w:val="0"/>
        <w:spacing w:before="200" w:after="200"/>
        <w:rPr>
          <w:rFonts w:ascii="Arial" w:hAnsi="Arial" w:cs="Arial"/>
          <w:color w:val="auto"/>
          <w:szCs w:val="20"/>
        </w:rPr>
      </w:pPr>
      <w:r w:rsidRPr="00C2396E">
        <w:rPr>
          <w:rFonts w:ascii="Arial" w:hAnsi="Arial" w:cs="Arial"/>
          <w:color w:val="auto"/>
          <w:szCs w:val="20"/>
        </w:rPr>
        <w:t>The Board</w:t>
      </w:r>
      <w:r>
        <w:rPr>
          <w:rFonts w:ascii="Arial" w:hAnsi="Arial" w:cs="Arial"/>
          <w:color w:val="auto"/>
          <w:szCs w:val="20"/>
        </w:rPr>
        <w:t>s</w:t>
      </w:r>
      <w:r w:rsidRPr="00C2396E">
        <w:rPr>
          <w:rFonts w:ascii="Arial" w:hAnsi="Arial" w:cs="Arial"/>
          <w:color w:val="auto"/>
          <w:szCs w:val="20"/>
        </w:rPr>
        <w:t xml:space="preserve"> consider the </w:t>
      </w:r>
      <w:r>
        <w:rPr>
          <w:rFonts w:ascii="Arial" w:hAnsi="Arial" w:cs="Arial"/>
          <w:color w:val="auto"/>
          <w:szCs w:val="20"/>
        </w:rPr>
        <w:t>draft guidelines have</w:t>
      </w:r>
      <w:r w:rsidRPr="00C2396E">
        <w:rPr>
          <w:rFonts w:ascii="Arial" w:hAnsi="Arial" w:cs="Arial"/>
          <w:color w:val="auto"/>
          <w:szCs w:val="20"/>
        </w:rPr>
        <w:t xml:space="preserve"> been written in plain English that will help practitioners to understand </w:t>
      </w:r>
      <w:r>
        <w:rPr>
          <w:rFonts w:ascii="Arial" w:hAnsi="Arial" w:cs="Arial"/>
          <w:color w:val="auto"/>
          <w:szCs w:val="20"/>
        </w:rPr>
        <w:t xml:space="preserve">their obligations in relation to blood-borne viruses. </w:t>
      </w:r>
    </w:p>
    <w:p w14:paraId="732EFD2C" w14:textId="77777777" w:rsidR="0037426D" w:rsidRPr="001837FD" w:rsidRDefault="0037426D" w:rsidP="002F1BC7">
      <w:pPr>
        <w:pStyle w:val="AHPRASubhead"/>
        <w:numPr>
          <w:ilvl w:val="0"/>
          <w:numId w:val="30"/>
        </w:numPr>
        <w:spacing w:before="200"/>
        <w:ind w:left="426" w:hanging="426"/>
        <w:rPr>
          <w:rFonts w:cs="Arial"/>
        </w:rPr>
      </w:pPr>
      <w:r w:rsidRPr="00C2396E">
        <w:rPr>
          <w:rFonts w:cs="Arial"/>
        </w:rPr>
        <w:t>Whether the Board</w:t>
      </w:r>
      <w:r>
        <w:rPr>
          <w:rFonts w:cs="Arial"/>
        </w:rPr>
        <w:t>s</w:t>
      </w:r>
      <w:r w:rsidRPr="00C2396E">
        <w:rPr>
          <w:rFonts w:cs="Arial"/>
        </w:rPr>
        <w:t xml:space="preserve"> ha</w:t>
      </w:r>
      <w:r>
        <w:rPr>
          <w:rFonts w:cs="Arial"/>
        </w:rPr>
        <w:t>ve</w:t>
      </w:r>
      <w:r w:rsidRPr="00C2396E">
        <w:rPr>
          <w:rFonts w:cs="Arial"/>
        </w:rPr>
        <w:t xml:space="preserve"> procedures in place to ensure that the proposed registration standard, code or guideline remains relevant and effective over time </w:t>
      </w:r>
    </w:p>
    <w:p w14:paraId="6CB382E8" w14:textId="77777777" w:rsidR="0037426D" w:rsidRPr="00C2396E" w:rsidRDefault="0037426D" w:rsidP="0037426D">
      <w:pPr>
        <w:pStyle w:val="AHPRAHeadline"/>
        <w:spacing w:before="200"/>
        <w:outlineLvl w:val="0"/>
        <w:rPr>
          <w:rFonts w:cs="Arial"/>
          <w:b/>
          <w:color w:val="auto"/>
          <w:sz w:val="20"/>
          <w:szCs w:val="20"/>
        </w:rPr>
      </w:pPr>
      <w:r w:rsidRPr="00C2396E">
        <w:rPr>
          <w:rFonts w:cs="Arial"/>
          <w:b/>
          <w:color w:val="auto"/>
          <w:sz w:val="20"/>
          <w:szCs w:val="20"/>
        </w:rPr>
        <w:t>Board</w:t>
      </w:r>
      <w:r>
        <w:rPr>
          <w:rFonts w:cs="Arial"/>
          <w:b/>
          <w:color w:val="auto"/>
          <w:sz w:val="20"/>
          <w:szCs w:val="20"/>
        </w:rPr>
        <w:t>s’</w:t>
      </w:r>
      <w:r w:rsidRPr="00C2396E">
        <w:rPr>
          <w:rFonts w:cs="Arial"/>
          <w:b/>
          <w:color w:val="auto"/>
          <w:sz w:val="20"/>
          <w:szCs w:val="20"/>
        </w:rPr>
        <w:t xml:space="preserve"> assessment</w:t>
      </w:r>
    </w:p>
    <w:p w14:paraId="3DB1FD49" w14:textId="77777777" w:rsidR="0037426D" w:rsidRPr="00C2396E" w:rsidRDefault="0037426D" w:rsidP="0037426D">
      <w:pPr>
        <w:pStyle w:val="TableText"/>
        <w:keepNext w:val="0"/>
        <w:spacing w:before="200" w:after="200"/>
        <w:rPr>
          <w:rFonts w:ascii="Arial" w:hAnsi="Arial" w:cs="Arial"/>
          <w:color w:val="auto"/>
          <w:szCs w:val="20"/>
        </w:rPr>
      </w:pPr>
      <w:r w:rsidRPr="00C2396E">
        <w:rPr>
          <w:rFonts w:ascii="Arial" w:hAnsi="Arial" w:cs="Arial"/>
          <w:color w:val="auto"/>
          <w:szCs w:val="20"/>
        </w:rPr>
        <w:t>If approved, the Board</w:t>
      </w:r>
      <w:r>
        <w:rPr>
          <w:rFonts w:ascii="Arial" w:hAnsi="Arial" w:cs="Arial"/>
          <w:color w:val="auto"/>
          <w:szCs w:val="20"/>
        </w:rPr>
        <w:t>s</w:t>
      </w:r>
      <w:r w:rsidRPr="00C2396E">
        <w:rPr>
          <w:rFonts w:ascii="Arial" w:hAnsi="Arial" w:cs="Arial"/>
          <w:color w:val="auto"/>
          <w:szCs w:val="20"/>
        </w:rPr>
        <w:t xml:space="preserve"> will review th</w:t>
      </w:r>
      <w:r>
        <w:rPr>
          <w:rFonts w:ascii="Arial" w:hAnsi="Arial" w:cs="Arial"/>
          <w:color w:val="auto"/>
          <w:szCs w:val="20"/>
        </w:rPr>
        <w:t>e revised guidelines</w:t>
      </w:r>
      <w:r w:rsidRPr="00C2396E">
        <w:rPr>
          <w:rFonts w:ascii="Arial" w:hAnsi="Arial" w:cs="Arial"/>
          <w:color w:val="auto"/>
          <w:szCs w:val="20"/>
        </w:rPr>
        <w:t xml:space="preserve"> at least every </w:t>
      </w:r>
      <w:r>
        <w:rPr>
          <w:rFonts w:ascii="Arial" w:hAnsi="Arial" w:cs="Arial"/>
          <w:color w:val="auto"/>
          <w:szCs w:val="20"/>
        </w:rPr>
        <w:t>five</w:t>
      </w:r>
      <w:r w:rsidRPr="00C2396E">
        <w:rPr>
          <w:rFonts w:ascii="Arial" w:hAnsi="Arial" w:cs="Arial"/>
          <w:color w:val="auto"/>
          <w:szCs w:val="20"/>
        </w:rPr>
        <w:t xml:space="preserve"> years, including an assessment against the objectives and guiding principles in the National Law and the COAG principles </w:t>
      </w:r>
      <w:r>
        <w:rPr>
          <w:rFonts w:ascii="Arial" w:hAnsi="Arial" w:cs="Arial"/>
          <w:color w:val="auto"/>
          <w:szCs w:val="20"/>
        </w:rPr>
        <w:t>for best practice regulation.</w:t>
      </w:r>
    </w:p>
    <w:p w14:paraId="704EAEDC" w14:textId="77777777" w:rsidR="0037426D" w:rsidRDefault="0037426D" w:rsidP="0037426D">
      <w:pPr>
        <w:pStyle w:val="TableText"/>
        <w:keepNext w:val="0"/>
        <w:spacing w:before="200" w:after="200"/>
        <w:rPr>
          <w:rFonts w:ascii="Arial" w:hAnsi="Arial" w:cs="Arial"/>
          <w:color w:val="auto"/>
          <w:szCs w:val="20"/>
        </w:rPr>
      </w:pPr>
      <w:r w:rsidRPr="00C2396E">
        <w:rPr>
          <w:rFonts w:ascii="Arial" w:hAnsi="Arial" w:cs="Arial"/>
          <w:color w:val="auto"/>
          <w:szCs w:val="20"/>
        </w:rPr>
        <w:t>However, the Board</w:t>
      </w:r>
      <w:r>
        <w:rPr>
          <w:rFonts w:ascii="Arial" w:hAnsi="Arial" w:cs="Arial"/>
          <w:color w:val="auto"/>
          <w:szCs w:val="20"/>
        </w:rPr>
        <w:t>s</w:t>
      </w:r>
      <w:r w:rsidRPr="00C2396E">
        <w:rPr>
          <w:rFonts w:ascii="Arial" w:hAnsi="Arial" w:cs="Arial"/>
          <w:color w:val="auto"/>
          <w:szCs w:val="20"/>
        </w:rPr>
        <w:t xml:space="preserve"> ma</w:t>
      </w:r>
      <w:r>
        <w:rPr>
          <w:rFonts w:ascii="Arial" w:hAnsi="Arial" w:cs="Arial"/>
          <w:color w:val="auto"/>
          <w:szCs w:val="20"/>
        </w:rPr>
        <w:t>y choose to review the guidelines</w:t>
      </w:r>
      <w:r w:rsidRPr="00C2396E">
        <w:rPr>
          <w:rFonts w:ascii="Arial" w:hAnsi="Arial" w:cs="Arial"/>
          <w:color w:val="auto"/>
          <w:szCs w:val="20"/>
        </w:rPr>
        <w:t xml:space="preserve"> earlier, in response to any issues which arise or new evidence which emerges to ensure the </w:t>
      </w:r>
      <w:r>
        <w:rPr>
          <w:rFonts w:ascii="Arial" w:hAnsi="Arial" w:cs="Arial"/>
          <w:color w:val="auto"/>
          <w:szCs w:val="20"/>
        </w:rPr>
        <w:t xml:space="preserve">guidelines </w:t>
      </w:r>
      <w:r w:rsidRPr="00C2396E">
        <w:rPr>
          <w:rFonts w:ascii="Arial" w:hAnsi="Arial" w:cs="Arial"/>
          <w:color w:val="auto"/>
          <w:szCs w:val="20"/>
        </w:rPr>
        <w:t>continued relevance and workability.</w:t>
      </w:r>
      <w:r w:rsidRPr="004C5D3A">
        <w:rPr>
          <w:rFonts w:ascii="Arial" w:hAnsi="Arial" w:cs="Arial"/>
          <w:color w:val="auto"/>
          <w:szCs w:val="20"/>
        </w:rPr>
        <w:t xml:space="preserve">  </w:t>
      </w:r>
    </w:p>
    <w:p w14:paraId="159729DB" w14:textId="77777777" w:rsidR="0037426D" w:rsidRPr="00FF5A2F" w:rsidRDefault="0037426D" w:rsidP="0037426D">
      <w:pPr>
        <w:pStyle w:val="TableText"/>
        <w:keepNext w:val="0"/>
        <w:spacing w:before="200" w:after="200"/>
        <w:rPr>
          <w:rFonts w:ascii="Arial" w:hAnsi="Arial" w:cs="Arial"/>
          <w:color w:val="auto"/>
          <w:szCs w:val="20"/>
        </w:rPr>
      </w:pPr>
      <w:r>
        <w:rPr>
          <w:rFonts w:ascii="Arial" w:hAnsi="Arial" w:cs="Arial"/>
          <w:color w:val="auto"/>
          <w:szCs w:val="20"/>
        </w:rPr>
        <w:t>As stated above, requiring compliance with the CDNA guidelines will support the guidelines to remain relevant and effective over time as updates to the CDNA guidelines will be instantly applicable to registered health practitioners.</w:t>
      </w:r>
    </w:p>
    <w:p w14:paraId="68D70652" w14:textId="4D948832" w:rsidR="00144204" w:rsidRPr="0037426D" w:rsidRDefault="00144204" w:rsidP="00144204">
      <w:pPr>
        <w:pStyle w:val="AHPRASubhead"/>
        <w:rPr>
          <w:b w:val="0"/>
          <w:i/>
          <w:color w:val="auto"/>
          <w:szCs w:val="20"/>
        </w:rPr>
      </w:pPr>
    </w:p>
    <w:p w14:paraId="56BF9EC2" w14:textId="29D64F31" w:rsidR="00144204" w:rsidRPr="0037426D" w:rsidRDefault="00144204" w:rsidP="00C522E0">
      <w:pPr>
        <w:spacing w:before="200"/>
        <w:rPr>
          <w:rStyle w:val="Hyperlink"/>
          <w:rFonts w:ascii="Arial" w:hAnsi="Arial" w:cs="Arial"/>
          <w:sz w:val="20"/>
          <w:szCs w:val="20"/>
          <w:lang w:val="en-AU"/>
        </w:rPr>
      </w:pPr>
    </w:p>
    <w:sectPr w:rsidR="00144204" w:rsidRPr="0037426D" w:rsidSect="00144204">
      <w:footerReference w:type="default" r:id="rId55"/>
      <w:headerReference w:type="first" r:id="rId56"/>
      <w:footerReference w:type="first" r:id="rId57"/>
      <w:pgSz w:w="11900" w:h="16840"/>
      <w:pgMar w:top="1440" w:right="1440" w:bottom="1440" w:left="1440" w:header="284" w:footer="22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1D5294" w14:textId="77777777" w:rsidR="00616FD1" w:rsidRDefault="00616FD1" w:rsidP="00FC2881">
      <w:pPr>
        <w:spacing w:after="0"/>
      </w:pPr>
      <w:r>
        <w:separator/>
      </w:r>
    </w:p>
  </w:endnote>
  <w:endnote w:type="continuationSeparator" w:id="0">
    <w:p w14:paraId="0892B2B5" w14:textId="77777777" w:rsidR="00616FD1" w:rsidRDefault="00616FD1" w:rsidP="00FC288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imes-Roman">
    <w:charset w:val="00"/>
    <w:family w:val="auto"/>
    <w:pitch w:val="variable"/>
    <w:sig w:usb0="00000003" w:usb1="00000000" w:usb2="00000000" w:usb3="00000000" w:csb0="00000001" w:csb1="00000000"/>
  </w:font>
  <w:font w:name="Arial MT L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arrow">
    <w:altName w:val="Arial Narro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4C5AE" w14:textId="77777777" w:rsidR="00144204" w:rsidRDefault="00144204" w:rsidP="004F359D">
    <w:pPr>
      <w:pStyle w:val="AHPRAHeadline"/>
      <w:rPr>
        <w:b/>
        <w:i/>
        <w:sz w:val="18"/>
        <w:szCs w:val="18"/>
      </w:rPr>
    </w:pPr>
  </w:p>
  <w:p w14:paraId="2D12AE44" w14:textId="7DB4F7D6" w:rsidR="00144204" w:rsidRPr="00625A1E" w:rsidRDefault="00144204" w:rsidP="004F359D">
    <w:pPr>
      <w:pStyle w:val="AHPRAHeadline"/>
      <w:rPr>
        <w:b/>
        <w:i/>
        <w:sz w:val="18"/>
        <w:szCs w:val="18"/>
      </w:rPr>
    </w:pPr>
    <w:r w:rsidRPr="00625A1E">
      <w:rPr>
        <w:b/>
        <w:i/>
        <w:sz w:val="18"/>
        <w:szCs w:val="18"/>
      </w:rPr>
      <w:t>Public consultation</w:t>
    </w:r>
    <w:r>
      <w:rPr>
        <w:i/>
        <w:sz w:val="18"/>
        <w:szCs w:val="18"/>
      </w:rPr>
      <w:br/>
    </w:r>
    <w:r w:rsidRPr="00625A1E">
      <w:rPr>
        <w:i/>
        <w:sz w:val="18"/>
        <w:szCs w:val="18"/>
      </w:rPr>
      <w:t>Draft guidelines for registered health practitioners and students in relation to blood-borne viruses</w:t>
    </w:r>
  </w:p>
  <w:p w14:paraId="50366553" w14:textId="77777777" w:rsidR="00144204" w:rsidRDefault="001442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F0237" w14:textId="77777777" w:rsidR="00144204" w:rsidRDefault="00144204" w:rsidP="004F359D">
    <w:pPr>
      <w:pStyle w:val="AHPRAHeadline"/>
      <w:rPr>
        <w:b/>
        <w:i/>
        <w:sz w:val="18"/>
        <w:szCs w:val="18"/>
      </w:rPr>
    </w:pPr>
    <w:bookmarkStart w:id="1" w:name="_Hlk18574326"/>
  </w:p>
  <w:p w14:paraId="2DEB6FEB" w14:textId="48E0CB2B" w:rsidR="00144204" w:rsidRPr="00625A1E" w:rsidRDefault="00144204" w:rsidP="004F359D">
    <w:pPr>
      <w:pStyle w:val="AHPRAHeadline"/>
      <w:rPr>
        <w:b/>
        <w:i/>
        <w:sz w:val="18"/>
        <w:szCs w:val="18"/>
      </w:rPr>
    </w:pPr>
    <w:r w:rsidRPr="00625A1E">
      <w:rPr>
        <w:b/>
        <w:i/>
        <w:sz w:val="18"/>
        <w:szCs w:val="18"/>
      </w:rPr>
      <w:t>Public consultation</w:t>
    </w:r>
    <w:r>
      <w:rPr>
        <w:i/>
        <w:sz w:val="18"/>
        <w:szCs w:val="18"/>
      </w:rPr>
      <w:br/>
    </w:r>
    <w:r w:rsidRPr="00625A1E">
      <w:rPr>
        <w:i/>
        <w:sz w:val="18"/>
        <w:szCs w:val="18"/>
      </w:rPr>
      <w:t>Draft guidelines for registered health practitioners and students in relation to blood-borne viruses</w:t>
    </w:r>
  </w:p>
  <w:bookmarkEnd w:id="1"/>
  <w:p w14:paraId="338FC7A9" w14:textId="77777777" w:rsidR="00144204" w:rsidRDefault="001442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D6CD0" w14:textId="77777777" w:rsidR="00144204" w:rsidRPr="00625A1E" w:rsidRDefault="00144204" w:rsidP="00144204">
    <w:pPr>
      <w:pStyle w:val="AHPRAHeadline"/>
      <w:rPr>
        <w:b/>
        <w:i/>
        <w:sz w:val="18"/>
        <w:szCs w:val="18"/>
      </w:rPr>
    </w:pPr>
    <w:r w:rsidRPr="00625A1E">
      <w:rPr>
        <w:b/>
        <w:i/>
        <w:sz w:val="18"/>
        <w:szCs w:val="18"/>
      </w:rPr>
      <w:t>Public consultation</w:t>
    </w:r>
    <w:r>
      <w:rPr>
        <w:i/>
        <w:sz w:val="18"/>
        <w:szCs w:val="18"/>
      </w:rPr>
      <w:br/>
    </w:r>
    <w:r w:rsidRPr="00625A1E">
      <w:rPr>
        <w:i/>
        <w:sz w:val="18"/>
        <w:szCs w:val="18"/>
      </w:rPr>
      <w:t>Draft guidelines for registered health practitioners and students in relation to blood-borne viruses</w:t>
    </w:r>
  </w:p>
  <w:p w14:paraId="09545171" w14:textId="77777777" w:rsidR="00144204" w:rsidRDefault="0014420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02D37" w14:textId="77777777" w:rsidR="00144204" w:rsidRDefault="00144204" w:rsidP="00144204">
    <w:pPr>
      <w:pStyle w:val="AHPRAHeadline"/>
      <w:rPr>
        <w:b/>
        <w:i/>
        <w:sz w:val="18"/>
        <w:szCs w:val="18"/>
      </w:rPr>
    </w:pPr>
  </w:p>
  <w:p w14:paraId="5B2395FC" w14:textId="77777777" w:rsidR="00144204" w:rsidRPr="00625A1E" w:rsidRDefault="00144204" w:rsidP="00144204">
    <w:pPr>
      <w:pStyle w:val="AHPRAHeadline"/>
      <w:rPr>
        <w:b/>
        <w:i/>
        <w:sz w:val="18"/>
        <w:szCs w:val="18"/>
      </w:rPr>
    </w:pPr>
    <w:r w:rsidRPr="00625A1E">
      <w:rPr>
        <w:b/>
        <w:i/>
        <w:sz w:val="18"/>
        <w:szCs w:val="18"/>
      </w:rPr>
      <w:t>Public consultation</w:t>
    </w:r>
    <w:r>
      <w:rPr>
        <w:i/>
        <w:sz w:val="18"/>
        <w:szCs w:val="18"/>
      </w:rPr>
      <w:br/>
    </w:r>
    <w:r w:rsidRPr="00625A1E">
      <w:rPr>
        <w:i/>
        <w:sz w:val="18"/>
        <w:szCs w:val="18"/>
      </w:rPr>
      <w:t>Draft guidelines for registered health practitioners and students in relation to blood-borne viruses</w:t>
    </w:r>
  </w:p>
  <w:p w14:paraId="7F3DB9D0" w14:textId="77777777" w:rsidR="00144204" w:rsidRDefault="0014420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542AA" w14:textId="77777777" w:rsidR="002F1BC7" w:rsidRDefault="002F1BC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72A2C" w14:textId="77777777" w:rsidR="002F1BC7" w:rsidRDefault="002F1BC7" w:rsidP="009021D4">
    <w:pPr>
      <w:pBdr>
        <w:top w:val="single" w:sz="4" w:space="2" w:color="auto"/>
      </w:pBdr>
      <w:tabs>
        <w:tab w:val="right" w:pos="8786"/>
      </w:tabs>
      <w:spacing w:line="225" w:lineRule="exact"/>
      <w:ind w:left="20"/>
      <w:rPr>
        <w:rFonts w:ascii="Times New Roman" w:eastAsia="Times New Roman" w:hAnsi="Times New Roman"/>
        <w:i/>
        <w:sz w:val="20"/>
        <w:szCs w:val="20"/>
      </w:rPr>
    </w:pPr>
  </w:p>
  <w:p w14:paraId="1A59C536" w14:textId="77777777" w:rsidR="002F1BC7" w:rsidRPr="001E48BB" w:rsidRDefault="002F1BC7" w:rsidP="009021D4">
    <w:pPr>
      <w:tabs>
        <w:tab w:val="right" w:pos="8786"/>
      </w:tabs>
      <w:spacing w:line="225" w:lineRule="exact"/>
      <w:ind w:left="20"/>
      <w:rPr>
        <w:rFonts w:eastAsia="Times New Roman"/>
        <w:szCs w:val="20"/>
      </w:rPr>
    </w:pPr>
    <w:r w:rsidRPr="001E48BB">
      <w:rPr>
        <w:rFonts w:eastAsia="Times New Roman"/>
        <w:i/>
        <w:szCs w:val="20"/>
      </w:rPr>
      <w:tab/>
    </w:r>
    <w:r w:rsidRPr="001E48BB">
      <w:rPr>
        <w:rFonts w:eastAsia="Times New Roman"/>
        <w:i/>
        <w:szCs w:val="20"/>
      </w:rPr>
      <w:fldChar w:fldCharType="begin"/>
    </w:r>
    <w:r w:rsidRPr="001E48BB">
      <w:rPr>
        <w:rFonts w:eastAsia="Times New Roman"/>
        <w:i/>
        <w:szCs w:val="20"/>
      </w:rPr>
      <w:instrText xml:space="preserve"> PAGE   \* MERGEFORMAT </w:instrText>
    </w:r>
    <w:r w:rsidRPr="001E48BB">
      <w:rPr>
        <w:rFonts w:eastAsia="Times New Roman"/>
        <w:i/>
        <w:szCs w:val="20"/>
      </w:rPr>
      <w:fldChar w:fldCharType="separate"/>
    </w:r>
    <w:r>
      <w:rPr>
        <w:rFonts w:eastAsia="Times New Roman"/>
        <w:i/>
        <w:noProof/>
        <w:szCs w:val="20"/>
      </w:rPr>
      <w:t>1</w:t>
    </w:r>
    <w:r w:rsidRPr="001E48BB">
      <w:rPr>
        <w:rFonts w:eastAsia="Times New Roman"/>
        <w:i/>
        <w:noProof/>
        <w:szCs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98C61" w14:textId="77777777" w:rsidR="002F1BC7" w:rsidRDefault="002F1BC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094F3" w14:textId="77777777" w:rsidR="002876CE" w:rsidRDefault="002876CE" w:rsidP="00144204">
    <w:pPr>
      <w:pStyle w:val="AHPRAHeadline"/>
      <w:rPr>
        <w:b/>
        <w:i/>
        <w:sz w:val="18"/>
        <w:szCs w:val="18"/>
      </w:rPr>
    </w:pPr>
  </w:p>
  <w:p w14:paraId="1B58DD79" w14:textId="77777777" w:rsidR="002876CE" w:rsidRDefault="002876CE">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9ADAF" w14:textId="77777777" w:rsidR="002F1BC7" w:rsidRDefault="002F1BC7" w:rsidP="002F1BC7">
    <w:pPr>
      <w:pStyle w:val="AHPRAHeadline"/>
      <w:rPr>
        <w:b/>
        <w:i/>
        <w:sz w:val="18"/>
        <w:szCs w:val="18"/>
      </w:rPr>
    </w:pPr>
    <w:r w:rsidRPr="00625A1E">
      <w:rPr>
        <w:b/>
        <w:i/>
        <w:sz w:val="18"/>
        <w:szCs w:val="18"/>
      </w:rPr>
      <w:t>Public consultation</w:t>
    </w:r>
    <w:r>
      <w:rPr>
        <w:i/>
        <w:sz w:val="18"/>
        <w:szCs w:val="18"/>
      </w:rPr>
      <w:br/>
    </w:r>
    <w:r w:rsidRPr="00625A1E">
      <w:rPr>
        <w:i/>
        <w:sz w:val="18"/>
        <w:szCs w:val="18"/>
      </w:rPr>
      <w:t>Draft guidelines for registered health practitioners and students in relation to blood-borne viruses</w:t>
    </w:r>
  </w:p>
  <w:p w14:paraId="11907ADC" w14:textId="6EC5F7A0" w:rsidR="002F1BC7" w:rsidRPr="002F1BC7" w:rsidRDefault="002F1BC7" w:rsidP="002F1BC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8D369" w14:textId="48135835" w:rsidR="002F1BC7" w:rsidRDefault="002F1BC7" w:rsidP="00144204">
    <w:pPr>
      <w:pStyle w:val="AHPRAHeadline"/>
      <w:rPr>
        <w:b/>
        <w:i/>
        <w:sz w:val="18"/>
        <w:szCs w:val="18"/>
      </w:rPr>
    </w:pPr>
    <w:r w:rsidRPr="00625A1E">
      <w:rPr>
        <w:b/>
        <w:i/>
        <w:sz w:val="18"/>
        <w:szCs w:val="18"/>
      </w:rPr>
      <w:t>Public consultation</w:t>
    </w:r>
    <w:r>
      <w:rPr>
        <w:i/>
        <w:sz w:val="18"/>
        <w:szCs w:val="18"/>
      </w:rPr>
      <w:br/>
    </w:r>
    <w:r w:rsidRPr="00625A1E">
      <w:rPr>
        <w:i/>
        <w:sz w:val="18"/>
        <w:szCs w:val="18"/>
      </w:rPr>
      <w:t>Draft guidelines for registered health practitioners and students in relation to blood-borne viruses</w:t>
    </w:r>
  </w:p>
  <w:p w14:paraId="3DB351D0" w14:textId="77777777" w:rsidR="002F1BC7" w:rsidRDefault="002F1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95C05" w14:textId="77777777" w:rsidR="00616FD1" w:rsidRDefault="00616FD1" w:rsidP="00FC2881">
      <w:pPr>
        <w:spacing w:after="0"/>
      </w:pPr>
      <w:r>
        <w:separator/>
      </w:r>
    </w:p>
  </w:footnote>
  <w:footnote w:type="continuationSeparator" w:id="0">
    <w:p w14:paraId="000681E3" w14:textId="77777777" w:rsidR="00616FD1" w:rsidRDefault="00616FD1" w:rsidP="00FC2881">
      <w:pPr>
        <w:spacing w:after="0"/>
      </w:pPr>
      <w:r>
        <w:continuationSeparator/>
      </w:r>
    </w:p>
  </w:footnote>
  <w:footnote w:type="continuationNotice" w:id="1">
    <w:p w14:paraId="7D352585" w14:textId="77777777" w:rsidR="00616FD1" w:rsidRDefault="00616FD1">
      <w:pPr>
        <w:spacing w:after="0"/>
      </w:pPr>
    </w:p>
  </w:footnote>
  <w:footnote w:id="2">
    <w:p w14:paraId="28E1D5F7" w14:textId="77777777" w:rsidR="00144204" w:rsidRPr="004F359D" w:rsidRDefault="00144204" w:rsidP="00C53723">
      <w:pPr>
        <w:pStyle w:val="FootnoteText"/>
        <w:spacing w:after="0"/>
        <w:rPr>
          <w:rFonts w:ascii="Arial" w:hAnsi="Arial" w:cs="Arial"/>
          <w:sz w:val="18"/>
          <w:szCs w:val="18"/>
          <w:lang w:val="en-AU"/>
        </w:rPr>
      </w:pPr>
      <w:r w:rsidRPr="004F359D">
        <w:rPr>
          <w:rStyle w:val="FootnoteReference"/>
          <w:rFonts w:ascii="Arial" w:hAnsi="Arial" w:cs="Arial"/>
          <w:sz w:val="18"/>
          <w:szCs w:val="18"/>
        </w:rPr>
        <w:footnoteRef/>
      </w:r>
      <w:r w:rsidRPr="004F359D">
        <w:rPr>
          <w:sz w:val="18"/>
          <w:szCs w:val="18"/>
        </w:rPr>
        <w:t xml:space="preserve"> </w:t>
      </w:r>
      <w:r w:rsidRPr="004F359D">
        <w:rPr>
          <w:rFonts w:ascii="Arial" w:hAnsi="Arial" w:cs="Arial"/>
          <w:sz w:val="18"/>
          <w:szCs w:val="18"/>
        </w:rPr>
        <w:t>Health Practitioner Regulation National Law, as in force in each state and territory</w:t>
      </w:r>
    </w:p>
  </w:footnote>
  <w:footnote w:id="3">
    <w:p w14:paraId="28F18400" w14:textId="05383B04" w:rsidR="00144204" w:rsidRPr="004F359D" w:rsidRDefault="00144204" w:rsidP="004F359D">
      <w:pPr>
        <w:keepLines/>
        <w:autoSpaceDE w:val="0"/>
        <w:autoSpaceDN w:val="0"/>
        <w:adjustRightInd w:val="0"/>
        <w:spacing w:after="0"/>
        <w:rPr>
          <w:rFonts w:ascii="Arial" w:hAnsi="Arial" w:cs="Arial"/>
          <w:color w:val="0000FF"/>
          <w:sz w:val="18"/>
          <w:szCs w:val="18"/>
          <w:lang w:val="en-AU"/>
        </w:rPr>
      </w:pPr>
      <w:r w:rsidRPr="004F359D">
        <w:rPr>
          <w:rStyle w:val="FootnoteReference"/>
          <w:rFonts w:ascii="Arial" w:hAnsi="Arial" w:cs="Arial"/>
          <w:sz w:val="18"/>
          <w:szCs w:val="18"/>
        </w:rPr>
        <w:footnoteRef/>
      </w:r>
      <w:r w:rsidRPr="004F359D">
        <w:rPr>
          <w:sz w:val="18"/>
          <w:szCs w:val="18"/>
        </w:rPr>
        <w:t xml:space="preserve"> </w:t>
      </w:r>
      <w:r w:rsidRPr="004F359D">
        <w:rPr>
          <w:rFonts w:ascii="Arial" w:hAnsi="Arial" w:cs="Arial"/>
          <w:sz w:val="18"/>
          <w:szCs w:val="18"/>
        </w:rPr>
        <w:t>You are welcome to supply a PDF file of your feedback in addition to the word (or equivalent) file. However we request that you supply a text or word file. As part of an effort to meet international website accessibility guidelines, AHPRA and National Boards are striving to publish documents in accessible formats (such as word), in addition to PDFs. More information about this is available at</w:t>
      </w:r>
      <w:r w:rsidRPr="004F359D">
        <w:rPr>
          <w:rFonts w:ascii="Arial" w:hAnsi="Arial" w:cs="Arial"/>
          <w:color w:val="000000"/>
          <w:sz w:val="18"/>
          <w:szCs w:val="18"/>
          <w:lang w:val="en-AU"/>
        </w:rPr>
        <w:t xml:space="preserve"> </w:t>
      </w:r>
      <w:r w:rsidRPr="004F359D">
        <w:rPr>
          <w:rFonts w:ascii="Arial" w:hAnsi="Arial" w:cs="Arial"/>
          <w:color w:val="0000FF"/>
          <w:sz w:val="18"/>
          <w:szCs w:val="18"/>
          <w:lang w:val="en-AU"/>
        </w:rPr>
        <w:t>www.ahpra.gov.au/About-AHPRA/Accessibility.aspx</w:t>
      </w:r>
    </w:p>
    <w:p w14:paraId="6FA721A3" w14:textId="2E8B49E2" w:rsidR="00144204" w:rsidRPr="00904901" w:rsidRDefault="00144204">
      <w:pPr>
        <w:pStyle w:val="FootnoteText"/>
        <w:rPr>
          <w:lang w:val="en-AU"/>
        </w:rPr>
      </w:pPr>
    </w:p>
  </w:footnote>
  <w:footnote w:id="4">
    <w:p w14:paraId="7ADA37E6" w14:textId="77777777" w:rsidR="00144204" w:rsidRPr="00F97539" w:rsidRDefault="00144204" w:rsidP="004F359D">
      <w:pPr>
        <w:pStyle w:val="FootnoteText"/>
        <w:spacing w:after="120"/>
        <w:rPr>
          <w:rFonts w:ascii="Arial" w:hAnsi="Arial" w:cs="Arial"/>
          <w:sz w:val="18"/>
          <w:lang w:val="en-AU"/>
        </w:rPr>
      </w:pPr>
      <w:r w:rsidRPr="00F97539">
        <w:rPr>
          <w:rStyle w:val="FootnoteReference"/>
          <w:rFonts w:ascii="Arial" w:hAnsi="Arial" w:cs="Arial"/>
          <w:sz w:val="18"/>
        </w:rPr>
        <w:footnoteRef/>
      </w:r>
      <w:r w:rsidRPr="00F97539">
        <w:rPr>
          <w:rFonts w:ascii="Arial" w:hAnsi="Arial" w:cs="Arial"/>
          <w:sz w:val="18"/>
        </w:rPr>
        <w:t xml:space="preserve"> The CDNA refers to healthcare workers while the Boards refer to practitioners</w:t>
      </w:r>
    </w:p>
  </w:footnote>
  <w:footnote w:id="5">
    <w:p w14:paraId="209F6439" w14:textId="77777777" w:rsidR="00144204" w:rsidRPr="00F97539" w:rsidRDefault="00144204" w:rsidP="00105E9D">
      <w:pPr>
        <w:pStyle w:val="FootnoteText"/>
        <w:rPr>
          <w:rFonts w:ascii="Arial" w:hAnsi="Arial" w:cs="Arial"/>
          <w:sz w:val="18"/>
        </w:rPr>
      </w:pPr>
      <w:r w:rsidRPr="00F97539">
        <w:rPr>
          <w:rStyle w:val="FootnoteReference"/>
          <w:rFonts w:ascii="Arial" w:hAnsi="Arial" w:cs="Arial"/>
          <w:sz w:val="18"/>
        </w:rPr>
        <w:footnoteRef/>
      </w:r>
      <w:r w:rsidRPr="00F97539">
        <w:rPr>
          <w:rFonts w:ascii="Arial" w:hAnsi="Arial" w:cs="Arial"/>
          <w:sz w:val="18"/>
        </w:rPr>
        <w:t xml:space="preserve"> This is the definition adopted by the CDNA</w:t>
      </w:r>
    </w:p>
  </w:footnote>
  <w:footnote w:id="6">
    <w:p w14:paraId="1C1A63C3" w14:textId="77777777" w:rsidR="00144204" w:rsidRPr="00891C9E" w:rsidRDefault="00144204" w:rsidP="00144204">
      <w:pPr>
        <w:pStyle w:val="FootnoteText"/>
        <w:spacing w:after="0"/>
        <w:rPr>
          <w:rFonts w:ascii="Arial" w:hAnsi="Arial" w:cs="Arial"/>
          <w:sz w:val="18"/>
          <w:szCs w:val="18"/>
        </w:rPr>
      </w:pPr>
      <w:r w:rsidRPr="00891C9E">
        <w:rPr>
          <w:rStyle w:val="FootnoteReference"/>
          <w:rFonts w:cs="Arial"/>
          <w:szCs w:val="18"/>
        </w:rPr>
        <w:footnoteRef/>
      </w:r>
      <w:r w:rsidRPr="00891C9E">
        <w:rPr>
          <w:rFonts w:ascii="Arial" w:hAnsi="Arial" w:cs="Arial"/>
          <w:sz w:val="18"/>
          <w:szCs w:val="18"/>
        </w:rPr>
        <w:t xml:space="preserve"> The Health Practitioner Regulation National Law, as in force in each state and territory</w:t>
      </w:r>
    </w:p>
  </w:footnote>
  <w:footnote w:id="7">
    <w:p w14:paraId="3B71FFDD" w14:textId="77777777" w:rsidR="00144204" w:rsidRPr="00891C9E" w:rsidRDefault="00144204" w:rsidP="00144204">
      <w:pPr>
        <w:pStyle w:val="FootnoteText"/>
        <w:spacing w:after="0"/>
        <w:rPr>
          <w:rFonts w:ascii="Arial" w:hAnsi="Arial" w:cs="Arial"/>
          <w:sz w:val="18"/>
          <w:szCs w:val="18"/>
        </w:rPr>
      </w:pPr>
      <w:r w:rsidRPr="00891C9E">
        <w:rPr>
          <w:rStyle w:val="FootnoteReference"/>
          <w:rFonts w:cs="Arial"/>
          <w:szCs w:val="18"/>
        </w:rPr>
        <w:footnoteRef/>
      </w:r>
      <w:r w:rsidRPr="00891C9E">
        <w:rPr>
          <w:rFonts w:ascii="Arial" w:hAnsi="Arial" w:cs="Arial"/>
          <w:sz w:val="18"/>
          <w:szCs w:val="18"/>
        </w:rPr>
        <w:t xml:space="preserve"> S. 92 of the National Law</w:t>
      </w:r>
    </w:p>
  </w:footnote>
  <w:footnote w:id="8">
    <w:p w14:paraId="1F719AD4" w14:textId="77777777" w:rsidR="00144204" w:rsidRPr="00891C9E" w:rsidRDefault="00144204" w:rsidP="00144204">
      <w:pPr>
        <w:pStyle w:val="FootnoteText"/>
        <w:spacing w:after="0"/>
        <w:rPr>
          <w:rFonts w:ascii="Arial" w:hAnsi="Arial" w:cs="Arial"/>
          <w:sz w:val="18"/>
          <w:szCs w:val="18"/>
        </w:rPr>
      </w:pPr>
      <w:r w:rsidRPr="00891C9E">
        <w:rPr>
          <w:rStyle w:val="FootnoteReference"/>
          <w:rFonts w:cs="Arial"/>
          <w:szCs w:val="18"/>
        </w:rPr>
        <w:footnoteRef/>
      </w:r>
      <w:r w:rsidRPr="00891C9E">
        <w:rPr>
          <w:rFonts w:ascii="Arial" w:hAnsi="Arial" w:cs="Arial"/>
          <w:sz w:val="18"/>
          <w:szCs w:val="18"/>
        </w:rPr>
        <w:t xml:space="preserve"> S. 219 of the National Law</w:t>
      </w:r>
    </w:p>
  </w:footnote>
  <w:footnote w:id="9">
    <w:p w14:paraId="4424E60D" w14:textId="77777777" w:rsidR="002F1BC7" w:rsidRDefault="002F1BC7" w:rsidP="002F1BC7">
      <w:pPr>
        <w:pStyle w:val="FootnoteText"/>
        <w:rPr>
          <w:rFonts w:ascii="Calibri" w:hAnsi="Calibri"/>
          <w:lang w:val="en-AU"/>
        </w:rPr>
      </w:pPr>
      <w:r w:rsidRPr="006C24F3">
        <w:rPr>
          <w:rStyle w:val="FootnoteReference"/>
          <w:rFonts w:ascii="Calibri" w:hAnsi="Calibri"/>
        </w:rPr>
        <w:footnoteRef/>
      </w:r>
      <w:r w:rsidRPr="006C24F3">
        <w:rPr>
          <w:rFonts w:ascii="Calibri" w:hAnsi="Calibri"/>
        </w:rPr>
        <w:t xml:space="preserve"> </w:t>
      </w:r>
      <w:r w:rsidRPr="006C24F3">
        <w:rPr>
          <w:rFonts w:ascii="Calibri" w:hAnsi="Calibri"/>
          <w:lang w:val="en-AU"/>
        </w:rPr>
        <w:t>Th</w:t>
      </w:r>
      <w:r w:rsidRPr="009672B5">
        <w:rPr>
          <w:rFonts w:ascii="Calibri" w:hAnsi="Calibri"/>
          <w:lang w:val="en-AU"/>
        </w:rPr>
        <w:t>roughout this document, the term ‘the</w:t>
      </w:r>
      <w:r w:rsidRPr="006C24F3">
        <w:rPr>
          <w:rFonts w:ascii="Calibri" w:hAnsi="Calibri"/>
          <w:lang w:val="en-AU"/>
        </w:rPr>
        <w:t xml:space="preserve"> Guidelines</w:t>
      </w:r>
      <w:r w:rsidRPr="009672B5">
        <w:rPr>
          <w:rFonts w:ascii="Calibri" w:hAnsi="Calibri"/>
          <w:lang w:val="en-AU"/>
        </w:rPr>
        <w:t>’</w:t>
      </w:r>
      <w:r w:rsidRPr="006C24F3">
        <w:rPr>
          <w:rFonts w:ascii="Calibri" w:hAnsi="Calibri"/>
          <w:lang w:val="en-AU"/>
        </w:rPr>
        <w:t xml:space="preserve"> refers to the Australian national guidelines for the management of healthcare workers living with blood borne viruses </w:t>
      </w:r>
      <w:r>
        <w:rPr>
          <w:rFonts w:ascii="Calibri" w:hAnsi="Calibri"/>
          <w:lang w:val="en-AU"/>
        </w:rPr>
        <w:t>and healthcare workers who perform exposure prone procedures at risk of exposure to blood borne viruses.</w:t>
      </w:r>
    </w:p>
    <w:p w14:paraId="569A6C52" w14:textId="77777777" w:rsidR="002F1BC7" w:rsidRPr="006C24F3" w:rsidRDefault="002F1BC7" w:rsidP="002F1BC7">
      <w:pPr>
        <w:pStyle w:val="FootnoteText"/>
        <w:rPr>
          <w:rFonts w:ascii="Calibri" w:hAnsi="Calibri"/>
          <w:lang w:val="en-AU"/>
        </w:rPr>
      </w:pPr>
      <w:r>
        <w:rPr>
          <w:rFonts w:ascii="Calibri" w:hAnsi="Calibri"/>
          <w:lang w:val="en-AU"/>
        </w:rPr>
        <w:t xml:space="preserve"> </w:t>
      </w:r>
    </w:p>
  </w:footnote>
  <w:footnote w:id="10">
    <w:p w14:paraId="7D3A5955" w14:textId="77777777" w:rsidR="002F1BC7" w:rsidRPr="006F7B3E" w:rsidRDefault="002F1BC7" w:rsidP="002F1BC7">
      <w:pPr>
        <w:pStyle w:val="FootnoteText"/>
        <w:rPr>
          <w:rFonts w:ascii="Calibri" w:hAnsi="Calibri"/>
          <w:lang w:val="en-AU"/>
        </w:rPr>
      </w:pPr>
      <w:r w:rsidRPr="006C24F3">
        <w:rPr>
          <w:rStyle w:val="FootnoteReference"/>
          <w:rFonts w:ascii="Calibri" w:hAnsi="Calibri"/>
        </w:rPr>
        <w:footnoteRef/>
      </w:r>
      <w:r w:rsidRPr="006C24F3">
        <w:rPr>
          <w:rFonts w:ascii="Calibri" w:hAnsi="Calibri"/>
        </w:rPr>
        <w:t xml:space="preserve"> </w:t>
      </w:r>
      <w:r w:rsidRPr="006C24F3">
        <w:rPr>
          <w:rFonts w:ascii="Calibri" w:hAnsi="Calibri"/>
          <w:lang w:val="en-AU"/>
        </w:rPr>
        <w:t>For ease of reading throughout this document, the term’ HCW living with a BBV’ indicates a HCW with a confirmed infection of one or more BBV.</w:t>
      </w:r>
    </w:p>
  </w:footnote>
  <w:footnote w:id="11">
    <w:p w14:paraId="42820006" w14:textId="77777777" w:rsidR="002F1BC7" w:rsidRPr="00EE3758" w:rsidRDefault="002F1BC7" w:rsidP="002F1BC7">
      <w:pPr>
        <w:pStyle w:val="FootnoteText"/>
        <w:rPr>
          <w:rFonts w:ascii="Calibri" w:hAnsi="Calibri"/>
          <w:lang w:val="en-AU"/>
        </w:rPr>
      </w:pPr>
      <w:r w:rsidRPr="00EE3758">
        <w:rPr>
          <w:rStyle w:val="FootnoteReference"/>
          <w:rFonts w:ascii="Calibri" w:hAnsi="Calibri"/>
        </w:rPr>
        <w:footnoteRef/>
      </w:r>
      <w:r w:rsidRPr="00EE3758">
        <w:rPr>
          <w:rFonts w:ascii="Calibri" w:hAnsi="Calibri" w:cs="Arial"/>
        </w:rPr>
        <w:t xml:space="preserve"> For the purposes of these guidelines HCW includes student HCWs.</w:t>
      </w:r>
    </w:p>
  </w:footnote>
  <w:footnote w:id="12">
    <w:p w14:paraId="1047C09F" w14:textId="77777777" w:rsidR="002F1BC7" w:rsidRPr="00033287" w:rsidRDefault="002F1BC7" w:rsidP="002F1BC7">
      <w:pPr>
        <w:pStyle w:val="FootnoteText"/>
        <w:rPr>
          <w:lang w:val="en-AU"/>
        </w:rPr>
      </w:pPr>
      <w:r w:rsidRPr="002F767D">
        <w:rPr>
          <w:rStyle w:val="FootnoteReference"/>
          <w:rFonts w:ascii="Calibri" w:hAnsi="Calibri"/>
        </w:rPr>
        <w:footnoteRef/>
      </w:r>
      <w:r w:rsidRPr="002F767D">
        <w:rPr>
          <w:rFonts w:ascii="Calibri" w:hAnsi="Calibri"/>
        </w:rPr>
        <w:t xml:space="preserve"> </w:t>
      </w:r>
      <w:r w:rsidRPr="002F767D">
        <w:rPr>
          <w:rFonts w:ascii="Calibri" w:hAnsi="Calibri" w:cs="Arial"/>
          <w:szCs w:val="18"/>
        </w:rPr>
        <w:t>All laboratory tests referred to throughout this guideline are to be conducted in a National Association of Testing Authorities, Australia (NATA)/Royal College of Pathologists of Australasia (RCPA) accredited laboratory.</w:t>
      </w:r>
    </w:p>
  </w:footnote>
  <w:footnote w:id="13">
    <w:p w14:paraId="2BB55075" w14:textId="77777777" w:rsidR="002F1BC7" w:rsidRPr="001E48BB" w:rsidRDefault="002F1BC7" w:rsidP="002F1BC7">
      <w:pPr>
        <w:pStyle w:val="FootnoteText"/>
        <w:rPr>
          <w:rFonts w:ascii="Calibri" w:hAnsi="Calibri"/>
          <w:lang w:val="en-AU"/>
        </w:rPr>
      </w:pPr>
      <w:r w:rsidRPr="001E48BB">
        <w:rPr>
          <w:rStyle w:val="FootnoteReference"/>
          <w:rFonts w:ascii="Calibri" w:hAnsi="Calibri"/>
        </w:rPr>
        <w:footnoteRef/>
      </w:r>
      <w:r w:rsidRPr="001E48BB">
        <w:rPr>
          <w:rFonts w:ascii="Calibri" w:hAnsi="Calibri"/>
        </w:rPr>
        <w:t xml:space="preserve"> </w:t>
      </w:r>
      <w:r w:rsidRPr="00EE6A88">
        <w:rPr>
          <w:rFonts w:ascii="Calibri" w:hAnsi="Calibri"/>
          <w:lang w:val="en-AU"/>
        </w:rPr>
        <w:t>HCWs with</w:t>
      </w:r>
      <w:r>
        <w:rPr>
          <w:rFonts w:ascii="Calibri" w:hAnsi="Calibri"/>
          <w:lang w:val="en-AU"/>
        </w:rPr>
        <w:t xml:space="preserve"> previous </w:t>
      </w:r>
      <w:r w:rsidRPr="00EE6A88">
        <w:rPr>
          <w:rFonts w:ascii="Calibri" w:hAnsi="Calibri"/>
          <w:lang w:val="en-AU"/>
        </w:rPr>
        <w:t xml:space="preserve"> HCV </w:t>
      </w:r>
      <w:r>
        <w:rPr>
          <w:rFonts w:ascii="Calibri" w:hAnsi="Calibri"/>
          <w:lang w:val="en-AU"/>
        </w:rPr>
        <w:t>infection</w:t>
      </w:r>
      <w:r w:rsidRPr="00EE6A88">
        <w:rPr>
          <w:rFonts w:ascii="Calibri" w:hAnsi="Calibri"/>
          <w:lang w:val="en-AU"/>
        </w:rPr>
        <w:t>,</w:t>
      </w:r>
      <w:r w:rsidRPr="001E48BB">
        <w:rPr>
          <w:rFonts w:ascii="Calibri" w:hAnsi="Calibri"/>
          <w:lang w:val="en-AU"/>
        </w:rPr>
        <w:t xml:space="preserve"> who have undergone successful treatment, must be tested for HCV RNA not HCV antibodies. </w:t>
      </w:r>
    </w:p>
  </w:footnote>
  <w:footnote w:id="14">
    <w:p w14:paraId="65DC50EC" w14:textId="77777777" w:rsidR="002F1BC7" w:rsidRPr="001E48BB" w:rsidRDefault="002F1BC7" w:rsidP="002F1BC7">
      <w:pPr>
        <w:pStyle w:val="FootnoteText"/>
        <w:rPr>
          <w:rFonts w:ascii="Calibri" w:hAnsi="Calibri"/>
          <w:lang w:val="en-AU"/>
        </w:rPr>
      </w:pPr>
      <w:r w:rsidRPr="001E48BB">
        <w:rPr>
          <w:rStyle w:val="FootnoteReference"/>
          <w:rFonts w:ascii="Calibri" w:hAnsi="Calibri"/>
        </w:rPr>
        <w:footnoteRef/>
      </w:r>
      <w:r w:rsidRPr="001E48BB">
        <w:rPr>
          <w:rFonts w:ascii="Calibri" w:hAnsi="Calibri"/>
        </w:rPr>
        <w:t xml:space="preserve"> </w:t>
      </w:r>
      <w:r w:rsidRPr="001E48BB">
        <w:rPr>
          <w:rFonts w:ascii="Calibri" w:hAnsi="Calibri"/>
          <w:lang w:val="en-AU"/>
        </w:rPr>
        <w:t xml:space="preserve">Conversions from genome equivalents (geq/mL) to IU/mL were calculated using the WHO HBV standard preparation of 1IU is equivalent to 5.4 geq/mL. However, it is acknowledged that this can vary depending on the polymerase chain reaction based quantification assay so the values are approximations. </w:t>
      </w:r>
    </w:p>
  </w:footnote>
  <w:footnote w:id="15">
    <w:p w14:paraId="50196552" w14:textId="77777777" w:rsidR="002F1BC7" w:rsidRPr="001E48BB" w:rsidRDefault="002F1BC7" w:rsidP="002F1BC7">
      <w:pPr>
        <w:pStyle w:val="FootnoteText"/>
        <w:rPr>
          <w:rFonts w:ascii="Calibri" w:hAnsi="Calibri"/>
          <w:lang w:val="en-AU"/>
        </w:rPr>
      </w:pPr>
      <w:r w:rsidRPr="001E48BB">
        <w:rPr>
          <w:rStyle w:val="FootnoteReference"/>
          <w:rFonts w:ascii="Calibri" w:hAnsi="Calibri"/>
        </w:rPr>
        <w:footnoteRef/>
      </w:r>
      <w:r w:rsidRPr="001E48BB">
        <w:rPr>
          <w:rFonts w:ascii="Calibri" w:hAnsi="Calibri"/>
        </w:rPr>
        <w:t xml:space="preserve"> </w:t>
      </w:r>
      <w:r w:rsidRPr="001E48BB">
        <w:rPr>
          <w:rFonts w:ascii="Calibri" w:hAnsi="Calibri"/>
          <w:lang w:val="en-AU"/>
        </w:rPr>
        <w:t>If a HCW has had a significant time away from the field they must meet the requirements specified by the relevant recency of practice registration standards.</w:t>
      </w:r>
    </w:p>
  </w:footnote>
  <w:footnote w:id="16">
    <w:p w14:paraId="7950D0BB" w14:textId="77777777" w:rsidR="002F1BC7" w:rsidRPr="00AF3F90" w:rsidRDefault="002F1BC7" w:rsidP="002F1BC7">
      <w:pPr>
        <w:pStyle w:val="FootnoteText"/>
        <w:rPr>
          <w:lang w:val="en-AU"/>
        </w:rPr>
      </w:pPr>
      <w:r>
        <w:rPr>
          <w:rStyle w:val="FootnoteReference"/>
        </w:rPr>
        <w:footnoteRef/>
      </w:r>
      <w:r>
        <w:t xml:space="preserve"> A career break can involve a HCW taking a break from all health-related work, or only taking a break from work involving EPPs. Upon returning to work, the HCW must meet the recency of practice requirements as described in Section 5.2 Support of HCWs living with a BBV. </w:t>
      </w:r>
    </w:p>
  </w:footnote>
  <w:footnote w:id="17">
    <w:p w14:paraId="2C647CE3" w14:textId="77777777" w:rsidR="002F1BC7" w:rsidRPr="001E48BB" w:rsidRDefault="002F1BC7" w:rsidP="002F1BC7">
      <w:pPr>
        <w:pStyle w:val="FootnoteText"/>
        <w:rPr>
          <w:rFonts w:ascii="Calibri" w:hAnsi="Calibri"/>
          <w:lang w:val="en-AU"/>
        </w:rPr>
      </w:pPr>
      <w:r w:rsidRPr="001E48BB">
        <w:rPr>
          <w:rStyle w:val="FootnoteReference"/>
          <w:rFonts w:ascii="Calibri" w:hAnsi="Calibri"/>
        </w:rPr>
        <w:footnoteRef/>
      </w:r>
      <w:r w:rsidRPr="001E48BB">
        <w:rPr>
          <w:rFonts w:ascii="Calibri" w:hAnsi="Calibri"/>
        </w:rPr>
        <w:t xml:space="preserve"> </w:t>
      </w:r>
      <w:r w:rsidRPr="001E48BB">
        <w:rPr>
          <w:rFonts w:ascii="Calibri" w:hAnsi="Calibri"/>
          <w:lang w:val="en-AU"/>
        </w:rPr>
        <w:t>If a HCW has had a significant time away from the field they must meet the requirements specified by the relevant recency of practice registration standards</w:t>
      </w:r>
    </w:p>
  </w:footnote>
  <w:footnote w:id="18">
    <w:p w14:paraId="2617DA1F" w14:textId="77777777" w:rsidR="002F1BC7" w:rsidRPr="00C03E2D" w:rsidRDefault="002F1BC7" w:rsidP="002F1BC7">
      <w:pPr>
        <w:pStyle w:val="FootnoteText"/>
        <w:rPr>
          <w:lang w:val="en-AU"/>
        </w:rPr>
      </w:pPr>
      <w:r w:rsidRPr="001E48BB">
        <w:rPr>
          <w:rStyle w:val="FootnoteReference"/>
          <w:rFonts w:ascii="Calibri" w:hAnsi="Calibri"/>
        </w:rPr>
        <w:footnoteRef/>
      </w:r>
      <w:r w:rsidRPr="001E48BB">
        <w:rPr>
          <w:rFonts w:ascii="Calibri" w:hAnsi="Calibri"/>
        </w:rPr>
        <w:t xml:space="preserve"> </w:t>
      </w:r>
      <w:r w:rsidRPr="001E48BB">
        <w:rPr>
          <w:rFonts w:ascii="Calibri" w:hAnsi="Calibri"/>
          <w:lang w:val="en-AU"/>
        </w:rPr>
        <w:t xml:space="preserve">Proof of successful treatment is demonstrated </w:t>
      </w:r>
      <w:r w:rsidRPr="001E48BB">
        <w:rPr>
          <w:rFonts w:ascii="Calibri" w:hAnsi="Calibri"/>
        </w:rPr>
        <w:t>by a negative HCV RNA test</w:t>
      </w:r>
      <w:r w:rsidRPr="001E48BB">
        <w:rPr>
          <w:rFonts w:ascii="Calibri" w:hAnsi="Calibri"/>
          <w:lang w:val="en-AU"/>
        </w:rPr>
        <w:t xml:space="preserve"> </w:t>
      </w:r>
      <w:r w:rsidRPr="001E48BB">
        <w:rPr>
          <w:rFonts w:ascii="Calibri" w:hAnsi="Calibri"/>
        </w:rPr>
        <w:t>at least 12 weeks after completion of treatment and clearance by the treating doctor.</w:t>
      </w:r>
    </w:p>
  </w:footnote>
  <w:footnote w:id="19">
    <w:p w14:paraId="7C179FF0" w14:textId="77777777" w:rsidR="002F1BC7" w:rsidRPr="001E48BB" w:rsidRDefault="002F1BC7" w:rsidP="002F1BC7">
      <w:pPr>
        <w:pStyle w:val="FootnoteText"/>
        <w:rPr>
          <w:rFonts w:ascii="Calibri" w:hAnsi="Calibri"/>
          <w:lang w:val="en-AU"/>
        </w:rPr>
      </w:pPr>
      <w:r w:rsidRPr="001E48BB">
        <w:rPr>
          <w:rStyle w:val="FootnoteReference"/>
          <w:rFonts w:ascii="Calibri" w:hAnsi="Calibri"/>
        </w:rPr>
        <w:footnoteRef/>
      </w:r>
      <w:r w:rsidRPr="001E48BB">
        <w:rPr>
          <w:rFonts w:ascii="Calibri" w:hAnsi="Calibri"/>
        </w:rPr>
        <w:t xml:space="preserve"> </w:t>
      </w:r>
      <w:r w:rsidRPr="001E48BB">
        <w:rPr>
          <w:rFonts w:ascii="Calibri" w:hAnsi="Calibri"/>
          <w:lang w:val="en-AU"/>
        </w:rPr>
        <w:t>If a HCW has had a significant time away from the field they must meet the requirements specified by the relevant recency of practice registration standards.</w:t>
      </w:r>
    </w:p>
  </w:footnote>
  <w:footnote w:id="20">
    <w:p w14:paraId="315FC1BC" w14:textId="77777777" w:rsidR="002F1BC7" w:rsidRPr="001E48BB" w:rsidRDefault="002F1BC7" w:rsidP="002F1BC7">
      <w:pPr>
        <w:pStyle w:val="FootnoteText"/>
        <w:rPr>
          <w:rFonts w:ascii="Calibri" w:hAnsi="Calibri"/>
          <w:szCs w:val="18"/>
          <w:lang w:val="en-AU"/>
        </w:rPr>
      </w:pPr>
      <w:r w:rsidRPr="001E48BB">
        <w:rPr>
          <w:rStyle w:val="FootnoteReference"/>
          <w:rFonts w:ascii="Calibri" w:hAnsi="Calibri"/>
          <w:szCs w:val="18"/>
        </w:rPr>
        <w:footnoteRef/>
      </w:r>
      <w:r w:rsidRPr="001E48BB">
        <w:rPr>
          <w:rFonts w:ascii="Calibri" w:hAnsi="Calibri"/>
          <w:szCs w:val="18"/>
        </w:rPr>
        <w:t xml:space="preserve"> </w:t>
      </w:r>
      <w:r w:rsidRPr="001E48BB">
        <w:rPr>
          <w:rFonts w:ascii="Calibri" w:eastAsia="Arial" w:hAnsi="Calibri"/>
          <w:szCs w:val="18"/>
          <w:lang w:val="en-AU"/>
        </w:rPr>
        <w:t xml:space="preserve">Risk assessment </w:t>
      </w:r>
      <w:r w:rsidRPr="0008463A">
        <w:rPr>
          <w:rFonts w:ascii="Calibri" w:eastAsia="Arial" w:hAnsi="Calibri"/>
          <w:szCs w:val="18"/>
          <w:lang w:val="en-AU"/>
        </w:rPr>
        <w:t xml:space="preserve">includes </w:t>
      </w:r>
      <w:r w:rsidRPr="001E48BB">
        <w:rPr>
          <w:rFonts w:ascii="Calibri" w:eastAsia="Arial" w:hAnsi="Calibri"/>
          <w:szCs w:val="18"/>
          <w:lang w:val="en-AU"/>
        </w:rPr>
        <w:t>the standard of practice of the HCW and the general health of the HCW.</w:t>
      </w:r>
    </w:p>
  </w:footnote>
  <w:footnote w:id="21">
    <w:p w14:paraId="41981367" w14:textId="77777777" w:rsidR="002F1BC7" w:rsidRPr="00792FE8" w:rsidRDefault="002F1BC7" w:rsidP="002F1BC7">
      <w:pPr>
        <w:pStyle w:val="BodyText"/>
        <w:rPr>
          <w:spacing w:val="0"/>
          <w:sz w:val="18"/>
          <w:szCs w:val="18"/>
        </w:rPr>
      </w:pPr>
      <w:r w:rsidRPr="001E48BB">
        <w:rPr>
          <w:rStyle w:val="FootnoteReference"/>
          <w:rFonts w:ascii="Calibri" w:eastAsiaTheme="majorEastAsia" w:hAnsi="Calibri"/>
          <w:szCs w:val="18"/>
        </w:rPr>
        <w:footnoteRef/>
      </w:r>
      <w:r w:rsidRPr="001E48BB">
        <w:rPr>
          <w:rFonts w:ascii="Calibri" w:hAnsi="Calibri"/>
          <w:szCs w:val="18"/>
        </w:rPr>
        <w:t xml:space="preserve"> </w:t>
      </w:r>
      <w:r w:rsidRPr="001E48BB">
        <w:rPr>
          <w:rFonts w:ascii="Calibri" w:hAnsi="Calibri" w:cs="Arial"/>
          <w:bCs/>
          <w:spacing w:val="0"/>
          <w:szCs w:val="18"/>
        </w:rPr>
        <w:t>Lookback</w:t>
      </w:r>
      <w:r w:rsidRPr="001E48BB">
        <w:rPr>
          <w:rFonts w:ascii="Calibri" w:hAnsi="Calibri"/>
          <w:spacing w:val="0"/>
          <w:szCs w:val="18"/>
        </w:rPr>
        <w:t xml:space="preserve">: the process of identifying, tracing, recalling, counselling and testing patients or HCWs who may have been exposed to an infection in a </w:t>
      </w:r>
      <w:r>
        <w:rPr>
          <w:rFonts w:ascii="Calibri" w:hAnsi="Calibri"/>
          <w:spacing w:val="0"/>
          <w:szCs w:val="18"/>
        </w:rPr>
        <w:t>healthcare</w:t>
      </w:r>
      <w:r w:rsidRPr="001E48BB">
        <w:rPr>
          <w:rFonts w:ascii="Calibri" w:hAnsi="Calibri"/>
          <w:spacing w:val="0"/>
          <w:szCs w:val="18"/>
        </w:rPr>
        <w:t xml:space="preserve"> setting.</w:t>
      </w:r>
      <w:r w:rsidRPr="001E48BB">
        <w:rPr>
          <w:spacing w:val="0"/>
          <w:szCs w:val="18"/>
        </w:rPr>
        <w:t xml:space="preserve"> </w:t>
      </w:r>
    </w:p>
  </w:footnote>
  <w:footnote w:id="22">
    <w:p w14:paraId="022D228D" w14:textId="77777777" w:rsidR="002F1BC7" w:rsidRPr="001E48BB" w:rsidRDefault="002F1BC7" w:rsidP="002F1BC7">
      <w:pPr>
        <w:pStyle w:val="FootnoteText"/>
        <w:rPr>
          <w:rFonts w:ascii="Calibri" w:hAnsi="Calibri"/>
          <w:lang w:val="en-AU"/>
        </w:rPr>
      </w:pPr>
      <w:r w:rsidRPr="0008463A">
        <w:rPr>
          <w:rStyle w:val="FootnoteReference"/>
          <w:rFonts w:ascii="Calibri" w:hAnsi="Calibri"/>
        </w:rPr>
        <w:footnoteRef/>
      </w:r>
      <w:r w:rsidRPr="0008463A">
        <w:rPr>
          <w:rFonts w:ascii="Calibri" w:hAnsi="Calibri"/>
        </w:rPr>
        <w:t xml:space="preserve"> The specialist Colleges can provide advice on which procedures in their respective specialties are EPPs. Their contact details are provided in </w:t>
      </w:r>
      <w:r w:rsidRPr="0008463A">
        <w:fldChar w:fldCharType="begin"/>
      </w:r>
      <w:r w:rsidRPr="0008463A">
        <w:rPr>
          <w:rFonts w:ascii="Calibri" w:hAnsi="Calibri"/>
        </w:rPr>
        <w:instrText xml:space="preserve"> REF _Ref455657847 \h  \* MERGEFORMAT </w:instrText>
      </w:r>
      <w:r w:rsidRPr="0008463A">
        <w:fldChar w:fldCharType="separate"/>
      </w:r>
      <w:r w:rsidRPr="00013F35">
        <w:rPr>
          <w:rFonts w:ascii="Calibri" w:hAnsi="Calibri"/>
        </w:rPr>
        <w:t>Appendix 2: Roles</w:t>
      </w:r>
      <w:r w:rsidRPr="0008463A">
        <w:fldChar w:fldCharType="end"/>
      </w:r>
      <w:r w:rsidRPr="0008463A">
        <w:rPr>
          <w:rFonts w:ascii="Calibri" w:hAnsi="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D5105" w14:textId="77777777" w:rsidR="00144204" w:rsidRPr="00CD21AB" w:rsidRDefault="00144204" w:rsidP="00CD21AB">
    <w:pPr>
      <w:pStyle w:val="Header"/>
      <w:tabs>
        <w:tab w:val="clear" w:pos="4513"/>
        <w:tab w:val="clear" w:pos="9026"/>
        <w:tab w:val="left" w:pos="2793"/>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F16D0" w14:textId="77777777" w:rsidR="00144204" w:rsidRDefault="00144204" w:rsidP="001F24B6">
    <w:pPr>
      <w:pStyle w:val="Header"/>
      <w:jc w:val="right"/>
    </w:pPr>
    <w:r>
      <w:rPr>
        <w:noProof/>
      </w:rPr>
      <w:drawing>
        <wp:inline distT="0" distB="0" distL="0" distR="0" wp14:anchorId="747F476B" wp14:editId="51E3BD4B">
          <wp:extent cx="3505200" cy="1457325"/>
          <wp:effectExtent l="0" t="0" r="0" b="9525"/>
          <wp:docPr id="1" name="Picture 0" descr="7483 AHPRA_CombinedBoards_14.jpg"/>
          <wp:cNvGraphicFramePr/>
          <a:graphic xmlns:a="http://schemas.openxmlformats.org/drawingml/2006/main">
            <a:graphicData uri="http://schemas.openxmlformats.org/drawingml/2006/picture">
              <pic:pic xmlns:pic="http://schemas.openxmlformats.org/drawingml/2006/picture">
                <pic:nvPicPr>
                  <pic:cNvPr id="2" name="Picture 0" descr="7483 AHPRA_CombinedBoards_14.jpg"/>
                  <pic:cNvPicPr/>
                </pic:nvPicPr>
                <pic:blipFill>
                  <a:blip r:embed="rId1"/>
                  <a:stretch>
                    <a:fillRect/>
                  </a:stretch>
                </pic:blipFill>
                <pic:spPr>
                  <a:xfrm>
                    <a:off x="0" y="0"/>
                    <a:ext cx="3505200" cy="14573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A7658" w14:textId="5A125041" w:rsidR="00144204" w:rsidRDefault="005318B0" w:rsidP="00144204">
    <w:r w:rsidRPr="00FD12F3">
      <w:rPr>
        <w:noProof/>
        <w:color w:val="A6A6A6" w:themeColor="background1" w:themeShade="A6"/>
        <w:sz w:val="16"/>
      </w:rPr>
      <w:drawing>
        <wp:anchor distT="0" distB="0" distL="114300" distR="114300" simplePos="0" relativeHeight="251662336" behindDoc="0" locked="0" layoutInCell="1" allowOverlap="1" wp14:anchorId="319FE36A" wp14:editId="513C0934">
          <wp:simplePos x="0" y="0"/>
          <wp:positionH relativeFrom="margin">
            <wp:posOffset>4267200</wp:posOffset>
          </wp:positionH>
          <wp:positionV relativeFrom="margin">
            <wp:posOffset>-1289594</wp:posOffset>
          </wp:positionV>
          <wp:extent cx="1651051" cy="1316736"/>
          <wp:effectExtent l="0" t="0" r="6350" b="0"/>
          <wp:wrapSquare wrapText="bothSides"/>
          <wp:docPr id="8"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051" cy="1316736"/>
                  </a:xfrm>
                  <a:prstGeom prst="rect">
                    <a:avLst/>
                  </a:prstGeom>
                </pic:spPr>
              </pic:pic>
            </a:graphicData>
          </a:graphic>
        </wp:anchor>
      </w:drawing>
    </w:r>
  </w:p>
  <w:p w14:paraId="559B0601" w14:textId="2DC42D80" w:rsidR="00144204" w:rsidRDefault="00144204" w:rsidP="00144204"/>
  <w:p w14:paraId="374244C2" w14:textId="77777777" w:rsidR="00144204" w:rsidRDefault="00144204" w:rsidP="00144204"/>
  <w:p w14:paraId="04548BA4" w14:textId="77777777" w:rsidR="00144204" w:rsidRDefault="00144204" w:rsidP="00144204"/>
  <w:p w14:paraId="3A7DB8CB" w14:textId="77777777" w:rsidR="00144204" w:rsidRDefault="00144204" w:rsidP="0014420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31D51" w14:textId="77777777" w:rsidR="002F1BC7" w:rsidRDefault="002F1BC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B7ECA" w14:textId="77777777" w:rsidR="002F1BC7" w:rsidRPr="000B2E79" w:rsidRDefault="002F1BC7" w:rsidP="009021D4">
    <w:pPr>
      <w:pStyle w:val="Header"/>
      <w:jc w:val="center"/>
      <w:rPr>
        <w:b/>
      </w:rPr>
    </w:pPr>
    <w:r>
      <w:rPr>
        <w:b/>
        <w:color w:val="FF0000"/>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55B0B" w14:textId="77777777" w:rsidR="002F1BC7" w:rsidRDefault="002F1BC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F8B97" w14:textId="3B351A8A" w:rsidR="002876CE" w:rsidRDefault="002876CE" w:rsidP="00144204"/>
  <w:p w14:paraId="2FEAE29E" w14:textId="77777777" w:rsidR="002876CE" w:rsidRDefault="002876CE" w:rsidP="00144204"/>
  <w:p w14:paraId="61049B2B" w14:textId="77777777" w:rsidR="002876CE" w:rsidRDefault="002876CE" w:rsidP="00144204"/>
  <w:p w14:paraId="08C19D50" w14:textId="77777777" w:rsidR="002876CE" w:rsidRDefault="002876CE" w:rsidP="00144204"/>
  <w:p w14:paraId="06BCADA1" w14:textId="77777777" w:rsidR="002876CE" w:rsidRDefault="002876CE" w:rsidP="00144204"/>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8BB48" w14:textId="1352315C" w:rsidR="00144204" w:rsidRDefault="00144204" w:rsidP="00144204"/>
  <w:p w14:paraId="2E457254" w14:textId="533C5BBB" w:rsidR="00144204" w:rsidRDefault="0037426D" w:rsidP="00144204">
    <w:r>
      <w:rPr>
        <w:noProof/>
      </w:rPr>
      <w:drawing>
        <wp:anchor distT="0" distB="0" distL="114300" distR="114300" simplePos="0" relativeHeight="251660288" behindDoc="0" locked="0" layoutInCell="1" allowOverlap="1" wp14:anchorId="6DD6DE0D" wp14:editId="4D97EF72">
          <wp:simplePos x="0" y="0"/>
          <wp:positionH relativeFrom="margin">
            <wp:align>right</wp:align>
          </wp:positionH>
          <wp:positionV relativeFrom="paragraph">
            <wp:posOffset>34925</wp:posOffset>
          </wp:positionV>
          <wp:extent cx="3505200" cy="1457325"/>
          <wp:effectExtent l="0" t="0" r="0" b="9525"/>
          <wp:wrapNone/>
          <wp:docPr id="4" name="Picture 0" descr="7483 AHPRA_CombinedBoards_14.jpg"/>
          <wp:cNvGraphicFramePr/>
          <a:graphic xmlns:a="http://schemas.openxmlformats.org/drawingml/2006/main">
            <a:graphicData uri="http://schemas.openxmlformats.org/drawingml/2006/picture">
              <pic:pic xmlns:pic="http://schemas.openxmlformats.org/drawingml/2006/picture">
                <pic:nvPicPr>
                  <pic:cNvPr id="2" name="Picture 0" descr="7483 AHPRA_CombinedBoards_14.jpg"/>
                  <pic:cNvPicPr/>
                </pic:nvPicPr>
                <pic:blipFill>
                  <a:blip r:embed="rId1"/>
                  <a:stretch>
                    <a:fillRect/>
                  </a:stretch>
                </pic:blipFill>
                <pic:spPr>
                  <a:xfrm>
                    <a:off x="0" y="0"/>
                    <a:ext cx="3505200" cy="1457325"/>
                  </a:xfrm>
                  <a:prstGeom prst="rect">
                    <a:avLst/>
                  </a:prstGeom>
                </pic:spPr>
              </pic:pic>
            </a:graphicData>
          </a:graphic>
          <wp14:sizeRelH relativeFrom="page">
            <wp14:pctWidth>0</wp14:pctWidth>
          </wp14:sizeRelH>
          <wp14:sizeRelV relativeFrom="page">
            <wp14:pctHeight>0</wp14:pctHeight>
          </wp14:sizeRelV>
        </wp:anchor>
      </w:drawing>
    </w:r>
  </w:p>
  <w:p w14:paraId="393FCAB2" w14:textId="77777777" w:rsidR="00144204" w:rsidRDefault="00144204" w:rsidP="00144204"/>
  <w:p w14:paraId="5F4FE1C2" w14:textId="77777777" w:rsidR="00144204" w:rsidRDefault="00144204" w:rsidP="00144204"/>
  <w:p w14:paraId="1694BA2D" w14:textId="77777777" w:rsidR="00144204" w:rsidRDefault="00144204" w:rsidP="0014420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42B23"/>
    <w:multiLevelType w:val="hybridMultilevel"/>
    <w:tmpl w:val="980ECF98"/>
    <w:lvl w:ilvl="0" w:tplc="816696CA">
      <w:start w:val="1"/>
      <w:numFmt w:val="decimal"/>
      <w:pStyle w:val="AHPRAbodyContextparanumbered"/>
      <w:lvlText w:val="%1."/>
      <w:lvlJc w:val="left"/>
      <w:pPr>
        <w:ind w:left="360" w:hanging="360"/>
      </w:pPr>
      <w:rPr>
        <w:rFonts w:ascii="Arial" w:hAnsi="Arial" w:hint="default"/>
        <w:b w:val="0"/>
        <w:i w:val="0"/>
        <w:color w:val="auto"/>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0E697557"/>
    <w:multiLevelType w:val="hybridMultilevel"/>
    <w:tmpl w:val="B28ACEB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145FF8"/>
    <w:multiLevelType w:val="hybridMultilevel"/>
    <w:tmpl w:val="0A92EC64"/>
    <w:lvl w:ilvl="0" w:tplc="99F83F6A">
      <w:start w:val="1"/>
      <w:numFmt w:val="decimal"/>
      <w:lvlText w:val="%1."/>
      <w:lvlJc w:val="left"/>
      <w:pPr>
        <w:ind w:left="502" w:hanging="360"/>
      </w:pPr>
      <w:rPr>
        <w:rFonts w:ascii="Arial" w:eastAsia="Cambria" w:hAnsi="Arial" w:cs="Arial"/>
      </w:rPr>
    </w:lvl>
    <w:lvl w:ilvl="1" w:tplc="0C090001">
      <w:start w:val="1"/>
      <w:numFmt w:val="bullet"/>
      <w:lvlText w:val=""/>
      <w:lvlJc w:val="left"/>
      <w:pPr>
        <w:ind w:left="1222" w:hanging="360"/>
      </w:pPr>
      <w:rPr>
        <w:rFonts w:ascii="Symbol" w:hAnsi="Symbol"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6206F04"/>
    <w:multiLevelType w:val="hybridMultilevel"/>
    <w:tmpl w:val="658ADE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6EC10AA"/>
    <w:multiLevelType w:val="multilevel"/>
    <w:tmpl w:val="EC98171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9336E7D"/>
    <w:multiLevelType w:val="hybridMultilevel"/>
    <w:tmpl w:val="92E83D9E"/>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1BBB1320"/>
    <w:multiLevelType w:val="hybridMultilevel"/>
    <w:tmpl w:val="CE9CCF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CD419F8"/>
    <w:multiLevelType w:val="hybridMultilevel"/>
    <w:tmpl w:val="0AD0280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1D6B55D0"/>
    <w:multiLevelType w:val="hybridMultilevel"/>
    <w:tmpl w:val="1952C33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1E5A06DD"/>
    <w:multiLevelType w:val="hybridMultilevel"/>
    <w:tmpl w:val="03B81EF6"/>
    <w:lvl w:ilvl="0" w:tplc="0C090001">
      <w:start w:val="1"/>
      <w:numFmt w:val="bullet"/>
      <w:lvlText w:val=""/>
      <w:lvlJc w:val="left"/>
      <w:pPr>
        <w:ind w:left="927" w:hanging="360"/>
      </w:pPr>
      <w:rPr>
        <w:rFonts w:ascii="Symbol" w:hAnsi="Symbol" w:hint="default"/>
      </w:rPr>
    </w:lvl>
    <w:lvl w:ilvl="1" w:tplc="0C090003" w:tentative="1">
      <w:start w:val="1"/>
      <w:numFmt w:val="bullet"/>
      <w:lvlText w:val="o"/>
      <w:lvlJc w:val="left"/>
      <w:pPr>
        <w:ind w:left="1647" w:hanging="360"/>
      </w:pPr>
      <w:rPr>
        <w:rFonts w:ascii="Courier New" w:hAnsi="Courier New" w:cs="Arial"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Arial"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Arial" w:hint="default"/>
      </w:rPr>
    </w:lvl>
    <w:lvl w:ilvl="8" w:tplc="0C090005" w:tentative="1">
      <w:start w:val="1"/>
      <w:numFmt w:val="bullet"/>
      <w:lvlText w:val=""/>
      <w:lvlJc w:val="left"/>
      <w:pPr>
        <w:ind w:left="6687" w:hanging="360"/>
      </w:pPr>
      <w:rPr>
        <w:rFonts w:ascii="Wingdings" w:hAnsi="Wingdings" w:hint="default"/>
      </w:rPr>
    </w:lvl>
  </w:abstractNum>
  <w:abstractNum w:abstractNumId="13" w15:restartNumberingAfterBreak="0">
    <w:nsid w:val="1FF4174A"/>
    <w:multiLevelType w:val="hybridMultilevel"/>
    <w:tmpl w:val="5E902DA6"/>
    <w:lvl w:ilvl="0" w:tplc="0C090001">
      <w:start w:val="1"/>
      <w:numFmt w:val="bullet"/>
      <w:lvlText w:val=""/>
      <w:lvlJc w:val="left"/>
      <w:pPr>
        <w:ind w:left="744" w:hanging="360"/>
      </w:pPr>
      <w:rPr>
        <w:rFonts w:ascii="Symbol" w:hAnsi="Symbol" w:hint="default"/>
      </w:rPr>
    </w:lvl>
    <w:lvl w:ilvl="1" w:tplc="0C090003">
      <w:start w:val="1"/>
      <w:numFmt w:val="bullet"/>
      <w:lvlText w:val="o"/>
      <w:lvlJc w:val="left"/>
      <w:pPr>
        <w:ind w:left="1464" w:hanging="360"/>
      </w:pPr>
      <w:rPr>
        <w:rFonts w:ascii="Courier New" w:hAnsi="Courier New" w:cs="Arial" w:hint="default"/>
      </w:rPr>
    </w:lvl>
    <w:lvl w:ilvl="2" w:tplc="0C090005" w:tentative="1">
      <w:start w:val="1"/>
      <w:numFmt w:val="bullet"/>
      <w:lvlText w:val=""/>
      <w:lvlJc w:val="left"/>
      <w:pPr>
        <w:ind w:left="2184" w:hanging="360"/>
      </w:pPr>
      <w:rPr>
        <w:rFonts w:ascii="Wingdings" w:hAnsi="Wingdings" w:hint="default"/>
      </w:rPr>
    </w:lvl>
    <w:lvl w:ilvl="3" w:tplc="0C090001" w:tentative="1">
      <w:start w:val="1"/>
      <w:numFmt w:val="bullet"/>
      <w:lvlText w:val=""/>
      <w:lvlJc w:val="left"/>
      <w:pPr>
        <w:ind w:left="2904" w:hanging="360"/>
      </w:pPr>
      <w:rPr>
        <w:rFonts w:ascii="Symbol" w:hAnsi="Symbol" w:hint="default"/>
      </w:rPr>
    </w:lvl>
    <w:lvl w:ilvl="4" w:tplc="0C090003" w:tentative="1">
      <w:start w:val="1"/>
      <w:numFmt w:val="bullet"/>
      <w:lvlText w:val="o"/>
      <w:lvlJc w:val="left"/>
      <w:pPr>
        <w:ind w:left="3624" w:hanging="360"/>
      </w:pPr>
      <w:rPr>
        <w:rFonts w:ascii="Courier New" w:hAnsi="Courier New" w:cs="Arial" w:hint="default"/>
      </w:rPr>
    </w:lvl>
    <w:lvl w:ilvl="5" w:tplc="0C090005" w:tentative="1">
      <w:start w:val="1"/>
      <w:numFmt w:val="bullet"/>
      <w:lvlText w:val=""/>
      <w:lvlJc w:val="left"/>
      <w:pPr>
        <w:ind w:left="4344" w:hanging="360"/>
      </w:pPr>
      <w:rPr>
        <w:rFonts w:ascii="Wingdings" w:hAnsi="Wingdings" w:hint="default"/>
      </w:rPr>
    </w:lvl>
    <w:lvl w:ilvl="6" w:tplc="0C090001" w:tentative="1">
      <w:start w:val="1"/>
      <w:numFmt w:val="bullet"/>
      <w:lvlText w:val=""/>
      <w:lvlJc w:val="left"/>
      <w:pPr>
        <w:ind w:left="5064" w:hanging="360"/>
      </w:pPr>
      <w:rPr>
        <w:rFonts w:ascii="Symbol" w:hAnsi="Symbol" w:hint="default"/>
      </w:rPr>
    </w:lvl>
    <w:lvl w:ilvl="7" w:tplc="0C090003" w:tentative="1">
      <w:start w:val="1"/>
      <w:numFmt w:val="bullet"/>
      <w:lvlText w:val="o"/>
      <w:lvlJc w:val="left"/>
      <w:pPr>
        <w:ind w:left="5784" w:hanging="360"/>
      </w:pPr>
      <w:rPr>
        <w:rFonts w:ascii="Courier New" w:hAnsi="Courier New" w:cs="Arial" w:hint="default"/>
      </w:rPr>
    </w:lvl>
    <w:lvl w:ilvl="8" w:tplc="0C090005" w:tentative="1">
      <w:start w:val="1"/>
      <w:numFmt w:val="bullet"/>
      <w:lvlText w:val=""/>
      <w:lvlJc w:val="left"/>
      <w:pPr>
        <w:ind w:left="6504" w:hanging="360"/>
      </w:pPr>
      <w:rPr>
        <w:rFonts w:ascii="Wingdings" w:hAnsi="Wingdings" w:hint="default"/>
      </w:rPr>
    </w:lvl>
  </w:abstractNum>
  <w:abstractNum w:abstractNumId="14" w15:restartNumberingAfterBreak="0">
    <w:nsid w:val="20E36497"/>
    <w:multiLevelType w:val="hybridMultilevel"/>
    <w:tmpl w:val="5ED0DF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1F02C81"/>
    <w:multiLevelType w:val="hybridMultilevel"/>
    <w:tmpl w:val="FEBE8B72"/>
    <w:lvl w:ilvl="0" w:tplc="3C166F4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F71BFA"/>
    <w:multiLevelType w:val="hybridMultilevel"/>
    <w:tmpl w:val="E4CADD5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96B3436"/>
    <w:multiLevelType w:val="hybridMultilevel"/>
    <w:tmpl w:val="B200326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Aria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Arial"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Arial"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2E8442C3"/>
    <w:multiLevelType w:val="hybridMultilevel"/>
    <w:tmpl w:val="000C2650"/>
    <w:lvl w:ilvl="0" w:tplc="0C090001">
      <w:start w:val="1"/>
      <w:numFmt w:val="bullet"/>
      <w:lvlText w:val=""/>
      <w:lvlJc w:val="left"/>
      <w:pPr>
        <w:ind w:left="1069" w:hanging="360"/>
      </w:pPr>
      <w:rPr>
        <w:rFonts w:ascii="Symbol" w:hAnsi="Symbol" w:hint="default"/>
      </w:rPr>
    </w:lvl>
    <w:lvl w:ilvl="1" w:tplc="CE7E3C88">
      <w:start w:val="1"/>
      <w:numFmt w:val="bullet"/>
      <w:lvlText w:val="-"/>
      <w:lvlJc w:val="left"/>
      <w:pPr>
        <w:ind w:left="1789" w:hanging="360"/>
      </w:pPr>
      <w:rPr>
        <w:rFonts w:ascii="Arial" w:hAnsi="Arial" w:hint="default"/>
      </w:rPr>
    </w:lvl>
    <w:lvl w:ilvl="2" w:tplc="04090005">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15:restartNumberingAfterBreak="0">
    <w:nsid w:val="2F727341"/>
    <w:multiLevelType w:val="hybridMultilevel"/>
    <w:tmpl w:val="194A82C4"/>
    <w:lvl w:ilvl="0" w:tplc="33E660A8">
      <w:start w:val="1"/>
      <w:numFmt w:val="decimal"/>
      <w:pStyle w:val="AHPRAnumberedbulletpoin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F33F80"/>
    <w:multiLevelType w:val="hybridMultilevel"/>
    <w:tmpl w:val="8BACEA5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0200978"/>
    <w:multiLevelType w:val="hybridMultilevel"/>
    <w:tmpl w:val="F07C617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30C065C2"/>
    <w:multiLevelType w:val="hybridMultilevel"/>
    <w:tmpl w:val="42C6061A"/>
    <w:lvl w:ilvl="0" w:tplc="676C3670">
      <w:start w:val="1"/>
      <w:numFmt w:val="decimal"/>
      <w:pStyle w:val="AHPRAnumberedsubheadinglevel1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9A65BC"/>
    <w:multiLevelType w:val="hybridMultilevel"/>
    <w:tmpl w:val="4EBA9C82"/>
    <w:lvl w:ilvl="0" w:tplc="30E07B36">
      <w:start w:val="1"/>
      <w:numFmt w:val="bullet"/>
      <w:pStyle w:val="AHPRABulletlevel1last"/>
      <w:lvlText w:val="–"/>
      <w:lvlJc w:val="left"/>
      <w:pPr>
        <w:tabs>
          <w:tab w:val="num" w:pos="360"/>
        </w:tabs>
        <w:ind w:left="360" w:hanging="360"/>
      </w:pPr>
      <w:rPr>
        <w:rFonts w:ascii="Arial" w:hAnsi="Aria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4" w15:restartNumberingAfterBreak="0">
    <w:nsid w:val="3BCE19E3"/>
    <w:multiLevelType w:val="hybridMultilevel"/>
    <w:tmpl w:val="1952C33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0F119F7"/>
    <w:multiLevelType w:val="hybridMultilevel"/>
    <w:tmpl w:val="FF1EE3C8"/>
    <w:lvl w:ilvl="0" w:tplc="0C090019">
      <w:start w:val="1"/>
      <w:numFmt w:val="lowerLetter"/>
      <w:lvlText w:val="%1."/>
      <w:lvlJc w:val="left"/>
      <w:pPr>
        <w:ind w:left="1080" w:hanging="360"/>
      </w:pPr>
    </w:lvl>
    <w:lvl w:ilvl="1" w:tplc="0C09001B">
      <w:start w:val="1"/>
      <w:numFmt w:val="lowerRoman"/>
      <w:lvlText w:val="%2."/>
      <w:lvlJc w:val="right"/>
      <w:pPr>
        <w:ind w:left="1800" w:hanging="360"/>
      </w:pPr>
    </w:lvl>
    <w:lvl w:ilvl="2" w:tplc="0A583580">
      <w:numFmt w:val="bullet"/>
      <w:lvlText w:val="-"/>
      <w:lvlJc w:val="left"/>
      <w:pPr>
        <w:ind w:left="2700" w:hanging="360"/>
      </w:pPr>
      <w:rPr>
        <w:rFonts w:ascii="Arial" w:eastAsia="Arial" w:hAnsi="Arial" w:cs="Symbol" w:hint="default"/>
      </w:r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6" w15:restartNumberingAfterBreak="0">
    <w:nsid w:val="45D37F28"/>
    <w:multiLevelType w:val="hybridMultilevel"/>
    <w:tmpl w:val="91F25678"/>
    <w:lvl w:ilvl="0" w:tplc="13A275AA">
      <w:start w:val="1"/>
      <w:numFmt w:val="bullet"/>
      <w:pStyle w:val="BulletsBody1"/>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Arial"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Arial"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Arial"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46E6237F"/>
    <w:multiLevelType w:val="hybridMultilevel"/>
    <w:tmpl w:val="176E4ACC"/>
    <w:lvl w:ilvl="0" w:tplc="D98EC470">
      <w:start w:val="1"/>
      <w:numFmt w:val="upperLetter"/>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8"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364ACC"/>
    <w:multiLevelType w:val="hybridMultilevel"/>
    <w:tmpl w:val="DBE69132"/>
    <w:lvl w:ilvl="0" w:tplc="99F83F6A">
      <w:start w:val="1"/>
      <w:numFmt w:val="decimal"/>
      <w:lvlText w:val="%1."/>
      <w:lvlJc w:val="left"/>
      <w:pPr>
        <w:ind w:left="761" w:hanging="360"/>
      </w:pPr>
      <w:rPr>
        <w:rFonts w:ascii="Arial" w:eastAsia="Cambria" w:hAnsi="Arial" w:cs="Arial"/>
      </w:rPr>
    </w:lvl>
    <w:lvl w:ilvl="1" w:tplc="04090003">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30" w15:restartNumberingAfterBreak="0">
    <w:nsid w:val="4E037E09"/>
    <w:multiLevelType w:val="hybridMultilevel"/>
    <w:tmpl w:val="D018DFE4"/>
    <w:lvl w:ilvl="0" w:tplc="0409000F">
      <w:start w:val="1"/>
      <w:numFmt w:val="decimal"/>
      <w:pStyle w:val="AHPRABulletlevel3la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F3093D"/>
    <w:multiLevelType w:val="hybridMultilevel"/>
    <w:tmpl w:val="184C61B4"/>
    <w:lvl w:ilvl="0" w:tplc="FFFFFFFF">
      <w:start w:val="1"/>
      <w:numFmt w:val="bullet"/>
      <w:pStyle w:val="ROV1"/>
      <w:lvlText w:val=""/>
      <w:lvlJc w:val="left"/>
      <w:pPr>
        <w:tabs>
          <w:tab w:val="num" w:pos="680"/>
        </w:tabs>
        <w:ind w:left="680" w:hanging="396"/>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233CC7"/>
    <w:multiLevelType w:val="hybridMultilevel"/>
    <w:tmpl w:val="49C44A72"/>
    <w:lvl w:ilvl="0" w:tplc="0C090001">
      <w:start w:val="1"/>
      <w:numFmt w:val="bullet"/>
      <w:lvlText w:val=""/>
      <w:lvlJc w:val="left"/>
      <w:pPr>
        <w:ind w:left="729" w:hanging="360"/>
      </w:pPr>
      <w:rPr>
        <w:rFonts w:ascii="Symbol" w:hAnsi="Symbol" w:hint="default"/>
      </w:rPr>
    </w:lvl>
    <w:lvl w:ilvl="1" w:tplc="0C090003" w:tentative="1">
      <w:start w:val="1"/>
      <w:numFmt w:val="bullet"/>
      <w:lvlText w:val="o"/>
      <w:lvlJc w:val="left"/>
      <w:pPr>
        <w:ind w:left="1449" w:hanging="360"/>
      </w:pPr>
      <w:rPr>
        <w:rFonts w:ascii="Courier New" w:hAnsi="Courier New" w:cs="Courier New" w:hint="default"/>
      </w:rPr>
    </w:lvl>
    <w:lvl w:ilvl="2" w:tplc="0C090005" w:tentative="1">
      <w:start w:val="1"/>
      <w:numFmt w:val="bullet"/>
      <w:lvlText w:val=""/>
      <w:lvlJc w:val="left"/>
      <w:pPr>
        <w:ind w:left="2169" w:hanging="360"/>
      </w:pPr>
      <w:rPr>
        <w:rFonts w:ascii="Wingdings" w:hAnsi="Wingdings" w:hint="default"/>
      </w:rPr>
    </w:lvl>
    <w:lvl w:ilvl="3" w:tplc="0C090001" w:tentative="1">
      <w:start w:val="1"/>
      <w:numFmt w:val="bullet"/>
      <w:lvlText w:val=""/>
      <w:lvlJc w:val="left"/>
      <w:pPr>
        <w:ind w:left="2889" w:hanging="360"/>
      </w:pPr>
      <w:rPr>
        <w:rFonts w:ascii="Symbol" w:hAnsi="Symbol" w:hint="default"/>
      </w:rPr>
    </w:lvl>
    <w:lvl w:ilvl="4" w:tplc="0C090003" w:tentative="1">
      <w:start w:val="1"/>
      <w:numFmt w:val="bullet"/>
      <w:lvlText w:val="o"/>
      <w:lvlJc w:val="left"/>
      <w:pPr>
        <w:ind w:left="3609" w:hanging="360"/>
      </w:pPr>
      <w:rPr>
        <w:rFonts w:ascii="Courier New" w:hAnsi="Courier New" w:cs="Courier New" w:hint="default"/>
      </w:rPr>
    </w:lvl>
    <w:lvl w:ilvl="5" w:tplc="0C090005" w:tentative="1">
      <w:start w:val="1"/>
      <w:numFmt w:val="bullet"/>
      <w:lvlText w:val=""/>
      <w:lvlJc w:val="left"/>
      <w:pPr>
        <w:ind w:left="4329" w:hanging="360"/>
      </w:pPr>
      <w:rPr>
        <w:rFonts w:ascii="Wingdings" w:hAnsi="Wingdings" w:hint="default"/>
      </w:rPr>
    </w:lvl>
    <w:lvl w:ilvl="6" w:tplc="0C090001" w:tentative="1">
      <w:start w:val="1"/>
      <w:numFmt w:val="bullet"/>
      <w:lvlText w:val=""/>
      <w:lvlJc w:val="left"/>
      <w:pPr>
        <w:ind w:left="5049" w:hanging="360"/>
      </w:pPr>
      <w:rPr>
        <w:rFonts w:ascii="Symbol" w:hAnsi="Symbol" w:hint="default"/>
      </w:rPr>
    </w:lvl>
    <w:lvl w:ilvl="7" w:tplc="0C090003" w:tentative="1">
      <w:start w:val="1"/>
      <w:numFmt w:val="bullet"/>
      <w:lvlText w:val="o"/>
      <w:lvlJc w:val="left"/>
      <w:pPr>
        <w:ind w:left="5769" w:hanging="360"/>
      </w:pPr>
      <w:rPr>
        <w:rFonts w:ascii="Courier New" w:hAnsi="Courier New" w:cs="Courier New" w:hint="default"/>
      </w:rPr>
    </w:lvl>
    <w:lvl w:ilvl="8" w:tplc="0C090005" w:tentative="1">
      <w:start w:val="1"/>
      <w:numFmt w:val="bullet"/>
      <w:lvlText w:val=""/>
      <w:lvlJc w:val="left"/>
      <w:pPr>
        <w:ind w:left="6489" w:hanging="360"/>
      </w:pPr>
      <w:rPr>
        <w:rFonts w:ascii="Wingdings" w:hAnsi="Wingdings" w:hint="default"/>
      </w:rPr>
    </w:lvl>
  </w:abstractNum>
  <w:abstractNum w:abstractNumId="33" w15:restartNumberingAfterBreak="0">
    <w:nsid w:val="532E5E6E"/>
    <w:multiLevelType w:val="hybridMultilevel"/>
    <w:tmpl w:val="94AE7E08"/>
    <w:lvl w:ilvl="0" w:tplc="958A6148">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34" w15:restartNumberingAfterBreak="0">
    <w:nsid w:val="535A7810"/>
    <w:multiLevelType w:val="hybridMultilevel"/>
    <w:tmpl w:val="89585A10"/>
    <w:lvl w:ilvl="0" w:tplc="0C090001">
      <w:start w:val="1"/>
      <w:numFmt w:val="bullet"/>
      <w:lvlText w:val=""/>
      <w:lvlJc w:val="left"/>
      <w:pPr>
        <w:ind w:left="729" w:hanging="360"/>
      </w:pPr>
      <w:rPr>
        <w:rFonts w:ascii="Symbol" w:hAnsi="Symbol" w:hint="default"/>
      </w:rPr>
    </w:lvl>
    <w:lvl w:ilvl="1" w:tplc="0C090003" w:tentative="1">
      <w:start w:val="1"/>
      <w:numFmt w:val="bullet"/>
      <w:lvlText w:val="o"/>
      <w:lvlJc w:val="left"/>
      <w:pPr>
        <w:ind w:left="1449" w:hanging="360"/>
      </w:pPr>
      <w:rPr>
        <w:rFonts w:ascii="Courier New" w:hAnsi="Courier New" w:cs="Courier New" w:hint="default"/>
      </w:rPr>
    </w:lvl>
    <w:lvl w:ilvl="2" w:tplc="0C090005" w:tentative="1">
      <w:start w:val="1"/>
      <w:numFmt w:val="bullet"/>
      <w:lvlText w:val=""/>
      <w:lvlJc w:val="left"/>
      <w:pPr>
        <w:ind w:left="2169" w:hanging="360"/>
      </w:pPr>
      <w:rPr>
        <w:rFonts w:ascii="Wingdings" w:hAnsi="Wingdings" w:hint="default"/>
      </w:rPr>
    </w:lvl>
    <w:lvl w:ilvl="3" w:tplc="0C090001" w:tentative="1">
      <w:start w:val="1"/>
      <w:numFmt w:val="bullet"/>
      <w:lvlText w:val=""/>
      <w:lvlJc w:val="left"/>
      <w:pPr>
        <w:ind w:left="2889" w:hanging="360"/>
      </w:pPr>
      <w:rPr>
        <w:rFonts w:ascii="Symbol" w:hAnsi="Symbol" w:hint="default"/>
      </w:rPr>
    </w:lvl>
    <w:lvl w:ilvl="4" w:tplc="0C090003" w:tentative="1">
      <w:start w:val="1"/>
      <w:numFmt w:val="bullet"/>
      <w:lvlText w:val="o"/>
      <w:lvlJc w:val="left"/>
      <w:pPr>
        <w:ind w:left="3609" w:hanging="360"/>
      </w:pPr>
      <w:rPr>
        <w:rFonts w:ascii="Courier New" w:hAnsi="Courier New" w:cs="Courier New" w:hint="default"/>
      </w:rPr>
    </w:lvl>
    <w:lvl w:ilvl="5" w:tplc="0C090005" w:tentative="1">
      <w:start w:val="1"/>
      <w:numFmt w:val="bullet"/>
      <w:lvlText w:val=""/>
      <w:lvlJc w:val="left"/>
      <w:pPr>
        <w:ind w:left="4329" w:hanging="360"/>
      </w:pPr>
      <w:rPr>
        <w:rFonts w:ascii="Wingdings" w:hAnsi="Wingdings" w:hint="default"/>
      </w:rPr>
    </w:lvl>
    <w:lvl w:ilvl="6" w:tplc="0C090001" w:tentative="1">
      <w:start w:val="1"/>
      <w:numFmt w:val="bullet"/>
      <w:lvlText w:val=""/>
      <w:lvlJc w:val="left"/>
      <w:pPr>
        <w:ind w:left="5049" w:hanging="360"/>
      </w:pPr>
      <w:rPr>
        <w:rFonts w:ascii="Symbol" w:hAnsi="Symbol" w:hint="default"/>
      </w:rPr>
    </w:lvl>
    <w:lvl w:ilvl="7" w:tplc="0C090003" w:tentative="1">
      <w:start w:val="1"/>
      <w:numFmt w:val="bullet"/>
      <w:lvlText w:val="o"/>
      <w:lvlJc w:val="left"/>
      <w:pPr>
        <w:ind w:left="5769" w:hanging="360"/>
      </w:pPr>
      <w:rPr>
        <w:rFonts w:ascii="Courier New" w:hAnsi="Courier New" w:cs="Courier New" w:hint="default"/>
      </w:rPr>
    </w:lvl>
    <w:lvl w:ilvl="8" w:tplc="0C090005" w:tentative="1">
      <w:start w:val="1"/>
      <w:numFmt w:val="bullet"/>
      <w:lvlText w:val=""/>
      <w:lvlJc w:val="left"/>
      <w:pPr>
        <w:ind w:left="6489" w:hanging="360"/>
      </w:pPr>
      <w:rPr>
        <w:rFonts w:ascii="Wingdings" w:hAnsi="Wingdings" w:hint="default"/>
      </w:rPr>
    </w:lvl>
  </w:abstractNum>
  <w:abstractNum w:abstractNumId="35" w15:restartNumberingAfterBreak="0">
    <w:nsid w:val="5992766B"/>
    <w:multiLevelType w:val="hybridMultilevel"/>
    <w:tmpl w:val="D7FEDD02"/>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5F686FE8"/>
    <w:multiLevelType w:val="singleLevel"/>
    <w:tmpl w:val="084A429C"/>
    <w:lvl w:ilvl="0">
      <w:start w:val="1"/>
      <w:numFmt w:val="bullet"/>
      <w:pStyle w:val="AIKLbulletslevel1"/>
      <w:lvlText w:val=""/>
      <w:lvlJc w:val="left"/>
      <w:pPr>
        <w:tabs>
          <w:tab w:val="num" w:pos="360"/>
        </w:tabs>
        <w:ind w:left="360" w:hanging="360"/>
      </w:pPr>
      <w:rPr>
        <w:rFonts w:ascii="Symbol" w:hAnsi="Symbol" w:hint="default"/>
      </w:rPr>
    </w:lvl>
  </w:abstractNum>
  <w:abstractNum w:abstractNumId="37" w15:restartNumberingAfterBreak="0">
    <w:nsid w:val="63C13504"/>
    <w:multiLevelType w:val="hybridMultilevel"/>
    <w:tmpl w:val="F618AC3E"/>
    <w:lvl w:ilvl="0" w:tplc="31A4CB5E">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38" w15:restartNumberingAfterBreak="0">
    <w:nsid w:val="65B359D2"/>
    <w:multiLevelType w:val="hybridMultilevel"/>
    <w:tmpl w:val="35E26D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8990462"/>
    <w:multiLevelType w:val="hybridMultilevel"/>
    <w:tmpl w:val="B8FE774C"/>
    <w:lvl w:ilvl="0" w:tplc="0C090019">
      <w:start w:val="1"/>
      <w:numFmt w:val="lowerLetter"/>
      <w:lvlText w:val="%1."/>
      <w:lvlJc w:val="left"/>
      <w:pPr>
        <w:ind w:left="1080" w:hanging="360"/>
      </w:p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0" w15:restartNumberingAfterBreak="0">
    <w:nsid w:val="6A9F2ACF"/>
    <w:multiLevelType w:val="multilevel"/>
    <w:tmpl w:val="EE74937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41" w15:restartNumberingAfterBreak="0">
    <w:nsid w:val="6ACC55E0"/>
    <w:multiLevelType w:val="hybridMultilevel"/>
    <w:tmpl w:val="5AB42B54"/>
    <w:lvl w:ilvl="0" w:tplc="C4D81B3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5C67A8A"/>
    <w:multiLevelType w:val="hybridMultilevel"/>
    <w:tmpl w:val="97A65A4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0D5F1C"/>
    <w:multiLevelType w:val="hybridMultilevel"/>
    <w:tmpl w:val="92E83D9E"/>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15:restartNumberingAfterBreak="0">
    <w:nsid w:val="7C3555BC"/>
    <w:multiLevelType w:val="hybridMultilevel"/>
    <w:tmpl w:val="92E83D9E"/>
    <w:lvl w:ilvl="0" w:tplc="0C090017">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5" w15:restartNumberingAfterBreak="0">
    <w:nsid w:val="7C731660"/>
    <w:multiLevelType w:val="multilevel"/>
    <w:tmpl w:val="C4183F12"/>
    <w:numStyleLink w:val="AHPRANumberedlist"/>
  </w:abstractNum>
  <w:abstractNum w:abstractNumId="46" w15:restartNumberingAfterBreak="0">
    <w:nsid w:val="7ED452D4"/>
    <w:multiLevelType w:val="singleLevel"/>
    <w:tmpl w:val="4C1C2294"/>
    <w:lvl w:ilvl="0">
      <w:start w:val="1"/>
      <w:numFmt w:val="bullet"/>
      <w:pStyle w:val="BodyText-roundbullets"/>
      <w:lvlText w:val=""/>
      <w:lvlJc w:val="left"/>
      <w:pPr>
        <w:tabs>
          <w:tab w:val="num" w:pos="360"/>
        </w:tabs>
        <w:ind w:left="360" w:hanging="360"/>
      </w:pPr>
      <w:rPr>
        <w:rFonts w:ascii="Symbol" w:hAnsi="Symbol" w:hint="default"/>
      </w:rPr>
    </w:lvl>
  </w:abstractNum>
  <w:num w:numId="1">
    <w:abstractNumId w:val="30"/>
  </w:num>
  <w:num w:numId="2">
    <w:abstractNumId w:val="23"/>
  </w:num>
  <w:num w:numId="3">
    <w:abstractNumId w:val="33"/>
  </w:num>
  <w:num w:numId="4">
    <w:abstractNumId w:val="37"/>
  </w:num>
  <w:num w:numId="5">
    <w:abstractNumId w:val="15"/>
  </w:num>
  <w:num w:numId="6">
    <w:abstractNumId w:val="41"/>
  </w:num>
  <w:num w:numId="7">
    <w:abstractNumId w:val="22"/>
  </w:num>
  <w:num w:numId="8">
    <w:abstractNumId w:val="28"/>
  </w:num>
  <w:num w:numId="9">
    <w:abstractNumId w:val="19"/>
  </w:num>
  <w:num w:numId="10">
    <w:abstractNumId w:val="1"/>
  </w:num>
  <w:num w:numId="11">
    <w:abstractNumId w:val="3"/>
  </w:num>
  <w:num w:numId="12">
    <w:abstractNumId w:val="2"/>
  </w:num>
  <w:num w:numId="13">
    <w:abstractNumId w:val="45"/>
  </w:num>
  <w:num w:numId="14">
    <w:abstractNumId w:val="36"/>
  </w:num>
  <w:num w:numId="15">
    <w:abstractNumId w:val="46"/>
  </w:num>
  <w:num w:numId="16">
    <w:abstractNumId w:val="31"/>
  </w:num>
  <w:num w:numId="17">
    <w:abstractNumId w:val="29"/>
  </w:num>
  <w:num w:numId="18">
    <w:abstractNumId w:val="35"/>
  </w:num>
  <w:num w:numId="19">
    <w:abstractNumId w:val="24"/>
  </w:num>
  <w:num w:numId="20">
    <w:abstractNumId w:val="32"/>
  </w:num>
  <w:num w:numId="21">
    <w:abstractNumId w:val="0"/>
  </w:num>
  <w:num w:numId="22">
    <w:abstractNumId w:val="10"/>
  </w:num>
  <w:num w:numId="23">
    <w:abstractNumId w:val="11"/>
  </w:num>
  <w:num w:numId="24">
    <w:abstractNumId w:val="40"/>
  </w:num>
  <w:num w:numId="25">
    <w:abstractNumId w:val="34"/>
  </w:num>
  <w:num w:numId="26">
    <w:abstractNumId w:val="14"/>
  </w:num>
  <w:num w:numId="27">
    <w:abstractNumId w:val="7"/>
  </w:num>
  <w:num w:numId="28">
    <w:abstractNumId w:val="21"/>
  </w:num>
  <w:num w:numId="29">
    <w:abstractNumId w:val="18"/>
  </w:num>
  <w:num w:numId="30">
    <w:abstractNumId w:val="27"/>
  </w:num>
  <w:num w:numId="31">
    <w:abstractNumId w:val="16"/>
  </w:num>
  <w:num w:numId="32">
    <w:abstractNumId w:val="5"/>
  </w:num>
  <w:num w:numId="33">
    <w:abstractNumId w:val="13"/>
  </w:num>
  <w:num w:numId="34">
    <w:abstractNumId w:val="26"/>
  </w:num>
  <w:num w:numId="35">
    <w:abstractNumId w:val="44"/>
  </w:num>
  <w:num w:numId="36">
    <w:abstractNumId w:val="39"/>
  </w:num>
  <w:num w:numId="37">
    <w:abstractNumId w:val="17"/>
  </w:num>
  <w:num w:numId="38">
    <w:abstractNumId w:val="8"/>
  </w:num>
  <w:num w:numId="39">
    <w:abstractNumId w:val="43"/>
  </w:num>
  <w:num w:numId="40">
    <w:abstractNumId w:val="12"/>
  </w:num>
  <w:num w:numId="41">
    <w:abstractNumId w:val="25"/>
  </w:num>
  <w:num w:numId="42">
    <w:abstractNumId w:val="6"/>
  </w:num>
  <w:num w:numId="43">
    <w:abstractNumId w:val="4"/>
  </w:num>
  <w:num w:numId="44">
    <w:abstractNumId w:val="9"/>
  </w:num>
  <w:num w:numId="45">
    <w:abstractNumId w:val="38"/>
  </w:num>
  <w:num w:numId="46">
    <w:abstractNumId w:val="20"/>
  </w:num>
  <w:num w:numId="47">
    <w:abstractNumId w:val="4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4C6"/>
    <w:rsid w:val="00000033"/>
    <w:rsid w:val="00004BFF"/>
    <w:rsid w:val="00006922"/>
    <w:rsid w:val="00012036"/>
    <w:rsid w:val="00021607"/>
    <w:rsid w:val="00023CDD"/>
    <w:rsid w:val="0002656A"/>
    <w:rsid w:val="00027349"/>
    <w:rsid w:val="000334D7"/>
    <w:rsid w:val="00034923"/>
    <w:rsid w:val="00036FC3"/>
    <w:rsid w:val="00042727"/>
    <w:rsid w:val="000435D7"/>
    <w:rsid w:val="0004711B"/>
    <w:rsid w:val="00047AAB"/>
    <w:rsid w:val="00050AD1"/>
    <w:rsid w:val="00051B18"/>
    <w:rsid w:val="000543C2"/>
    <w:rsid w:val="00061072"/>
    <w:rsid w:val="00070CEE"/>
    <w:rsid w:val="00072B55"/>
    <w:rsid w:val="00081473"/>
    <w:rsid w:val="00081BA8"/>
    <w:rsid w:val="00081FBF"/>
    <w:rsid w:val="00083E35"/>
    <w:rsid w:val="00090A57"/>
    <w:rsid w:val="00090F11"/>
    <w:rsid w:val="000945FB"/>
    <w:rsid w:val="000A25B1"/>
    <w:rsid w:val="000A7567"/>
    <w:rsid w:val="000B1371"/>
    <w:rsid w:val="000B2F6E"/>
    <w:rsid w:val="000B68D7"/>
    <w:rsid w:val="000B7279"/>
    <w:rsid w:val="000C2DD1"/>
    <w:rsid w:val="000C5582"/>
    <w:rsid w:val="000D6565"/>
    <w:rsid w:val="000E0207"/>
    <w:rsid w:val="000E064C"/>
    <w:rsid w:val="000E1404"/>
    <w:rsid w:val="000E2449"/>
    <w:rsid w:val="000E42EA"/>
    <w:rsid w:val="000E5929"/>
    <w:rsid w:val="000F18B9"/>
    <w:rsid w:val="000F247F"/>
    <w:rsid w:val="000F5CEF"/>
    <w:rsid w:val="000F731E"/>
    <w:rsid w:val="0010139F"/>
    <w:rsid w:val="001023A8"/>
    <w:rsid w:val="00105E9D"/>
    <w:rsid w:val="001068ED"/>
    <w:rsid w:val="001109B1"/>
    <w:rsid w:val="00111059"/>
    <w:rsid w:val="001120AB"/>
    <w:rsid w:val="001201E3"/>
    <w:rsid w:val="00120787"/>
    <w:rsid w:val="001207DE"/>
    <w:rsid w:val="00121552"/>
    <w:rsid w:val="00123938"/>
    <w:rsid w:val="0013456F"/>
    <w:rsid w:val="00135211"/>
    <w:rsid w:val="00137EAA"/>
    <w:rsid w:val="00142957"/>
    <w:rsid w:val="00144204"/>
    <w:rsid w:val="00144834"/>
    <w:rsid w:val="00144DEF"/>
    <w:rsid w:val="001502A2"/>
    <w:rsid w:val="001507AB"/>
    <w:rsid w:val="0015122D"/>
    <w:rsid w:val="00151DFA"/>
    <w:rsid w:val="00153C5D"/>
    <w:rsid w:val="00161FA5"/>
    <w:rsid w:val="00164DEE"/>
    <w:rsid w:val="00170E3D"/>
    <w:rsid w:val="00171F89"/>
    <w:rsid w:val="00173C02"/>
    <w:rsid w:val="001740BE"/>
    <w:rsid w:val="00175A76"/>
    <w:rsid w:val="00180CEA"/>
    <w:rsid w:val="00182779"/>
    <w:rsid w:val="001923E1"/>
    <w:rsid w:val="00194959"/>
    <w:rsid w:val="001967D0"/>
    <w:rsid w:val="0019781B"/>
    <w:rsid w:val="001A2B5D"/>
    <w:rsid w:val="001A4CDF"/>
    <w:rsid w:val="001A5142"/>
    <w:rsid w:val="001A5D97"/>
    <w:rsid w:val="001A6E2F"/>
    <w:rsid w:val="001B031E"/>
    <w:rsid w:val="001B0CFA"/>
    <w:rsid w:val="001B5500"/>
    <w:rsid w:val="001B7E64"/>
    <w:rsid w:val="001C01F9"/>
    <w:rsid w:val="001C070C"/>
    <w:rsid w:val="001C1C46"/>
    <w:rsid w:val="001C6C7B"/>
    <w:rsid w:val="001C6D57"/>
    <w:rsid w:val="001D297D"/>
    <w:rsid w:val="001D42FD"/>
    <w:rsid w:val="001D6979"/>
    <w:rsid w:val="001D7123"/>
    <w:rsid w:val="001E2C78"/>
    <w:rsid w:val="001E308B"/>
    <w:rsid w:val="001E5B29"/>
    <w:rsid w:val="001F24B6"/>
    <w:rsid w:val="001F4EEE"/>
    <w:rsid w:val="001F5088"/>
    <w:rsid w:val="001F6598"/>
    <w:rsid w:val="00201FFF"/>
    <w:rsid w:val="002065BC"/>
    <w:rsid w:val="00206CF0"/>
    <w:rsid w:val="002119EF"/>
    <w:rsid w:val="00215757"/>
    <w:rsid w:val="00216548"/>
    <w:rsid w:val="00220D32"/>
    <w:rsid w:val="00233041"/>
    <w:rsid w:val="00233758"/>
    <w:rsid w:val="00234317"/>
    <w:rsid w:val="00237824"/>
    <w:rsid w:val="00237DB1"/>
    <w:rsid w:val="00242C3E"/>
    <w:rsid w:val="002450F9"/>
    <w:rsid w:val="00245F4D"/>
    <w:rsid w:val="0024698D"/>
    <w:rsid w:val="00246D8C"/>
    <w:rsid w:val="0024784E"/>
    <w:rsid w:val="0025717D"/>
    <w:rsid w:val="00263002"/>
    <w:rsid w:val="002646E1"/>
    <w:rsid w:val="00264F14"/>
    <w:rsid w:val="0027153D"/>
    <w:rsid w:val="00275413"/>
    <w:rsid w:val="002771D0"/>
    <w:rsid w:val="0028013F"/>
    <w:rsid w:val="002812C5"/>
    <w:rsid w:val="00282541"/>
    <w:rsid w:val="002825F5"/>
    <w:rsid w:val="00282BED"/>
    <w:rsid w:val="00286A84"/>
    <w:rsid w:val="002876CE"/>
    <w:rsid w:val="00290AD6"/>
    <w:rsid w:val="00292C09"/>
    <w:rsid w:val="002946EC"/>
    <w:rsid w:val="00295B44"/>
    <w:rsid w:val="00296377"/>
    <w:rsid w:val="00297FAF"/>
    <w:rsid w:val="002A0991"/>
    <w:rsid w:val="002B2D48"/>
    <w:rsid w:val="002B5A9C"/>
    <w:rsid w:val="002B6C97"/>
    <w:rsid w:val="002B6F0A"/>
    <w:rsid w:val="002B703D"/>
    <w:rsid w:val="002B74F0"/>
    <w:rsid w:val="002C0623"/>
    <w:rsid w:val="002C0F4A"/>
    <w:rsid w:val="002C1F82"/>
    <w:rsid w:val="002C34EA"/>
    <w:rsid w:val="002C5389"/>
    <w:rsid w:val="002C7D1D"/>
    <w:rsid w:val="002D0572"/>
    <w:rsid w:val="002D115C"/>
    <w:rsid w:val="002D169E"/>
    <w:rsid w:val="002D41CD"/>
    <w:rsid w:val="002D57ED"/>
    <w:rsid w:val="002E2EAF"/>
    <w:rsid w:val="002E3DA4"/>
    <w:rsid w:val="002E75F3"/>
    <w:rsid w:val="002F1BC7"/>
    <w:rsid w:val="002F1E0C"/>
    <w:rsid w:val="002F3468"/>
    <w:rsid w:val="002F3CD5"/>
    <w:rsid w:val="002F3F3C"/>
    <w:rsid w:val="002F7CA0"/>
    <w:rsid w:val="0030335E"/>
    <w:rsid w:val="00304342"/>
    <w:rsid w:val="00305AFC"/>
    <w:rsid w:val="003074C6"/>
    <w:rsid w:val="00307922"/>
    <w:rsid w:val="00310F25"/>
    <w:rsid w:val="00310FE5"/>
    <w:rsid w:val="00312404"/>
    <w:rsid w:val="003169EF"/>
    <w:rsid w:val="00316C67"/>
    <w:rsid w:val="003211E4"/>
    <w:rsid w:val="00324A88"/>
    <w:rsid w:val="00341984"/>
    <w:rsid w:val="003439FB"/>
    <w:rsid w:val="00343C39"/>
    <w:rsid w:val="0034497F"/>
    <w:rsid w:val="003501C2"/>
    <w:rsid w:val="00353F6F"/>
    <w:rsid w:val="00355876"/>
    <w:rsid w:val="00356CB3"/>
    <w:rsid w:val="003579F6"/>
    <w:rsid w:val="003601D9"/>
    <w:rsid w:val="00366830"/>
    <w:rsid w:val="00366F08"/>
    <w:rsid w:val="00367B6F"/>
    <w:rsid w:val="003707BE"/>
    <w:rsid w:val="00372577"/>
    <w:rsid w:val="0037426D"/>
    <w:rsid w:val="0038152F"/>
    <w:rsid w:val="00383509"/>
    <w:rsid w:val="00387A0E"/>
    <w:rsid w:val="003902F5"/>
    <w:rsid w:val="003908B6"/>
    <w:rsid w:val="00390A77"/>
    <w:rsid w:val="00396D7F"/>
    <w:rsid w:val="00397E4B"/>
    <w:rsid w:val="003A0C5D"/>
    <w:rsid w:val="003A3D47"/>
    <w:rsid w:val="003A4184"/>
    <w:rsid w:val="003A4729"/>
    <w:rsid w:val="003A5018"/>
    <w:rsid w:val="003A60ED"/>
    <w:rsid w:val="003A6A15"/>
    <w:rsid w:val="003A7B3B"/>
    <w:rsid w:val="003B02B4"/>
    <w:rsid w:val="003B1C35"/>
    <w:rsid w:val="003B2688"/>
    <w:rsid w:val="003B445A"/>
    <w:rsid w:val="003B7788"/>
    <w:rsid w:val="003C0369"/>
    <w:rsid w:val="003C2240"/>
    <w:rsid w:val="003C38B6"/>
    <w:rsid w:val="003C7B36"/>
    <w:rsid w:val="003D5B0A"/>
    <w:rsid w:val="003D6316"/>
    <w:rsid w:val="003D6DBD"/>
    <w:rsid w:val="003E3268"/>
    <w:rsid w:val="003E45C8"/>
    <w:rsid w:val="003E6FE9"/>
    <w:rsid w:val="003E79CE"/>
    <w:rsid w:val="003F018C"/>
    <w:rsid w:val="003F2E3C"/>
    <w:rsid w:val="003F2F06"/>
    <w:rsid w:val="003F32D5"/>
    <w:rsid w:val="003F350F"/>
    <w:rsid w:val="003F5008"/>
    <w:rsid w:val="003F5C99"/>
    <w:rsid w:val="003F6424"/>
    <w:rsid w:val="00401107"/>
    <w:rsid w:val="00404128"/>
    <w:rsid w:val="00405C0A"/>
    <w:rsid w:val="004075C5"/>
    <w:rsid w:val="00407763"/>
    <w:rsid w:val="00413265"/>
    <w:rsid w:val="00414F2C"/>
    <w:rsid w:val="00415B0C"/>
    <w:rsid w:val="00415BD2"/>
    <w:rsid w:val="00417464"/>
    <w:rsid w:val="00421C3A"/>
    <w:rsid w:val="004271DA"/>
    <w:rsid w:val="00433482"/>
    <w:rsid w:val="004409F1"/>
    <w:rsid w:val="0044596F"/>
    <w:rsid w:val="00450B34"/>
    <w:rsid w:val="004536AE"/>
    <w:rsid w:val="00453DC6"/>
    <w:rsid w:val="004606A7"/>
    <w:rsid w:val="00460E05"/>
    <w:rsid w:val="00461CDD"/>
    <w:rsid w:val="00462FCF"/>
    <w:rsid w:val="00463C96"/>
    <w:rsid w:val="00466B05"/>
    <w:rsid w:val="00471CE3"/>
    <w:rsid w:val="00473BA9"/>
    <w:rsid w:val="004746BE"/>
    <w:rsid w:val="00477192"/>
    <w:rsid w:val="00482B1B"/>
    <w:rsid w:val="0049023A"/>
    <w:rsid w:val="004909CF"/>
    <w:rsid w:val="004915CD"/>
    <w:rsid w:val="004A6005"/>
    <w:rsid w:val="004B2F0E"/>
    <w:rsid w:val="004B4495"/>
    <w:rsid w:val="004C12AF"/>
    <w:rsid w:val="004C3FE4"/>
    <w:rsid w:val="004D01D7"/>
    <w:rsid w:val="004D51CE"/>
    <w:rsid w:val="004D7537"/>
    <w:rsid w:val="004D7740"/>
    <w:rsid w:val="004E0D49"/>
    <w:rsid w:val="004E3301"/>
    <w:rsid w:val="004E391F"/>
    <w:rsid w:val="004F1906"/>
    <w:rsid w:val="004F2074"/>
    <w:rsid w:val="004F359D"/>
    <w:rsid w:val="004F4AE7"/>
    <w:rsid w:val="004F6245"/>
    <w:rsid w:val="004F7324"/>
    <w:rsid w:val="005025A3"/>
    <w:rsid w:val="005026C8"/>
    <w:rsid w:val="0050310C"/>
    <w:rsid w:val="00511E0A"/>
    <w:rsid w:val="005120EC"/>
    <w:rsid w:val="005268FB"/>
    <w:rsid w:val="005271F3"/>
    <w:rsid w:val="005275A0"/>
    <w:rsid w:val="0053094F"/>
    <w:rsid w:val="005318B0"/>
    <w:rsid w:val="00534810"/>
    <w:rsid w:val="00540824"/>
    <w:rsid w:val="00541C9A"/>
    <w:rsid w:val="005478B5"/>
    <w:rsid w:val="00550344"/>
    <w:rsid w:val="0055124B"/>
    <w:rsid w:val="00553A4C"/>
    <w:rsid w:val="00554335"/>
    <w:rsid w:val="00554CA4"/>
    <w:rsid w:val="00555F2E"/>
    <w:rsid w:val="00557DBB"/>
    <w:rsid w:val="00560ED0"/>
    <w:rsid w:val="00564E74"/>
    <w:rsid w:val="00565612"/>
    <w:rsid w:val="00567B12"/>
    <w:rsid w:val="0057210F"/>
    <w:rsid w:val="00576239"/>
    <w:rsid w:val="00576928"/>
    <w:rsid w:val="00580722"/>
    <w:rsid w:val="00580F49"/>
    <w:rsid w:val="005813A6"/>
    <w:rsid w:val="00591230"/>
    <w:rsid w:val="0059149F"/>
    <w:rsid w:val="00593103"/>
    <w:rsid w:val="0059341E"/>
    <w:rsid w:val="00594DA8"/>
    <w:rsid w:val="005A0FA9"/>
    <w:rsid w:val="005A3F35"/>
    <w:rsid w:val="005A4779"/>
    <w:rsid w:val="005A5D00"/>
    <w:rsid w:val="005A6C54"/>
    <w:rsid w:val="005A742C"/>
    <w:rsid w:val="005B11C8"/>
    <w:rsid w:val="005B29E5"/>
    <w:rsid w:val="005B4CDC"/>
    <w:rsid w:val="005B6B51"/>
    <w:rsid w:val="005B750F"/>
    <w:rsid w:val="005C11A8"/>
    <w:rsid w:val="005C2F06"/>
    <w:rsid w:val="005C6817"/>
    <w:rsid w:val="005C6830"/>
    <w:rsid w:val="005D0448"/>
    <w:rsid w:val="005D2098"/>
    <w:rsid w:val="005D4BB8"/>
    <w:rsid w:val="005D65C0"/>
    <w:rsid w:val="005E01DA"/>
    <w:rsid w:val="005E074B"/>
    <w:rsid w:val="005E3366"/>
    <w:rsid w:val="005F16D7"/>
    <w:rsid w:val="005F1700"/>
    <w:rsid w:val="005F1B6C"/>
    <w:rsid w:val="005F34C0"/>
    <w:rsid w:val="005F5DD2"/>
    <w:rsid w:val="00600C70"/>
    <w:rsid w:val="006013D2"/>
    <w:rsid w:val="0060468C"/>
    <w:rsid w:val="00605DB2"/>
    <w:rsid w:val="00610436"/>
    <w:rsid w:val="00611016"/>
    <w:rsid w:val="0061426D"/>
    <w:rsid w:val="00616FD1"/>
    <w:rsid w:val="006226A7"/>
    <w:rsid w:val="0062417D"/>
    <w:rsid w:val="006273C9"/>
    <w:rsid w:val="00627CBB"/>
    <w:rsid w:val="00630904"/>
    <w:rsid w:val="00631DC9"/>
    <w:rsid w:val="00634E18"/>
    <w:rsid w:val="00636A23"/>
    <w:rsid w:val="00636B33"/>
    <w:rsid w:val="00637834"/>
    <w:rsid w:val="00640B2C"/>
    <w:rsid w:val="006445EB"/>
    <w:rsid w:val="006479AA"/>
    <w:rsid w:val="00647E9B"/>
    <w:rsid w:val="00654C5F"/>
    <w:rsid w:val="0066165D"/>
    <w:rsid w:val="00667CAD"/>
    <w:rsid w:val="00671E0A"/>
    <w:rsid w:val="00674C9A"/>
    <w:rsid w:val="006758ED"/>
    <w:rsid w:val="00675CDE"/>
    <w:rsid w:val="00681D5E"/>
    <w:rsid w:val="00692DC7"/>
    <w:rsid w:val="0069542C"/>
    <w:rsid w:val="006955EA"/>
    <w:rsid w:val="006A188D"/>
    <w:rsid w:val="006A200B"/>
    <w:rsid w:val="006B00C2"/>
    <w:rsid w:val="006B1974"/>
    <w:rsid w:val="006B36EB"/>
    <w:rsid w:val="006C0257"/>
    <w:rsid w:val="006C0B75"/>
    <w:rsid w:val="006C0E29"/>
    <w:rsid w:val="006C102E"/>
    <w:rsid w:val="006C1A1E"/>
    <w:rsid w:val="006C531C"/>
    <w:rsid w:val="006D2C55"/>
    <w:rsid w:val="006D30FE"/>
    <w:rsid w:val="006D3757"/>
    <w:rsid w:val="006D7534"/>
    <w:rsid w:val="006F0924"/>
    <w:rsid w:val="006F369E"/>
    <w:rsid w:val="006F4ADA"/>
    <w:rsid w:val="006F7348"/>
    <w:rsid w:val="006F796D"/>
    <w:rsid w:val="007005A5"/>
    <w:rsid w:val="0070155F"/>
    <w:rsid w:val="00701AD7"/>
    <w:rsid w:val="00702D97"/>
    <w:rsid w:val="00703B1F"/>
    <w:rsid w:val="0070462C"/>
    <w:rsid w:val="00706965"/>
    <w:rsid w:val="007075C0"/>
    <w:rsid w:val="00711BEB"/>
    <w:rsid w:val="00712C32"/>
    <w:rsid w:val="007206A5"/>
    <w:rsid w:val="00722F8F"/>
    <w:rsid w:val="00724A21"/>
    <w:rsid w:val="00730E52"/>
    <w:rsid w:val="00732A46"/>
    <w:rsid w:val="007359BB"/>
    <w:rsid w:val="00735A71"/>
    <w:rsid w:val="00736DE1"/>
    <w:rsid w:val="007372A4"/>
    <w:rsid w:val="00737946"/>
    <w:rsid w:val="00741B04"/>
    <w:rsid w:val="00745008"/>
    <w:rsid w:val="00754CFB"/>
    <w:rsid w:val="007616FD"/>
    <w:rsid w:val="00770BF0"/>
    <w:rsid w:val="00771C72"/>
    <w:rsid w:val="007722E3"/>
    <w:rsid w:val="00777A7D"/>
    <w:rsid w:val="00782D2A"/>
    <w:rsid w:val="007865F5"/>
    <w:rsid w:val="00787E00"/>
    <w:rsid w:val="007A5628"/>
    <w:rsid w:val="007A62C7"/>
    <w:rsid w:val="007B014B"/>
    <w:rsid w:val="007B0871"/>
    <w:rsid w:val="007B1B8F"/>
    <w:rsid w:val="007B77D6"/>
    <w:rsid w:val="007C0799"/>
    <w:rsid w:val="007C664A"/>
    <w:rsid w:val="007C6CA2"/>
    <w:rsid w:val="007C6D3B"/>
    <w:rsid w:val="007C7D19"/>
    <w:rsid w:val="007D0B7D"/>
    <w:rsid w:val="007D1500"/>
    <w:rsid w:val="007D2705"/>
    <w:rsid w:val="007D4836"/>
    <w:rsid w:val="007D5ABF"/>
    <w:rsid w:val="007E09D7"/>
    <w:rsid w:val="007E2C84"/>
    <w:rsid w:val="007E3FE5"/>
    <w:rsid w:val="007F0095"/>
    <w:rsid w:val="007F40F1"/>
    <w:rsid w:val="0080091F"/>
    <w:rsid w:val="00805488"/>
    <w:rsid w:val="00810B4E"/>
    <w:rsid w:val="00816EDF"/>
    <w:rsid w:val="00817ED1"/>
    <w:rsid w:val="00822042"/>
    <w:rsid w:val="00824CBA"/>
    <w:rsid w:val="008338F7"/>
    <w:rsid w:val="00834572"/>
    <w:rsid w:val="00835F14"/>
    <w:rsid w:val="008468A9"/>
    <w:rsid w:val="00860F40"/>
    <w:rsid w:val="008615C9"/>
    <w:rsid w:val="00861DAC"/>
    <w:rsid w:val="00863780"/>
    <w:rsid w:val="00867B6D"/>
    <w:rsid w:val="00872B11"/>
    <w:rsid w:val="008768CB"/>
    <w:rsid w:val="0088320E"/>
    <w:rsid w:val="00886857"/>
    <w:rsid w:val="00886BE0"/>
    <w:rsid w:val="00886CA0"/>
    <w:rsid w:val="00886D11"/>
    <w:rsid w:val="00892C27"/>
    <w:rsid w:val="008942B2"/>
    <w:rsid w:val="008979D5"/>
    <w:rsid w:val="008A14C7"/>
    <w:rsid w:val="008A389D"/>
    <w:rsid w:val="008A4C3B"/>
    <w:rsid w:val="008B1964"/>
    <w:rsid w:val="008B201C"/>
    <w:rsid w:val="008B2AD7"/>
    <w:rsid w:val="008B6C64"/>
    <w:rsid w:val="008D6516"/>
    <w:rsid w:val="008D6B7E"/>
    <w:rsid w:val="008D7845"/>
    <w:rsid w:val="008E103A"/>
    <w:rsid w:val="008E1D96"/>
    <w:rsid w:val="008E3B9D"/>
    <w:rsid w:val="008E70EB"/>
    <w:rsid w:val="008F15E5"/>
    <w:rsid w:val="008F1F1A"/>
    <w:rsid w:val="008F2CA7"/>
    <w:rsid w:val="008F3BAE"/>
    <w:rsid w:val="008F610F"/>
    <w:rsid w:val="0090028F"/>
    <w:rsid w:val="009004A2"/>
    <w:rsid w:val="0090122E"/>
    <w:rsid w:val="00901BEE"/>
    <w:rsid w:val="00904901"/>
    <w:rsid w:val="009142B6"/>
    <w:rsid w:val="00915E99"/>
    <w:rsid w:val="00917C9B"/>
    <w:rsid w:val="00917FB3"/>
    <w:rsid w:val="0092587A"/>
    <w:rsid w:val="00927CB0"/>
    <w:rsid w:val="00932367"/>
    <w:rsid w:val="0094295D"/>
    <w:rsid w:val="00943BAF"/>
    <w:rsid w:val="00944BAD"/>
    <w:rsid w:val="009470AC"/>
    <w:rsid w:val="00947106"/>
    <w:rsid w:val="00947FBA"/>
    <w:rsid w:val="00952E8C"/>
    <w:rsid w:val="00960F69"/>
    <w:rsid w:val="00961D31"/>
    <w:rsid w:val="0096374D"/>
    <w:rsid w:val="00963D03"/>
    <w:rsid w:val="009668DD"/>
    <w:rsid w:val="00971146"/>
    <w:rsid w:val="009720D9"/>
    <w:rsid w:val="0097483F"/>
    <w:rsid w:val="00974D1A"/>
    <w:rsid w:val="0097570B"/>
    <w:rsid w:val="009777D3"/>
    <w:rsid w:val="00977A56"/>
    <w:rsid w:val="00980375"/>
    <w:rsid w:val="009859E6"/>
    <w:rsid w:val="00985C98"/>
    <w:rsid w:val="0098652C"/>
    <w:rsid w:val="009867C1"/>
    <w:rsid w:val="00996B36"/>
    <w:rsid w:val="009971FF"/>
    <w:rsid w:val="00997C51"/>
    <w:rsid w:val="00997F55"/>
    <w:rsid w:val="009A546F"/>
    <w:rsid w:val="009B058A"/>
    <w:rsid w:val="009B45DB"/>
    <w:rsid w:val="009C09E8"/>
    <w:rsid w:val="009C3D0B"/>
    <w:rsid w:val="009C46EC"/>
    <w:rsid w:val="009C6933"/>
    <w:rsid w:val="009D1FEE"/>
    <w:rsid w:val="009E0919"/>
    <w:rsid w:val="009E117C"/>
    <w:rsid w:val="009E386D"/>
    <w:rsid w:val="009E6641"/>
    <w:rsid w:val="009F0A8D"/>
    <w:rsid w:val="009F3875"/>
    <w:rsid w:val="00A00C71"/>
    <w:rsid w:val="00A01B61"/>
    <w:rsid w:val="00A032B0"/>
    <w:rsid w:val="00A04C7A"/>
    <w:rsid w:val="00A058E5"/>
    <w:rsid w:val="00A05D90"/>
    <w:rsid w:val="00A10BD8"/>
    <w:rsid w:val="00A11F69"/>
    <w:rsid w:val="00A133DF"/>
    <w:rsid w:val="00A1556F"/>
    <w:rsid w:val="00A16BB3"/>
    <w:rsid w:val="00A16DF4"/>
    <w:rsid w:val="00A17ADB"/>
    <w:rsid w:val="00A2072E"/>
    <w:rsid w:val="00A20A78"/>
    <w:rsid w:val="00A230E3"/>
    <w:rsid w:val="00A237BB"/>
    <w:rsid w:val="00A24324"/>
    <w:rsid w:val="00A272A6"/>
    <w:rsid w:val="00A34078"/>
    <w:rsid w:val="00A348A6"/>
    <w:rsid w:val="00A36EDB"/>
    <w:rsid w:val="00A405BD"/>
    <w:rsid w:val="00A415C5"/>
    <w:rsid w:val="00A448EE"/>
    <w:rsid w:val="00A53B5D"/>
    <w:rsid w:val="00A53DB8"/>
    <w:rsid w:val="00A612FE"/>
    <w:rsid w:val="00A65186"/>
    <w:rsid w:val="00A65564"/>
    <w:rsid w:val="00A65C9C"/>
    <w:rsid w:val="00A6671B"/>
    <w:rsid w:val="00A74457"/>
    <w:rsid w:val="00A74730"/>
    <w:rsid w:val="00A77758"/>
    <w:rsid w:val="00A81D46"/>
    <w:rsid w:val="00A82078"/>
    <w:rsid w:val="00A838C8"/>
    <w:rsid w:val="00A87F9D"/>
    <w:rsid w:val="00A91C42"/>
    <w:rsid w:val="00A93C5F"/>
    <w:rsid w:val="00A94292"/>
    <w:rsid w:val="00A9516B"/>
    <w:rsid w:val="00A96103"/>
    <w:rsid w:val="00A9780A"/>
    <w:rsid w:val="00AA00AF"/>
    <w:rsid w:val="00AA42C8"/>
    <w:rsid w:val="00AA5CEC"/>
    <w:rsid w:val="00AB283D"/>
    <w:rsid w:val="00AB3511"/>
    <w:rsid w:val="00AB4673"/>
    <w:rsid w:val="00AB6D3F"/>
    <w:rsid w:val="00AB73EF"/>
    <w:rsid w:val="00AC12B0"/>
    <w:rsid w:val="00AC27E9"/>
    <w:rsid w:val="00AD2F91"/>
    <w:rsid w:val="00AD312E"/>
    <w:rsid w:val="00AD4BCD"/>
    <w:rsid w:val="00AD7591"/>
    <w:rsid w:val="00AE2A05"/>
    <w:rsid w:val="00AE4CF8"/>
    <w:rsid w:val="00AF63DE"/>
    <w:rsid w:val="00AF7655"/>
    <w:rsid w:val="00B024B0"/>
    <w:rsid w:val="00B02D55"/>
    <w:rsid w:val="00B049B7"/>
    <w:rsid w:val="00B07500"/>
    <w:rsid w:val="00B10D70"/>
    <w:rsid w:val="00B12A74"/>
    <w:rsid w:val="00B12F9C"/>
    <w:rsid w:val="00B16ED3"/>
    <w:rsid w:val="00B170C7"/>
    <w:rsid w:val="00B170E9"/>
    <w:rsid w:val="00B20EB7"/>
    <w:rsid w:val="00B24202"/>
    <w:rsid w:val="00B25DB3"/>
    <w:rsid w:val="00B2676E"/>
    <w:rsid w:val="00B26B9D"/>
    <w:rsid w:val="00B2760E"/>
    <w:rsid w:val="00B34D02"/>
    <w:rsid w:val="00B36CF8"/>
    <w:rsid w:val="00B37A5B"/>
    <w:rsid w:val="00B41674"/>
    <w:rsid w:val="00B51748"/>
    <w:rsid w:val="00B5394C"/>
    <w:rsid w:val="00B55D8C"/>
    <w:rsid w:val="00B61E5B"/>
    <w:rsid w:val="00B62FB6"/>
    <w:rsid w:val="00B717DB"/>
    <w:rsid w:val="00B77610"/>
    <w:rsid w:val="00B829E8"/>
    <w:rsid w:val="00B85023"/>
    <w:rsid w:val="00B86708"/>
    <w:rsid w:val="00B8742B"/>
    <w:rsid w:val="00B93D1C"/>
    <w:rsid w:val="00B942A8"/>
    <w:rsid w:val="00B95096"/>
    <w:rsid w:val="00BA3A02"/>
    <w:rsid w:val="00BA469B"/>
    <w:rsid w:val="00BA5CC1"/>
    <w:rsid w:val="00BA7E48"/>
    <w:rsid w:val="00BB1C1B"/>
    <w:rsid w:val="00BB1EA7"/>
    <w:rsid w:val="00BB3678"/>
    <w:rsid w:val="00BB4A5B"/>
    <w:rsid w:val="00BB4F44"/>
    <w:rsid w:val="00BC1097"/>
    <w:rsid w:val="00BC184F"/>
    <w:rsid w:val="00BC2BF2"/>
    <w:rsid w:val="00BC398F"/>
    <w:rsid w:val="00BC5FA0"/>
    <w:rsid w:val="00BC6BD3"/>
    <w:rsid w:val="00BC7F92"/>
    <w:rsid w:val="00BD0C2F"/>
    <w:rsid w:val="00BE238B"/>
    <w:rsid w:val="00BE2493"/>
    <w:rsid w:val="00BE55BB"/>
    <w:rsid w:val="00BF0CC9"/>
    <w:rsid w:val="00BF1921"/>
    <w:rsid w:val="00BF1D8B"/>
    <w:rsid w:val="00BF2534"/>
    <w:rsid w:val="00BF367E"/>
    <w:rsid w:val="00BF6F2C"/>
    <w:rsid w:val="00C00B5D"/>
    <w:rsid w:val="00C01405"/>
    <w:rsid w:val="00C060DA"/>
    <w:rsid w:val="00C06875"/>
    <w:rsid w:val="00C12296"/>
    <w:rsid w:val="00C13158"/>
    <w:rsid w:val="00C17E6D"/>
    <w:rsid w:val="00C21673"/>
    <w:rsid w:val="00C2396E"/>
    <w:rsid w:val="00C2566F"/>
    <w:rsid w:val="00C25EB2"/>
    <w:rsid w:val="00C26886"/>
    <w:rsid w:val="00C2733D"/>
    <w:rsid w:val="00C35C9B"/>
    <w:rsid w:val="00C35DE1"/>
    <w:rsid w:val="00C37A7C"/>
    <w:rsid w:val="00C44A13"/>
    <w:rsid w:val="00C514D2"/>
    <w:rsid w:val="00C522E0"/>
    <w:rsid w:val="00C524AA"/>
    <w:rsid w:val="00C53723"/>
    <w:rsid w:val="00C54032"/>
    <w:rsid w:val="00C54689"/>
    <w:rsid w:val="00C56B44"/>
    <w:rsid w:val="00C57551"/>
    <w:rsid w:val="00C60422"/>
    <w:rsid w:val="00C63467"/>
    <w:rsid w:val="00C71154"/>
    <w:rsid w:val="00C7427D"/>
    <w:rsid w:val="00C76EF7"/>
    <w:rsid w:val="00C81E8F"/>
    <w:rsid w:val="00C82083"/>
    <w:rsid w:val="00C83AD3"/>
    <w:rsid w:val="00C950C9"/>
    <w:rsid w:val="00CA4098"/>
    <w:rsid w:val="00CA65B2"/>
    <w:rsid w:val="00CB3C6D"/>
    <w:rsid w:val="00CB6C08"/>
    <w:rsid w:val="00CC254F"/>
    <w:rsid w:val="00CD0DCA"/>
    <w:rsid w:val="00CD21AB"/>
    <w:rsid w:val="00CD4F34"/>
    <w:rsid w:val="00CD7DD6"/>
    <w:rsid w:val="00CE634D"/>
    <w:rsid w:val="00CF1D02"/>
    <w:rsid w:val="00CF20F6"/>
    <w:rsid w:val="00CF55F8"/>
    <w:rsid w:val="00D01D5D"/>
    <w:rsid w:val="00D055CE"/>
    <w:rsid w:val="00D05EC3"/>
    <w:rsid w:val="00D06702"/>
    <w:rsid w:val="00D12E0C"/>
    <w:rsid w:val="00D146B1"/>
    <w:rsid w:val="00D14A64"/>
    <w:rsid w:val="00D201C6"/>
    <w:rsid w:val="00D320D4"/>
    <w:rsid w:val="00D32838"/>
    <w:rsid w:val="00D32884"/>
    <w:rsid w:val="00D344F4"/>
    <w:rsid w:val="00D413BF"/>
    <w:rsid w:val="00D41894"/>
    <w:rsid w:val="00D418C4"/>
    <w:rsid w:val="00D440A3"/>
    <w:rsid w:val="00D457AD"/>
    <w:rsid w:val="00D53596"/>
    <w:rsid w:val="00D559E9"/>
    <w:rsid w:val="00D562AA"/>
    <w:rsid w:val="00D638E0"/>
    <w:rsid w:val="00D664B4"/>
    <w:rsid w:val="00D66986"/>
    <w:rsid w:val="00D716BA"/>
    <w:rsid w:val="00D74D73"/>
    <w:rsid w:val="00D75472"/>
    <w:rsid w:val="00D801AB"/>
    <w:rsid w:val="00D80945"/>
    <w:rsid w:val="00D811F0"/>
    <w:rsid w:val="00D820D5"/>
    <w:rsid w:val="00D83EC3"/>
    <w:rsid w:val="00D84D17"/>
    <w:rsid w:val="00D858FB"/>
    <w:rsid w:val="00D86AF1"/>
    <w:rsid w:val="00D905D5"/>
    <w:rsid w:val="00D9076D"/>
    <w:rsid w:val="00D90FD5"/>
    <w:rsid w:val="00DA5E32"/>
    <w:rsid w:val="00DA696F"/>
    <w:rsid w:val="00DA734A"/>
    <w:rsid w:val="00DA774E"/>
    <w:rsid w:val="00DB32F1"/>
    <w:rsid w:val="00DB3B23"/>
    <w:rsid w:val="00DB4E33"/>
    <w:rsid w:val="00DB7EE2"/>
    <w:rsid w:val="00DC0076"/>
    <w:rsid w:val="00DC07BC"/>
    <w:rsid w:val="00DC2952"/>
    <w:rsid w:val="00DC2BCF"/>
    <w:rsid w:val="00DC507C"/>
    <w:rsid w:val="00DC56F8"/>
    <w:rsid w:val="00DD180E"/>
    <w:rsid w:val="00DD1BF5"/>
    <w:rsid w:val="00DE472E"/>
    <w:rsid w:val="00DE4C79"/>
    <w:rsid w:val="00DF4731"/>
    <w:rsid w:val="00DF60E6"/>
    <w:rsid w:val="00DF75B8"/>
    <w:rsid w:val="00E068D6"/>
    <w:rsid w:val="00E0703A"/>
    <w:rsid w:val="00E07FB9"/>
    <w:rsid w:val="00E1080A"/>
    <w:rsid w:val="00E12B06"/>
    <w:rsid w:val="00E14E29"/>
    <w:rsid w:val="00E21EA5"/>
    <w:rsid w:val="00E239B7"/>
    <w:rsid w:val="00E31AF0"/>
    <w:rsid w:val="00E3303C"/>
    <w:rsid w:val="00E33E38"/>
    <w:rsid w:val="00E3455D"/>
    <w:rsid w:val="00E35D27"/>
    <w:rsid w:val="00E404FC"/>
    <w:rsid w:val="00E428F8"/>
    <w:rsid w:val="00E43A49"/>
    <w:rsid w:val="00E44962"/>
    <w:rsid w:val="00E451C7"/>
    <w:rsid w:val="00E46827"/>
    <w:rsid w:val="00E530C0"/>
    <w:rsid w:val="00E54D56"/>
    <w:rsid w:val="00E5670B"/>
    <w:rsid w:val="00E57132"/>
    <w:rsid w:val="00E57798"/>
    <w:rsid w:val="00E63F97"/>
    <w:rsid w:val="00E64CF5"/>
    <w:rsid w:val="00E66080"/>
    <w:rsid w:val="00E713B4"/>
    <w:rsid w:val="00E71CB9"/>
    <w:rsid w:val="00E73698"/>
    <w:rsid w:val="00E753EE"/>
    <w:rsid w:val="00E8251C"/>
    <w:rsid w:val="00E84B0D"/>
    <w:rsid w:val="00E9047E"/>
    <w:rsid w:val="00E92514"/>
    <w:rsid w:val="00E971BB"/>
    <w:rsid w:val="00E97335"/>
    <w:rsid w:val="00EA0D7B"/>
    <w:rsid w:val="00EA1064"/>
    <w:rsid w:val="00EA2E12"/>
    <w:rsid w:val="00EB130F"/>
    <w:rsid w:val="00EB35F3"/>
    <w:rsid w:val="00EC27EF"/>
    <w:rsid w:val="00EC32BA"/>
    <w:rsid w:val="00EC7548"/>
    <w:rsid w:val="00ED03F2"/>
    <w:rsid w:val="00ED2ADA"/>
    <w:rsid w:val="00ED7C9F"/>
    <w:rsid w:val="00EE26CF"/>
    <w:rsid w:val="00EE5467"/>
    <w:rsid w:val="00EE5836"/>
    <w:rsid w:val="00EE6E15"/>
    <w:rsid w:val="00EE7E70"/>
    <w:rsid w:val="00EF0556"/>
    <w:rsid w:val="00EF5E57"/>
    <w:rsid w:val="00F004DA"/>
    <w:rsid w:val="00F03C61"/>
    <w:rsid w:val="00F108A2"/>
    <w:rsid w:val="00F10C5C"/>
    <w:rsid w:val="00F22948"/>
    <w:rsid w:val="00F247D1"/>
    <w:rsid w:val="00F24C5B"/>
    <w:rsid w:val="00F2660D"/>
    <w:rsid w:val="00F320C8"/>
    <w:rsid w:val="00F33434"/>
    <w:rsid w:val="00F336EF"/>
    <w:rsid w:val="00F4028D"/>
    <w:rsid w:val="00F44D62"/>
    <w:rsid w:val="00F4541D"/>
    <w:rsid w:val="00F45E56"/>
    <w:rsid w:val="00F46C6C"/>
    <w:rsid w:val="00F55066"/>
    <w:rsid w:val="00F557E3"/>
    <w:rsid w:val="00F56B4A"/>
    <w:rsid w:val="00F57B51"/>
    <w:rsid w:val="00F70DD5"/>
    <w:rsid w:val="00F824E7"/>
    <w:rsid w:val="00F83559"/>
    <w:rsid w:val="00F83B4F"/>
    <w:rsid w:val="00F8560D"/>
    <w:rsid w:val="00F85A75"/>
    <w:rsid w:val="00F90A65"/>
    <w:rsid w:val="00F94BD0"/>
    <w:rsid w:val="00F97539"/>
    <w:rsid w:val="00FA1E5A"/>
    <w:rsid w:val="00FA3C36"/>
    <w:rsid w:val="00FB0E5F"/>
    <w:rsid w:val="00FB2A2E"/>
    <w:rsid w:val="00FB2B5E"/>
    <w:rsid w:val="00FB3903"/>
    <w:rsid w:val="00FB7015"/>
    <w:rsid w:val="00FC1369"/>
    <w:rsid w:val="00FC2881"/>
    <w:rsid w:val="00FC2CC3"/>
    <w:rsid w:val="00FC47B3"/>
    <w:rsid w:val="00FC7CB7"/>
    <w:rsid w:val="00FD315E"/>
    <w:rsid w:val="00FD3859"/>
    <w:rsid w:val="00FD683A"/>
    <w:rsid w:val="00FD74E1"/>
    <w:rsid w:val="00FD7697"/>
    <w:rsid w:val="00FD7DC1"/>
    <w:rsid w:val="00FE17EB"/>
    <w:rsid w:val="00FE1CDC"/>
    <w:rsid w:val="00FE717D"/>
    <w:rsid w:val="00FF4364"/>
    <w:rsid w:val="00FF6BB8"/>
    <w:rsid w:val="00FF7BF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49ABF2"/>
  <w15:docId w15:val="{F33331A6-9259-4962-8012-7F58804D9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376">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1"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uiPriority="64"/>
    <w:lsdException w:name="Revision" w:semiHidden="1" w:uiPriority="99"/>
    <w:lsdException w:name="List Paragraph" w:qFormat="1"/>
    <w:lsdException w:name="Medium List 2 Accent 1" w:uiPriority="6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uiPriority="67"/>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uiPriority="61"/>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uiPriority="61"/>
    <w:lsdException w:name="Colorful Shading Accent 5"/>
    <w:lsdException w:name="Colorful List Accent 5" w:uiPriority="63"/>
    <w:lsdException w:name="Colorful Grid Accent 5"/>
    <w:lsdException w:name="Light Shading Accent 6"/>
    <w:lsdException w:name="Light List Accent 6"/>
    <w:lsdException w:name="Light Grid Accent 6" w:uiPriority="67"/>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Intense Emphasis" w:uiPriority="1" w:qFormat="1"/>
    <w:lsdException w:name="Intense Reference" w:uiPriority="32"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73698"/>
    <w:pPr>
      <w:spacing w:after="200"/>
    </w:pPr>
    <w:rPr>
      <w:sz w:val="24"/>
      <w:szCs w:val="24"/>
    </w:rPr>
  </w:style>
  <w:style w:type="paragraph" w:styleId="Heading1">
    <w:name w:val="heading 1"/>
    <w:basedOn w:val="Normal"/>
    <w:next w:val="Normal"/>
    <w:link w:val="Heading1Char"/>
    <w:uiPriority w:val="1"/>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BodyText"/>
    <w:link w:val="Heading4Char"/>
    <w:uiPriority w:val="9"/>
    <w:qFormat/>
    <w:rsid w:val="003A5018"/>
    <w:pPr>
      <w:keepNext/>
      <w:tabs>
        <w:tab w:val="left" w:pos="-720"/>
      </w:tabs>
      <w:suppressAutoHyphens/>
      <w:spacing w:before="240" w:after="120"/>
      <w:outlineLvl w:val="3"/>
    </w:pPr>
    <w:rPr>
      <w:rFonts w:ascii="Times New Roman" w:eastAsia="Times New Roman" w:hAnsi="Times New Roman"/>
      <w:b/>
      <w:i/>
      <w:spacing w:val="-3"/>
      <w:szCs w:val="20"/>
      <w:lang w:val="en-AU"/>
    </w:rPr>
  </w:style>
  <w:style w:type="paragraph" w:styleId="Heading5">
    <w:name w:val="heading 5"/>
    <w:basedOn w:val="Normal"/>
    <w:next w:val="Normal"/>
    <w:link w:val="Heading5Char"/>
    <w:qFormat/>
    <w:rsid w:val="003A5018"/>
    <w:pPr>
      <w:spacing w:before="240" w:after="60"/>
      <w:outlineLvl w:val="4"/>
    </w:pPr>
    <w:rPr>
      <w:rFonts w:ascii="Times New Roman" w:eastAsia="Times New Roman" w:hAnsi="Times New Roman"/>
      <w:b/>
      <w:sz w:val="22"/>
      <w:szCs w:val="20"/>
      <w:lang w:val="en-AU"/>
    </w:rPr>
  </w:style>
  <w:style w:type="paragraph" w:styleId="Heading6">
    <w:name w:val="heading 6"/>
    <w:basedOn w:val="Normal"/>
    <w:next w:val="Normal"/>
    <w:link w:val="Heading6Char"/>
    <w:qFormat/>
    <w:rsid w:val="003A5018"/>
    <w:pPr>
      <w:keepNext/>
      <w:tabs>
        <w:tab w:val="left" w:pos="-720"/>
      </w:tabs>
      <w:suppressAutoHyphens/>
      <w:spacing w:after="0"/>
      <w:outlineLvl w:val="5"/>
    </w:pPr>
    <w:rPr>
      <w:rFonts w:ascii="Times New Roman" w:eastAsia="Times New Roman" w:hAnsi="Times New Roman"/>
      <w:b/>
      <w:spacing w:val="-3"/>
      <w:sz w:val="29"/>
      <w:szCs w:val="20"/>
      <w:lang w:val="en-AU"/>
    </w:rPr>
  </w:style>
  <w:style w:type="paragraph" w:styleId="Heading7">
    <w:name w:val="heading 7"/>
    <w:basedOn w:val="Normal"/>
    <w:next w:val="Normal"/>
    <w:link w:val="Heading7Char"/>
    <w:qFormat/>
    <w:rsid w:val="003A5018"/>
    <w:pPr>
      <w:keepNext/>
      <w:spacing w:after="0"/>
      <w:jc w:val="right"/>
      <w:outlineLvl w:val="6"/>
    </w:pPr>
    <w:rPr>
      <w:rFonts w:ascii="Times New Roman" w:eastAsia="Times New Roman" w:hAnsi="Times New Roman"/>
      <w:b/>
      <w:sz w:val="29"/>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54335"/>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554335"/>
    <w:pPr>
      <w:spacing w:before="200"/>
      <w:outlineLvl w:val="0"/>
    </w:pPr>
    <w:rPr>
      <w:rFonts w:ascii="Arial" w:hAnsi="Arial" w:cs="Arial"/>
      <w:color w:val="00BCCE"/>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text">
    <w:name w:val="AHPRA body text"/>
    <w:basedOn w:val="Normal"/>
    <w:rsid w:val="00E73698"/>
    <w:rPr>
      <w:rFonts w:ascii="Arial" w:hAnsi="Arial" w:cs="Arial"/>
      <w:sz w:val="20"/>
    </w:rPr>
  </w:style>
  <w:style w:type="paragraph" w:customStyle="1" w:styleId="AHPRAHeadline">
    <w:name w:val="AHPRA Headline"/>
    <w:basedOn w:val="Normal"/>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paragraph" w:customStyle="1" w:styleId="AHPRADocumentsubheading">
    <w:name w:val="AHPRA Document subheading"/>
    <w:basedOn w:val="Normal"/>
    <w:next w:val="Normal"/>
    <w:qFormat/>
    <w:rsid w:val="00554335"/>
    <w:pPr>
      <w:outlineLvl w:val="0"/>
    </w:pPr>
    <w:rPr>
      <w:rFonts w:ascii="Arial" w:hAnsi="Arial" w:cs="Arial"/>
      <w:color w:val="808080"/>
      <w:sz w:val="28"/>
      <w:szCs w:val="52"/>
    </w:rPr>
  </w:style>
  <w:style w:type="paragraph" w:customStyle="1" w:styleId="AHPRASubheading">
    <w:name w:val="AHPRA Subheading"/>
    <w:basedOn w:val="Normal"/>
    <w:qFormat/>
    <w:rsid w:val="00554335"/>
    <w:pPr>
      <w:spacing w:before="200"/>
    </w:pPr>
    <w:rPr>
      <w:rFonts w:ascii="Arial" w:hAnsi="Arial"/>
      <w:b/>
      <w:color w:val="008EC4"/>
      <w:sz w:val="20"/>
    </w:rPr>
  </w:style>
  <w:style w:type="paragraph" w:customStyle="1" w:styleId="AHPRASubheadinglevel2">
    <w:name w:val="AHPRA Subheading level 2"/>
    <w:basedOn w:val="AHPRASubheading"/>
    <w:next w:val="Normal"/>
    <w:qFormat/>
    <w:rsid w:val="003F5C99"/>
    <w:rPr>
      <w:color w:val="auto"/>
    </w:rPr>
  </w:style>
  <w:style w:type="paragraph" w:customStyle="1" w:styleId="AHPRASubheadinglevel3">
    <w:name w:val="AHPRA Subheading level 3"/>
    <w:basedOn w:val="AHPRASubheading"/>
    <w:next w:val="Normal"/>
    <w:qFormat/>
    <w:rsid w:val="00554335"/>
    <w:rPr>
      <w:b w:val="0"/>
      <w:i/>
    </w:rPr>
  </w:style>
  <w:style w:type="paragraph" w:customStyle="1" w:styleId="AHPRABulletlevel1">
    <w:name w:val="AHPRA Bullet level 1"/>
    <w:basedOn w:val="Normal"/>
    <w:qFormat/>
    <w:rsid w:val="00E73698"/>
    <w:pPr>
      <w:numPr>
        <w:numId w:val="8"/>
      </w:numPr>
      <w:spacing w:after="0"/>
      <w:ind w:left="357" w:hanging="357"/>
    </w:pPr>
    <w:rPr>
      <w:rFonts w:ascii="Arial" w:hAnsi="Arial"/>
      <w:sz w:val="20"/>
    </w:rPr>
  </w:style>
  <w:style w:type="paragraph" w:customStyle="1" w:styleId="AHPRABulletlevel2">
    <w:name w:val="AHPRA Bullet level 2"/>
    <w:basedOn w:val="AHPRABulletlevel1"/>
    <w:rsid w:val="00E12B06"/>
    <w:pPr>
      <w:numPr>
        <w:numId w:val="5"/>
      </w:numPr>
    </w:pPr>
  </w:style>
  <w:style w:type="paragraph" w:customStyle="1" w:styleId="AHPRABulletlevel3">
    <w:name w:val="AHPRA Bullet level 3"/>
    <w:basedOn w:val="AHPRABulletlevel2"/>
    <w:rsid w:val="00E12B06"/>
    <w:pPr>
      <w:numPr>
        <w:numId w:val="6"/>
      </w:numPr>
    </w:pPr>
  </w:style>
  <w:style w:type="paragraph" w:customStyle="1" w:styleId="AHPRABulletText">
    <w:name w:val="AHPRA Bullet Text"/>
    <w:basedOn w:val="Normal"/>
    <w:next w:val="Normal"/>
    <w:qFormat/>
    <w:rsid w:val="00554335"/>
    <w:pPr>
      <w:numPr>
        <w:numId w:val="3"/>
      </w:numPr>
    </w:pPr>
    <w:rPr>
      <w:rFonts w:ascii="Arial MT Lt" w:hAnsi="Arial MT Lt"/>
      <w:sz w:val="20"/>
    </w:rPr>
  </w:style>
  <w:style w:type="paragraph" w:customStyle="1" w:styleId="AHPRATitle">
    <w:name w:val="AHPRA Title"/>
    <w:basedOn w:val="Normal"/>
    <w:next w:val="AHPRAHeadline"/>
    <w:uiPriority w:val="99"/>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4"/>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0">
    <w:name w:val="AHPRA numbered subheading level 1"/>
    <w:basedOn w:val="AHPRASubheading"/>
    <w:next w:val="Normal"/>
    <w:rsid w:val="00E73698"/>
    <w:pPr>
      <w:numPr>
        <w:numId w:val="7"/>
      </w:numPr>
      <w:ind w:left="284" w:hanging="284"/>
    </w:pPr>
  </w:style>
  <w:style w:type="paragraph" w:customStyle="1" w:styleId="AHPRAnumberedbulletpoint">
    <w:name w:val="AHPRA numbered bullet point"/>
    <w:basedOn w:val="AHPRABulletlevel1"/>
    <w:link w:val="AHPRAnumberedbulletpointChar"/>
    <w:rsid w:val="009859E6"/>
    <w:pPr>
      <w:numPr>
        <w:numId w:val="9"/>
      </w:numPr>
      <w:ind w:left="714" w:hanging="357"/>
    </w:pPr>
  </w:style>
  <w:style w:type="paragraph" w:customStyle="1" w:styleId="AHPRAtableheadings">
    <w:name w:val="AHPRA table headings"/>
    <w:basedOn w:val="Normal"/>
    <w:rsid w:val="00E73698"/>
    <w:pPr>
      <w:spacing w:before="120" w:after="120"/>
      <w:jc w:val="center"/>
    </w:pPr>
    <w:rPr>
      <w:rFonts w:ascii="Arial" w:hAnsi="Arial"/>
      <w:b/>
      <w:sz w:val="20"/>
    </w:rPr>
  </w:style>
  <w:style w:type="paragraph" w:customStyle="1" w:styleId="AHPRAlastbulletpoint">
    <w:name w:val="AHPRA last bullet point"/>
    <w:basedOn w:val="AHPRABulletlevel1"/>
    <w:next w:val="Normal"/>
    <w:rsid w:val="00B024B0"/>
    <w:pPr>
      <w:spacing w:after="200"/>
    </w:pPr>
  </w:style>
  <w:style w:type="paragraph" w:customStyle="1" w:styleId="AHPRAlastnumberedbulletpoint">
    <w:name w:val="AHPRA last numbered bullet point"/>
    <w:basedOn w:val="AHPRAnumberedbulletpoint"/>
    <w:next w:val="Normal"/>
    <w:rsid w:val="00B024B0"/>
    <w:pPr>
      <w:spacing w:after="200"/>
    </w:pPr>
  </w:style>
  <w:style w:type="character" w:customStyle="1" w:styleId="AHPRAbodyitalics">
    <w:name w:val="AHPRA body italics"/>
    <w:basedOn w:val="DefaultParagraphFont"/>
    <w:uiPriority w:val="1"/>
    <w:rsid w:val="00E73698"/>
    <w:rPr>
      <w:i/>
    </w:rPr>
  </w:style>
  <w:style w:type="character" w:customStyle="1" w:styleId="AHPRAbodybold">
    <w:name w:val="AHPRA body bold"/>
    <w:basedOn w:val="DefaultParagraphFont"/>
    <w:uiPriority w:val="1"/>
    <w:rsid w:val="00E73698"/>
    <w:rPr>
      <w:b/>
    </w:rPr>
  </w:style>
  <w:style w:type="character" w:customStyle="1" w:styleId="Heading3Char">
    <w:name w:val="Heading 3 Char"/>
    <w:basedOn w:val="DefaultParagraphFont"/>
    <w:link w:val="Heading3"/>
    <w:rsid w:val="00E73698"/>
    <w:rPr>
      <w:rFonts w:asciiTheme="majorHAnsi" w:eastAsiaTheme="majorEastAsia" w:hAnsiTheme="majorHAnsi" w:cstheme="majorBidi"/>
      <w:b/>
      <w:bCs/>
      <w:sz w:val="26"/>
      <w:szCs w:val="26"/>
    </w:rPr>
  </w:style>
  <w:style w:type="paragraph" w:styleId="Header">
    <w:name w:val="header"/>
    <w:basedOn w:val="Normal"/>
    <w:link w:val="HeaderChar"/>
    <w:uiPriority w:val="99"/>
    <w:rsid w:val="00E73698"/>
    <w:pPr>
      <w:tabs>
        <w:tab w:val="center" w:pos="4513"/>
        <w:tab w:val="right" w:pos="9026"/>
      </w:tabs>
    </w:pPr>
  </w:style>
  <w:style w:type="character" w:customStyle="1" w:styleId="HeaderChar">
    <w:name w:val="Header Char"/>
    <w:basedOn w:val="DefaultParagraphFont"/>
    <w:link w:val="Header"/>
    <w:uiPriority w:val="99"/>
    <w:rsid w:val="00E73698"/>
    <w:rPr>
      <w:sz w:val="24"/>
      <w:szCs w:val="24"/>
    </w:rPr>
  </w:style>
  <w:style w:type="paragraph" w:customStyle="1" w:styleId="AHPRApagenumber">
    <w:name w:val="AHPRA page number"/>
    <w:basedOn w:val="Footer"/>
    <w:rsid w:val="00E73698"/>
    <w:pPr>
      <w:framePr w:wrap="around" w:vAnchor="text" w:hAnchor="margin" w:xAlign="right" w:y="1"/>
    </w:pPr>
    <w:rPr>
      <w:rFonts w:ascii="Arial" w:hAnsi="Arial" w:cs="Arial"/>
      <w:color w:val="008EC4"/>
      <w:sz w:val="18"/>
    </w:rPr>
  </w:style>
  <w:style w:type="paragraph" w:styleId="FootnoteText">
    <w:name w:val="footnote text"/>
    <w:basedOn w:val="Normal"/>
    <w:link w:val="FootnoteTextChar"/>
    <w:rsid w:val="00E73698"/>
    <w:rPr>
      <w:sz w:val="20"/>
      <w:szCs w:val="20"/>
    </w:rPr>
  </w:style>
  <w:style w:type="character" w:customStyle="1" w:styleId="FootnoteTextChar">
    <w:name w:val="Footnote Text Char"/>
    <w:basedOn w:val="DefaultParagraphFont"/>
    <w:link w:val="FootnoteText"/>
    <w:rsid w:val="00E73698"/>
  </w:style>
  <w:style w:type="character" w:styleId="FootnoteReference">
    <w:name w:val="footnote reference"/>
    <w:basedOn w:val="DefaultParagraphFont"/>
    <w:uiPriority w:val="99"/>
    <w:rsid w:val="00E73698"/>
    <w:rPr>
      <w:vertAlign w:val="superscript"/>
    </w:rPr>
  </w:style>
  <w:style w:type="paragraph" w:customStyle="1" w:styleId="AHPRAfootnote">
    <w:name w:val="AHPRA footnote"/>
    <w:basedOn w:val="FootnoteText"/>
    <w:rsid w:val="00E73698"/>
    <w:rPr>
      <w:rFonts w:ascii="Arial" w:hAnsi="Arial" w:cs="Arial"/>
      <w:i/>
      <w:color w:val="008EC4"/>
      <w:sz w:val="18"/>
    </w:rPr>
  </w:style>
  <w:style w:type="character" w:customStyle="1" w:styleId="Heading2Char">
    <w:name w:val="Heading 2 Char"/>
    <w:basedOn w:val="DefaultParagraphFont"/>
    <w:link w:val="Heading2"/>
    <w:rsid w:val="00E73698"/>
    <w:rPr>
      <w:rFonts w:asciiTheme="majorHAnsi" w:eastAsiaTheme="majorEastAsia" w:hAnsiTheme="majorHAnsi" w:cstheme="majorBidi"/>
      <w:b/>
      <w:bCs/>
      <w:i/>
      <w:iCs/>
      <w:sz w:val="28"/>
      <w:szCs w:val="28"/>
    </w:rPr>
  </w:style>
  <w:style w:type="paragraph" w:styleId="TOC2">
    <w:name w:val="toc 2"/>
    <w:basedOn w:val="Normal"/>
    <w:next w:val="Normal"/>
    <w:autoRedefine/>
    <w:uiPriority w:val="1"/>
    <w:qFormat/>
    <w:rsid w:val="00E73698"/>
    <w:pPr>
      <w:ind w:left="240"/>
    </w:pPr>
  </w:style>
  <w:style w:type="paragraph" w:styleId="TOC1">
    <w:name w:val="toc 1"/>
    <w:aliases w:val="AHPRA table of contents"/>
    <w:basedOn w:val="Normal"/>
    <w:next w:val="Normal"/>
    <w:autoRedefine/>
    <w:uiPriority w:val="39"/>
    <w:qFormat/>
    <w:rsid w:val="00E73698"/>
    <w:pPr>
      <w:tabs>
        <w:tab w:val="right" w:leader="dot" w:pos="9488"/>
      </w:tabs>
    </w:pPr>
    <w:rPr>
      <w:rFonts w:ascii="Arial" w:hAnsi="Arial"/>
      <w:b/>
      <w:noProof/>
      <w:color w:val="008EC4"/>
      <w:sz w:val="20"/>
    </w:rPr>
  </w:style>
  <w:style w:type="paragraph" w:styleId="TOC3">
    <w:name w:val="toc 3"/>
    <w:basedOn w:val="Normal"/>
    <w:next w:val="Normal"/>
    <w:autoRedefine/>
    <w:uiPriority w:val="39"/>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Normal"/>
    <w:rsid w:val="00E73698"/>
    <w:pPr>
      <w:spacing w:before="120" w:after="120"/>
    </w:pPr>
    <w:rPr>
      <w:rFonts w:ascii="Arial" w:hAnsi="Arial"/>
      <w:sz w:val="20"/>
      <w:szCs w:val="20"/>
    </w:rPr>
  </w:style>
  <w:style w:type="character" w:customStyle="1" w:styleId="AHPRAbodyunderline">
    <w:name w:val="AHPRA body underline"/>
    <w:basedOn w:val="DefaultParagraphFont"/>
    <w:uiPriority w:val="1"/>
    <w:rsid w:val="00E73698"/>
    <w:rPr>
      <w:u w:val="single"/>
    </w:rPr>
  </w:style>
  <w:style w:type="paragraph" w:styleId="BalloonText">
    <w:name w:val="Balloon Text"/>
    <w:basedOn w:val="Normal"/>
    <w:link w:val="BalloonTextChar"/>
    <w:uiPriority w:val="99"/>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rsid w:val="008979D5"/>
    <w:rPr>
      <w:rFonts w:ascii="Tahoma" w:hAnsi="Tahoma" w:cs="Tahoma"/>
      <w:sz w:val="16"/>
      <w:szCs w:val="16"/>
    </w:rPr>
  </w:style>
  <w:style w:type="paragraph" w:customStyle="1" w:styleId="AHPRAbody">
    <w:name w:val="AHPRA body"/>
    <w:basedOn w:val="Normal"/>
    <w:link w:val="AHPRAbodyChar"/>
    <w:qFormat/>
    <w:rsid w:val="003074C6"/>
    <w:rPr>
      <w:rFonts w:ascii="Arial" w:hAnsi="Arial" w:cs="Arial"/>
      <w:sz w:val="20"/>
      <w:lang w:val="en-AU"/>
    </w:rPr>
  </w:style>
  <w:style w:type="paragraph" w:customStyle="1" w:styleId="AHPRANumberedlistlevel2">
    <w:name w:val="AHPRA Numbered list level 2"/>
    <w:basedOn w:val="AHPRANumberedlistlevel1"/>
    <w:rsid w:val="003074C6"/>
    <w:pPr>
      <w:numPr>
        <w:ilvl w:val="1"/>
      </w:numPr>
    </w:pPr>
  </w:style>
  <w:style w:type="paragraph" w:customStyle="1" w:styleId="AHPRANumberedsubheadinglevel1">
    <w:name w:val="AHPRA Numbered subheading level 1"/>
    <w:basedOn w:val="AHPRASubheading"/>
    <w:next w:val="AHPRAbody"/>
    <w:rsid w:val="003074C6"/>
    <w:pPr>
      <w:numPr>
        <w:numId w:val="12"/>
      </w:numPr>
    </w:pPr>
    <w:rPr>
      <w:color w:val="007DC3"/>
      <w:lang w:val="en-AU"/>
    </w:rPr>
  </w:style>
  <w:style w:type="paragraph" w:customStyle="1" w:styleId="AHPRANumberedlistlevel2withspace">
    <w:name w:val="AHPRA Numbered list level 2 with space"/>
    <w:basedOn w:val="AHPRANumberedlistlevel2"/>
    <w:next w:val="AHPRAbody"/>
    <w:rsid w:val="003074C6"/>
    <w:pPr>
      <w:spacing w:after="240"/>
    </w:pPr>
  </w:style>
  <w:style w:type="paragraph" w:customStyle="1" w:styleId="AHPRAtableheading">
    <w:name w:val="AHPRA table heading"/>
    <w:basedOn w:val="Normal"/>
    <w:rsid w:val="003074C6"/>
    <w:pPr>
      <w:spacing w:before="120" w:after="120"/>
      <w:jc w:val="center"/>
    </w:pPr>
    <w:rPr>
      <w:rFonts w:ascii="Arial" w:hAnsi="Arial"/>
      <w:b/>
      <w:sz w:val="20"/>
      <w:lang w:val="en-AU"/>
    </w:rPr>
  </w:style>
  <w:style w:type="paragraph" w:customStyle="1" w:styleId="AHPRABulletlevel1last">
    <w:name w:val="AHPRA Bullet level 1 last"/>
    <w:basedOn w:val="AHPRABulletlevel1"/>
    <w:next w:val="Normal"/>
    <w:rsid w:val="003074C6"/>
    <w:pPr>
      <w:numPr>
        <w:numId w:val="2"/>
      </w:numPr>
      <w:spacing w:after="200"/>
    </w:pPr>
    <w:rPr>
      <w:lang w:val="en-AU"/>
    </w:rPr>
  </w:style>
  <w:style w:type="paragraph" w:customStyle="1" w:styleId="AHPRANumberedlistlevel1withspace">
    <w:name w:val="AHPRA Numbered list level 1 with space"/>
    <w:basedOn w:val="AHPRANumberedlistlevel1"/>
    <w:next w:val="AHPRAbody"/>
    <w:rsid w:val="003074C6"/>
    <w:pPr>
      <w:spacing w:after="200"/>
    </w:pPr>
  </w:style>
  <w:style w:type="paragraph" w:customStyle="1" w:styleId="AHPRAfooter">
    <w:name w:val="AHPRA footer"/>
    <w:basedOn w:val="FootnoteText"/>
    <w:rsid w:val="003074C6"/>
    <w:pPr>
      <w:spacing w:after="0"/>
    </w:pPr>
    <w:rPr>
      <w:rFonts w:ascii="Arial" w:hAnsi="Arial" w:cs="Arial"/>
      <w:color w:val="5F6062"/>
      <w:sz w:val="18"/>
      <w:lang w:val="en-AU"/>
    </w:rPr>
  </w:style>
  <w:style w:type="character" w:styleId="IntenseEmphasis">
    <w:name w:val="Intense Emphasis"/>
    <w:aliases w:val="AHPRA- Footer"/>
    <w:uiPriority w:val="1"/>
    <w:unhideWhenUsed/>
    <w:qFormat/>
    <w:rsid w:val="003074C6"/>
    <w:rPr>
      <w:rFonts w:ascii="Arial" w:hAnsi="Arial" w:cs="Arial"/>
      <w:sz w:val="16"/>
    </w:rPr>
  </w:style>
  <w:style w:type="numbering" w:customStyle="1" w:styleId="AHPRANumberedlist">
    <w:name w:val="AHPRA Numbered list"/>
    <w:uiPriority w:val="99"/>
    <w:rsid w:val="003074C6"/>
    <w:pPr>
      <w:numPr>
        <w:numId w:val="10"/>
      </w:numPr>
    </w:pPr>
  </w:style>
  <w:style w:type="numbering" w:customStyle="1" w:styleId="AHPRANumberedheadinglist">
    <w:name w:val="AHPRA Numbered heading list"/>
    <w:uiPriority w:val="99"/>
    <w:rsid w:val="003074C6"/>
    <w:pPr>
      <w:numPr>
        <w:numId w:val="11"/>
      </w:numPr>
    </w:pPr>
  </w:style>
  <w:style w:type="paragraph" w:customStyle="1" w:styleId="AHPRANumberedlistlevel3withspace">
    <w:name w:val="AHPRA Numbered list level 3 with space"/>
    <w:basedOn w:val="AHPRANumberedlistlevel3"/>
    <w:next w:val="AHPRAbody"/>
    <w:rsid w:val="003074C6"/>
    <w:pPr>
      <w:spacing w:after="200"/>
    </w:pPr>
  </w:style>
  <w:style w:type="paragraph" w:customStyle="1" w:styleId="StyleAHPRASubheadingNotBold">
    <w:name w:val="Style AHPRA Subheading + Not Bold"/>
    <w:basedOn w:val="AHPRASubheading"/>
    <w:uiPriority w:val="1"/>
    <w:semiHidden/>
    <w:unhideWhenUsed/>
    <w:rsid w:val="003074C6"/>
    <w:rPr>
      <w:b w:val="0"/>
      <w:color w:val="007DC3"/>
      <w:lang w:val="en-AU"/>
    </w:rPr>
  </w:style>
  <w:style w:type="paragraph" w:customStyle="1" w:styleId="AHPRABulletlevel2last">
    <w:name w:val="AHPRA Bullet level 2 last"/>
    <w:basedOn w:val="AHPRABulletlevel2"/>
    <w:next w:val="AHPRAbody"/>
    <w:rsid w:val="003074C6"/>
    <w:pPr>
      <w:spacing w:after="200"/>
      <w:ind w:left="738" w:hanging="369"/>
    </w:pPr>
    <w:rPr>
      <w:lang w:val="en-AU"/>
    </w:rPr>
  </w:style>
  <w:style w:type="paragraph" w:customStyle="1" w:styleId="AHPRABulletlevel3last">
    <w:name w:val="AHPRA Bullet level 3 last"/>
    <w:basedOn w:val="AHPRABulletlevel3"/>
    <w:next w:val="AHPRAbody"/>
    <w:rsid w:val="003074C6"/>
    <w:pPr>
      <w:numPr>
        <w:numId w:val="1"/>
      </w:numPr>
      <w:spacing w:after="200"/>
      <w:ind w:left="1106" w:hanging="369"/>
    </w:pPr>
    <w:rPr>
      <w:lang w:val="en-AU"/>
    </w:rPr>
  </w:style>
  <w:style w:type="paragraph" w:customStyle="1" w:styleId="AHPRAfirstpagefooter">
    <w:name w:val="AHPRA first page footer"/>
    <w:basedOn w:val="AHPRAfooter"/>
    <w:rsid w:val="003074C6"/>
    <w:pPr>
      <w:jc w:val="center"/>
    </w:pPr>
    <w:rPr>
      <w:b/>
    </w:rPr>
  </w:style>
  <w:style w:type="paragraph" w:customStyle="1" w:styleId="AHPRANumberedlistlevel1">
    <w:name w:val="AHPRA Numbered list level 1"/>
    <w:basedOn w:val="AHPRABulletlevel1"/>
    <w:rsid w:val="003074C6"/>
    <w:pPr>
      <w:numPr>
        <w:numId w:val="13"/>
      </w:numPr>
    </w:pPr>
    <w:rPr>
      <w:lang w:val="en-AU"/>
    </w:rPr>
  </w:style>
  <w:style w:type="paragraph" w:customStyle="1" w:styleId="AHPRANumberedlistlevel3">
    <w:name w:val="AHPRA Numbered list level 3"/>
    <w:basedOn w:val="AHPRANumberedlistlevel1"/>
    <w:rsid w:val="003074C6"/>
    <w:pPr>
      <w:numPr>
        <w:ilvl w:val="2"/>
      </w:numPr>
    </w:pPr>
  </w:style>
  <w:style w:type="paragraph" w:customStyle="1" w:styleId="AHPRANumberedsubheadinglevel2">
    <w:name w:val="AHPRA Numbered subheading level 2"/>
    <w:basedOn w:val="AHPRANumberedsubheadinglevel1"/>
    <w:next w:val="AHPRAbody"/>
    <w:rsid w:val="003074C6"/>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3074C6"/>
    <w:pPr>
      <w:numPr>
        <w:ilvl w:val="2"/>
      </w:numPr>
    </w:pPr>
    <w:rPr>
      <w:b w:val="0"/>
      <w:color w:val="007DC3"/>
    </w:rPr>
  </w:style>
  <w:style w:type="paragraph" w:customStyle="1" w:styleId="AHPRAtablebullets">
    <w:name w:val="AHPRA table bullets"/>
    <w:basedOn w:val="AHPRABulletlevel1"/>
    <w:rsid w:val="003074C6"/>
    <w:pPr>
      <w:numPr>
        <w:numId w:val="0"/>
      </w:numPr>
      <w:tabs>
        <w:tab w:val="num" w:pos="360"/>
      </w:tabs>
      <w:ind w:left="360" w:hanging="360"/>
    </w:pPr>
    <w:rPr>
      <w:lang w:val="en-AU"/>
    </w:rPr>
  </w:style>
  <w:style w:type="character" w:customStyle="1" w:styleId="AHPRAbodyChar">
    <w:name w:val="AHPRA body Char"/>
    <w:basedOn w:val="DefaultParagraphFont"/>
    <w:link w:val="AHPRAbody"/>
    <w:rsid w:val="003074C6"/>
    <w:rPr>
      <w:rFonts w:ascii="Arial" w:hAnsi="Arial" w:cs="Arial"/>
      <w:szCs w:val="24"/>
      <w:lang w:val="en-AU"/>
    </w:rPr>
  </w:style>
  <w:style w:type="character" w:customStyle="1" w:styleId="AHPRAbodyboldChar">
    <w:name w:val="AHPRA body bold Char"/>
    <w:basedOn w:val="AHPRAbodyChar"/>
    <w:rsid w:val="003074C6"/>
    <w:rPr>
      <w:rFonts w:ascii="Arial" w:hAnsi="Arial" w:cs="Arial"/>
      <w:b/>
      <w:szCs w:val="24"/>
      <w:lang w:val="en-AU"/>
    </w:rPr>
  </w:style>
  <w:style w:type="paragraph" w:styleId="TOCHeading">
    <w:name w:val="TOC Heading"/>
    <w:basedOn w:val="AHPRADocumentsubheading"/>
    <w:next w:val="AHPRAbody"/>
    <w:uiPriority w:val="39"/>
    <w:unhideWhenUsed/>
    <w:qFormat/>
    <w:rsid w:val="003074C6"/>
    <w:pPr>
      <w:keepLines/>
      <w:spacing w:before="480" w:after="0" w:line="276" w:lineRule="auto"/>
      <w:outlineLvl w:val="9"/>
    </w:pPr>
    <w:rPr>
      <w:color w:val="5F6062"/>
      <w:szCs w:val="28"/>
      <w:lang w:val="en-AU"/>
    </w:rPr>
  </w:style>
  <w:style w:type="character" w:customStyle="1" w:styleId="AHPRAbodyitalicsChar">
    <w:name w:val="AHPRA body italics Char"/>
    <w:basedOn w:val="AHPRAbodyboldChar"/>
    <w:rsid w:val="003074C6"/>
    <w:rPr>
      <w:rFonts w:ascii="Arial" w:hAnsi="Arial" w:cs="Arial"/>
      <w:b/>
      <w:i/>
      <w:szCs w:val="24"/>
      <w:lang w:val="en-AU"/>
    </w:rPr>
  </w:style>
  <w:style w:type="character" w:customStyle="1" w:styleId="AHPRAbodyunderlineChar">
    <w:name w:val="AHPRA body underline Char"/>
    <w:basedOn w:val="AHPRAbodyitalicsChar"/>
    <w:rsid w:val="003074C6"/>
    <w:rPr>
      <w:rFonts w:ascii="Arial" w:hAnsi="Arial" w:cs="Arial"/>
      <w:b/>
      <w:i/>
      <w:szCs w:val="24"/>
      <w:u w:val="single"/>
      <w:lang w:val="en-AU"/>
    </w:rPr>
  </w:style>
  <w:style w:type="paragraph" w:styleId="DocumentMap">
    <w:name w:val="Document Map"/>
    <w:basedOn w:val="Normal"/>
    <w:link w:val="DocumentMapChar"/>
    <w:unhideWhenUsed/>
    <w:rsid w:val="003074C6"/>
    <w:pPr>
      <w:spacing w:after="0"/>
    </w:pPr>
    <w:rPr>
      <w:rFonts w:ascii="Tahoma" w:hAnsi="Tahoma" w:cs="Tahoma"/>
      <w:sz w:val="16"/>
      <w:szCs w:val="16"/>
      <w:lang w:val="en-AU"/>
    </w:rPr>
  </w:style>
  <w:style w:type="character" w:customStyle="1" w:styleId="DocumentMapChar">
    <w:name w:val="Document Map Char"/>
    <w:basedOn w:val="DefaultParagraphFont"/>
    <w:link w:val="DocumentMap"/>
    <w:rsid w:val="003074C6"/>
    <w:rPr>
      <w:rFonts w:ascii="Tahoma" w:hAnsi="Tahoma" w:cs="Tahoma"/>
      <w:sz w:val="16"/>
      <w:szCs w:val="16"/>
      <w:lang w:val="en-AU"/>
    </w:rPr>
  </w:style>
  <w:style w:type="character" w:styleId="CommentReference">
    <w:name w:val="annotation reference"/>
    <w:basedOn w:val="DefaultParagraphFont"/>
    <w:unhideWhenUsed/>
    <w:rsid w:val="003074C6"/>
    <w:rPr>
      <w:sz w:val="16"/>
      <w:szCs w:val="16"/>
    </w:rPr>
  </w:style>
  <w:style w:type="paragraph" w:styleId="CommentText">
    <w:name w:val="annotation text"/>
    <w:basedOn w:val="Normal"/>
    <w:link w:val="CommentTextChar"/>
    <w:uiPriority w:val="99"/>
    <w:unhideWhenUsed/>
    <w:rsid w:val="003074C6"/>
    <w:rPr>
      <w:rFonts w:ascii="Arial" w:hAnsi="Arial"/>
      <w:sz w:val="20"/>
      <w:szCs w:val="20"/>
      <w:lang w:val="en-AU"/>
    </w:rPr>
  </w:style>
  <w:style w:type="character" w:customStyle="1" w:styleId="CommentTextChar">
    <w:name w:val="Comment Text Char"/>
    <w:basedOn w:val="DefaultParagraphFont"/>
    <w:link w:val="CommentText"/>
    <w:uiPriority w:val="99"/>
    <w:rsid w:val="003074C6"/>
    <w:rPr>
      <w:rFonts w:ascii="Arial" w:hAnsi="Arial"/>
      <w:lang w:val="en-AU"/>
    </w:rPr>
  </w:style>
  <w:style w:type="paragraph" w:styleId="CommentSubject">
    <w:name w:val="annotation subject"/>
    <w:basedOn w:val="CommentText"/>
    <w:next w:val="CommentText"/>
    <w:link w:val="CommentSubjectChar"/>
    <w:uiPriority w:val="99"/>
    <w:unhideWhenUsed/>
    <w:rsid w:val="003074C6"/>
    <w:rPr>
      <w:b/>
      <w:bCs/>
    </w:rPr>
  </w:style>
  <w:style w:type="character" w:customStyle="1" w:styleId="CommentSubjectChar">
    <w:name w:val="Comment Subject Char"/>
    <w:basedOn w:val="CommentTextChar"/>
    <w:link w:val="CommentSubject"/>
    <w:uiPriority w:val="99"/>
    <w:rsid w:val="003074C6"/>
    <w:rPr>
      <w:rFonts w:ascii="Arial" w:hAnsi="Arial"/>
      <w:b/>
      <w:bCs/>
      <w:lang w:val="en-AU"/>
    </w:rPr>
  </w:style>
  <w:style w:type="character" w:styleId="FollowedHyperlink">
    <w:name w:val="FollowedHyperlink"/>
    <w:basedOn w:val="DefaultParagraphFont"/>
    <w:uiPriority w:val="99"/>
    <w:unhideWhenUsed/>
    <w:rsid w:val="003074C6"/>
    <w:rPr>
      <w:color w:val="800080" w:themeColor="followedHyperlink"/>
      <w:u w:val="single"/>
    </w:rPr>
  </w:style>
  <w:style w:type="paragraph" w:styleId="ListParagraph">
    <w:name w:val="List Paragraph"/>
    <w:basedOn w:val="Normal"/>
    <w:link w:val="ListParagraphChar"/>
    <w:unhideWhenUsed/>
    <w:qFormat/>
    <w:rsid w:val="003074C6"/>
    <w:pPr>
      <w:ind w:left="720"/>
      <w:contextualSpacing/>
    </w:pPr>
    <w:rPr>
      <w:rFonts w:ascii="Arial" w:hAnsi="Arial"/>
      <w:lang w:val="en-AU"/>
    </w:rPr>
  </w:style>
  <w:style w:type="character" w:styleId="Emphasis">
    <w:name w:val="Emphasis"/>
    <w:basedOn w:val="DefaultParagraphFont"/>
    <w:uiPriority w:val="20"/>
    <w:qFormat/>
    <w:rsid w:val="003074C6"/>
    <w:rPr>
      <w:i/>
      <w:iCs/>
    </w:rPr>
  </w:style>
  <w:style w:type="paragraph" w:styleId="EndnoteText">
    <w:name w:val="endnote text"/>
    <w:basedOn w:val="Normal"/>
    <w:link w:val="EndnoteTextChar"/>
    <w:unhideWhenUsed/>
    <w:rsid w:val="003074C6"/>
    <w:pPr>
      <w:spacing w:after="0"/>
    </w:pPr>
    <w:rPr>
      <w:rFonts w:ascii="Arial" w:hAnsi="Arial"/>
      <w:sz w:val="20"/>
      <w:szCs w:val="20"/>
      <w:lang w:val="en-AU"/>
    </w:rPr>
  </w:style>
  <w:style w:type="character" w:customStyle="1" w:styleId="EndnoteTextChar">
    <w:name w:val="Endnote Text Char"/>
    <w:basedOn w:val="DefaultParagraphFont"/>
    <w:link w:val="EndnoteText"/>
    <w:rsid w:val="003074C6"/>
    <w:rPr>
      <w:rFonts w:ascii="Arial" w:hAnsi="Arial"/>
      <w:lang w:val="en-AU"/>
    </w:rPr>
  </w:style>
  <w:style w:type="character" w:styleId="EndnoteReference">
    <w:name w:val="endnote reference"/>
    <w:basedOn w:val="DefaultParagraphFont"/>
    <w:uiPriority w:val="1"/>
    <w:unhideWhenUsed/>
    <w:rsid w:val="003074C6"/>
    <w:rPr>
      <w:vertAlign w:val="superscript"/>
    </w:rPr>
  </w:style>
  <w:style w:type="character" w:customStyle="1" w:styleId="dnindex1">
    <w:name w:val="dnindex1"/>
    <w:basedOn w:val="DefaultParagraphFont"/>
    <w:rsid w:val="003074C6"/>
    <w:rPr>
      <w:b/>
      <w:bCs/>
      <w:vanish w:val="0"/>
      <w:webHidden w:val="0"/>
      <w:color w:val="7B7B7B"/>
      <w:specVanish w:val="0"/>
    </w:rPr>
  </w:style>
  <w:style w:type="paragraph" w:styleId="PlainText">
    <w:name w:val="Plain Text"/>
    <w:basedOn w:val="Normal"/>
    <w:link w:val="PlainTextChar"/>
    <w:uiPriority w:val="99"/>
    <w:unhideWhenUsed/>
    <w:rsid w:val="003074C6"/>
    <w:pPr>
      <w:spacing w:after="0"/>
    </w:pPr>
    <w:rPr>
      <w:rFonts w:ascii="Consolas" w:eastAsia="Calibri" w:hAnsi="Consolas"/>
      <w:sz w:val="21"/>
      <w:szCs w:val="21"/>
      <w:lang w:val="en-AU"/>
    </w:rPr>
  </w:style>
  <w:style w:type="character" w:customStyle="1" w:styleId="PlainTextChar">
    <w:name w:val="Plain Text Char"/>
    <w:basedOn w:val="DefaultParagraphFont"/>
    <w:link w:val="PlainText"/>
    <w:uiPriority w:val="99"/>
    <w:rsid w:val="003074C6"/>
    <w:rPr>
      <w:rFonts w:ascii="Consolas" w:eastAsia="Calibri" w:hAnsi="Consolas"/>
      <w:sz w:val="21"/>
      <w:szCs w:val="21"/>
      <w:lang w:val="en-AU"/>
    </w:rPr>
  </w:style>
  <w:style w:type="paragraph" w:styleId="NoSpacing">
    <w:name w:val="No Spacing"/>
    <w:uiPriority w:val="1"/>
    <w:qFormat/>
    <w:rsid w:val="003074C6"/>
    <w:rPr>
      <w:rFonts w:ascii="Times New Roman" w:eastAsia="Times New Roman" w:hAnsi="Times New Roman"/>
      <w:sz w:val="24"/>
      <w:szCs w:val="24"/>
      <w:lang w:val="en-AU" w:eastAsia="en-AU"/>
    </w:rPr>
  </w:style>
  <w:style w:type="paragraph" w:styleId="Revision">
    <w:name w:val="Revision"/>
    <w:hidden/>
    <w:uiPriority w:val="99"/>
    <w:rsid w:val="003074C6"/>
    <w:rPr>
      <w:rFonts w:ascii="Arial" w:hAnsi="Arial"/>
      <w:sz w:val="24"/>
      <w:szCs w:val="24"/>
      <w:lang w:val="en-AU"/>
    </w:rPr>
  </w:style>
  <w:style w:type="paragraph" w:customStyle="1" w:styleId="Default">
    <w:name w:val="Default"/>
    <w:rsid w:val="003074C6"/>
    <w:pPr>
      <w:autoSpaceDE w:val="0"/>
      <w:autoSpaceDN w:val="0"/>
      <w:adjustRightInd w:val="0"/>
    </w:pPr>
    <w:rPr>
      <w:rFonts w:ascii="Arial" w:hAnsi="Arial" w:cs="Arial"/>
      <w:color w:val="000000"/>
      <w:sz w:val="24"/>
      <w:szCs w:val="24"/>
      <w:lang w:val="en-AU"/>
    </w:rPr>
  </w:style>
  <w:style w:type="paragraph" w:styleId="NormalWeb">
    <w:name w:val="Normal (Web)"/>
    <w:basedOn w:val="Normal"/>
    <w:uiPriority w:val="99"/>
    <w:unhideWhenUsed/>
    <w:rsid w:val="003074C6"/>
    <w:pPr>
      <w:spacing w:after="240" w:line="336" w:lineRule="atLeast"/>
    </w:pPr>
    <w:rPr>
      <w:rFonts w:ascii="Times New Roman" w:eastAsia="Times New Roman" w:hAnsi="Times New Roman"/>
      <w:color w:val="000000"/>
      <w:sz w:val="26"/>
      <w:szCs w:val="26"/>
      <w:lang w:val="en-AU" w:eastAsia="en-AU"/>
    </w:rPr>
  </w:style>
  <w:style w:type="paragraph" w:customStyle="1" w:styleId="AHPRASubhead">
    <w:name w:val="AHPRA Subhead"/>
    <w:basedOn w:val="Normal"/>
    <w:qFormat/>
    <w:rsid w:val="005268FB"/>
    <w:rPr>
      <w:rFonts w:ascii="Arial" w:hAnsi="Arial"/>
      <w:b/>
      <w:color w:val="008EC4"/>
      <w:sz w:val="20"/>
    </w:rPr>
  </w:style>
  <w:style w:type="character" w:customStyle="1" w:styleId="ListParagraphChar">
    <w:name w:val="List Paragraph Char"/>
    <w:link w:val="ListParagraph"/>
    <w:uiPriority w:val="34"/>
    <w:locked/>
    <w:rsid w:val="005268FB"/>
    <w:rPr>
      <w:rFonts w:ascii="Arial" w:hAnsi="Arial"/>
      <w:sz w:val="24"/>
      <w:szCs w:val="24"/>
      <w:lang w:val="en-AU"/>
    </w:rPr>
  </w:style>
  <w:style w:type="character" w:customStyle="1" w:styleId="definition">
    <w:name w:val="definition"/>
    <w:basedOn w:val="DefaultParagraphFont"/>
    <w:rsid w:val="00627CBB"/>
  </w:style>
  <w:style w:type="table" w:customStyle="1" w:styleId="MediumShading2-Accent11">
    <w:name w:val="Medium Shading 2 - Accent 11"/>
    <w:basedOn w:val="TableNormal"/>
    <w:uiPriority w:val="64"/>
    <w:rsid w:val="008F2CA7"/>
    <w:rPr>
      <w:rFonts w:asciiTheme="minorHAnsi" w:eastAsiaTheme="minorHAnsi" w:hAnsiTheme="minorHAnsi" w:cstheme="minorBidi"/>
      <w:sz w:val="22"/>
      <w:szCs w:val="22"/>
      <w:lang w:val="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4Char">
    <w:name w:val="Heading 4 Char"/>
    <w:basedOn w:val="DefaultParagraphFont"/>
    <w:link w:val="Heading4"/>
    <w:uiPriority w:val="9"/>
    <w:rsid w:val="003A5018"/>
    <w:rPr>
      <w:rFonts w:ascii="Times New Roman" w:eastAsia="Times New Roman" w:hAnsi="Times New Roman"/>
      <w:b/>
      <w:i/>
      <w:spacing w:val="-3"/>
      <w:sz w:val="24"/>
      <w:lang w:val="en-AU"/>
    </w:rPr>
  </w:style>
  <w:style w:type="character" w:customStyle="1" w:styleId="Heading5Char">
    <w:name w:val="Heading 5 Char"/>
    <w:basedOn w:val="DefaultParagraphFont"/>
    <w:link w:val="Heading5"/>
    <w:rsid w:val="003A5018"/>
    <w:rPr>
      <w:rFonts w:ascii="Times New Roman" w:eastAsia="Times New Roman" w:hAnsi="Times New Roman"/>
      <w:b/>
      <w:sz w:val="22"/>
      <w:lang w:val="en-AU"/>
    </w:rPr>
  </w:style>
  <w:style w:type="character" w:customStyle="1" w:styleId="Heading6Char">
    <w:name w:val="Heading 6 Char"/>
    <w:basedOn w:val="DefaultParagraphFont"/>
    <w:link w:val="Heading6"/>
    <w:rsid w:val="003A5018"/>
    <w:rPr>
      <w:rFonts w:ascii="Times New Roman" w:eastAsia="Times New Roman" w:hAnsi="Times New Roman"/>
      <w:b/>
      <w:spacing w:val="-3"/>
      <w:sz w:val="29"/>
      <w:lang w:val="en-AU"/>
    </w:rPr>
  </w:style>
  <w:style w:type="character" w:customStyle="1" w:styleId="Heading7Char">
    <w:name w:val="Heading 7 Char"/>
    <w:basedOn w:val="DefaultParagraphFont"/>
    <w:link w:val="Heading7"/>
    <w:rsid w:val="003A5018"/>
    <w:rPr>
      <w:rFonts w:ascii="Times New Roman" w:eastAsia="Times New Roman" w:hAnsi="Times New Roman"/>
      <w:b/>
      <w:sz w:val="29"/>
      <w:lang w:val="en-AU"/>
    </w:rPr>
  </w:style>
  <w:style w:type="paragraph" w:styleId="BodyText">
    <w:name w:val="Body Text"/>
    <w:basedOn w:val="Normal"/>
    <w:link w:val="BodyTextChar"/>
    <w:uiPriority w:val="1"/>
    <w:qFormat/>
    <w:rsid w:val="003A5018"/>
    <w:pPr>
      <w:widowControl w:val="0"/>
      <w:tabs>
        <w:tab w:val="left" w:pos="-720"/>
      </w:tabs>
      <w:suppressAutoHyphens/>
      <w:spacing w:after="160" w:line="280" w:lineRule="exact"/>
    </w:pPr>
    <w:rPr>
      <w:rFonts w:ascii="Times New Roman" w:eastAsia="Times New Roman" w:hAnsi="Times New Roman"/>
      <w:snapToGrid w:val="0"/>
      <w:spacing w:val="-3"/>
      <w:szCs w:val="20"/>
      <w:lang w:val="en-AU"/>
    </w:rPr>
  </w:style>
  <w:style w:type="character" w:customStyle="1" w:styleId="BodyTextChar">
    <w:name w:val="Body Text Char"/>
    <w:basedOn w:val="DefaultParagraphFont"/>
    <w:link w:val="BodyText"/>
    <w:uiPriority w:val="1"/>
    <w:rsid w:val="003A5018"/>
    <w:rPr>
      <w:rFonts w:ascii="Times New Roman" w:eastAsia="Times New Roman" w:hAnsi="Times New Roman"/>
      <w:snapToGrid w:val="0"/>
      <w:spacing w:val="-3"/>
      <w:sz w:val="24"/>
      <w:lang w:val="en-AU"/>
    </w:rPr>
  </w:style>
  <w:style w:type="paragraph" w:customStyle="1" w:styleId="AIKLtext">
    <w:name w:val="AIKL text"/>
    <w:basedOn w:val="Normal"/>
    <w:rsid w:val="003A5018"/>
    <w:pPr>
      <w:spacing w:after="120"/>
    </w:pPr>
    <w:rPr>
      <w:rFonts w:ascii="Garamond" w:eastAsia="Times New Roman" w:hAnsi="Garamond"/>
      <w:sz w:val="22"/>
      <w:szCs w:val="20"/>
      <w:lang w:val="en-AU"/>
    </w:rPr>
  </w:style>
  <w:style w:type="paragraph" w:customStyle="1" w:styleId="AIKLquote">
    <w:name w:val="AIKL quote"/>
    <w:basedOn w:val="AIKLtext"/>
    <w:rsid w:val="003A5018"/>
    <w:pPr>
      <w:ind w:left="567" w:right="567"/>
      <w:jc w:val="both"/>
    </w:pPr>
    <w:rPr>
      <w:sz w:val="19"/>
      <w:lang w:val="en-US"/>
    </w:rPr>
  </w:style>
  <w:style w:type="paragraph" w:customStyle="1" w:styleId="AIKLbulletslevel1">
    <w:name w:val="AIKL bullets level 1"/>
    <w:basedOn w:val="AIKLtext"/>
    <w:rsid w:val="003A5018"/>
    <w:pPr>
      <w:numPr>
        <w:numId w:val="14"/>
      </w:numPr>
    </w:pPr>
    <w:rPr>
      <w:lang w:val="en-US"/>
    </w:rPr>
  </w:style>
  <w:style w:type="paragraph" w:customStyle="1" w:styleId="Headingspecial4">
    <w:name w:val="Heading special 4"/>
    <w:rsid w:val="003A5018"/>
    <w:rPr>
      <w:rFonts w:ascii="Arial" w:eastAsia="Times New Roman" w:hAnsi="Arial"/>
      <w:noProof/>
      <w:sz w:val="24"/>
    </w:rPr>
  </w:style>
  <w:style w:type="paragraph" w:styleId="BlockText">
    <w:name w:val="Block Text"/>
    <w:basedOn w:val="Normal"/>
    <w:rsid w:val="003A5018"/>
    <w:pPr>
      <w:widowControl w:val="0"/>
      <w:tabs>
        <w:tab w:val="center" w:pos="4513"/>
      </w:tabs>
      <w:suppressAutoHyphens/>
      <w:spacing w:after="0"/>
      <w:ind w:left="1134" w:right="1700"/>
    </w:pPr>
    <w:rPr>
      <w:rFonts w:ascii="Times New Roman" w:eastAsia="Times New Roman" w:hAnsi="Times New Roman"/>
      <w:b/>
      <w:i/>
      <w:snapToGrid w:val="0"/>
      <w:spacing w:val="-3"/>
      <w:szCs w:val="20"/>
      <w:lang w:val="en-AU"/>
    </w:rPr>
  </w:style>
  <w:style w:type="character" w:styleId="LineNumber">
    <w:name w:val="line number"/>
    <w:basedOn w:val="DefaultParagraphFont"/>
    <w:rsid w:val="003A5018"/>
  </w:style>
  <w:style w:type="character" w:styleId="PageNumber">
    <w:name w:val="page number"/>
    <w:basedOn w:val="DefaultParagraphFont"/>
    <w:rsid w:val="003A5018"/>
  </w:style>
  <w:style w:type="paragraph" w:customStyle="1" w:styleId="BodyText-roundbullets">
    <w:name w:val="Body Text - round bullets"/>
    <w:basedOn w:val="BodyText"/>
    <w:rsid w:val="003A5018"/>
    <w:pPr>
      <w:numPr>
        <w:numId w:val="15"/>
      </w:numPr>
    </w:pPr>
  </w:style>
  <w:style w:type="paragraph" w:customStyle="1" w:styleId="BodyText1">
    <w:name w:val="Body Text 1"/>
    <w:basedOn w:val="BodyText"/>
    <w:rsid w:val="003A5018"/>
    <w:pPr>
      <w:widowControl/>
      <w:tabs>
        <w:tab w:val="clear" w:pos="-720"/>
      </w:tabs>
      <w:suppressAutoHyphens w:val="0"/>
      <w:spacing w:after="120" w:line="240" w:lineRule="auto"/>
    </w:pPr>
    <w:rPr>
      <w:snapToGrid/>
      <w:spacing w:val="0"/>
      <w:sz w:val="20"/>
    </w:rPr>
  </w:style>
  <w:style w:type="paragraph" w:styleId="Caption">
    <w:name w:val="caption"/>
    <w:basedOn w:val="Normal"/>
    <w:next w:val="Normal"/>
    <w:qFormat/>
    <w:rsid w:val="003A5018"/>
    <w:pPr>
      <w:spacing w:before="120" w:after="120"/>
    </w:pPr>
    <w:rPr>
      <w:rFonts w:ascii="Times New Roman" w:eastAsia="Times New Roman" w:hAnsi="Times New Roman"/>
      <w:b/>
      <w:sz w:val="20"/>
      <w:szCs w:val="20"/>
      <w:lang w:val="en-AU"/>
    </w:rPr>
  </w:style>
  <w:style w:type="paragraph" w:styleId="BodyTextIndent">
    <w:name w:val="Body Text Indent"/>
    <w:basedOn w:val="Normal"/>
    <w:link w:val="BodyTextIndentChar"/>
    <w:rsid w:val="003A5018"/>
    <w:pPr>
      <w:spacing w:after="120"/>
      <w:ind w:left="283"/>
    </w:pPr>
    <w:rPr>
      <w:rFonts w:ascii="Times New Roman" w:eastAsia="Times New Roman" w:hAnsi="Times New Roman"/>
      <w:sz w:val="20"/>
      <w:szCs w:val="20"/>
      <w:lang w:val="en-AU"/>
    </w:rPr>
  </w:style>
  <w:style w:type="character" w:customStyle="1" w:styleId="BodyTextIndentChar">
    <w:name w:val="Body Text Indent Char"/>
    <w:basedOn w:val="DefaultParagraphFont"/>
    <w:link w:val="BodyTextIndent"/>
    <w:rsid w:val="003A5018"/>
    <w:rPr>
      <w:rFonts w:ascii="Times New Roman" w:eastAsia="Times New Roman" w:hAnsi="Times New Roman"/>
      <w:lang w:val="en-AU"/>
    </w:rPr>
  </w:style>
  <w:style w:type="paragraph" w:styleId="Title">
    <w:name w:val="Title"/>
    <w:basedOn w:val="Normal"/>
    <w:link w:val="TitleChar"/>
    <w:qFormat/>
    <w:rsid w:val="003A5018"/>
    <w:pPr>
      <w:widowControl w:val="0"/>
      <w:spacing w:after="0"/>
      <w:jc w:val="center"/>
    </w:pPr>
    <w:rPr>
      <w:rFonts w:ascii="Times New Roman" w:eastAsia="Times New Roman" w:hAnsi="Times New Roman"/>
      <w:b/>
      <w:sz w:val="20"/>
      <w:szCs w:val="20"/>
      <w:lang w:val="en-AU"/>
    </w:rPr>
  </w:style>
  <w:style w:type="character" w:customStyle="1" w:styleId="TitleChar">
    <w:name w:val="Title Char"/>
    <w:basedOn w:val="DefaultParagraphFont"/>
    <w:link w:val="Title"/>
    <w:rsid w:val="003A5018"/>
    <w:rPr>
      <w:rFonts w:ascii="Times New Roman" w:eastAsia="Times New Roman" w:hAnsi="Times New Roman"/>
      <w:b/>
      <w:lang w:val="en-AU"/>
    </w:rPr>
  </w:style>
  <w:style w:type="paragraph" w:customStyle="1" w:styleId="ROV1">
    <w:name w:val="ROV1"/>
    <w:basedOn w:val="Normal"/>
    <w:rsid w:val="003A5018"/>
    <w:pPr>
      <w:numPr>
        <w:numId w:val="16"/>
      </w:numPr>
      <w:spacing w:after="240"/>
    </w:pPr>
    <w:rPr>
      <w:rFonts w:ascii="Times New Roman" w:eastAsia="Times New Roman" w:hAnsi="Times New Roman"/>
      <w:sz w:val="20"/>
      <w:szCs w:val="20"/>
      <w:lang w:val="en-AU"/>
    </w:rPr>
  </w:style>
  <w:style w:type="paragraph" w:customStyle="1" w:styleId="StyleHeading3Left">
    <w:name w:val="Style Heading 3 + Left"/>
    <w:basedOn w:val="Heading3"/>
    <w:rsid w:val="003A5018"/>
    <w:pPr>
      <w:widowControl w:val="0"/>
      <w:suppressAutoHyphens/>
      <w:spacing w:before="0" w:after="240"/>
    </w:pPr>
    <w:rPr>
      <w:rFonts w:ascii="Times New Roman" w:eastAsia="Times New Roman" w:hAnsi="Times New Roman" w:cs="Times New Roman"/>
      <w:snapToGrid w:val="0"/>
      <w:sz w:val="22"/>
      <w:szCs w:val="22"/>
      <w:lang w:val="en-AU"/>
    </w:rPr>
  </w:style>
  <w:style w:type="paragraph" w:customStyle="1" w:styleId="StyleHeading3LeftBefore0pt">
    <w:name w:val="Style Heading 3 + Left Before:  0 pt"/>
    <w:basedOn w:val="Heading3"/>
    <w:rsid w:val="003A5018"/>
    <w:pPr>
      <w:widowControl w:val="0"/>
      <w:suppressAutoHyphens/>
      <w:spacing w:before="0" w:after="240"/>
    </w:pPr>
    <w:rPr>
      <w:rFonts w:ascii="Times New Roman" w:eastAsia="Times New Roman" w:hAnsi="Times New Roman" w:cs="Times New Roman"/>
      <w:snapToGrid w:val="0"/>
      <w:sz w:val="22"/>
      <w:szCs w:val="22"/>
      <w:lang w:val="en-AU"/>
    </w:rPr>
  </w:style>
  <w:style w:type="paragraph" w:customStyle="1" w:styleId="StyleHeading4Before6pt">
    <w:name w:val="Style Heading 4 + Before:  6 pt"/>
    <w:basedOn w:val="Heading4"/>
    <w:rsid w:val="003A5018"/>
    <w:pPr>
      <w:spacing w:before="120"/>
    </w:pPr>
    <w:rPr>
      <w:bCs/>
      <w:iCs/>
      <w:sz w:val="22"/>
    </w:rPr>
  </w:style>
  <w:style w:type="paragraph" w:customStyle="1" w:styleId="StyleHeading3CenteredBefore0ptAfter12pt">
    <w:name w:val="Style Heading 3 + Centered Before:  0 pt After:  12 pt"/>
    <w:basedOn w:val="Heading3"/>
    <w:rsid w:val="003A5018"/>
    <w:pPr>
      <w:widowControl w:val="0"/>
      <w:suppressAutoHyphens/>
      <w:spacing w:before="0" w:after="240"/>
      <w:jc w:val="center"/>
    </w:pPr>
    <w:rPr>
      <w:rFonts w:ascii="Times New Roman" w:eastAsia="Times New Roman" w:hAnsi="Times New Roman" w:cs="Times New Roman"/>
      <w:snapToGrid w:val="0"/>
      <w:sz w:val="22"/>
      <w:szCs w:val="22"/>
      <w:lang w:val="en-AU"/>
    </w:rPr>
  </w:style>
  <w:style w:type="paragraph" w:customStyle="1" w:styleId="StyleHeading3CenteredAfter12pt">
    <w:name w:val="Style Heading 3 + Centered After:  12 pt"/>
    <w:basedOn w:val="Heading3"/>
    <w:rsid w:val="003A5018"/>
    <w:pPr>
      <w:widowControl w:val="0"/>
      <w:suppressAutoHyphens/>
      <w:spacing w:before="0" w:after="240"/>
      <w:jc w:val="center"/>
    </w:pPr>
    <w:rPr>
      <w:rFonts w:ascii="Times New Roman" w:eastAsia="Times New Roman" w:hAnsi="Times New Roman" w:cs="Times New Roman"/>
      <w:snapToGrid w:val="0"/>
      <w:sz w:val="22"/>
      <w:szCs w:val="22"/>
      <w:lang w:val="en-AU"/>
    </w:rPr>
  </w:style>
  <w:style w:type="paragraph" w:customStyle="1" w:styleId="ParagraphCharChar">
    <w:name w:val="Paragraph Char Char"/>
    <w:basedOn w:val="Normal"/>
    <w:link w:val="ParagraphCharCharChar"/>
    <w:rsid w:val="003A5018"/>
    <w:pPr>
      <w:spacing w:before="240" w:after="0"/>
      <w:jc w:val="both"/>
    </w:pPr>
    <w:rPr>
      <w:rFonts w:ascii="Arial" w:eastAsia="Times New Roman" w:hAnsi="Arial"/>
      <w:szCs w:val="20"/>
      <w:lang w:val="en-AU"/>
    </w:rPr>
  </w:style>
  <w:style w:type="character" w:customStyle="1" w:styleId="ParagraphCharCharChar">
    <w:name w:val="Paragraph Char Char Char"/>
    <w:basedOn w:val="DefaultParagraphFont"/>
    <w:link w:val="ParagraphCharChar"/>
    <w:locked/>
    <w:rsid w:val="003A5018"/>
    <w:rPr>
      <w:rFonts w:ascii="Arial" w:eastAsia="Times New Roman" w:hAnsi="Arial"/>
      <w:sz w:val="24"/>
      <w:lang w:val="en-AU"/>
    </w:rPr>
  </w:style>
  <w:style w:type="paragraph" w:customStyle="1" w:styleId="Attendance2list">
    <w:name w:val="Attendance 2 list"/>
    <w:basedOn w:val="Normal"/>
    <w:rsid w:val="003A5018"/>
    <w:pPr>
      <w:tabs>
        <w:tab w:val="left" w:pos="2552"/>
      </w:tabs>
      <w:spacing w:after="0"/>
      <w:ind w:left="2977" w:hanging="425"/>
    </w:pPr>
    <w:rPr>
      <w:rFonts w:ascii="Arial" w:eastAsia="Times New Roman" w:hAnsi="Arial"/>
      <w:szCs w:val="20"/>
      <w:lang w:val="en-AU"/>
    </w:rPr>
  </w:style>
  <w:style w:type="character" w:customStyle="1" w:styleId="DateChar">
    <w:name w:val="Date Char"/>
    <w:basedOn w:val="DefaultParagraphFont"/>
    <w:link w:val="Date"/>
    <w:uiPriority w:val="99"/>
    <w:rsid w:val="003A5018"/>
    <w:rPr>
      <w:rFonts w:ascii="Times New Roman" w:eastAsia="Times New Roman" w:hAnsi="Times New Roman"/>
    </w:rPr>
  </w:style>
  <w:style w:type="paragraph" w:styleId="Date">
    <w:name w:val="Date"/>
    <w:basedOn w:val="Normal"/>
    <w:next w:val="Normal"/>
    <w:link w:val="DateChar"/>
    <w:uiPriority w:val="99"/>
    <w:unhideWhenUsed/>
    <w:rsid w:val="003A5018"/>
    <w:pPr>
      <w:spacing w:after="0"/>
    </w:pPr>
    <w:rPr>
      <w:rFonts w:ascii="Times New Roman" w:eastAsia="Times New Roman" w:hAnsi="Times New Roman"/>
      <w:sz w:val="20"/>
      <w:szCs w:val="20"/>
    </w:rPr>
  </w:style>
  <w:style w:type="character" w:customStyle="1" w:styleId="DateChar1">
    <w:name w:val="Date Char1"/>
    <w:basedOn w:val="DefaultParagraphFont"/>
    <w:rsid w:val="003A5018"/>
    <w:rPr>
      <w:sz w:val="24"/>
      <w:szCs w:val="24"/>
    </w:rPr>
  </w:style>
  <w:style w:type="paragraph" w:styleId="TOC5">
    <w:name w:val="toc 5"/>
    <w:basedOn w:val="Normal"/>
    <w:next w:val="Normal"/>
    <w:autoRedefine/>
    <w:rsid w:val="003A5018"/>
    <w:pPr>
      <w:spacing w:after="0"/>
      <w:ind w:left="800"/>
    </w:pPr>
    <w:rPr>
      <w:rFonts w:ascii="Times New Roman" w:eastAsia="Times New Roman" w:hAnsi="Times New Roman"/>
      <w:sz w:val="18"/>
      <w:szCs w:val="20"/>
      <w:lang w:val="en-AU"/>
    </w:rPr>
  </w:style>
  <w:style w:type="paragraph" w:customStyle="1" w:styleId="Numberedlistlevel2">
    <w:name w:val="Numbered list level 2"/>
    <w:basedOn w:val="Numberedlistlevel1"/>
    <w:rsid w:val="002F7CA0"/>
    <w:pPr>
      <w:ind w:left="737" w:hanging="368"/>
    </w:pPr>
  </w:style>
  <w:style w:type="paragraph" w:customStyle="1" w:styleId="Numberedlistlevel1">
    <w:name w:val="Numbered list level 1"/>
    <w:rsid w:val="002F7CA0"/>
    <w:pPr>
      <w:ind w:left="369" w:hanging="369"/>
    </w:pPr>
    <w:rPr>
      <w:rFonts w:ascii="Arial" w:hAnsi="Arial"/>
      <w:szCs w:val="24"/>
    </w:rPr>
  </w:style>
  <w:style w:type="paragraph" w:customStyle="1" w:styleId="Numberedlistlevel3">
    <w:name w:val="Numbered list level 3"/>
    <w:basedOn w:val="Numberedlistlevel1"/>
    <w:rsid w:val="002F7CA0"/>
    <w:pPr>
      <w:ind w:left="1276" w:hanging="539"/>
    </w:pPr>
  </w:style>
  <w:style w:type="paragraph" w:customStyle="1" w:styleId="Heading3non-numbered">
    <w:name w:val="Heading 3 non-numbered"/>
    <w:basedOn w:val="Heading3"/>
    <w:next w:val="BodyText"/>
    <w:qFormat/>
    <w:rsid w:val="002F7CA0"/>
    <w:pPr>
      <w:keepNext w:val="0"/>
      <w:spacing w:before="200" w:after="200"/>
    </w:pPr>
    <w:rPr>
      <w:rFonts w:ascii="Arial" w:eastAsia="Cambria" w:hAnsi="Arial" w:cs="Times New Roman"/>
      <w:b w:val="0"/>
      <w:bCs w:val="0"/>
      <w:color w:val="007DC3"/>
      <w:sz w:val="20"/>
      <w:szCs w:val="24"/>
    </w:rPr>
  </w:style>
  <w:style w:type="paragraph" w:customStyle="1" w:styleId="Body1">
    <w:name w:val="Body 1"/>
    <w:uiPriority w:val="99"/>
    <w:rsid w:val="004909CF"/>
    <w:pPr>
      <w:spacing w:after="200" w:line="276" w:lineRule="auto"/>
      <w:outlineLvl w:val="0"/>
    </w:pPr>
    <w:rPr>
      <w:rFonts w:ascii="Helvetica" w:eastAsia="Arial Unicode MS" w:hAnsi="Helvetica"/>
      <w:color w:val="000000"/>
      <w:sz w:val="22"/>
      <w:u w:color="000000"/>
      <w:lang w:val="en-AU" w:eastAsia="en-AU"/>
    </w:rPr>
  </w:style>
  <w:style w:type="paragraph" w:customStyle="1" w:styleId="TableText">
    <w:name w:val="TableText"/>
    <w:basedOn w:val="Normal"/>
    <w:uiPriority w:val="99"/>
    <w:rsid w:val="00580F49"/>
    <w:pPr>
      <w:keepNext/>
      <w:spacing w:before="120" w:after="120"/>
    </w:pPr>
    <w:rPr>
      <w:rFonts w:ascii="Helvetica Narrow" w:eastAsia="Calibri" w:hAnsi="Helvetica Narrow"/>
      <w:color w:val="000000"/>
      <w:sz w:val="20"/>
      <w:lang w:val="en-AU"/>
    </w:rPr>
  </w:style>
  <w:style w:type="paragraph" w:customStyle="1" w:styleId="TableTextform">
    <w:name w:val="TableText form"/>
    <w:basedOn w:val="TableText"/>
    <w:qFormat/>
    <w:rsid w:val="00C56B44"/>
    <w:pPr>
      <w:keepNext w:val="0"/>
      <w:spacing w:before="40" w:after="240"/>
    </w:pPr>
    <w:rPr>
      <w:rFonts w:ascii="Arial" w:eastAsiaTheme="majorEastAsia" w:hAnsi="Arial" w:cs="Arial"/>
      <w:bCs/>
      <w:color w:val="auto"/>
      <w:szCs w:val="20"/>
    </w:rPr>
  </w:style>
  <w:style w:type="numbering" w:customStyle="1" w:styleId="AHPRAlist">
    <w:name w:val="AHPRA list"/>
    <w:uiPriority w:val="99"/>
    <w:rsid w:val="00C7427D"/>
    <w:pPr>
      <w:numPr>
        <w:numId w:val="24"/>
      </w:numPr>
    </w:pPr>
  </w:style>
  <w:style w:type="character" w:customStyle="1" w:styleId="AHPRAnumberedbulletpointChar">
    <w:name w:val="AHPRA numbered bullet point Char"/>
    <w:link w:val="AHPRAnumberedbulletpoint"/>
    <w:rsid w:val="00C7427D"/>
    <w:rPr>
      <w:rFonts w:ascii="Arial" w:hAnsi="Arial"/>
      <w:szCs w:val="24"/>
    </w:rPr>
  </w:style>
  <w:style w:type="paragraph" w:customStyle="1" w:styleId="AHPRAbodyContextparanumbered">
    <w:name w:val="AHPRA body 'Context' para numbered"/>
    <w:uiPriority w:val="1"/>
    <w:qFormat/>
    <w:rsid w:val="00105E9D"/>
    <w:pPr>
      <w:numPr>
        <w:numId w:val="21"/>
      </w:numPr>
      <w:spacing w:after="200"/>
      <w:ind w:left="0" w:hanging="425"/>
    </w:pPr>
    <w:rPr>
      <w:rFonts w:ascii="Arial" w:hAnsi="Arial" w:cs="Arial"/>
      <w:szCs w:val="24"/>
      <w:lang w:val="en-AU"/>
    </w:rPr>
  </w:style>
  <w:style w:type="character" w:styleId="UnresolvedMention">
    <w:name w:val="Unresolved Mention"/>
    <w:basedOn w:val="DefaultParagraphFont"/>
    <w:uiPriority w:val="99"/>
    <w:semiHidden/>
    <w:unhideWhenUsed/>
    <w:rsid w:val="00904901"/>
    <w:rPr>
      <w:color w:val="605E5C"/>
      <w:shd w:val="clear" w:color="auto" w:fill="E1DFDD"/>
    </w:rPr>
  </w:style>
  <w:style w:type="paragraph" w:customStyle="1" w:styleId="ColorfulList-Accent11">
    <w:name w:val="Colorful List - Accent 11"/>
    <w:basedOn w:val="Normal"/>
    <w:uiPriority w:val="34"/>
    <w:qFormat/>
    <w:rsid w:val="002F1BC7"/>
    <w:pPr>
      <w:widowControl w:val="0"/>
      <w:spacing w:after="0"/>
    </w:pPr>
    <w:rPr>
      <w:rFonts w:ascii="Calibri" w:eastAsia="Calibri" w:hAnsi="Calibri"/>
      <w:sz w:val="22"/>
      <w:szCs w:val="22"/>
    </w:rPr>
  </w:style>
  <w:style w:type="paragraph" w:customStyle="1" w:styleId="TableParagraph">
    <w:name w:val="Table Paragraph"/>
    <w:basedOn w:val="Normal"/>
    <w:uiPriority w:val="1"/>
    <w:qFormat/>
    <w:rsid w:val="002F1BC7"/>
    <w:pPr>
      <w:widowControl w:val="0"/>
      <w:spacing w:after="0"/>
    </w:pPr>
    <w:rPr>
      <w:rFonts w:ascii="Calibri" w:eastAsia="Calibri" w:hAnsi="Calibri"/>
      <w:sz w:val="22"/>
      <w:szCs w:val="22"/>
    </w:rPr>
  </w:style>
  <w:style w:type="paragraph" w:customStyle="1" w:styleId="ColorfulShading-Accent11">
    <w:name w:val="Colorful Shading - Accent 11"/>
    <w:hidden/>
    <w:uiPriority w:val="99"/>
    <w:semiHidden/>
    <w:rsid w:val="002F1BC7"/>
    <w:rPr>
      <w:rFonts w:ascii="Calibri" w:eastAsia="Calibri" w:hAnsi="Calibri"/>
      <w:sz w:val="22"/>
      <w:szCs w:val="22"/>
    </w:rPr>
  </w:style>
  <w:style w:type="paragraph" w:styleId="Bibliography">
    <w:name w:val="Bibliography"/>
    <w:basedOn w:val="Normal"/>
    <w:next w:val="Normal"/>
    <w:uiPriority w:val="37"/>
    <w:unhideWhenUsed/>
    <w:rsid w:val="002F1BC7"/>
    <w:pPr>
      <w:widowControl w:val="0"/>
      <w:spacing w:after="0"/>
    </w:pPr>
    <w:rPr>
      <w:rFonts w:ascii="Calibri" w:eastAsia="Calibri" w:hAnsi="Calibri"/>
      <w:sz w:val="22"/>
      <w:szCs w:val="22"/>
    </w:rPr>
  </w:style>
  <w:style w:type="paragraph" w:customStyle="1" w:styleId="Acronyms">
    <w:name w:val="Acronyms"/>
    <w:basedOn w:val="BodyText"/>
    <w:link w:val="AcronymsChar"/>
    <w:uiPriority w:val="1"/>
    <w:qFormat/>
    <w:rsid w:val="002F1BC7"/>
    <w:pPr>
      <w:tabs>
        <w:tab w:val="clear" w:pos="-720"/>
        <w:tab w:val="left" w:pos="1276"/>
      </w:tabs>
      <w:suppressAutoHyphens w:val="0"/>
      <w:spacing w:after="120" w:line="280" w:lineRule="atLeast"/>
      <w:ind w:left="1276" w:hanging="1276"/>
    </w:pPr>
    <w:rPr>
      <w:rFonts w:ascii="Arial" w:eastAsia="Arial" w:hAnsi="Arial"/>
      <w:snapToGrid/>
      <w:spacing w:val="-1"/>
      <w:sz w:val="20"/>
      <w:lang w:val="en-US"/>
    </w:rPr>
  </w:style>
  <w:style w:type="paragraph" w:customStyle="1" w:styleId="BulletsBody1">
    <w:name w:val="Bullets Body 1"/>
    <w:basedOn w:val="BodyText"/>
    <w:link w:val="BulletsBody1Char"/>
    <w:uiPriority w:val="1"/>
    <w:qFormat/>
    <w:rsid w:val="002F1BC7"/>
    <w:pPr>
      <w:numPr>
        <w:numId w:val="34"/>
      </w:numPr>
      <w:tabs>
        <w:tab w:val="clear" w:pos="-720"/>
      </w:tabs>
      <w:suppressAutoHyphens w:val="0"/>
      <w:spacing w:after="60" w:line="280" w:lineRule="atLeast"/>
    </w:pPr>
    <w:rPr>
      <w:rFonts w:ascii="Arial" w:eastAsia="Arial" w:hAnsi="Arial"/>
      <w:snapToGrid/>
      <w:spacing w:val="-1"/>
      <w:sz w:val="20"/>
      <w:lang w:val="en-US"/>
    </w:rPr>
  </w:style>
  <w:style w:type="character" w:customStyle="1" w:styleId="AcronymsChar">
    <w:name w:val="Acronyms Char"/>
    <w:link w:val="Acronyms"/>
    <w:uiPriority w:val="1"/>
    <w:rsid w:val="002F1BC7"/>
    <w:rPr>
      <w:rFonts w:ascii="Arial" w:eastAsia="Arial" w:hAnsi="Arial"/>
      <w:spacing w:val="-1"/>
    </w:rPr>
  </w:style>
  <w:style w:type="paragraph" w:customStyle="1" w:styleId="Bulletsend">
    <w:name w:val="Bullets end"/>
    <w:basedOn w:val="BulletsBody1"/>
    <w:link w:val="BulletsendChar"/>
    <w:uiPriority w:val="1"/>
    <w:qFormat/>
    <w:rsid w:val="002F1BC7"/>
    <w:pPr>
      <w:spacing w:after="120"/>
    </w:pPr>
  </w:style>
  <w:style w:type="character" w:customStyle="1" w:styleId="BulletsBody1Char">
    <w:name w:val="Bullets Body 1 Char"/>
    <w:link w:val="BulletsBody1"/>
    <w:uiPriority w:val="1"/>
    <w:rsid w:val="002F1BC7"/>
    <w:rPr>
      <w:rFonts w:ascii="Arial" w:eastAsia="Arial" w:hAnsi="Arial"/>
      <w:spacing w:val="-1"/>
    </w:rPr>
  </w:style>
  <w:style w:type="table" w:styleId="DarkList-Accent5">
    <w:name w:val="Dark List Accent 5"/>
    <w:basedOn w:val="TableNormal"/>
    <w:uiPriority w:val="61"/>
    <w:rsid w:val="002F1BC7"/>
    <w:rPr>
      <w:rFonts w:ascii="Calibri" w:eastAsia="Calibri" w:hAnsi="Calibri"/>
      <w:lang w:val="en-AU" w:eastAsia="en-A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BulletsendChar">
    <w:name w:val="Bullets end Char"/>
    <w:link w:val="Bulletsend"/>
    <w:uiPriority w:val="1"/>
    <w:rsid w:val="002F1BC7"/>
    <w:rPr>
      <w:rFonts w:ascii="Arial" w:eastAsia="Arial" w:hAnsi="Arial"/>
      <w:spacing w:val="-1"/>
    </w:rPr>
  </w:style>
  <w:style w:type="table" w:styleId="LightGrid-Accent6">
    <w:name w:val="Light Grid Accent 6"/>
    <w:basedOn w:val="TableNormal"/>
    <w:uiPriority w:val="67"/>
    <w:rsid w:val="002F1BC7"/>
    <w:rPr>
      <w:rFonts w:ascii="Calibri" w:eastAsia="Calibri" w:hAnsi="Calibri"/>
      <w:lang w:val="en-AU" w:eastAsia="en-A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ColorfulList-Accent5">
    <w:name w:val="Colorful List Accent 5"/>
    <w:basedOn w:val="TableNormal"/>
    <w:uiPriority w:val="63"/>
    <w:rsid w:val="002F1BC7"/>
    <w:rPr>
      <w:rFonts w:ascii="Calibri" w:eastAsia="Calibri" w:hAnsi="Calibri"/>
      <w:lang w:val="en-AU" w:eastAsia="en-A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List2-Accent1">
    <w:name w:val="Medium List 2 Accent 1"/>
    <w:basedOn w:val="TableNormal"/>
    <w:uiPriority w:val="61"/>
    <w:rsid w:val="002F1BC7"/>
    <w:rPr>
      <w:rFonts w:ascii="Calibri" w:eastAsia="Calibri" w:hAnsi="Calibri"/>
      <w:lang w:val="en-AU" w:eastAsia="en-A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Grid-Accent2">
    <w:name w:val="Light Grid Accent 2"/>
    <w:basedOn w:val="TableNormal"/>
    <w:uiPriority w:val="67"/>
    <w:rsid w:val="002F1BC7"/>
    <w:rPr>
      <w:rFonts w:ascii="Calibri" w:eastAsia="Calibri" w:hAnsi="Calibri"/>
      <w:lang w:val="en-AU" w:eastAsia="en-AU"/>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Reference">
    <w:name w:val="Intense Reference"/>
    <w:uiPriority w:val="32"/>
    <w:qFormat/>
    <w:rsid w:val="002F1BC7"/>
    <w:rPr>
      <w:b/>
      <w:bCs/>
      <w:i/>
      <w:smallCaps/>
      <w:color w:val="C0504D"/>
      <w:spacing w:val="5"/>
      <w:u w:val="none"/>
    </w:rPr>
  </w:style>
  <w:style w:type="character" w:customStyle="1" w:styleId="superscript">
    <w:name w:val="superscript"/>
    <w:basedOn w:val="DefaultParagraphFont"/>
    <w:rsid w:val="002F1BC7"/>
  </w:style>
  <w:style w:type="table" w:styleId="DarkList-Accent2">
    <w:name w:val="Dark List Accent 2"/>
    <w:basedOn w:val="TableNormal"/>
    <w:uiPriority w:val="61"/>
    <w:rsid w:val="002F1BC7"/>
    <w:rPr>
      <w:rFonts w:ascii="Calibri" w:eastAsia="Calibri" w:hAnsi="Calibri"/>
      <w:lang w:val="en-AU" w:eastAsia="en-AU"/>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LightShading-Accent21">
    <w:name w:val="Light Shading - Accent 21"/>
    <w:basedOn w:val="Normal"/>
    <w:next w:val="Normal"/>
    <w:link w:val="LightShading-Accent2Char"/>
    <w:uiPriority w:val="30"/>
    <w:qFormat/>
    <w:rsid w:val="002F1BC7"/>
    <w:pPr>
      <w:widowControl w:val="0"/>
      <w:pBdr>
        <w:bottom w:val="single" w:sz="4" w:space="4" w:color="4F81BD"/>
      </w:pBdr>
      <w:spacing w:before="200" w:after="280"/>
      <w:ind w:left="936" w:right="936"/>
    </w:pPr>
    <w:rPr>
      <w:rFonts w:ascii="Calibri" w:eastAsia="Calibri" w:hAnsi="Calibri"/>
      <w:b/>
      <w:bCs/>
      <w:i/>
      <w:iCs/>
      <w:color w:val="4F81BD"/>
      <w:sz w:val="22"/>
      <w:szCs w:val="22"/>
    </w:rPr>
  </w:style>
  <w:style w:type="character" w:customStyle="1" w:styleId="LightShading-Accent2Char">
    <w:name w:val="Light Shading - Accent 2 Char"/>
    <w:link w:val="LightShading-Accent21"/>
    <w:uiPriority w:val="30"/>
    <w:rsid w:val="002F1BC7"/>
    <w:rPr>
      <w:rFonts w:ascii="Calibri" w:eastAsia="Calibri" w:hAnsi="Calibri"/>
      <w:b/>
      <w:bCs/>
      <w:i/>
      <w:iCs/>
      <w:color w:val="4F81BD"/>
      <w:sz w:val="22"/>
      <w:szCs w:val="22"/>
    </w:rPr>
  </w:style>
  <w:style w:type="character" w:styleId="Strong">
    <w:name w:val="Strong"/>
    <w:uiPriority w:val="22"/>
    <w:qFormat/>
    <w:rsid w:val="002F1B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48509">
      <w:bodyDiv w:val="1"/>
      <w:marLeft w:val="0"/>
      <w:marRight w:val="0"/>
      <w:marTop w:val="0"/>
      <w:marBottom w:val="0"/>
      <w:divBdr>
        <w:top w:val="none" w:sz="0" w:space="0" w:color="auto"/>
        <w:left w:val="none" w:sz="0" w:space="0" w:color="auto"/>
        <w:bottom w:val="none" w:sz="0" w:space="0" w:color="auto"/>
        <w:right w:val="none" w:sz="0" w:space="0" w:color="auto"/>
      </w:divBdr>
    </w:div>
    <w:div w:id="97726583">
      <w:bodyDiv w:val="1"/>
      <w:marLeft w:val="0"/>
      <w:marRight w:val="0"/>
      <w:marTop w:val="0"/>
      <w:marBottom w:val="0"/>
      <w:divBdr>
        <w:top w:val="none" w:sz="0" w:space="0" w:color="auto"/>
        <w:left w:val="none" w:sz="0" w:space="0" w:color="auto"/>
        <w:bottom w:val="none" w:sz="0" w:space="0" w:color="auto"/>
        <w:right w:val="none" w:sz="0" w:space="0" w:color="auto"/>
      </w:divBdr>
    </w:div>
    <w:div w:id="1090813447">
      <w:bodyDiv w:val="1"/>
      <w:marLeft w:val="0"/>
      <w:marRight w:val="0"/>
      <w:marTop w:val="0"/>
      <w:marBottom w:val="0"/>
      <w:divBdr>
        <w:top w:val="none" w:sz="0" w:space="0" w:color="auto"/>
        <w:left w:val="none" w:sz="0" w:space="0" w:color="auto"/>
        <w:bottom w:val="none" w:sz="0" w:space="0" w:color="auto"/>
        <w:right w:val="none" w:sz="0" w:space="0" w:color="auto"/>
      </w:divBdr>
    </w:div>
    <w:div w:id="1679848900">
      <w:bodyDiv w:val="1"/>
      <w:marLeft w:val="0"/>
      <w:marRight w:val="0"/>
      <w:marTop w:val="0"/>
      <w:marBottom w:val="0"/>
      <w:divBdr>
        <w:top w:val="none" w:sz="0" w:space="0" w:color="auto"/>
        <w:left w:val="none" w:sz="0" w:space="0" w:color="auto"/>
        <w:bottom w:val="none" w:sz="0" w:space="0" w:color="auto"/>
        <w:right w:val="none" w:sz="0" w:space="0" w:color="auto"/>
      </w:divBdr>
    </w:div>
    <w:div w:id="201310091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yperlink" Target="mailto:ashm@ashm.org.au" TargetMode="External"/><Relationship Id="rId39" Type="http://schemas.openxmlformats.org/officeDocument/2006/relationships/hyperlink" Target="mailto:administrator@acorn.org.au" TargetMode="External"/><Relationship Id="rId21" Type="http://schemas.openxmlformats.org/officeDocument/2006/relationships/header" Target="header6.xml"/><Relationship Id="rId34" Type="http://schemas.openxmlformats.org/officeDocument/2006/relationships/hyperlink" Target="http://www.midwives.org.au/" TargetMode="External"/><Relationship Id="rId42" Type="http://schemas.openxmlformats.org/officeDocument/2006/relationships/hyperlink" Target="mailto:national@cena.org.au" TargetMode="External"/><Relationship Id="rId47" Type="http://schemas.openxmlformats.org/officeDocument/2006/relationships/hyperlink" Target="mailto:College.sec@surgeons.org" TargetMode="External"/><Relationship Id="rId50" Type="http://schemas.openxmlformats.org/officeDocument/2006/relationships/hyperlink" Target="http://www.racgp.org.au/" TargetMode="External"/><Relationship Id="rId55"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yperlink" Target="http://www.ashm.org.au/" TargetMode="External"/><Relationship Id="rId33" Type="http://schemas.openxmlformats.org/officeDocument/2006/relationships/hyperlink" Target="http://www.anzca.edu.au/" TargetMode="External"/><Relationship Id="rId38" Type="http://schemas.openxmlformats.org/officeDocument/2006/relationships/hyperlink" Target="http://www.acorn.org.au/" TargetMode="External"/><Relationship Id="rId46" Type="http://schemas.openxmlformats.org/officeDocument/2006/relationships/hyperlink" Target="http://www.surgeons.org/"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6.xml"/><Relationship Id="rId29" Type="http://schemas.openxmlformats.org/officeDocument/2006/relationships/hyperlink" Target="https://www.dermcoll.edu.au/" TargetMode="External"/><Relationship Id="rId41" Type="http://schemas.openxmlformats.org/officeDocument/2006/relationships/hyperlink" Target="http://www.cena.org.au/" TargetMode="External"/><Relationship Id="rId54" Type="http://schemas.openxmlformats.org/officeDocument/2006/relationships/hyperlink" Target="http://www.ahpra.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ahpra.gov.au/" TargetMode="External"/><Relationship Id="rId32" Type="http://schemas.openxmlformats.org/officeDocument/2006/relationships/hyperlink" Target="mailto:admin@acen.com.au" TargetMode="External"/><Relationship Id="rId37" Type="http://schemas.openxmlformats.org/officeDocument/2006/relationships/hyperlink" Target="mailto:acn@acn.edu.au" TargetMode="External"/><Relationship Id="rId40" Type="http://schemas.openxmlformats.org/officeDocument/2006/relationships/hyperlink" Target="http://www.acrrm.org.au/" TargetMode="External"/><Relationship Id="rId45" Type="http://schemas.openxmlformats.org/officeDocument/2006/relationships/hyperlink" Target="http://www.racds.org" TargetMode="External"/><Relationship Id="rId53" Type="http://schemas.openxmlformats.org/officeDocument/2006/relationships/footer" Target="footer8.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4.png"/><Relationship Id="rId28" Type="http://schemas.openxmlformats.org/officeDocument/2006/relationships/hyperlink" Target="http://www.dermcoll.edu.au/" TargetMode="External"/><Relationship Id="rId36" Type="http://schemas.openxmlformats.org/officeDocument/2006/relationships/hyperlink" Target="http://www.acn.edu.au/" TargetMode="External"/><Relationship Id="rId49" Type="http://schemas.openxmlformats.org/officeDocument/2006/relationships/hyperlink" Target="mailto:ranzcog@ranzcog.edu.au" TargetMode="External"/><Relationship Id="rId57" Type="http://schemas.openxmlformats.org/officeDocument/2006/relationships/footer" Target="footer10.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yperlink" Target="http://www.acen.com.au/" TargetMode="External"/><Relationship Id="rId44" Type="http://schemas.openxmlformats.org/officeDocument/2006/relationships/hyperlink" Target="mailto:cicm@cicm.org.au" TargetMode="External"/><Relationship Id="rId52"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hyperlink" Target="http://www.acem.org.au/" TargetMode="External"/><Relationship Id="rId30" Type="http://schemas.openxmlformats.org/officeDocument/2006/relationships/hyperlink" Target="mailto:podiatric.surgeons@rsm.com.au" TargetMode="External"/><Relationship Id="rId35" Type="http://schemas.openxmlformats.org/officeDocument/2006/relationships/hyperlink" Target="mailto:admin@midwive.org.au" TargetMode="External"/><Relationship Id="rId43" Type="http://schemas.openxmlformats.org/officeDocument/2006/relationships/hyperlink" Target="http://www.cicm.org.au/" TargetMode="External"/><Relationship Id="rId48" Type="http://schemas.openxmlformats.org/officeDocument/2006/relationships/hyperlink" Target="http://www.ranzcog.edu.au/" TargetMode="External"/><Relationship Id="rId56" Type="http://schemas.openxmlformats.org/officeDocument/2006/relationships/header" Target="header8.xml"/><Relationship Id="rId8" Type="http://schemas.openxmlformats.org/officeDocument/2006/relationships/hyperlink" Target="mailto:bbvguidelines@ahpra.gov.au" TargetMode="External"/><Relationship Id="rId51" Type="http://schemas.openxmlformats.org/officeDocument/2006/relationships/hyperlink" Target="mailto:racgp@racgp.org.au"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0B273-9690-42E0-AE3E-442555A0F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32415</Words>
  <Characters>184772</Characters>
  <Application>Microsoft Office Word</Application>
  <DocSecurity>0</DocSecurity>
  <Lines>1539</Lines>
  <Paragraphs>433</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216754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AHPRA Media Protocol</dc:title>
  <dc:subject>WD10/1669</dc:subject>
  <dc:creator>Kate Durie</dc:creator>
  <dc:description>TRIM Record Number:WD10/1669 in TRIM database:AP</dc:description>
  <cp:lastModifiedBy>Joanne Katsoris</cp:lastModifiedBy>
  <cp:revision>2</cp:revision>
  <cp:lastPrinted>2013-08-26T00:21:00Z</cp:lastPrinted>
  <dcterms:created xsi:type="dcterms:W3CDTF">2019-09-05T03:14:00Z</dcterms:created>
  <dcterms:modified xsi:type="dcterms:W3CDTF">2019-09-05T03:14:00Z</dcterms:modified>
</cp:coreProperties>
</file>