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81" w:rsidRPr="00423F39" w:rsidRDefault="000B232A" w:rsidP="00182581">
      <w:pPr>
        <w:pStyle w:val="AHPRADocumenttitle"/>
      </w:pPr>
      <w:bookmarkStart w:id="0" w:name="_GoBack"/>
      <w:r>
        <w:pict>
          <v:shapetype id="_x0000_t32" coordsize="21600,21600" o:spt="32" o:oned="t" path="m,l21600,21600e" filled="f">
            <v:path arrowok="t" fillok="f" o:connecttype="none"/>
            <o:lock v:ext="edit" shapetype="t"/>
          </v:shapetype>
          <v:shape id="AutoShape 3" o:spid="_x0000_s1026" type="#_x0000_t32" style="position:absolute;margin-left:-63.35pt;margin-top:53.3pt;width:13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F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MnS+Xw6w4h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" adj="165,-1,165"/>
        </w:pict>
      </w:r>
      <w:r w:rsidR="00182581">
        <w:t xml:space="preserve">Registration standard: </w:t>
      </w:r>
      <w:r w:rsidR="00FD0659">
        <w:t>E</w:t>
      </w:r>
      <w:r w:rsidR="00182581">
        <w:t>ndorsement for scheduled medicines for midwives</w:t>
      </w:r>
    </w:p>
    <w:bookmarkEnd w:id="0"/>
    <w:p w:rsidR="00895BEB" w:rsidRPr="00315E47" w:rsidRDefault="00DE4E5B" w:rsidP="00895BEB">
      <w:pPr>
        <w:pStyle w:val="AHPRASubheading"/>
        <w:rPr>
          <w:b w:val="0"/>
        </w:rPr>
      </w:pPr>
      <w:r>
        <w:br/>
      </w:r>
      <w:r w:rsidR="00182581" w:rsidRPr="00423F39">
        <w:t>Effective from</w:t>
      </w:r>
      <w:r w:rsidR="00182581" w:rsidRPr="00423F39">
        <w:tab/>
      </w:r>
      <w:r w:rsidR="007321E5" w:rsidRPr="00315E47">
        <w:rPr>
          <w:b w:val="0"/>
          <w:color w:val="auto"/>
        </w:rPr>
        <w:t xml:space="preserve">1 </w:t>
      </w:r>
      <w:r w:rsidR="00251B7F">
        <w:rPr>
          <w:b w:val="0"/>
          <w:color w:val="auto"/>
        </w:rPr>
        <w:t>January 2017</w:t>
      </w:r>
    </w:p>
    <w:p w:rsidR="00077685" w:rsidRDefault="007321E5">
      <w:pPr>
        <w:pStyle w:val="AHPRASubheading"/>
      </w:pPr>
      <w:r>
        <w:t xml:space="preserve">Summary </w:t>
      </w:r>
    </w:p>
    <w:p w:rsidR="00182581" w:rsidRDefault="00182581" w:rsidP="00182581">
      <w:pPr>
        <w:pStyle w:val="AHPRASubhead"/>
        <w:spacing w:after="0"/>
        <w:rPr>
          <w:b w:val="0"/>
          <w:color w:val="auto"/>
        </w:rPr>
      </w:pPr>
      <w:r w:rsidRPr="00046282">
        <w:rPr>
          <w:b w:val="0"/>
          <w:color w:val="auto"/>
        </w:rPr>
        <w:t xml:space="preserve">This registration standard sets out the </w:t>
      </w:r>
      <w:r w:rsidRPr="009F63CD">
        <w:rPr>
          <w:b w:val="0"/>
          <w:color w:val="auto"/>
        </w:rPr>
        <w:t>Nursing and Midwifery Board of Australia’s (</w:t>
      </w:r>
      <w:r>
        <w:rPr>
          <w:b w:val="0"/>
          <w:color w:val="auto"/>
        </w:rPr>
        <w:t>NMBA</w:t>
      </w:r>
      <w:r w:rsidRPr="009F63CD">
        <w:rPr>
          <w:b w:val="0"/>
          <w:color w:val="auto"/>
        </w:rPr>
        <w:t>)</w:t>
      </w:r>
      <w:r w:rsidRPr="00046282">
        <w:rPr>
          <w:b w:val="0"/>
          <w:color w:val="auto"/>
        </w:rPr>
        <w:t xml:space="preserve"> requirements for </w:t>
      </w:r>
      <w:r w:rsidRPr="00D306B6">
        <w:rPr>
          <w:b w:val="0"/>
          <w:color w:val="auto"/>
        </w:rPr>
        <w:t>endorsement for scheduled medicines for midwives</w:t>
      </w:r>
      <w:r w:rsidRPr="00DC081F">
        <w:rPr>
          <w:b w:val="0"/>
          <w:color w:val="auto"/>
        </w:rPr>
        <w:t xml:space="preserve"> under section 94</w:t>
      </w:r>
      <w:r>
        <w:rPr>
          <w:b w:val="0"/>
          <w:color w:val="auto"/>
        </w:rPr>
        <w:t xml:space="preserve"> of the</w:t>
      </w:r>
      <w:r w:rsidRPr="007C78C7">
        <w:rPr>
          <w:b w:val="0"/>
          <w:i/>
          <w:color w:val="auto"/>
        </w:rPr>
        <w:t xml:space="preserve"> </w:t>
      </w:r>
      <w:r w:rsidR="00895BEB" w:rsidRPr="00895BEB">
        <w:rPr>
          <w:b w:val="0"/>
          <w:color w:val="auto"/>
        </w:rPr>
        <w:t>Health Practitioner Regulation National Law</w:t>
      </w:r>
      <w:r w:rsidR="00D306B6">
        <w:rPr>
          <w:b w:val="0"/>
          <w:color w:val="auto"/>
        </w:rPr>
        <w:t>,</w:t>
      </w:r>
      <w:r w:rsidRPr="00D306B6">
        <w:rPr>
          <w:b w:val="0"/>
          <w:color w:val="auto"/>
        </w:rPr>
        <w:t xml:space="preserve"> </w:t>
      </w:r>
      <w:r>
        <w:rPr>
          <w:b w:val="0"/>
          <w:color w:val="auto"/>
        </w:rPr>
        <w:t xml:space="preserve">as in force in each state and territory (the National Law). </w:t>
      </w:r>
    </w:p>
    <w:p w:rsidR="007321E5" w:rsidRDefault="007321E5" w:rsidP="00ED226D">
      <w:pPr>
        <w:pStyle w:val="AHPRASubheading"/>
      </w:pPr>
      <w:r>
        <w:t xml:space="preserve">Does this standard apply to me? </w:t>
      </w:r>
    </w:p>
    <w:p w:rsidR="00ED226D" w:rsidRDefault="00ED226D" w:rsidP="00ED226D">
      <w:pPr>
        <w:pStyle w:val="AHPRAbody"/>
      </w:pPr>
      <w:r>
        <w:t>This registration standard applies to midwives who hold registration as a midwife in Australia, who are applying for or renewing an endorsement for scheduled medicines.</w:t>
      </w:r>
    </w:p>
    <w:p w:rsidR="00C911C8" w:rsidRDefault="00182581">
      <w:pPr>
        <w:pStyle w:val="AHPRASubheading"/>
        <w:rPr>
          <w:b w:val="0"/>
          <w:color w:val="auto"/>
        </w:rPr>
      </w:pPr>
      <w:r w:rsidRPr="00BD70FC">
        <w:t>What must I do?</w:t>
      </w:r>
      <w:r w:rsidR="00487FA0">
        <w:br/>
      </w:r>
      <w:r w:rsidR="00487FA0">
        <w:br/>
      </w:r>
      <w:r>
        <w:rPr>
          <w:b w:val="0"/>
          <w:color w:val="auto"/>
        </w:rPr>
        <w:t>When applying for endorsement</w:t>
      </w:r>
      <w:r w:rsidRPr="00E20808">
        <w:rPr>
          <w:b w:val="0"/>
          <w:color w:val="auto"/>
        </w:rPr>
        <w:t xml:space="preserve"> </w:t>
      </w:r>
      <w:r>
        <w:rPr>
          <w:b w:val="0"/>
          <w:color w:val="auto"/>
        </w:rPr>
        <w:t>for scheduled medicines as a</w:t>
      </w:r>
      <w:r w:rsidRPr="00E20808">
        <w:rPr>
          <w:b w:val="0"/>
          <w:color w:val="auto"/>
        </w:rPr>
        <w:t xml:space="preserve"> midwife, </w:t>
      </w:r>
      <w:r>
        <w:rPr>
          <w:b w:val="0"/>
          <w:color w:val="auto"/>
        </w:rPr>
        <w:t>a midwife</w:t>
      </w:r>
      <w:r w:rsidRPr="00E20808">
        <w:rPr>
          <w:b w:val="0"/>
          <w:color w:val="auto"/>
        </w:rPr>
        <w:t xml:space="preserve"> must be able to demonstrate</w:t>
      </w:r>
      <w:r>
        <w:rPr>
          <w:b w:val="0"/>
          <w:color w:val="auto"/>
        </w:rPr>
        <w:t xml:space="preserve"> </w:t>
      </w:r>
      <w:r w:rsidRPr="00E20808">
        <w:rPr>
          <w:b w:val="0"/>
          <w:color w:val="auto"/>
        </w:rPr>
        <w:t>all of the following</w:t>
      </w:r>
      <w:r w:rsidR="0007776F">
        <w:rPr>
          <w:b w:val="0"/>
          <w:color w:val="auto"/>
        </w:rPr>
        <w:t>.</w:t>
      </w:r>
    </w:p>
    <w:p w:rsidR="00182581" w:rsidRPr="00E20808" w:rsidRDefault="0007776F" w:rsidP="007321E5">
      <w:pPr>
        <w:pStyle w:val="AHPRASubhead"/>
        <w:numPr>
          <w:ilvl w:val="0"/>
          <w:numId w:val="12"/>
        </w:numPr>
        <w:spacing w:after="0"/>
        <w:ind w:left="360"/>
        <w:rPr>
          <w:b w:val="0"/>
          <w:color w:val="auto"/>
        </w:rPr>
      </w:pPr>
      <w:r>
        <w:rPr>
          <w:b w:val="0"/>
          <w:color w:val="auto"/>
          <w:lang w:val="en-AU"/>
        </w:rPr>
        <w:t>C</w:t>
      </w:r>
      <w:r w:rsidRPr="00E20808">
        <w:rPr>
          <w:b w:val="0"/>
          <w:color w:val="auto"/>
          <w:lang w:val="en-AU"/>
        </w:rPr>
        <w:t xml:space="preserve">urrent </w:t>
      </w:r>
      <w:r w:rsidR="00182581" w:rsidRPr="00E20808">
        <w:rPr>
          <w:b w:val="0"/>
          <w:color w:val="auto"/>
          <w:lang w:val="en-AU"/>
        </w:rPr>
        <w:t>general registration as a midwife in Australia</w:t>
      </w:r>
      <w:r w:rsidR="00315E47">
        <w:rPr>
          <w:b w:val="0"/>
          <w:color w:val="auto"/>
          <w:lang w:val="en-AU"/>
        </w:rPr>
        <w:t xml:space="preserve"> </w:t>
      </w:r>
      <w:r w:rsidR="00182581" w:rsidRPr="00E20808">
        <w:rPr>
          <w:b w:val="0"/>
          <w:color w:val="auto"/>
          <w:lang w:val="en-AU"/>
        </w:rPr>
        <w:t xml:space="preserve">with no conditions </w:t>
      </w:r>
      <w:r w:rsidR="00182581">
        <w:rPr>
          <w:b w:val="0"/>
          <w:color w:val="auto"/>
          <w:lang w:val="en-AU"/>
        </w:rPr>
        <w:t>or undertakings</w:t>
      </w:r>
      <w:r w:rsidR="00182581" w:rsidRPr="00E20808">
        <w:rPr>
          <w:b w:val="0"/>
          <w:color w:val="auto"/>
          <w:lang w:val="en-AU"/>
        </w:rPr>
        <w:t xml:space="preserve"> relating to unsatisfactory professional performance or </w:t>
      </w:r>
      <w:r w:rsidR="00182581" w:rsidRPr="004A1E69">
        <w:rPr>
          <w:b w:val="0"/>
          <w:color w:val="auto"/>
          <w:lang w:val="en-AU"/>
        </w:rPr>
        <w:t>unprofessional conduct</w:t>
      </w:r>
      <w:r>
        <w:rPr>
          <w:b w:val="0"/>
          <w:color w:val="auto"/>
          <w:lang w:val="en-AU"/>
        </w:rPr>
        <w:t>.</w:t>
      </w:r>
    </w:p>
    <w:p w:rsidR="00182581" w:rsidRPr="00E20808" w:rsidRDefault="00182581" w:rsidP="007321E5">
      <w:pPr>
        <w:pStyle w:val="AHPRASubhead"/>
        <w:spacing w:after="0"/>
        <w:ind w:left="294"/>
        <w:rPr>
          <w:b w:val="0"/>
          <w:color w:val="auto"/>
        </w:rPr>
      </w:pPr>
    </w:p>
    <w:p w:rsidR="0007776F" w:rsidRPr="0007776F" w:rsidRDefault="0007776F" w:rsidP="00136998">
      <w:pPr>
        <w:pStyle w:val="AHPRASubhead"/>
        <w:numPr>
          <w:ilvl w:val="0"/>
          <w:numId w:val="12"/>
        </w:numPr>
        <w:ind w:left="360"/>
        <w:rPr>
          <w:b w:val="0"/>
          <w:color w:val="auto"/>
        </w:rPr>
      </w:pPr>
      <w:r>
        <w:rPr>
          <w:b w:val="0"/>
          <w:color w:val="auto"/>
          <w:lang w:val="en-AU"/>
        </w:rPr>
        <w:t>R</w:t>
      </w:r>
      <w:r w:rsidRPr="00E20808">
        <w:rPr>
          <w:b w:val="0"/>
          <w:color w:val="auto"/>
          <w:lang w:val="en-AU"/>
        </w:rPr>
        <w:t xml:space="preserve">egistration </w:t>
      </w:r>
      <w:r w:rsidR="00182581" w:rsidRPr="00E20808">
        <w:rPr>
          <w:b w:val="0"/>
          <w:color w:val="auto"/>
          <w:lang w:val="en-AU"/>
        </w:rPr>
        <w:t xml:space="preserve">as a midwife </w:t>
      </w:r>
      <w:r>
        <w:rPr>
          <w:b w:val="0"/>
          <w:color w:val="auto"/>
          <w:lang w:val="en-AU"/>
        </w:rPr>
        <w:t>that is</w:t>
      </w:r>
      <w:r w:rsidRPr="00E20808">
        <w:rPr>
          <w:b w:val="0"/>
          <w:color w:val="auto"/>
          <w:lang w:val="en-AU"/>
        </w:rPr>
        <w:t xml:space="preserve"> </w:t>
      </w:r>
      <w:r w:rsidR="00182581" w:rsidRPr="00E20808">
        <w:rPr>
          <w:b w:val="0"/>
          <w:color w:val="auto"/>
          <w:lang w:val="en-AU"/>
        </w:rPr>
        <w:t xml:space="preserve">the equivalent of </w:t>
      </w:r>
      <w:r w:rsidR="00182581">
        <w:rPr>
          <w:b w:val="0"/>
          <w:color w:val="auto"/>
          <w:lang w:val="en-AU"/>
        </w:rPr>
        <w:t>three years</w:t>
      </w:r>
      <w:r>
        <w:rPr>
          <w:b w:val="0"/>
          <w:color w:val="auto"/>
          <w:lang w:val="en-AU"/>
        </w:rPr>
        <w:t>’</w:t>
      </w:r>
      <w:r w:rsidR="00182581">
        <w:rPr>
          <w:b w:val="0"/>
          <w:color w:val="auto"/>
          <w:lang w:val="en-AU"/>
        </w:rPr>
        <w:t xml:space="preserve"> full-time clinical practice</w:t>
      </w:r>
      <w:r>
        <w:rPr>
          <w:b w:val="0"/>
          <w:color w:val="auto"/>
          <w:lang w:val="en-AU"/>
        </w:rPr>
        <w:t xml:space="preserve"> (5,000 hours) in the past six years that is either</w:t>
      </w:r>
      <w:r w:rsidR="00136998">
        <w:rPr>
          <w:b w:val="0"/>
          <w:color w:val="auto"/>
          <w:lang w:val="en-AU"/>
        </w:rPr>
        <w:t>:</w:t>
      </w:r>
    </w:p>
    <w:p w:rsidR="0007776F" w:rsidRDefault="00182581" w:rsidP="0007776F">
      <w:pPr>
        <w:pStyle w:val="ListParagraph"/>
        <w:numPr>
          <w:ilvl w:val="0"/>
          <w:numId w:val="18"/>
        </w:numPr>
        <w:spacing w:after="0"/>
        <w:rPr>
          <w:rFonts w:ascii="Arial" w:hAnsi="Arial" w:cs="Arial"/>
          <w:sz w:val="20"/>
          <w:szCs w:val="20"/>
        </w:rPr>
      </w:pPr>
      <w:r w:rsidRPr="0007776F">
        <w:rPr>
          <w:rFonts w:ascii="Arial" w:hAnsi="Arial" w:cs="Arial"/>
          <w:sz w:val="20"/>
          <w:szCs w:val="20"/>
        </w:rPr>
        <w:t>across the continuum of care</w:t>
      </w:r>
      <w:r w:rsidR="0007776F">
        <w:rPr>
          <w:rFonts w:ascii="Arial" w:hAnsi="Arial" w:cs="Arial"/>
          <w:sz w:val="20"/>
          <w:szCs w:val="20"/>
        </w:rPr>
        <w:t>,</w:t>
      </w:r>
      <w:r w:rsidRPr="0007776F">
        <w:rPr>
          <w:rFonts w:ascii="Arial" w:hAnsi="Arial" w:cs="Arial"/>
          <w:sz w:val="20"/>
          <w:szCs w:val="20"/>
        </w:rPr>
        <w:t xml:space="preserve"> or </w:t>
      </w:r>
    </w:p>
    <w:p w:rsidR="00756838" w:rsidRDefault="00756838" w:rsidP="00756838">
      <w:pPr>
        <w:pStyle w:val="AHPRABulletlevel1"/>
        <w:spacing w:after="200"/>
        <w:rPr>
          <w:rFonts w:cs="Arial"/>
          <w:szCs w:val="20"/>
        </w:rPr>
      </w:pPr>
      <w:r>
        <w:rPr>
          <w:rFonts w:cs="Arial"/>
          <w:szCs w:val="20"/>
        </w:rPr>
        <w:t xml:space="preserve">in a </w:t>
      </w:r>
      <w:r w:rsidR="00182581" w:rsidRPr="0007776F">
        <w:rPr>
          <w:rFonts w:cs="Arial"/>
          <w:szCs w:val="20"/>
        </w:rPr>
        <w:t xml:space="preserve">specified context of practice </w:t>
      </w:r>
    </w:p>
    <w:p w:rsidR="00182581" w:rsidRPr="00756838" w:rsidRDefault="00182581" w:rsidP="00756838">
      <w:pPr>
        <w:spacing w:after="0"/>
        <w:ind w:left="360"/>
        <w:rPr>
          <w:rFonts w:cs="Arial"/>
          <w:sz w:val="20"/>
          <w:szCs w:val="20"/>
        </w:rPr>
      </w:pPr>
      <w:r w:rsidRPr="00756838">
        <w:rPr>
          <w:rFonts w:cs="Arial"/>
          <w:sz w:val="20"/>
          <w:szCs w:val="20"/>
        </w:rPr>
        <w:t xml:space="preserve">from the date when the complete application seeking endorsement </w:t>
      </w:r>
      <w:r w:rsidR="00155550">
        <w:rPr>
          <w:rFonts w:cs="Arial"/>
          <w:sz w:val="20"/>
          <w:szCs w:val="20"/>
        </w:rPr>
        <w:t>for scheduled medicines</w:t>
      </w:r>
      <w:r w:rsidRPr="00756838">
        <w:rPr>
          <w:rFonts w:cs="Arial"/>
          <w:sz w:val="20"/>
          <w:szCs w:val="20"/>
        </w:rPr>
        <w:t xml:space="preserve"> is received by the NMBA</w:t>
      </w:r>
      <w:r w:rsidR="00756838">
        <w:rPr>
          <w:rFonts w:cs="Arial"/>
          <w:sz w:val="20"/>
          <w:szCs w:val="20"/>
        </w:rPr>
        <w:t>.</w:t>
      </w:r>
    </w:p>
    <w:p w:rsidR="00182581" w:rsidRPr="00E20808" w:rsidRDefault="00182581" w:rsidP="007321E5">
      <w:pPr>
        <w:pStyle w:val="AHPRASubhead"/>
        <w:spacing w:after="0"/>
        <w:rPr>
          <w:b w:val="0"/>
          <w:color w:val="auto"/>
        </w:rPr>
      </w:pPr>
    </w:p>
    <w:p w:rsidR="00182581" w:rsidRPr="00E20808" w:rsidRDefault="0007776F" w:rsidP="007321E5">
      <w:pPr>
        <w:pStyle w:val="ListParagraph"/>
        <w:numPr>
          <w:ilvl w:val="0"/>
          <w:numId w:val="12"/>
        </w:numPr>
        <w:spacing w:line="240" w:lineRule="auto"/>
        <w:ind w:left="360"/>
        <w:contextualSpacing w:val="0"/>
        <w:rPr>
          <w:rFonts w:ascii="Arial" w:hAnsi="Arial" w:cs="Arial"/>
          <w:sz w:val="20"/>
          <w:szCs w:val="20"/>
        </w:rPr>
      </w:pPr>
      <w:r>
        <w:rPr>
          <w:rFonts w:ascii="Arial" w:hAnsi="Arial" w:cs="Arial"/>
          <w:sz w:val="20"/>
          <w:szCs w:val="20"/>
        </w:rPr>
        <w:t>S</w:t>
      </w:r>
      <w:r w:rsidRPr="00E20808">
        <w:rPr>
          <w:rFonts w:ascii="Arial" w:hAnsi="Arial" w:cs="Arial"/>
          <w:sz w:val="20"/>
          <w:szCs w:val="20"/>
        </w:rPr>
        <w:t xml:space="preserve">uccessful </w:t>
      </w:r>
      <w:r w:rsidR="00182581" w:rsidRPr="00E20808">
        <w:rPr>
          <w:rFonts w:ascii="Arial" w:hAnsi="Arial" w:cs="Arial"/>
          <w:sz w:val="20"/>
          <w:szCs w:val="20"/>
        </w:rPr>
        <w:t>completion of:</w:t>
      </w:r>
    </w:p>
    <w:p w:rsidR="00895BEB" w:rsidRDefault="00182581" w:rsidP="00895BEB">
      <w:pPr>
        <w:pStyle w:val="ListParagraph"/>
        <w:numPr>
          <w:ilvl w:val="0"/>
          <w:numId w:val="18"/>
        </w:numPr>
        <w:spacing w:after="0"/>
        <w:rPr>
          <w:rFonts w:ascii="Arial" w:hAnsi="Arial" w:cs="Arial"/>
          <w:sz w:val="20"/>
          <w:szCs w:val="20"/>
        </w:rPr>
      </w:pPr>
      <w:r>
        <w:rPr>
          <w:rFonts w:ascii="Arial" w:hAnsi="Arial" w:cs="Arial"/>
          <w:sz w:val="20"/>
          <w:szCs w:val="20"/>
        </w:rPr>
        <w:t>a</w:t>
      </w:r>
      <w:r w:rsidR="0007776F">
        <w:rPr>
          <w:rFonts w:ascii="Arial" w:hAnsi="Arial" w:cs="Arial"/>
          <w:sz w:val="20"/>
          <w:szCs w:val="20"/>
        </w:rPr>
        <w:t>n</w:t>
      </w:r>
      <w:r>
        <w:rPr>
          <w:rFonts w:ascii="Arial" w:hAnsi="Arial" w:cs="Arial"/>
          <w:sz w:val="20"/>
          <w:szCs w:val="20"/>
        </w:rPr>
        <w:t xml:space="preserve"> NMBA-</w:t>
      </w:r>
      <w:r w:rsidRPr="00E20808">
        <w:rPr>
          <w:rFonts w:ascii="Arial" w:hAnsi="Arial" w:cs="Arial"/>
          <w:sz w:val="20"/>
          <w:szCs w:val="20"/>
        </w:rPr>
        <w:t xml:space="preserve">approved program of study </w:t>
      </w:r>
      <w:r>
        <w:rPr>
          <w:rFonts w:ascii="Arial" w:hAnsi="Arial" w:cs="Arial"/>
          <w:sz w:val="20"/>
          <w:szCs w:val="20"/>
        </w:rPr>
        <w:t xml:space="preserve">leading </w:t>
      </w:r>
      <w:r w:rsidRPr="00E20808">
        <w:rPr>
          <w:rFonts w:ascii="Arial" w:hAnsi="Arial" w:cs="Arial"/>
          <w:sz w:val="20"/>
          <w:szCs w:val="20"/>
        </w:rPr>
        <w:t xml:space="preserve">to </w:t>
      </w:r>
      <w:r w:rsidRPr="00D306B6">
        <w:rPr>
          <w:rFonts w:ascii="Arial" w:hAnsi="Arial" w:cs="Arial"/>
          <w:sz w:val="20"/>
          <w:szCs w:val="20"/>
        </w:rPr>
        <w:t>endorsement for scheduled medicines</w:t>
      </w:r>
      <w:r w:rsidRPr="00E20808">
        <w:rPr>
          <w:rFonts w:ascii="Arial" w:hAnsi="Arial" w:cs="Arial"/>
          <w:sz w:val="20"/>
          <w:szCs w:val="20"/>
        </w:rPr>
        <w:t>, or</w:t>
      </w:r>
    </w:p>
    <w:p w:rsidR="00895BEB" w:rsidRPr="00F95C30" w:rsidRDefault="00182581">
      <w:pPr>
        <w:pStyle w:val="AHPRASubhead"/>
        <w:numPr>
          <w:ilvl w:val="0"/>
          <w:numId w:val="18"/>
        </w:numPr>
        <w:spacing w:after="0"/>
        <w:rPr>
          <w:b w:val="0"/>
          <w:color w:val="auto"/>
          <w:lang w:val="en-AU"/>
        </w:rPr>
      </w:pPr>
      <w:r>
        <w:rPr>
          <w:b w:val="0"/>
          <w:color w:val="auto"/>
          <w:lang w:val="en-AU"/>
        </w:rPr>
        <w:t>a</w:t>
      </w:r>
      <w:r w:rsidRPr="00E20808">
        <w:rPr>
          <w:b w:val="0"/>
          <w:color w:val="auto"/>
          <w:lang w:val="en-AU"/>
        </w:rPr>
        <w:t xml:space="preserve"> program that is substantially equivalent to an </w:t>
      </w:r>
      <w:r w:rsidR="0007776F">
        <w:rPr>
          <w:b w:val="0"/>
          <w:color w:val="auto"/>
          <w:lang w:val="en-AU"/>
        </w:rPr>
        <w:t>NMBA-</w:t>
      </w:r>
      <w:r w:rsidRPr="00E20808">
        <w:rPr>
          <w:b w:val="0"/>
          <w:color w:val="auto"/>
          <w:lang w:val="en-AU"/>
        </w:rPr>
        <w:t xml:space="preserve">approved program of study </w:t>
      </w:r>
      <w:r w:rsidR="0007776F" w:rsidRPr="00F95C30">
        <w:rPr>
          <w:b w:val="0"/>
          <w:color w:val="auto"/>
          <w:lang w:val="en-AU"/>
        </w:rPr>
        <w:t>leading to endorsement for scheduled medicines</w:t>
      </w:r>
      <w:r w:rsidR="0007776F" w:rsidRPr="0007776F">
        <w:rPr>
          <w:b w:val="0"/>
          <w:color w:val="auto"/>
          <w:lang w:val="en-AU"/>
        </w:rPr>
        <w:t xml:space="preserve"> </w:t>
      </w:r>
      <w:r w:rsidRPr="00E20808">
        <w:rPr>
          <w:b w:val="0"/>
          <w:color w:val="auto"/>
          <w:lang w:val="en-AU"/>
        </w:rPr>
        <w:t xml:space="preserve">as determined by the </w:t>
      </w:r>
      <w:r>
        <w:rPr>
          <w:b w:val="0"/>
          <w:color w:val="auto"/>
          <w:lang w:val="en-AU"/>
        </w:rPr>
        <w:t>NMBA</w:t>
      </w:r>
      <w:r w:rsidR="003950BC">
        <w:rPr>
          <w:b w:val="0"/>
          <w:color w:val="auto"/>
          <w:lang w:val="en-AU"/>
        </w:rPr>
        <w:t xml:space="preserve">. </w:t>
      </w:r>
    </w:p>
    <w:p w:rsidR="00182581" w:rsidRPr="00315E47" w:rsidRDefault="00182581" w:rsidP="00182581">
      <w:pPr>
        <w:pStyle w:val="AHPRASubheading"/>
        <w:rPr>
          <w:color w:val="auto"/>
        </w:rPr>
      </w:pPr>
      <w:r w:rsidRPr="00315E47">
        <w:rPr>
          <w:color w:val="auto"/>
        </w:rPr>
        <w:t>Wording to appear on the register</w:t>
      </w:r>
    </w:p>
    <w:p w:rsidR="00182581" w:rsidRDefault="00182581" w:rsidP="00182581">
      <w:pPr>
        <w:pStyle w:val="AHPRASubhead"/>
        <w:spacing w:after="0"/>
        <w:rPr>
          <w:b w:val="0"/>
          <w:color w:val="auto"/>
        </w:rPr>
      </w:pPr>
      <w:r w:rsidRPr="00CA3E31">
        <w:rPr>
          <w:b w:val="0"/>
          <w:color w:val="auto"/>
        </w:rPr>
        <w:t>An endorsed midwife qualified to prescribe schedule 2, 3, 4 and 8 medicines</w:t>
      </w:r>
      <w:r>
        <w:rPr>
          <w:b w:val="0"/>
          <w:color w:val="auto"/>
        </w:rPr>
        <w:t xml:space="preserve"> and to provide </w:t>
      </w:r>
      <w:r w:rsidRPr="00CA3E31">
        <w:rPr>
          <w:b w:val="0"/>
          <w:color w:val="auto"/>
        </w:rPr>
        <w:t>associated services required for midwifery practice in accordance with relevant state and territory legislation.</w:t>
      </w:r>
    </w:p>
    <w:p w:rsidR="00C911C8" w:rsidRPr="00315E47" w:rsidRDefault="00182581">
      <w:pPr>
        <w:pStyle w:val="AHPRASubheading"/>
        <w:rPr>
          <w:color w:val="auto"/>
        </w:rPr>
      </w:pPr>
      <w:r w:rsidRPr="00315E47">
        <w:rPr>
          <w:color w:val="auto"/>
        </w:rPr>
        <w:t>Ongoing requirements for endorsement</w:t>
      </w:r>
    </w:p>
    <w:p w:rsidR="00182581" w:rsidRDefault="003950BC" w:rsidP="00182581">
      <w:pPr>
        <w:pStyle w:val="AHPRASubhead"/>
        <w:rPr>
          <w:b w:val="0"/>
          <w:color w:val="auto"/>
        </w:rPr>
      </w:pPr>
      <w:r>
        <w:rPr>
          <w:b w:val="0"/>
          <w:color w:val="auto"/>
        </w:rPr>
        <w:t>O</w:t>
      </w:r>
      <w:r w:rsidR="00182581" w:rsidRPr="00E20808">
        <w:rPr>
          <w:b w:val="0"/>
          <w:color w:val="auto"/>
        </w:rPr>
        <w:t xml:space="preserve">ngoing </w:t>
      </w:r>
      <w:r w:rsidR="00182581">
        <w:rPr>
          <w:b w:val="0"/>
          <w:color w:val="auto"/>
        </w:rPr>
        <w:t xml:space="preserve">endorsement </w:t>
      </w:r>
      <w:r w:rsidR="00182581" w:rsidRPr="00E20808">
        <w:rPr>
          <w:b w:val="0"/>
          <w:color w:val="auto"/>
        </w:rPr>
        <w:t>by t</w:t>
      </w:r>
      <w:r w:rsidR="00182581">
        <w:rPr>
          <w:b w:val="0"/>
          <w:color w:val="auto"/>
        </w:rPr>
        <w:t>he NMBA is conditional</w:t>
      </w:r>
      <w:r w:rsidR="00182581" w:rsidRPr="00E20808">
        <w:rPr>
          <w:b w:val="0"/>
          <w:color w:val="auto"/>
        </w:rPr>
        <w:t xml:space="preserve"> </w:t>
      </w:r>
      <w:r w:rsidR="00182581">
        <w:rPr>
          <w:b w:val="0"/>
          <w:color w:val="auto"/>
        </w:rPr>
        <w:t>on</w:t>
      </w:r>
      <w:r w:rsidR="00182581" w:rsidRPr="00E20808">
        <w:rPr>
          <w:b w:val="0"/>
          <w:color w:val="auto"/>
        </w:rPr>
        <w:t xml:space="preserve"> the midwife </w:t>
      </w:r>
      <w:r w:rsidR="00182581">
        <w:rPr>
          <w:b w:val="0"/>
          <w:color w:val="auto"/>
        </w:rPr>
        <w:t>complying with the current:</w:t>
      </w:r>
    </w:p>
    <w:p w:rsidR="00182581" w:rsidRDefault="0007776F" w:rsidP="00DC6936">
      <w:pPr>
        <w:pStyle w:val="AHPRASubhead"/>
        <w:numPr>
          <w:ilvl w:val="0"/>
          <w:numId w:val="14"/>
        </w:numPr>
        <w:spacing w:after="0"/>
        <w:rPr>
          <w:b w:val="0"/>
          <w:color w:val="auto"/>
        </w:rPr>
      </w:pPr>
      <w:r w:rsidRPr="00F95C30">
        <w:rPr>
          <w:b w:val="0"/>
          <w:color w:val="auto"/>
          <w:lang w:val="en-AU"/>
        </w:rPr>
        <w:t>NMBA-approved</w:t>
      </w:r>
      <w:r w:rsidR="00182581">
        <w:rPr>
          <w:b w:val="0"/>
          <w:color w:val="auto"/>
        </w:rPr>
        <w:t xml:space="preserve"> </w:t>
      </w:r>
      <w:r w:rsidR="00182581" w:rsidRPr="00FD0794">
        <w:rPr>
          <w:b w:val="0"/>
          <w:i/>
          <w:color w:val="auto"/>
          <w:lang w:val="en-AU"/>
        </w:rPr>
        <w:t>Continuing professional development registration standard</w:t>
      </w:r>
      <w:r w:rsidR="00182581">
        <w:rPr>
          <w:b w:val="0"/>
          <w:i/>
          <w:color w:val="auto"/>
          <w:lang w:val="en-AU"/>
        </w:rPr>
        <w:t xml:space="preserve">, </w:t>
      </w:r>
      <w:r w:rsidR="00182581" w:rsidRPr="00FD0794">
        <w:rPr>
          <w:b w:val="0"/>
          <w:i/>
          <w:color w:val="auto"/>
          <w:lang w:val="en-AU"/>
        </w:rPr>
        <w:t>Recency of practice registration standard</w:t>
      </w:r>
      <w:r w:rsidR="00182581">
        <w:rPr>
          <w:b w:val="0"/>
          <w:i/>
          <w:color w:val="auto"/>
          <w:lang w:val="en-AU"/>
        </w:rPr>
        <w:t>,</w:t>
      </w:r>
      <w:r w:rsidR="00182581" w:rsidRPr="00FD0794">
        <w:rPr>
          <w:b w:val="0"/>
          <w:i/>
          <w:color w:val="auto"/>
          <w:lang w:val="en-AU"/>
        </w:rPr>
        <w:t xml:space="preserve"> Criminal history registration standard</w:t>
      </w:r>
      <w:r w:rsidR="00182581">
        <w:rPr>
          <w:b w:val="0"/>
          <w:i/>
          <w:color w:val="auto"/>
          <w:lang w:val="en-AU"/>
        </w:rPr>
        <w:t xml:space="preserve"> </w:t>
      </w:r>
      <w:r w:rsidR="00182581">
        <w:rPr>
          <w:b w:val="0"/>
          <w:color w:val="auto"/>
          <w:lang w:val="en-AU"/>
        </w:rPr>
        <w:t xml:space="preserve">and </w:t>
      </w:r>
      <w:r w:rsidR="00182581" w:rsidRPr="00FD0794">
        <w:rPr>
          <w:b w:val="0"/>
          <w:i/>
          <w:color w:val="auto"/>
          <w:lang w:val="en-AU"/>
        </w:rPr>
        <w:t>Professional indemnity insurance arrangements registration standard</w:t>
      </w:r>
      <w:r w:rsidR="00182581">
        <w:rPr>
          <w:b w:val="0"/>
          <w:color w:val="auto"/>
          <w:lang w:val="en-AU"/>
        </w:rPr>
        <w:br/>
      </w:r>
    </w:p>
    <w:p w:rsidR="00182581" w:rsidRDefault="00182581" w:rsidP="00DC6936">
      <w:pPr>
        <w:pStyle w:val="AHPRASubhead"/>
        <w:numPr>
          <w:ilvl w:val="0"/>
          <w:numId w:val="14"/>
        </w:numPr>
        <w:spacing w:after="0"/>
        <w:rPr>
          <w:b w:val="0"/>
          <w:color w:val="auto"/>
        </w:rPr>
      </w:pPr>
      <w:r>
        <w:rPr>
          <w:b w:val="0"/>
          <w:color w:val="auto"/>
        </w:rPr>
        <w:lastRenderedPageBreak/>
        <w:t>any other applicable codes and guidelines approved by the NMBA</w:t>
      </w:r>
      <w:r w:rsidR="003950BC">
        <w:rPr>
          <w:b w:val="0"/>
          <w:color w:val="auto"/>
        </w:rPr>
        <w:t xml:space="preserve">, and </w:t>
      </w:r>
    </w:p>
    <w:p w:rsidR="00182581" w:rsidRDefault="00182581" w:rsidP="00182581">
      <w:pPr>
        <w:pStyle w:val="AHPRASubhead"/>
        <w:spacing w:after="0"/>
        <w:ind w:left="1080"/>
        <w:rPr>
          <w:b w:val="0"/>
          <w:color w:val="auto"/>
        </w:rPr>
      </w:pPr>
    </w:p>
    <w:p w:rsidR="00182581" w:rsidRDefault="00182581" w:rsidP="00DC6936">
      <w:pPr>
        <w:pStyle w:val="AHPRASubhead"/>
        <w:numPr>
          <w:ilvl w:val="0"/>
          <w:numId w:val="14"/>
        </w:numPr>
        <w:spacing w:after="0"/>
        <w:rPr>
          <w:b w:val="0"/>
          <w:color w:val="auto"/>
        </w:rPr>
      </w:pPr>
      <w:r w:rsidRPr="00D752E2">
        <w:rPr>
          <w:b w:val="0"/>
          <w:color w:val="auto"/>
        </w:rPr>
        <w:t>for midwives who are privately practising midwives</w:t>
      </w:r>
      <w:r>
        <w:rPr>
          <w:b w:val="0"/>
          <w:i/>
          <w:color w:val="auto"/>
        </w:rPr>
        <w:t xml:space="preserve"> </w:t>
      </w:r>
      <w:r w:rsidRPr="00BA6E09">
        <w:rPr>
          <w:b w:val="0"/>
          <w:color w:val="auto"/>
        </w:rPr>
        <w:t>the</w:t>
      </w:r>
      <w:r>
        <w:rPr>
          <w:b w:val="0"/>
          <w:i/>
          <w:color w:val="auto"/>
        </w:rPr>
        <w:t xml:space="preserve"> </w:t>
      </w:r>
      <w:r w:rsidRPr="0005667A">
        <w:rPr>
          <w:b w:val="0"/>
          <w:i/>
          <w:color w:val="auto"/>
        </w:rPr>
        <w:t>Safety and quality guideline</w:t>
      </w:r>
      <w:r w:rsidR="00DD53D1">
        <w:rPr>
          <w:b w:val="0"/>
          <w:i/>
          <w:color w:val="auto"/>
        </w:rPr>
        <w:t>s</w:t>
      </w:r>
      <w:r w:rsidRPr="0005667A">
        <w:rPr>
          <w:b w:val="0"/>
          <w:i/>
          <w:color w:val="auto"/>
        </w:rPr>
        <w:t xml:space="preserve"> for </w:t>
      </w:r>
      <w:r>
        <w:rPr>
          <w:b w:val="0"/>
          <w:i/>
          <w:color w:val="auto"/>
        </w:rPr>
        <w:t>privately practising midwives</w:t>
      </w:r>
      <w:r>
        <w:rPr>
          <w:b w:val="0"/>
          <w:color w:val="auto"/>
        </w:rPr>
        <w:t>.</w:t>
      </w:r>
    </w:p>
    <w:p w:rsidR="00895BEB" w:rsidRDefault="00182581" w:rsidP="00895BEB">
      <w:pPr>
        <w:pStyle w:val="AHPRASubheading"/>
      </w:pPr>
      <w:r>
        <w:t>What does this mean for me?</w:t>
      </w:r>
    </w:p>
    <w:p w:rsidR="00182581" w:rsidRPr="00C3343E" w:rsidRDefault="00182581" w:rsidP="00DC6936">
      <w:pPr>
        <w:pStyle w:val="AHPRASubheadinglevel2"/>
      </w:pPr>
      <w:r w:rsidRPr="00C3343E">
        <w:t>At renewal</w:t>
      </w:r>
      <w:r>
        <w:t xml:space="preserve"> of registration</w:t>
      </w:r>
    </w:p>
    <w:p w:rsidR="00182581" w:rsidRPr="00C3343E" w:rsidRDefault="00182581" w:rsidP="00182581">
      <w:pPr>
        <w:pStyle w:val="AHPRASubhead"/>
        <w:spacing w:after="0"/>
        <w:rPr>
          <w:b w:val="0"/>
          <w:color w:val="auto"/>
        </w:rPr>
      </w:pPr>
      <w:r>
        <w:rPr>
          <w:b w:val="0"/>
          <w:color w:val="auto"/>
        </w:rPr>
        <w:t>When you apply to renew your registration, you</w:t>
      </w:r>
      <w:r w:rsidRPr="00C3343E">
        <w:rPr>
          <w:b w:val="0"/>
          <w:color w:val="auto"/>
        </w:rPr>
        <w:t xml:space="preserve"> are required to </w:t>
      </w:r>
      <w:r>
        <w:rPr>
          <w:b w:val="0"/>
          <w:color w:val="auto"/>
        </w:rPr>
        <w:t xml:space="preserve">declare that you comply with the ongoing eligibility requirements for endorsement as set out in </w:t>
      </w:r>
      <w:r w:rsidRPr="00C3343E">
        <w:rPr>
          <w:b w:val="0"/>
          <w:color w:val="auto"/>
        </w:rPr>
        <w:t xml:space="preserve">this </w:t>
      </w:r>
      <w:r>
        <w:rPr>
          <w:b w:val="0"/>
          <w:color w:val="auto"/>
        </w:rPr>
        <w:t>registration standard</w:t>
      </w:r>
      <w:r w:rsidRPr="00C3343E">
        <w:rPr>
          <w:b w:val="0"/>
          <w:color w:val="auto"/>
        </w:rPr>
        <w:t>.</w:t>
      </w:r>
    </w:p>
    <w:p w:rsidR="00182581" w:rsidRPr="00A56377" w:rsidRDefault="00182581" w:rsidP="00A56377">
      <w:pPr>
        <w:pStyle w:val="AHPRASubheadinglevel2"/>
      </w:pPr>
      <w:r w:rsidRPr="00A56377">
        <w:t>During the registration period</w:t>
      </w:r>
    </w:p>
    <w:p w:rsidR="00182581" w:rsidRDefault="00182581" w:rsidP="00182581">
      <w:pPr>
        <w:pStyle w:val="AHPRASubhead"/>
        <w:spacing w:after="0"/>
        <w:rPr>
          <w:b w:val="0"/>
          <w:color w:val="auto"/>
        </w:rPr>
      </w:pPr>
      <w:r>
        <w:rPr>
          <w:b w:val="0"/>
          <w:color w:val="auto"/>
        </w:rPr>
        <w:t xml:space="preserve">Your compliance with this registration standard may be audited from time to time and may also be checked if the NMBA receives a notification about you. </w:t>
      </w:r>
    </w:p>
    <w:p w:rsidR="00182581" w:rsidRPr="00A56377" w:rsidRDefault="00182581" w:rsidP="00A56377">
      <w:pPr>
        <w:pStyle w:val="AHPRASubheadinglevel2"/>
      </w:pPr>
      <w:r w:rsidRPr="00A56377">
        <w:t>Evidence</w:t>
      </w:r>
    </w:p>
    <w:p w:rsidR="00182581" w:rsidRPr="00C3343E" w:rsidRDefault="00182581" w:rsidP="00182581">
      <w:pPr>
        <w:pStyle w:val="AHPRAbody"/>
        <w:rPr>
          <w:b/>
        </w:rPr>
      </w:pPr>
      <w:r>
        <w:t xml:space="preserve">You </w:t>
      </w:r>
      <w:r w:rsidRPr="00C3343E">
        <w:t xml:space="preserve">should </w:t>
      </w:r>
      <w:r>
        <w:t>retain</w:t>
      </w:r>
      <w:r w:rsidRPr="00C3343E">
        <w:t xml:space="preserve"> records </w:t>
      </w:r>
      <w:r>
        <w:t>as evidence that you meet the</w:t>
      </w:r>
      <w:r w:rsidRPr="00C3343E">
        <w:t xml:space="preserve"> </w:t>
      </w:r>
      <w:r>
        <w:t>requirements</w:t>
      </w:r>
      <w:r w:rsidRPr="00C3343E">
        <w:t xml:space="preserve"> </w:t>
      </w:r>
      <w:r>
        <w:t xml:space="preserve">of this registration standard </w:t>
      </w:r>
      <w:r w:rsidRPr="00C3343E">
        <w:t xml:space="preserve">in case </w:t>
      </w:r>
      <w:r>
        <w:t xml:space="preserve">you are </w:t>
      </w:r>
      <w:r w:rsidRPr="00C3343E">
        <w:t>audit</w:t>
      </w:r>
      <w:r>
        <w:t>ed</w:t>
      </w:r>
      <w:r w:rsidRPr="00C3343E">
        <w:t>.</w:t>
      </w:r>
    </w:p>
    <w:p w:rsidR="00182581" w:rsidRPr="001C67EC" w:rsidRDefault="00182581" w:rsidP="00182581">
      <w:pPr>
        <w:pStyle w:val="AHPRASubheading"/>
      </w:pPr>
      <w:r w:rsidRPr="001C67EC">
        <w:t>What happens if I don’t meet this standard?</w:t>
      </w:r>
    </w:p>
    <w:p w:rsidR="00C911C8" w:rsidRPr="00315E47" w:rsidRDefault="00DD1451" w:rsidP="00315E47">
      <w:pPr>
        <w:pStyle w:val="AHPRAbody"/>
        <w:rPr>
          <w:rFonts w:cs="Times New Roman"/>
          <w:sz w:val="24"/>
          <w:highlight w:val="yellow"/>
        </w:rPr>
      </w:pPr>
      <w:r w:rsidRPr="00DD1451">
        <w:t xml:space="preserve">If you don’t meet the criteria </w:t>
      </w:r>
      <w:r w:rsidR="001736DB">
        <w:t>of</w:t>
      </w:r>
      <w:r w:rsidR="001736DB" w:rsidRPr="00DD1451">
        <w:t xml:space="preserve"> </w:t>
      </w:r>
      <w:r w:rsidRPr="00DD1451">
        <w:t>this registration standard you will not be eligible for endorsement.</w:t>
      </w:r>
    </w:p>
    <w:p w:rsidR="00182581" w:rsidRPr="00B544AF" w:rsidRDefault="00182581" w:rsidP="00315E47">
      <w:pPr>
        <w:pStyle w:val="AHPRASubhead"/>
        <w:rPr>
          <w:b w:val="0"/>
          <w:color w:val="auto"/>
        </w:rPr>
      </w:pPr>
      <w:r w:rsidRPr="00B544AF">
        <w:rPr>
          <w:b w:val="0"/>
          <w:color w:val="auto"/>
        </w:rPr>
        <w:t>The National Law establishes possible consequences if you do</w:t>
      </w:r>
      <w:r>
        <w:rPr>
          <w:b w:val="0"/>
          <w:color w:val="auto"/>
        </w:rPr>
        <w:t xml:space="preserve"> </w:t>
      </w:r>
      <w:r w:rsidRPr="00B544AF">
        <w:rPr>
          <w:b w:val="0"/>
          <w:color w:val="auto"/>
        </w:rPr>
        <w:t>n</w:t>
      </w:r>
      <w:r>
        <w:rPr>
          <w:b w:val="0"/>
          <w:color w:val="auto"/>
        </w:rPr>
        <w:t>o</w:t>
      </w:r>
      <w:r w:rsidRPr="00B544AF">
        <w:rPr>
          <w:b w:val="0"/>
          <w:color w:val="auto"/>
        </w:rPr>
        <w:t xml:space="preserve">t meet the </w:t>
      </w:r>
      <w:r w:rsidR="003471D5" w:rsidRPr="00315E47">
        <w:rPr>
          <w:b w:val="0"/>
          <w:color w:val="auto"/>
        </w:rPr>
        <w:t>ongoing</w:t>
      </w:r>
      <w:r w:rsidR="003471D5" w:rsidRPr="00315E47">
        <w:rPr>
          <w:i/>
        </w:rPr>
        <w:t xml:space="preserve"> </w:t>
      </w:r>
      <w:r w:rsidRPr="00B544AF">
        <w:rPr>
          <w:b w:val="0"/>
          <w:color w:val="auto"/>
        </w:rPr>
        <w:t xml:space="preserve">requirements </w:t>
      </w:r>
      <w:r w:rsidR="001736DB">
        <w:rPr>
          <w:b w:val="0"/>
          <w:color w:val="auto"/>
        </w:rPr>
        <w:t>of</w:t>
      </w:r>
      <w:r w:rsidR="001736DB" w:rsidRPr="00B544AF">
        <w:rPr>
          <w:b w:val="0"/>
          <w:color w:val="auto"/>
        </w:rPr>
        <w:t xml:space="preserve"> </w:t>
      </w:r>
      <w:r w:rsidRPr="00B544AF">
        <w:rPr>
          <w:b w:val="0"/>
          <w:color w:val="auto"/>
        </w:rPr>
        <w:t>this standard, including that:</w:t>
      </w:r>
    </w:p>
    <w:p w:rsidR="00182581" w:rsidRPr="00E20808" w:rsidRDefault="00315E47" w:rsidP="00A56377">
      <w:pPr>
        <w:pStyle w:val="AHPRABulletlevel1"/>
        <w:spacing w:after="200"/>
      </w:pPr>
      <w:r>
        <w:t>t</w:t>
      </w:r>
      <w:r w:rsidR="00182581" w:rsidRPr="00A56377">
        <w:t xml:space="preserve">he NMBA can impose conditions on your registration or refuse renewal of registration </w:t>
      </w:r>
      <w:r w:rsidR="001736DB">
        <w:t xml:space="preserve">or endorsement </w:t>
      </w:r>
      <w:r w:rsidR="00182581" w:rsidRPr="00A56377">
        <w:t>(sections 82 and 112 of the National Law)</w:t>
      </w:r>
      <w:r>
        <w:t>, and</w:t>
      </w:r>
    </w:p>
    <w:p w:rsidR="00182581" w:rsidRPr="00A56377" w:rsidRDefault="00315E47" w:rsidP="00A56377">
      <w:pPr>
        <w:pStyle w:val="AHPRABulletlevel1"/>
        <w:spacing w:after="200"/>
      </w:pPr>
      <w:r>
        <w:t>r</w:t>
      </w:r>
      <w:r w:rsidRPr="00A56377">
        <w:t xml:space="preserve">egistration </w:t>
      </w:r>
      <w:r w:rsidR="00182581" w:rsidRPr="00A56377">
        <w:t>standards, codes or guidelines may be used in disciplinary proceedings against you as evidence of what constitutes appropriate practice or conduct for the nursing and midwifery professions (section 41 of the National Law).</w:t>
      </w:r>
    </w:p>
    <w:p w:rsidR="00182581" w:rsidRPr="001C67EC" w:rsidRDefault="00182581" w:rsidP="00182581">
      <w:pPr>
        <w:pStyle w:val="AHPRASubheading"/>
      </w:pPr>
      <w:r w:rsidRPr="001C67EC">
        <w:t>Authority</w:t>
      </w:r>
    </w:p>
    <w:p w:rsidR="00182581" w:rsidRDefault="00182581" w:rsidP="00182581">
      <w:pPr>
        <w:autoSpaceDE w:val="0"/>
        <w:autoSpaceDN w:val="0"/>
        <w:rPr>
          <w:rFonts w:cs="Arial"/>
          <w:sz w:val="20"/>
          <w:szCs w:val="20"/>
        </w:rPr>
      </w:pPr>
      <w:r>
        <w:rPr>
          <w:rFonts w:cs="Arial"/>
          <w:sz w:val="20"/>
          <w:szCs w:val="20"/>
        </w:rPr>
        <w:t xml:space="preserve">This registration standard was approved by the Australian Health Workforce Ministerial Council on </w:t>
      </w:r>
      <w:r w:rsidR="00A56377">
        <w:rPr>
          <w:rFonts w:cs="Arial"/>
          <w:sz w:val="20"/>
          <w:szCs w:val="20"/>
        </w:rPr>
        <w:t>30 October 2015.</w:t>
      </w:r>
      <w:r>
        <w:rPr>
          <w:rFonts w:cs="Arial"/>
          <w:sz w:val="20"/>
          <w:szCs w:val="20"/>
        </w:rPr>
        <w:t xml:space="preserve"> </w:t>
      </w:r>
    </w:p>
    <w:p w:rsidR="00C911C8" w:rsidRDefault="00182581">
      <w:pPr>
        <w:pStyle w:val="AHPRAbody"/>
      </w:pPr>
      <w:r w:rsidRPr="00101469">
        <w:t>Registration standards are developed under section 38 of the National Law and subject to wide</w:t>
      </w:r>
      <w:r w:rsidR="00DD53D1">
        <w:t>-</w:t>
      </w:r>
      <w:r w:rsidRPr="00101469">
        <w:t>ranging consultation.</w:t>
      </w:r>
    </w:p>
    <w:p w:rsidR="00C911C8" w:rsidRDefault="00182581">
      <w:pPr>
        <w:pStyle w:val="AHPRASubheading"/>
      </w:pPr>
      <w:r w:rsidRPr="00423F39">
        <w:t>Definitions</w:t>
      </w:r>
    </w:p>
    <w:p w:rsidR="00182581" w:rsidRDefault="00182581" w:rsidP="00182581">
      <w:pPr>
        <w:pStyle w:val="AHPRASubhead"/>
        <w:spacing w:after="0"/>
        <w:rPr>
          <w:b w:val="0"/>
          <w:color w:val="auto"/>
        </w:rPr>
      </w:pPr>
      <w:r w:rsidRPr="00BA6E09">
        <w:rPr>
          <w:color w:val="auto"/>
        </w:rPr>
        <w:t>Approved program of study</w:t>
      </w:r>
      <w:r>
        <w:rPr>
          <w:b w:val="0"/>
          <w:color w:val="auto"/>
        </w:rPr>
        <w:t xml:space="preserve"> means an educational program to develop a midwife’s knowledge and skills in prescribing medicines that has been accredited by the Australian Nursing and Midwifery Accreditation Council (ANMAC) and approved by the NMBA for the purpose of enabling the midwife to seek endorsement</w:t>
      </w:r>
      <w:r w:rsidR="003C15DD">
        <w:rPr>
          <w:b w:val="0"/>
          <w:color w:val="auto"/>
        </w:rPr>
        <w:t>,</w:t>
      </w:r>
      <w:r>
        <w:rPr>
          <w:b w:val="0"/>
          <w:color w:val="auto"/>
        </w:rPr>
        <w:t xml:space="preserve"> under section 94 of the National Law</w:t>
      </w:r>
      <w:r w:rsidR="003C15DD">
        <w:rPr>
          <w:b w:val="0"/>
          <w:color w:val="auto"/>
        </w:rPr>
        <w:t>,</w:t>
      </w:r>
      <w:r>
        <w:rPr>
          <w:b w:val="0"/>
          <w:color w:val="auto"/>
        </w:rPr>
        <w:t xml:space="preserve"> to prescribe schedule 2, 3, 4 and 8 medicines, in accordance with relevant state </w:t>
      </w:r>
      <w:r w:rsidR="0007776F">
        <w:rPr>
          <w:b w:val="0"/>
          <w:color w:val="auto"/>
        </w:rPr>
        <w:t xml:space="preserve">and </w:t>
      </w:r>
      <w:r>
        <w:rPr>
          <w:b w:val="0"/>
          <w:color w:val="auto"/>
        </w:rPr>
        <w:t>territory legislation.</w:t>
      </w:r>
    </w:p>
    <w:p w:rsidR="00182581" w:rsidRDefault="00182581" w:rsidP="00182581">
      <w:pPr>
        <w:pStyle w:val="AHPRASubhead"/>
        <w:spacing w:after="0"/>
        <w:rPr>
          <w:b w:val="0"/>
          <w:color w:val="auto"/>
        </w:rPr>
      </w:pPr>
    </w:p>
    <w:p w:rsidR="00756838" w:rsidRDefault="00182581" w:rsidP="00182581">
      <w:pPr>
        <w:pStyle w:val="AHPRASubhead"/>
        <w:spacing w:after="0"/>
        <w:rPr>
          <w:rFonts w:cs="Arial"/>
          <w:b w:val="0"/>
          <w:color w:val="auto"/>
          <w:szCs w:val="20"/>
        </w:rPr>
      </w:pPr>
      <w:r w:rsidRPr="00BA6E09">
        <w:rPr>
          <w:color w:val="auto"/>
        </w:rPr>
        <w:t>Clinical practice</w:t>
      </w:r>
      <w:r>
        <w:rPr>
          <w:color w:val="auto"/>
        </w:rPr>
        <w:t xml:space="preserve"> </w:t>
      </w:r>
      <w:r w:rsidRPr="00522634">
        <w:rPr>
          <w:b w:val="0"/>
          <w:color w:val="auto"/>
        </w:rPr>
        <w:t xml:space="preserve">means </w:t>
      </w:r>
      <w:r w:rsidR="00756838">
        <w:rPr>
          <w:b w:val="0"/>
          <w:color w:val="auto"/>
        </w:rPr>
        <w:t xml:space="preserve">either </w:t>
      </w:r>
      <w:r w:rsidRPr="00751BF8">
        <w:rPr>
          <w:rFonts w:cs="Arial"/>
          <w:b w:val="0"/>
          <w:color w:val="auto"/>
          <w:szCs w:val="20"/>
        </w:rPr>
        <w:t>the continuum of midwifery care</w:t>
      </w:r>
      <w:r w:rsidR="00756838">
        <w:rPr>
          <w:rFonts w:cs="Arial"/>
          <w:b w:val="0"/>
          <w:color w:val="auto"/>
          <w:szCs w:val="20"/>
        </w:rPr>
        <w:t xml:space="preserve"> or context of practice </w:t>
      </w:r>
      <w:r w:rsidRPr="00751BF8">
        <w:rPr>
          <w:rFonts w:cs="Arial"/>
          <w:b w:val="0"/>
          <w:color w:val="auto"/>
          <w:szCs w:val="20"/>
        </w:rPr>
        <w:t xml:space="preserve">as defined </w:t>
      </w:r>
      <w:r w:rsidR="006770E9">
        <w:rPr>
          <w:rFonts w:cs="Arial"/>
          <w:b w:val="0"/>
          <w:color w:val="auto"/>
          <w:szCs w:val="20"/>
        </w:rPr>
        <w:t>below</w:t>
      </w:r>
      <w:r w:rsidR="00756838">
        <w:rPr>
          <w:rFonts w:cs="Arial"/>
          <w:b w:val="0"/>
          <w:color w:val="auto"/>
          <w:szCs w:val="20"/>
        </w:rPr>
        <w:t>.</w:t>
      </w:r>
    </w:p>
    <w:p w:rsidR="00756838" w:rsidRDefault="00756838" w:rsidP="00182581">
      <w:pPr>
        <w:pStyle w:val="AHPRASubhead"/>
        <w:spacing w:after="0"/>
        <w:rPr>
          <w:rFonts w:cs="Arial"/>
          <w:b w:val="0"/>
          <w:color w:val="auto"/>
          <w:szCs w:val="20"/>
        </w:rPr>
      </w:pPr>
    </w:p>
    <w:p w:rsidR="00756838" w:rsidRDefault="00756838" w:rsidP="00756838">
      <w:pPr>
        <w:pStyle w:val="AHPRASubhead"/>
        <w:numPr>
          <w:ilvl w:val="0"/>
          <w:numId w:val="22"/>
        </w:numPr>
        <w:spacing w:after="0"/>
        <w:ind w:left="360"/>
        <w:rPr>
          <w:b w:val="0"/>
          <w:color w:val="auto"/>
        </w:rPr>
      </w:pPr>
      <w:r>
        <w:rPr>
          <w:color w:val="auto"/>
        </w:rPr>
        <w:t>C</w:t>
      </w:r>
      <w:r w:rsidRPr="00BA6E09">
        <w:rPr>
          <w:color w:val="auto"/>
        </w:rPr>
        <w:t>ontinuum of midwifery care</w:t>
      </w:r>
      <w:r>
        <w:rPr>
          <w:color w:val="auto"/>
        </w:rPr>
        <w:t xml:space="preserve"> (</w:t>
      </w:r>
      <w:r w:rsidR="00DD53D1">
        <w:rPr>
          <w:color w:val="auto"/>
        </w:rPr>
        <w:t>p</w:t>
      </w:r>
      <w:r w:rsidR="00DD53D1" w:rsidRPr="00BA6E09">
        <w:rPr>
          <w:color w:val="auto"/>
        </w:rPr>
        <w:t>regnancy</w:t>
      </w:r>
      <w:r w:rsidRPr="00BA6E09">
        <w:rPr>
          <w:color w:val="auto"/>
        </w:rPr>
        <w:t>, labour, birth and postnatal care</w:t>
      </w:r>
      <w:r>
        <w:rPr>
          <w:color w:val="auto"/>
        </w:rPr>
        <w:t>)</w:t>
      </w:r>
      <w:r w:rsidRPr="00B45698">
        <w:rPr>
          <w:color w:val="auto"/>
        </w:rPr>
        <w:t xml:space="preserve"> </w:t>
      </w:r>
      <w:r w:rsidRPr="00B45698">
        <w:rPr>
          <w:b w:val="0"/>
          <w:color w:val="auto"/>
        </w:rPr>
        <w:t>incorporates</w:t>
      </w:r>
      <w:r>
        <w:rPr>
          <w:b w:val="0"/>
          <w:color w:val="auto"/>
        </w:rPr>
        <w:t xml:space="preserve"> antenatal care, intrapartum care and postnatal care for women and their infants. It includes clinical assessment, exercise of clinical judgment, planning, implementation, monitoring and review, responding to maternity emergencies, assessment and care of the newborn infant, management and administrations of medicines and the judicious use of diagnostic investigations, consultation and referral.</w:t>
      </w:r>
    </w:p>
    <w:p w:rsidR="00756838" w:rsidRDefault="00756838" w:rsidP="00756838">
      <w:pPr>
        <w:pStyle w:val="AHPRASubhead"/>
        <w:spacing w:after="0"/>
        <w:rPr>
          <w:b w:val="0"/>
          <w:color w:val="auto"/>
          <w:highlight w:val="yellow"/>
        </w:rPr>
      </w:pPr>
    </w:p>
    <w:p w:rsidR="00756838" w:rsidRDefault="00756838" w:rsidP="00756838">
      <w:pPr>
        <w:pStyle w:val="AHPRASubhead"/>
        <w:numPr>
          <w:ilvl w:val="0"/>
          <w:numId w:val="22"/>
        </w:numPr>
        <w:spacing w:after="0"/>
        <w:ind w:left="360"/>
        <w:rPr>
          <w:b w:val="0"/>
          <w:color w:val="auto"/>
        </w:rPr>
      </w:pPr>
      <w:r w:rsidRPr="00BA6E09">
        <w:rPr>
          <w:color w:val="auto"/>
        </w:rPr>
        <w:t>Context of practice</w:t>
      </w:r>
      <w:r w:rsidRPr="0064712E">
        <w:rPr>
          <w:color w:val="auto"/>
        </w:rPr>
        <w:t xml:space="preserve"> </w:t>
      </w:r>
      <w:r w:rsidRPr="00BA6E09">
        <w:rPr>
          <w:b w:val="0"/>
          <w:color w:val="auto"/>
        </w:rPr>
        <w:t>means</w:t>
      </w:r>
      <w:r>
        <w:rPr>
          <w:color w:val="auto"/>
        </w:rPr>
        <w:t xml:space="preserve"> </w:t>
      </w:r>
      <w:r>
        <w:rPr>
          <w:b w:val="0"/>
          <w:color w:val="auto"/>
        </w:rPr>
        <w:t>t</w:t>
      </w:r>
      <w:r w:rsidRPr="0064712E">
        <w:rPr>
          <w:b w:val="0"/>
          <w:color w:val="auto"/>
        </w:rPr>
        <w:t xml:space="preserve">he </w:t>
      </w:r>
      <w:r>
        <w:rPr>
          <w:b w:val="0"/>
          <w:color w:val="auto"/>
        </w:rPr>
        <w:t>parameters</w:t>
      </w:r>
      <w:r w:rsidRPr="0064712E">
        <w:rPr>
          <w:b w:val="0"/>
          <w:color w:val="auto"/>
        </w:rPr>
        <w:t xml:space="preserve"> that define an individual</w:t>
      </w:r>
      <w:r>
        <w:rPr>
          <w:b w:val="0"/>
          <w:color w:val="auto"/>
        </w:rPr>
        <w:t>’s</w:t>
      </w:r>
      <w:r w:rsidRPr="0064712E">
        <w:rPr>
          <w:b w:val="0"/>
          <w:color w:val="auto"/>
        </w:rPr>
        <w:t xml:space="preserve"> midwife</w:t>
      </w:r>
      <w:r>
        <w:rPr>
          <w:b w:val="0"/>
          <w:color w:val="auto"/>
        </w:rPr>
        <w:t>ry</w:t>
      </w:r>
      <w:r w:rsidRPr="0064712E">
        <w:rPr>
          <w:b w:val="0"/>
          <w:color w:val="auto"/>
        </w:rPr>
        <w:t xml:space="preserve"> practice. These </w:t>
      </w:r>
      <w:r>
        <w:rPr>
          <w:b w:val="0"/>
          <w:color w:val="auto"/>
        </w:rPr>
        <w:t xml:space="preserve">include practice across the continuum of care, antenatal care, intrapartum care, postnatal care and lactation support. </w:t>
      </w:r>
    </w:p>
    <w:p w:rsidR="00C911C8" w:rsidRDefault="00182581">
      <w:pPr>
        <w:pStyle w:val="AHPRAbody"/>
        <w:spacing w:after="0"/>
        <w:rPr>
          <w:lang w:val="en-US"/>
        </w:rPr>
      </w:pPr>
      <w:r w:rsidRPr="00007F94">
        <w:rPr>
          <w:b/>
        </w:rPr>
        <w:lastRenderedPageBreak/>
        <w:t>Nursing and Midwifery Board of Australia (NMBA)</w:t>
      </w:r>
      <w:r>
        <w:t xml:space="preserve"> means </w:t>
      </w:r>
      <w:r>
        <w:rPr>
          <w:lang w:val="en-US"/>
        </w:rPr>
        <w:t>t</w:t>
      </w:r>
      <w:r w:rsidRPr="00007F94">
        <w:rPr>
          <w:lang w:val="en-US"/>
        </w:rPr>
        <w:t>he</w:t>
      </w:r>
      <w:r>
        <w:rPr>
          <w:lang w:val="en-US"/>
        </w:rPr>
        <w:t xml:space="preserve"> </w:t>
      </w:r>
      <w:r w:rsidRPr="00007F94">
        <w:rPr>
          <w:lang w:val="en-US"/>
        </w:rPr>
        <w:t>national body responsible for the regulation of nurses and</w:t>
      </w:r>
      <w:r>
        <w:rPr>
          <w:lang w:val="en-US"/>
        </w:rPr>
        <w:t xml:space="preserve"> </w:t>
      </w:r>
      <w:r w:rsidRPr="00007F94">
        <w:rPr>
          <w:lang w:val="en-US"/>
        </w:rPr>
        <w:t>midwives in Australia.</w:t>
      </w:r>
    </w:p>
    <w:p w:rsidR="00182581" w:rsidRDefault="00182581" w:rsidP="00182581">
      <w:pPr>
        <w:pStyle w:val="AHPRASubhead"/>
        <w:spacing w:after="0"/>
        <w:rPr>
          <w:color w:val="auto"/>
        </w:rPr>
      </w:pPr>
    </w:p>
    <w:p w:rsidR="00182581" w:rsidRPr="00751BF8" w:rsidRDefault="00182581" w:rsidP="00182581">
      <w:pPr>
        <w:pStyle w:val="Heading1"/>
        <w:spacing w:before="0" w:after="200"/>
        <w:rPr>
          <w:rFonts w:ascii="Arial" w:eastAsiaTheme="minorHAnsi" w:hAnsi="Arial" w:cs="Arial"/>
          <w:b w:val="0"/>
          <w:sz w:val="20"/>
          <w:szCs w:val="20"/>
          <w:lang w:val="en-US"/>
        </w:rPr>
      </w:pPr>
      <w:r w:rsidRPr="00BA6E09">
        <w:rPr>
          <w:rFonts w:ascii="Arial" w:eastAsia="Cambria" w:hAnsi="Arial" w:cs="Arial"/>
          <w:bCs w:val="0"/>
          <w:sz w:val="20"/>
          <w:szCs w:val="20"/>
        </w:rPr>
        <w:t>Unprofessional conduct</w:t>
      </w:r>
      <w:r w:rsidRPr="00866F7E">
        <w:rPr>
          <w:rFonts w:ascii="Arial" w:hAnsi="Arial" w:cs="Arial"/>
          <w:color w:val="00BCE4"/>
          <w:sz w:val="20"/>
          <w:szCs w:val="20"/>
        </w:rPr>
        <w:t xml:space="preserve"> </w:t>
      </w:r>
      <w:r w:rsidRPr="00751BF8">
        <w:rPr>
          <w:rFonts w:ascii="Arial" w:hAnsi="Arial" w:cs="Arial"/>
          <w:b w:val="0"/>
          <w:sz w:val="20"/>
          <w:szCs w:val="20"/>
          <w:lang w:val="en-US"/>
        </w:rPr>
        <w:t xml:space="preserve">of a registered health </w:t>
      </w:r>
      <w:r w:rsidR="00756838" w:rsidRPr="00751BF8">
        <w:rPr>
          <w:rFonts w:ascii="Arial" w:hAnsi="Arial" w:cs="Arial"/>
          <w:b w:val="0"/>
          <w:sz w:val="20"/>
          <w:szCs w:val="20"/>
          <w:lang w:val="en-US"/>
        </w:rPr>
        <w:t>practitioner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means professional conduct that is of a lesser standard than</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that which might reasonably be expected of the health</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practitioner by the public or the practitioner’s professional</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peers, and includes</w:t>
      </w:r>
      <w:r w:rsidR="003C15DD">
        <w:rPr>
          <w:rFonts w:ascii="Arial" w:hAnsi="Arial" w:cs="Arial"/>
          <w:b w:val="0"/>
          <w:sz w:val="20"/>
          <w:szCs w:val="20"/>
          <w:lang w:val="en-US"/>
        </w:rPr>
        <w:t>:</w:t>
      </w:r>
      <w:r w:rsidRPr="00751BF8">
        <w:rPr>
          <w:rFonts w:ascii="Arial" w:eastAsiaTheme="minorHAnsi" w:hAnsi="Arial" w:cs="Arial"/>
          <w:b w:val="0"/>
          <w:sz w:val="20"/>
          <w:szCs w:val="20"/>
          <w:lang w:val="en-US"/>
        </w:rPr>
        <w:t xml:space="preserve"> </w:t>
      </w:r>
    </w:p>
    <w:p w:rsidR="00182581" w:rsidRPr="00751BF8" w:rsidRDefault="00182581" w:rsidP="00A56377">
      <w:pPr>
        <w:pStyle w:val="Heading1"/>
        <w:numPr>
          <w:ilvl w:val="0"/>
          <w:numId w:val="17"/>
        </w:numPr>
        <w:spacing w:before="0" w:after="200"/>
        <w:rPr>
          <w:rFonts w:ascii="Arial" w:eastAsiaTheme="minorHAnsi" w:hAnsi="Arial" w:cs="Arial"/>
          <w:b w:val="0"/>
          <w:sz w:val="20"/>
          <w:szCs w:val="20"/>
          <w:lang w:val="en-US"/>
        </w:rPr>
      </w:pPr>
      <w:r w:rsidRPr="00751BF8">
        <w:rPr>
          <w:rFonts w:ascii="Arial" w:hAnsi="Arial" w:cs="Arial"/>
          <w:b w:val="0"/>
          <w:sz w:val="20"/>
          <w:szCs w:val="20"/>
          <w:lang w:val="en-US"/>
        </w:rPr>
        <w:t xml:space="preserve">a contravention by the practitioner of </w:t>
      </w:r>
      <w:r w:rsidR="0007776F" w:rsidRPr="00751BF8">
        <w:rPr>
          <w:rFonts w:ascii="Arial" w:hAnsi="Arial" w:cs="Arial"/>
          <w:b w:val="0"/>
          <w:sz w:val="20"/>
          <w:szCs w:val="20"/>
          <w:lang w:val="en-US"/>
        </w:rPr>
        <w:t>th</w:t>
      </w:r>
      <w:r w:rsidR="0007776F">
        <w:rPr>
          <w:rFonts w:ascii="Arial" w:hAnsi="Arial" w:cs="Arial"/>
          <w:b w:val="0"/>
          <w:sz w:val="20"/>
          <w:szCs w:val="20"/>
          <w:lang w:val="en-US"/>
        </w:rPr>
        <w:t>e National</w:t>
      </w:r>
      <w:r w:rsidR="0007776F" w:rsidRPr="00751BF8">
        <w:rPr>
          <w:rFonts w:ascii="Arial" w:hAnsi="Arial" w:cs="Arial"/>
          <w:b w:val="0"/>
          <w:sz w:val="20"/>
          <w:szCs w:val="20"/>
          <w:lang w:val="en-US"/>
        </w:rPr>
        <w:t xml:space="preserve"> </w:t>
      </w:r>
      <w:r w:rsidRPr="00751BF8">
        <w:rPr>
          <w:rFonts w:ascii="Arial" w:hAnsi="Arial" w:cs="Arial"/>
          <w:b w:val="0"/>
          <w:sz w:val="20"/>
          <w:szCs w:val="20"/>
          <w:lang w:val="en-US"/>
        </w:rPr>
        <w:t>Law, whether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or not the practitioner has been prosecuted for, or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convicted of, an offence i</w:t>
      </w:r>
      <w:r w:rsidR="00A56377">
        <w:rPr>
          <w:rFonts w:ascii="Arial" w:hAnsi="Arial" w:cs="Arial"/>
          <w:b w:val="0"/>
          <w:sz w:val="20"/>
          <w:szCs w:val="20"/>
          <w:lang w:val="en-US"/>
        </w:rPr>
        <w:t>n relation to the contravention</w:t>
      </w:r>
      <w:r w:rsidRPr="00751BF8">
        <w:rPr>
          <w:rFonts w:ascii="Arial" w:eastAsiaTheme="minorHAnsi" w:hAnsi="Arial" w:cs="Arial"/>
          <w:b w:val="0"/>
          <w:sz w:val="20"/>
          <w:szCs w:val="20"/>
          <w:lang w:val="en-US"/>
        </w:rPr>
        <w:t xml:space="preserve"> </w:t>
      </w:r>
    </w:p>
    <w:p w:rsidR="00182581" w:rsidRPr="00751BF8" w:rsidRDefault="00182581" w:rsidP="00A56377">
      <w:pPr>
        <w:pStyle w:val="Heading1"/>
        <w:numPr>
          <w:ilvl w:val="0"/>
          <w:numId w:val="17"/>
        </w:numPr>
        <w:spacing w:before="0" w:after="200"/>
        <w:rPr>
          <w:rFonts w:ascii="Arial" w:eastAsia="Cambria" w:hAnsi="Arial" w:cs="Arial"/>
          <w:b w:val="0"/>
          <w:sz w:val="20"/>
          <w:szCs w:val="20"/>
          <w:lang w:val="en-US"/>
        </w:rPr>
      </w:pPr>
      <w:r w:rsidRPr="00751BF8">
        <w:rPr>
          <w:rFonts w:ascii="Arial" w:hAnsi="Arial" w:cs="Arial"/>
          <w:b w:val="0"/>
          <w:sz w:val="20"/>
          <w:szCs w:val="20"/>
          <w:lang w:val="en-US"/>
        </w:rPr>
        <w:t>a contravention by the practitioner of</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(i) a condition to which the practitioner’s registration</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was subject; or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(ii) an undertaking given by the practitioner to the</w:t>
      </w:r>
      <w:r w:rsidRPr="00751BF8">
        <w:rPr>
          <w:rFonts w:ascii="Arial" w:eastAsiaTheme="minorHAnsi" w:hAnsi="Arial" w:cs="Arial"/>
          <w:b w:val="0"/>
          <w:sz w:val="20"/>
          <w:szCs w:val="20"/>
          <w:lang w:val="en-US"/>
        </w:rPr>
        <w:t xml:space="preserve"> </w:t>
      </w:r>
      <w:r w:rsidRPr="00751BF8">
        <w:rPr>
          <w:rFonts w:ascii="Arial" w:eastAsia="Cambria" w:hAnsi="Arial" w:cs="Arial"/>
          <w:b w:val="0"/>
          <w:sz w:val="20"/>
          <w:szCs w:val="20"/>
          <w:lang w:val="en-US"/>
        </w:rPr>
        <w:t xml:space="preserve">National Board that registers the practitioner </w:t>
      </w:r>
    </w:p>
    <w:p w:rsidR="00182581" w:rsidRPr="00751BF8" w:rsidRDefault="00182581" w:rsidP="00A56377">
      <w:pPr>
        <w:pStyle w:val="Heading1"/>
        <w:numPr>
          <w:ilvl w:val="0"/>
          <w:numId w:val="17"/>
        </w:numPr>
        <w:spacing w:before="0" w:after="200"/>
        <w:rPr>
          <w:rFonts w:ascii="Arial" w:eastAsiaTheme="minorHAnsi" w:hAnsi="Arial" w:cs="Arial"/>
          <w:b w:val="0"/>
          <w:sz w:val="20"/>
          <w:szCs w:val="20"/>
          <w:lang w:val="en-US"/>
        </w:rPr>
      </w:pPr>
      <w:r w:rsidRPr="00751BF8">
        <w:rPr>
          <w:rFonts w:ascii="Arial" w:hAnsi="Arial" w:cs="Arial"/>
          <w:b w:val="0"/>
          <w:sz w:val="20"/>
          <w:szCs w:val="20"/>
          <w:lang w:val="en-US"/>
        </w:rPr>
        <w:t>the conviction of the practitioner for an offence under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another Act, the nature of which may affect the</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practitioner’s suitability to continue to practise the</w:t>
      </w:r>
      <w:r w:rsidRPr="00751BF8">
        <w:rPr>
          <w:rFonts w:ascii="Arial" w:eastAsiaTheme="minorHAnsi" w:hAnsi="Arial" w:cs="Arial"/>
          <w:b w:val="0"/>
          <w:sz w:val="20"/>
          <w:szCs w:val="20"/>
          <w:lang w:val="en-US"/>
        </w:rPr>
        <w:t xml:space="preserve"> </w:t>
      </w:r>
      <w:r w:rsidR="00A56377">
        <w:rPr>
          <w:rFonts w:ascii="Arial" w:hAnsi="Arial" w:cs="Arial"/>
          <w:b w:val="0"/>
          <w:sz w:val="20"/>
          <w:szCs w:val="20"/>
          <w:lang w:val="en-US"/>
        </w:rPr>
        <w:t>profession</w:t>
      </w:r>
      <w:r w:rsidRPr="00751BF8">
        <w:rPr>
          <w:rFonts w:ascii="Arial" w:eastAsiaTheme="minorHAnsi" w:hAnsi="Arial" w:cs="Arial"/>
          <w:b w:val="0"/>
          <w:sz w:val="20"/>
          <w:szCs w:val="20"/>
          <w:lang w:val="en-US"/>
        </w:rPr>
        <w:t xml:space="preserve"> </w:t>
      </w:r>
    </w:p>
    <w:p w:rsidR="00182581" w:rsidRPr="00751BF8" w:rsidRDefault="00182581" w:rsidP="00A56377">
      <w:pPr>
        <w:pStyle w:val="Heading1"/>
        <w:numPr>
          <w:ilvl w:val="0"/>
          <w:numId w:val="17"/>
        </w:numPr>
        <w:spacing w:before="0" w:after="200"/>
        <w:rPr>
          <w:rFonts w:ascii="Arial" w:eastAsiaTheme="minorHAnsi" w:hAnsi="Arial" w:cs="Arial"/>
          <w:b w:val="0"/>
          <w:sz w:val="20"/>
          <w:szCs w:val="20"/>
          <w:lang w:val="en-US"/>
        </w:rPr>
      </w:pPr>
      <w:r w:rsidRPr="00751BF8">
        <w:rPr>
          <w:rFonts w:ascii="Arial" w:hAnsi="Arial" w:cs="Arial"/>
          <w:b w:val="0"/>
          <w:sz w:val="20"/>
          <w:szCs w:val="20"/>
          <w:lang w:val="en-US"/>
        </w:rPr>
        <w:t>providing a person with health services of a kind that are</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excessive, unnecessary or otherwise not reasonably</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required for the person’s wellbeing</w:t>
      </w:r>
      <w:r w:rsidRPr="00751BF8">
        <w:rPr>
          <w:rFonts w:ascii="Arial" w:eastAsiaTheme="minorHAnsi" w:hAnsi="Arial" w:cs="Arial"/>
          <w:b w:val="0"/>
          <w:sz w:val="20"/>
          <w:szCs w:val="20"/>
          <w:lang w:val="en-US"/>
        </w:rPr>
        <w:t xml:space="preserve"> </w:t>
      </w:r>
    </w:p>
    <w:p w:rsidR="00182581" w:rsidRPr="00751BF8" w:rsidRDefault="00182581" w:rsidP="00A56377">
      <w:pPr>
        <w:pStyle w:val="Heading1"/>
        <w:numPr>
          <w:ilvl w:val="0"/>
          <w:numId w:val="17"/>
        </w:numPr>
        <w:spacing w:before="0" w:after="200"/>
        <w:rPr>
          <w:rFonts w:ascii="Arial" w:eastAsiaTheme="minorHAnsi" w:hAnsi="Arial" w:cs="Arial"/>
          <w:b w:val="0"/>
          <w:sz w:val="20"/>
          <w:szCs w:val="20"/>
          <w:lang w:val="en-US"/>
        </w:rPr>
      </w:pPr>
      <w:r w:rsidRPr="00751BF8">
        <w:rPr>
          <w:rFonts w:ascii="Arial" w:hAnsi="Arial" w:cs="Arial"/>
          <w:b w:val="0"/>
          <w:sz w:val="20"/>
          <w:szCs w:val="20"/>
          <w:lang w:val="en-US"/>
        </w:rPr>
        <w:t>influencing or attempting to influence, the conduct of</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another registered health practitioner in a way that may</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compro</w:t>
      </w:r>
      <w:r w:rsidR="00A56377">
        <w:rPr>
          <w:rFonts w:ascii="Arial" w:hAnsi="Arial" w:cs="Arial"/>
          <w:b w:val="0"/>
          <w:sz w:val="20"/>
          <w:szCs w:val="20"/>
          <w:lang w:val="en-US"/>
        </w:rPr>
        <w:t>mise patient care</w:t>
      </w:r>
      <w:r w:rsidRPr="00751BF8">
        <w:rPr>
          <w:rFonts w:ascii="Arial" w:eastAsiaTheme="minorHAnsi" w:hAnsi="Arial" w:cs="Arial"/>
          <w:b w:val="0"/>
          <w:sz w:val="20"/>
          <w:szCs w:val="20"/>
          <w:lang w:val="en-US"/>
        </w:rPr>
        <w:t xml:space="preserve"> </w:t>
      </w:r>
    </w:p>
    <w:p w:rsidR="00A56377" w:rsidRDefault="00182581" w:rsidP="00A56377">
      <w:pPr>
        <w:pStyle w:val="Heading1"/>
        <w:numPr>
          <w:ilvl w:val="0"/>
          <w:numId w:val="17"/>
        </w:numPr>
        <w:spacing w:before="0" w:after="200"/>
        <w:rPr>
          <w:rFonts w:ascii="Arial" w:eastAsiaTheme="minorHAnsi" w:hAnsi="Arial" w:cs="Arial"/>
          <w:b w:val="0"/>
          <w:sz w:val="20"/>
          <w:szCs w:val="20"/>
          <w:lang w:val="en-US"/>
        </w:rPr>
      </w:pPr>
      <w:r w:rsidRPr="00751BF8">
        <w:rPr>
          <w:rFonts w:ascii="Arial" w:hAnsi="Arial" w:cs="Arial"/>
          <w:b w:val="0"/>
          <w:sz w:val="20"/>
          <w:szCs w:val="20"/>
          <w:lang w:val="en-US"/>
        </w:rPr>
        <w:t>accepting a benefit as inducement, consideration</w:t>
      </w:r>
      <w:r w:rsidR="00D94CC1">
        <w:rPr>
          <w:rFonts w:ascii="Arial" w:hAnsi="Arial" w:cs="Arial"/>
          <w:b w:val="0"/>
          <w:sz w:val="20"/>
          <w:szCs w:val="20"/>
          <w:lang w:val="en-US"/>
        </w:rPr>
        <w:t>,</w:t>
      </w:r>
      <w:r w:rsidRPr="00751BF8">
        <w:rPr>
          <w:rFonts w:ascii="Arial" w:hAnsi="Arial" w:cs="Arial"/>
          <w:b w:val="0"/>
          <w:sz w:val="20"/>
          <w:szCs w:val="20"/>
          <w:lang w:val="en-US"/>
        </w:rPr>
        <w:t xml:space="preserve"> or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reward</w:t>
      </w:r>
      <w:r w:rsidR="00D94CC1">
        <w:rPr>
          <w:rFonts w:ascii="Arial" w:hAnsi="Arial" w:cs="Arial"/>
          <w:b w:val="0"/>
          <w:sz w:val="20"/>
          <w:szCs w:val="20"/>
          <w:lang w:val="en-US"/>
        </w:rPr>
        <w:t>,</w:t>
      </w:r>
      <w:r w:rsidRPr="00751BF8">
        <w:rPr>
          <w:rFonts w:ascii="Arial" w:hAnsi="Arial" w:cs="Arial"/>
          <w:b w:val="0"/>
          <w:sz w:val="20"/>
          <w:szCs w:val="20"/>
          <w:lang w:val="en-US"/>
        </w:rPr>
        <w:t xml:space="preserve"> for referring another person to a health service</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provider or recommending another person use or consult</w:t>
      </w:r>
      <w:r w:rsidRPr="00751BF8">
        <w:rPr>
          <w:rFonts w:ascii="Arial" w:eastAsiaTheme="minorHAnsi" w:hAnsi="Arial" w:cs="Arial"/>
          <w:b w:val="0"/>
          <w:sz w:val="20"/>
          <w:szCs w:val="20"/>
          <w:lang w:val="en-US"/>
        </w:rPr>
        <w:t xml:space="preserve"> </w:t>
      </w:r>
      <w:r w:rsidR="00A56377">
        <w:rPr>
          <w:rFonts w:ascii="Arial" w:hAnsi="Arial" w:cs="Arial"/>
          <w:b w:val="0"/>
          <w:sz w:val="20"/>
          <w:szCs w:val="20"/>
          <w:lang w:val="en-US"/>
        </w:rPr>
        <w:t>with a health service provider</w:t>
      </w:r>
    </w:p>
    <w:p w:rsidR="00182581" w:rsidRPr="00751BF8" w:rsidRDefault="00182581" w:rsidP="00A56377">
      <w:pPr>
        <w:pStyle w:val="Heading1"/>
        <w:numPr>
          <w:ilvl w:val="0"/>
          <w:numId w:val="17"/>
        </w:numPr>
        <w:spacing w:before="0" w:after="200"/>
        <w:rPr>
          <w:rFonts w:ascii="Arial" w:eastAsiaTheme="minorHAnsi" w:hAnsi="Arial" w:cs="Arial"/>
          <w:b w:val="0"/>
          <w:sz w:val="20"/>
          <w:szCs w:val="20"/>
          <w:lang w:val="en-US"/>
        </w:rPr>
      </w:pPr>
      <w:r w:rsidRPr="00751BF8">
        <w:rPr>
          <w:rFonts w:ascii="Arial" w:hAnsi="Arial" w:cs="Arial"/>
          <w:b w:val="0"/>
          <w:sz w:val="20"/>
          <w:szCs w:val="20"/>
          <w:lang w:val="en-US"/>
        </w:rPr>
        <w:t>offering or giving a person a benefit, consideration or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reward in return for the person referring another person</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to the practitioner or recommending to another person</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that the person use a health service provided by the</w:t>
      </w:r>
      <w:r w:rsidRPr="00751BF8">
        <w:rPr>
          <w:rFonts w:ascii="Arial" w:eastAsiaTheme="minorHAnsi" w:hAnsi="Arial" w:cs="Arial"/>
          <w:b w:val="0"/>
          <w:sz w:val="20"/>
          <w:szCs w:val="20"/>
          <w:lang w:val="en-US"/>
        </w:rPr>
        <w:t xml:space="preserve"> </w:t>
      </w:r>
      <w:r w:rsidR="00A56377">
        <w:rPr>
          <w:rFonts w:ascii="Arial" w:hAnsi="Arial" w:cs="Arial"/>
          <w:b w:val="0"/>
          <w:sz w:val="20"/>
          <w:szCs w:val="20"/>
          <w:lang w:val="en-US"/>
        </w:rPr>
        <w:t>practitioner, and</w:t>
      </w:r>
      <w:r w:rsidRPr="00751BF8">
        <w:rPr>
          <w:rFonts w:ascii="Arial" w:eastAsiaTheme="minorHAnsi" w:hAnsi="Arial" w:cs="Arial"/>
          <w:b w:val="0"/>
          <w:sz w:val="20"/>
          <w:szCs w:val="20"/>
          <w:lang w:val="en-US"/>
        </w:rPr>
        <w:t xml:space="preserve"> </w:t>
      </w:r>
    </w:p>
    <w:p w:rsidR="00C911C8" w:rsidRDefault="00182581">
      <w:pPr>
        <w:pStyle w:val="Heading1"/>
        <w:numPr>
          <w:ilvl w:val="0"/>
          <w:numId w:val="17"/>
        </w:numPr>
        <w:spacing w:before="0" w:after="0"/>
        <w:rPr>
          <w:rFonts w:ascii="Arial" w:eastAsia="Cambria" w:hAnsi="Arial" w:cs="Arial"/>
          <w:b w:val="0"/>
          <w:sz w:val="20"/>
          <w:szCs w:val="20"/>
        </w:rPr>
      </w:pPr>
      <w:r w:rsidRPr="00751BF8">
        <w:rPr>
          <w:rFonts w:ascii="Arial" w:hAnsi="Arial" w:cs="Arial"/>
          <w:b w:val="0"/>
          <w:sz w:val="20"/>
          <w:szCs w:val="20"/>
          <w:lang w:val="en-US"/>
        </w:rPr>
        <w:t>referring a person to, or recommending that a person use</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or consult another health service provider, health</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service</w:t>
      </w:r>
      <w:r w:rsidR="00D94CC1">
        <w:rPr>
          <w:rFonts w:ascii="Arial" w:hAnsi="Arial" w:cs="Arial"/>
          <w:b w:val="0"/>
          <w:sz w:val="20"/>
          <w:szCs w:val="20"/>
          <w:lang w:val="en-US"/>
        </w:rPr>
        <w:t>,</w:t>
      </w:r>
      <w:r w:rsidRPr="00751BF8">
        <w:rPr>
          <w:rFonts w:ascii="Arial" w:hAnsi="Arial" w:cs="Arial"/>
          <w:b w:val="0"/>
          <w:sz w:val="20"/>
          <w:szCs w:val="20"/>
          <w:lang w:val="en-US"/>
        </w:rPr>
        <w:t xml:space="preserve"> or health product</w:t>
      </w:r>
      <w:r w:rsidR="00D94CC1">
        <w:rPr>
          <w:rFonts w:ascii="Arial" w:hAnsi="Arial" w:cs="Arial"/>
          <w:b w:val="0"/>
          <w:sz w:val="20"/>
          <w:szCs w:val="20"/>
          <w:lang w:val="en-US"/>
        </w:rPr>
        <w:t>,</w:t>
      </w:r>
      <w:r w:rsidRPr="00751BF8">
        <w:rPr>
          <w:rFonts w:ascii="Arial" w:hAnsi="Arial" w:cs="Arial"/>
          <w:b w:val="0"/>
          <w:sz w:val="20"/>
          <w:szCs w:val="20"/>
          <w:lang w:val="en-US"/>
        </w:rPr>
        <w:t xml:space="preserve"> if the practitioner has a</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pecuniary interest in giving that referral or</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recommendation, unless the practitioner discloses the</w:t>
      </w:r>
      <w:r w:rsidRPr="00751BF8">
        <w:rPr>
          <w:rFonts w:ascii="Arial" w:eastAsiaTheme="minorHAnsi" w:hAnsi="Arial" w:cs="Arial"/>
          <w:b w:val="0"/>
          <w:sz w:val="20"/>
          <w:szCs w:val="20"/>
          <w:lang w:val="en-US"/>
        </w:rPr>
        <w:t xml:space="preserve"> </w:t>
      </w:r>
      <w:r w:rsidRPr="00751BF8">
        <w:rPr>
          <w:rFonts w:ascii="Arial" w:hAnsi="Arial" w:cs="Arial"/>
          <w:b w:val="0"/>
          <w:sz w:val="20"/>
          <w:szCs w:val="20"/>
          <w:lang w:val="en-US"/>
        </w:rPr>
        <w:t>nature of that interest to the person before or at the time</w:t>
      </w:r>
      <w:r w:rsidRPr="00751BF8">
        <w:rPr>
          <w:rFonts w:ascii="Arial" w:eastAsiaTheme="minorHAnsi" w:hAnsi="Arial" w:cs="Arial"/>
          <w:b w:val="0"/>
          <w:sz w:val="20"/>
          <w:szCs w:val="20"/>
          <w:lang w:val="en-US"/>
        </w:rPr>
        <w:t xml:space="preserve"> </w:t>
      </w:r>
      <w:r w:rsidRPr="00751BF8">
        <w:rPr>
          <w:rFonts w:ascii="Arial" w:eastAsia="Cambria" w:hAnsi="Arial" w:cs="Arial"/>
          <w:b w:val="0"/>
          <w:sz w:val="20"/>
          <w:szCs w:val="20"/>
          <w:lang w:val="en-US"/>
        </w:rPr>
        <w:t>of giving the referral or recommendation.</w:t>
      </w:r>
      <w:r w:rsidRPr="00751BF8">
        <w:rPr>
          <w:rFonts w:ascii="Arial" w:eastAsia="Cambria" w:hAnsi="Arial" w:cs="Arial"/>
          <w:b w:val="0"/>
          <w:sz w:val="20"/>
          <w:szCs w:val="20"/>
        </w:rPr>
        <w:t xml:space="preserve"> </w:t>
      </w:r>
    </w:p>
    <w:p w:rsidR="00C911C8" w:rsidRDefault="00C911C8">
      <w:pPr>
        <w:spacing w:after="0"/>
        <w:rPr>
          <w:rFonts w:cs="Arial"/>
          <w:b/>
          <w:sz w:val="20"/>
        </w:rPr>
      </w:pPr>
    </w:p>
    <w:p w:rsidR="00C911C8" w:rsidRDefault="00182581">
      <w:pPr>
        <w:spacing w:after="0"/>
        <w:rPr>
          <w:rFonts w:cs="Arial"/>
          <w:sz w:val="20"/>
        </w:rPr>
      </w:pPr>
      <w:r w:rsidRPr="00BA6E09">
        <w:rPr>
          <w:rFonts w:cs="Arial"/>
          <w:b/>
          <w:sz w:val="20"/>
        </w:rPr>
        <w:t>Unsatisfactory professional performance</w:t>
      </w:r>
      <w:r w:rsidRPr="003B77D5">
        <w:rPr>
          <w:rFonts w:cs="Arial"/>
          <w:b/>
          <w:sz w:val="20"/>
        </w:rPr>
        <w:t xml:space="preserve"> </w:t>
      </w:r>
      <w:r w:rsidRPr="003B77D5">
        <w:rPr>
          <w:rFonts w:eastAsiaTheme="minorHAnsi" w:cs="Arial"/>
          <w:sz w:val="20"/>
          <w:lang w:val="en-US"/>
        </w:rPr>
        <w:t>of a registered</w:t>
      </w:r>
      <w:r w:rsidRPr="003B77D5">
        <w:rPr>
          <w:rFonts w:cs="Arial"/>
          <w:sz w:val="20"/>
          <w:lang w:val="en-US"/>
        </w:rPr>
        <w:t xml:space="preserve"> </w:t>
      </w:r>
      <w:r w:rsidRPr="003B77D5">
        <w:rPr>
          <w:rFonts w:eastAsiaTheme="minorHAnsi" w:cs="Arial"/>
          <w:sz w:val="20"/>
          <w:lang w:val="en-US"/>
        </w:rPr>
        <w:t>health practitioner, means the knowledge, skill or judgment</w:t>
      </w:r>
      <w:r w:rsidRPr="003B77D5">
        <w:rPr>
          <w:rFonts w:cs="Arial"/>
          <w:sz w:val="20"/>
          <w:lang w:val="en-US"/>
        </w:rPr>
        <w:t xml:space="preserve"> </w:t>
      </w:r>
      <w:r w:rsidRPr="003B77D5">
        <w:rPr>
          <w:rFonts w:eastAsiaTheme="minorHAnsi" w:cs="Arial"/>
          <w:sz w:val="20"/>
          <w:lang w:val="en-US"/>
        </w:rPr>
        <w:t>possessed, or care exercised by, the practitioner in the practice</w:t>
      </w:r>
      <w:r w:rsidRPr="003B77D5">
        <w:rPr>
          <w:rFonts w:cs="Arial"/>
          <w:sz w:val="20"/>
          <w:lang w:val="en-US"/>
        </w:rPr>
        <w:t xml:space="preserve"> </w:t>
      </w:r>
      <w:r w:rsidRPr="003B77D5">
        <w:rPr>
          <w:rFonts w:eastAsiaTheme="minorHAnsi" w:cs="Arial"/>
          <w:sz w:val="20"/>
          <w:lang w:val="en-US"/>
        </w:rPr>
        <w:t>of the health profession in which the practitioner is registered</w:t>
      </w:r>
      <w:r w:rsidRPr="003B77D5">
        <w:rPr>
          <w:rFonts w:cs="Arial"/>
          <w:sz w:val="20"/>
          <w:lang w:val="en-US"/>
        </w:rPr>
        <w:t xml:space="preserve"> </w:t>
      </w:r>
      <w:r w:rsidRPr="003B77D5">
        <w:rPr>
          <w:rFonts w:eastAsiaTheme="minorHAnsi" w:cs="Arial"/>
          <w:sz w:val="20"/>
          <w:lang w:val="en-US"/>
        </w:rPr>
        <w:t>is below the standard reasonably expected of a health</w:t>
      </w:r>
      <w:r w:rsidRPr="003B77D5">
        <w:rPr>
          <w:rFonts w:cs="Arial"/>
          <w:sz w:val="20"/>
          <w:lang w:val="en-US"/>
        </w:rPr>
        <w:t xml:space="preserve"> </w:t>
      </w:r>
      <w:r w:rsidRPr="003B77D5">
        <w:rPr>
          <w:rFonts w:eastAsiaTheme="minorHAnsi" w:cs="Arial"/>
          <w:sz w:val="20"/>
          <w:lang w:val="en-US"/>
        </w:rPr>
        <w:t>practitioner of an equivalent level of training or experience.</w:t>
      </w:r>
      <w:r w:rsidRPr="003B77D5">
        <w:rPr>
          <w:rFonts w:cs="Arial"/>
          <w:sz w:val="20"/>
        </w:rPr>
        <w:t xml:space="preserve"> </w:t>
      </w:r>
    </w:p>
    <w:p w:rsidR="00C911C8" w:rsidRDefault="00C911C8">
      <w:pPr>
        <w:spacing w:after="0"/>
        <w:rPr>
          <w:rFonts w:cs="Arial"/>
          <w:sz w:val="20"/>
        </w:rPr>
      </w:pPr>
    </w:p>
    <w:p w:rsidR="00182581" w:rsidRPr="00706709" w:rsidRDefault="0007776F" w:rsidP="0007776F">
      <w:pPr>
        <w:pStyle w:val="AHPRAbody"/>
      </w:pPr>
      <w:r w:rsidRPr="00136998">
        <w:rPr>
          <w:bCs/>
          <w:szCs w:val="20"/>
          <w:u w:val="single"/>
          <w:lang w:val="en-US"/>
        </w:rPr>
        <w:t>Note</w:t>
      </w:r>
      <w:r w:rsidRPr="00BD1D0E">
        <w:rPr>
          <w:bCs/>
          <w:szCs w:val="20"/>
          <w:lang w:val="en-US"/>
        </w:rPr>
        <w:t>:</w:t>
      </w:r>
      <w:r w:rsidR="00F95C30" w:rsidRPr="00BD1D0E">
        <w:rPr>
          <w:bCs/>
          <w:szCs w:val="20"/>
          <w:lang w:val="en-US"/>
        </w:rPr>
        <w:t xml:space="preserve"> </w:t>
      </w:r>
      <w:r w:rsidR="00182581" w:rsidRPr="00132EF1">
        <w:rPr>
          <w:szCs w:val="20"/>
          <w:lang w:val="en-US"/>
        </w:rPr>
        <w:t xml:space="preserve">The NMBA and </w:t>
      </w:r>
      <w:r w:rsidR="00182581">
        <w:rPr>
          <w:szCs w:val="20"/>
          <w:lang w:val="en-US"/>
        </w:rPr>
        <w:t>the Australian Health Practitioner Regulation Agency (</w:t>
      </w:r>
      <w:r w:rsidR="00182581" w:rsidRPr="00132EF1">
        <w:rPr>
          <w:szCs w:val="20"/>
          <w:lang w:val="en-US"/>
        </w:rPr>
        <w:t>AHPRA</w:t>
      </w:r>
      <w:r w:rsidR="00182581">
        <w:rPr>
          <w:szCs w:val="20"/>
          <w:lang w:val="en-US"/>
        </w:rPr>
        <w:t>)</w:t>
      </w:r>
      <w:r w:rsidR="00182581" w:rsidRPr="00132EF1">
        <w:rPr>
          <w:szCs w:val="20"/>
          <w:lang w:val="en-US"/>
        </w:rPr>
        <w:t xml:space="preserve"> operate in a co-regulatory model </w:t>
      </w:r>
      <w:r w:rsidR="00182581">
        <w:rPr>
          <w:szCs w:val="20"/>
          <w:lang w:val="en-US"/>
        </w:rPr>
        <w:t>in some jurisdictions</w:t>
      </w:r>
      <w:r w:rsidR="00182581" w:rsidRPr="00132EF1">
        <w:rPr>
          <w:szCs w:val="20"/>
          <w:lang w:val="en-US"/>
        </w:rPr>
        <w:t xml:space="preserve"> and may not be the only entities involved in </w:t>
      </w:r>
      <w:r w:rsidR="00182581" w:rsidRPr="00294C27">
        <w:rPr>
          <w:szCs w:val="20"/>
          <w:lang w:val="en-US"/>
        </w:rPr>
        <w:t xml:space="preserve">undertaking </w:t>
      </w:r>
      <w:r w:rsidR="00182581">
        <w:rPr>
          <w:szCs w:val="20"/>
          <w:lang w:val="en-US"/>
        </w:rPr>
        <w:t>assessment related</w:t>
      </w:r>
      <w:r w:rsidR="00182581" w:rsidRPr="00294C27">
        <w:rPr>
          <w:szCs w:val="20"/>
          <w:lang w:val="en-US"/>
        </w:rPr>
        <w:t xml:space="preserve"> to a notification.</w:t>
      </w:r>
      <w:r>
        <w:rPr>
          <w:b/>
          <w:bCs/>
          <w:szCs w:val="20"/>
          <w:lang w:val="en-US"/>
        </w:rPr>
        <w:t xml:space="preserve"> </w:t>
      </w:r>
      <w:r w:rsidR="00182581" w:rsidRPr="00706709">
        <w:t xml:space="preserve">In co-regulatory definitions these terms may be described differently but have the same intent.  </w:t>
      </w:r>
    </w:p>
    <w:p w:rsidR="00C911C8" w:rsidRDefault="00895BEB">
      <w:pPr>
        <w:pStyle w:val="AHPRASubheading"/>
      </w:pPr>
      <w:r w:rsidRPr="00315E47">
        <w:t>Review</w:t>
      </w:r>
    </w:p>
    <w:p w:rsidR="00697850" w:rsidRDefault="003471D5">
      <w:pPr>
        <w:pStyle w:val="AHPRASubhead"/>
        <w:spacing w:after="0"/>
        <w:rPr>
          <w:b w:val="0"/>
          <w:color w:val="auto"/>
          <w:lang w:val="en-AU"/>
        </w:rPr>
      </w:pPr>
      <w:r w:rsidRPr="003471D5">
        <w:rPr>
          <w:b w:val="0"/>
          <w:color w:val="auto"/>
          <w:lang w:val="en-AU"/>
        </w:rPr>
        <w:t>This registration standard will be reviewed from time</w:t>
      </w:r>
      <w:r w:rsidR="00DD53D1">
        <w:rPr>
          <w:b w:val="0"/>
          <w:color w:val="auto"/>
          <w:lang w:val="en-AU"/>
        </w:rPr>
        <w:t xml:space="preserve"> </w:t>
      </w:r>
      <w:r w:rsidRPr="003471D5">
        <w:rPr>
          <w:b w:val="0"/>
          <w:color w:val="auto"/>
          <w:lang w:val="en-AU"/>
        </w:rPr>
        <w:t>to</w:t>
      </w:r>
      <w:r w:rsidR="00DD53D1">
        <w:rPr>
          <w:b w:val="0"/>
          <w:color w:val="auto"/>
          <w:lang w:val="en-AU"/>
        </w:rPr>
        <w:t xml:space="preserve"> </w:t>
      </w:r>
      <w:r w:rsidRPr="003471D5">
        <w:rPr>
          <w:b w:val="0"/>
          <w:color w:val="auto"/>
          <w:lang w:val="en-AU"/>
        </w:rPr>
        <w:t>time as required. This will generally be at least every five years.</w:t>
      </w:r>
    </w:p>
    <w:p w:rsidR="00182581" w:rsidRPr="00D22B49" w:rsidRDefault="00182581" w:rsidP="00182581">
      <w:pPr>
        <w:pStyle w:val="AHPRASubhead"/>
        <w:spacing w:after="0"/>
        <w:rPr>
          <w:b w:val="0"/>
          <w:color w:val="auto"/>
          <w:lang w:val="en-AU"/>
        </w:rPr>
      </w:pPr>
    </w:p>
    <w:p w:rsidR="00182581" w:rsidRPr="00D22B49" w:rsidRDefault="00182581" w:rsidP="00182581">
      <w:pPr>
        <w:pStyle w:val="AHPRASubhead"/>
        <w:spacing w:after="0"/>
        <w:rPr>
          <w:b w:val="0"/>
          <w:color w:val="auto"/>
          <w:lang w:val="en-AU"/>
        </w:rPr>
      </w:pPr>
      <w:r w:rsidRPr="00D22B49">
        <w:rPr>
          <w:b w:val="0"/>
          <w:color w:val="auto"/>
          <w:lang w:val="en-AU"/>
        </w:rPr>
        <w:t xml:space="preserve">Last reviewed: </w:t>
      </w:r>
      <w:r w:rsidR="0007776F">
        <w:rPr>
          <w:b w:val="0"/>
          <w:color w:val="auto"/>
          <w:lang w:val="en-AU"/>
        </w:rPr>
        <w:t xml:space="preserve">1 </w:t>
      </w:r>
      <w:r w:rsidR="009A7C5E">
        <w:rPr>
          <w:b w:val="0"/>
          <w:color w:val="auto"/>
          <w:lang w:val="en-AU"/>
        </w:rPr>
        <w:t>January 2017</w:t>
      </w:r>
    </w:p>
    <w:p w:rsidR="002F7416" w:rsidRDefault="002F7416" w:rsidP="00182581">
      <w:pPr>
        <w:pStyle w:val="AHPRASubhead"/>
        <w:spacing w:after="0"/>
        <w:rPr>
          <w:b w:val="0"/>
          <w:color w:val="auto"/>
          <w:lang w:val="en-AU"/>
        </w:rPr>
      </w:pPr>
    </w:p>
    <w:p w:rsidR="00182581" w:rsidRDefault="00182581" w:rsidP="00182581">
      <w:pPr>
        <w:pStyle w:val="AHPRASubhead"/>
        <w:spacing w:after="0"/>
        <w:rPr>
          <w:rFonts w:cs="Arial"/>
          <w:color w:val="auto"/>
          <w:szCs w:val="20"/>
        </w:rPr>
      </w:pPr>
      <w:r w:rsidRPr="00D22B49">
        <w:rPr>
          <w:b w:val="0"/>
          <w:color w:val="auto"/>
          <w:lang w:val="en-AU"/>
        </w:rPr>
        <w:t>This standard replaces the previously published registration standard from</w:t>
      </w:r>
      <w:r>
        <w:rPr>
          <w:b w:val="0"/>
          <w:color w:val="auto"/>
          <w:lang w:val="en-AU"/>
        </w:rPr>
        <w:t xml:space="preserve"> </w:t>
      </w:r>
      <w:r w:rsidR="00A56377" w:rsidRPr="00ED226D">
        <w:rPr>
          <w:b w:val="0"/>
          <w:color w:val="auto"/>
          <w:lang w:val="en-AU"/>
        </w:rPr>
        <w:t>1 July 2010</w:t>
      </w:r>
      <w:r w:rsidR="00A56377">
        <w:rPr>
          <w:b w:val="0"/>
          <w:color w:val="auto"/>
          <w:lang w:val="en-AU"/>
        </w:rPr>
        <w:t>.</w:t>
      </w:r>
    </w:p>
    <w:p w:rsidR="003855BC" w:rsidRPr="003855BC" w:rsidRDefault="003855BC" w:rsidP="003855BC">
      <w:pPr>
        <w:spacing w:after="0"/>
        <w:rPr>
          <w:rFonts w:cs="Arial"/>
          <w:sz w:val="20"/>
        </w:rPr>
      </w:pPr>
    </w:p>
    <w:sectPr w:rsidR="003855BC" w:rsidRPr="003855BC" w:rsidSect="003855BC">
      <w:headerReference w:type="default" r:id="rId8"/>
      <w:footerReference w:type="even" r:id="rId9"/>
      <w:footerReference w:type="default" r:id="rId10"/>
      <w:headerReference w:type="first" r:id="rId11"/>
      <w:footerReference w:type="first" r:id="rId12"/>
      <w:pgSz w:w="11900" w:h="16840"/>
      <w:pgMar w:top="1276" w:right="1247" w:bottom="1134" w:left="1247" w:header="283" w:footer="6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A0" w:rsidRDefault="00A07DA0" w:rsidP="00FC2881">
      <w:pPr>
        <w:spacing w:after="0"/>
      </w:pPr>
      <w:r>
        <w:separator/>
      </w:r>
    </w:p>
    <w:p w:rsidR="00A07DA0" w:rsidRDefault="00A07DA0"/>
  </w:endnote>
  <w:endnote w:type="continuationSeparator" w:id="0">
    <w:p w:rsidR="00A07DA0" w:rsidRDefault="00A07DA0" w:rsidP="00FC2881">
      <w:pPr>
        <w:spacing w:after="0"/>
      </w:pPr>
      <w:r>
        <w:continuationSeparator/>
      </w:r>
    </w:p>
    <w:p w:rsidR="00A07DA0" w:rsidRDefault="00A07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A0" w:rsidRDefault="00A04DDE" w:rsidP="00FC2881">
    <w:pPr>
      <w:pStyle w:val="Footer"/>
      <w:framePr w:wrap="around" w:vAnchor="text" w:hAnchor="margin" w:xAlign="right" w:y="1"/>
    </w:pPr>
    <w:r>
      <w:fldChar w:fldCharType="begin"/>
    </w:r>
    <w:r w:rsidR="00A07DA0">
      <w:instrText xml:space="preserve">PAGE  </w:instrText>
    </w:r>
    <w:r>
      <w:fldChar w:fldCharType="end"/>
    </w:r>
  </w:p>
  <w:p w:rsidR="00A07DA0" w:rsidRDefault="00A07DA0" w:rsidP="00FC2881">
    <w:pPr>
      <w:pStyle w:val="Footer"/>
      <w:ind w:right="360"/>
    </w:pPr>
  </w:p>
  <w:p w:rsidR="00A07DA0" w:rsidRDefault="00A07D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A0" w:rsidRPr="00AA2FC9" w:rsidRDefault="00A07DA0" w:rsidP="00616043">
    <w:pPr>
      <w:pStyle w:val="AHPRADocumentsubheading"/>
      <w:spacing w:after="0"/>
      <w:jc w:val="center"/>
      <w:rPr>
        <w:sz w:val="20"/>
        <w:szCs w:val="16"/>
      </w:rPr>
    </w:pPr>
    <w:r w:rsidRPr="00AA2FC9">
      <w:rPr>
        <w:sz w:val="20"/>
        <w:szCs w:val="16"/>
      </w:rPr>
      <w:t xml:space="preserve">  </w:t>
    </w:r>
  </w:p>
  <w:p w:rsidR="00A07DA0" w:rsidRPr="002D7535" w:rsidRDefault="00A07DA0" w:rsidP="00A56377">
    <w:pPr>
      <w:pStyle w:val="AHPRADocumentsubheading"/>
      <w:spacing w:after="0"/>
      <w:rPr>
        <w:sz w:val="18"/>
        <w:szCs w:val="18"/>
      </w:rPr>
    </w:pPr>
    <w:r>
      <w:rPr>
        <w:sz w:val="18"/>
        <w:szCs w:val="18"/>
      </w:rPr>
      <w:t>Registration standard: E</w:t>
    </w:r>
    <w:r w:rsidRPr="002D7535">
      <w:rPr>
        <w:sz w:val="18"/>
        <w:szCs w:val="18"/>
      </w:rPr>
      <w:t xml:space="preserve">ndorsement </w:t>
    </w:r>
    <w:r>
      <w:rPr>
        <w:sz w:val="18"/>
        <w:szCs w:val="18"/>
      </w:rPr>
      <w:t>for scheduled medicines for midwives</w:t>
    </w:r>
  </w:p>
  <w:p w:rsidR="00A07DA0" w:rsidRDefault="000B232A" w:rsidP="00A56377">
    <w:pPr>
      <w:pStyle w:val="AHPRApagenumber"/>
    </w:pPr>
    <w:sdt>
      <w:sdtPr>
        <w:id w:val="16333165"/>
        <w:docPartObj>
          <w:docPartGallery w:val="Page Numbers (Top of Page)"/>
          <w:docPartUnique/>
        </w:docPartObj>
      </w:sdtPr>
      <w:sdtEndPr/>
      <w:sdtContent>
        <w:r w:rsidR="00A07DA0" w:rsidRPr="002D7535">
          <w:t xml:space="preserve">Page </w:t>
        </w:r>
        <w:r>
          <w:fldChar w:fldCharType="begin"/>
        </w:r>
        <w:r>
          <w:instrText xml:space="preserve"> PAGE </w:instrText>
        </w:r>
        <w:r>
          <w:fldChar w:fldCharType="separate"/>
        </w:r>
        <w:r>
          <w:rPr>
            <w:noProof/>
          </w:rPr>
          <w:t>2</w:t>
        </w:r>
        <w:r>
          <w:rPr>
            <w:noProof/>
          </w:rPr>
          <w:fldChar w:fldCharType="end"/>
        </w:r>
        <w:r w:rsidR="00A07DA0" w:rsidRPr="002D7535">
          <w:t xml:space="preserve"> of </w:t>
        </w:r>
        <w:r>
          <w:fldChar w:fldCharType="begin"/>
        </w:r>
        <w:r>
          <w:instrText xml:space="preserve"> NUMPAGES  </w:instrText>
        </w:r>
        <w:r>
          <w:fldChar w:fldCharType="separate"/>
        </w:r>
        <w:r>
          <w:rPr>
            <w:noProof/>
          </w:rPr>
          <w:t>3</w:t>
        </w:r>
        <w:r>
          <w:rPr>
            <w:noProof/>
          </w:rPr>
          <w:fldChar w:fldCharType="end"/>
        </w:r>
      </w:sdtContent>
    </w:sdt>
    <w:r w:rsidR="00A07DA0" w:rsidRPr="007664F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A0" w:rsidRPr="00E77E23" w:rsidRDefault="00A07DA0" w:rsidP="003C13F1">
    <w:pPr>
      <w:pStyle w:val="AHPRAfirstpagefooter"/>
      <w:spacing w:after="0"/>
      <w:jc w:val="center"/>
    </w:pPr>
    <w:r>
      <w:rPr>
        <w:color w:val="007DC3"/>
      </w:rPr>
      <w:t>Nursing and Midwifery</w:t>
    </w:r>
    <w:r w:rsidRPr="00E77E23">
      <w:t xml:space="preserve"> </w:t>
    </w:r>
    <w:r>
      <w:t>Board of Australia</w:t>
    </w:r>
  </w:p>
  <w:p w:rsidR="00A07DA0" w:rsidRDefault="00A07DA0" w:rsidP="003C13F1">
    <w:pPr>
      <w:pStyle w:val="AHPRAfooter"/>
      <w:spacing w:after="0"/>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4835F6">
      <w:t>nursingmidwiferyboard</w:t>
    </w:r>
    <w:r w:rsidRPr="00AD312E">
      <w:t xml:space="preserve">.gov.au   </w:t>
    </w:r>
    <w:r w:rsidRPr="00E77E23">
      <w:rPr>
        <w:b/>
        <w:color w:val="007DC3"/>
        <w:szCs w:val="28"/>
      </w:rPr>
      <w:t>|</w:t>
    </w:r>
    <w:r w:rsidRPr="007432A4">
      <w:t xml:space="preserve">   1300 419 495</w:t>
    </w:r>
  </w:p>
  <w:p w:rsidR="00A07DA0" w:rsidRDefault="00A0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A0" w:rsidRDefault="00A07DA0" w:rsidP="00FC2881">
      <w:pPr>
        <w:spacing w:after="0"/>
      </w:pPr>
      <w:r>
        <w:separator/>
      </w:r>
    </w:p>
    <w:p w:rsidR="00A07DA0" w:rsidRDefault="00A07DA0"/>
  </w:footnote>
  <w:footnote w:type="continuationSeparator" w:id="0">
    <w:p w:rsidR="00A07DA0" w:rsidRDefault="00A07DA0" w:rsidP="00FC2881">
      <w:pPr>
        <w:spacing w:after="0"/>
      </w:pPr>
      <w:r>
        <w:continuationSeparator/>
      </w:r>
    </w:p>
    <w:p w:rsidR="00A07DA0" w:rsidRDefault="00A07D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A0" w:rsidRPr="00315933" w:rsidRDefault="00A07DA0" w:rsidP="00D638E0">
    <w:pPr>
      <w:ind w:left="-1134" w:right="-567"/>
      <w:jc w:val="right"/>
    </w:pPr>
  </w:p>
  <w:p w:rsidR="00A07DA0" w:rsidRDefault="00A07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A0" w:rsidRDefault="00A07DA0" w:rsidP="00E844A0">
    <w:r w:rsidRPr="003C13F1">
      <w:rPr>
        <w:noProof/>
        <w:lang w:eastAsia="en-AU"/>
      </w:rPr>
      <w:drawing>
        <wp:anchor distT="0" distB="0" distL="114300" distR="114300" simplePos="0" relativeHeight="251659264" behindDoc="0" locked="0" layoutInCell="1" allowOverlap="1">
          <wp:simplePos x="0" y="0"/>
          <wp:positionH relativeFrom="margin">
            <wp:posOffset>4757496</wp:posOffset>
          </wp:positionH>
          <wp:positionV relativeFrom="margin">
            <wp:posOffset>-1707972</wp:posOffset>
          </wp:positionV>
          <wp:extent cx="1651051" cy="1316736"/>
          <wp:effectExtent l="0" t="0" r="0" b="0"/>
          <wp:wrapSquare wrapText="bothSides"/>
          <wp:docPr id="8" name="Picture 2" descr="Nursing &amp; Midwifery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Nursing&amp;MidwiferyBoardofAustralia_SPOT.jpg"/>
                  <pic:cNvPicPr/>
                </pic:nvPicPr>
                <pic:blipFill>
                  <a:blip r:embed="rId1"/>
                  <a:stretch>
                    <a:fillRect/>
                  </a:stretch>
                </pic:blipFill>
                <pic:spPr>
                  <a:xfrm>
                    <a:off x="0" y="0"/>
                    <a:ext cx="1651685" cy="1316736"/>
                  </a:xfrm>
                  <a:prstGeom prst="rect">
                    <a:avLst/>
                  </a:prstGeom>
                </pic:spPr>
              </pic:pic>
            </a:graphicData>
          </a:graphic>
        </wp:anchor>
      </w:drawing>
    </w:r>
  </w:p>
  <w:p w:rsidR="00A07DA0" w:rsidRDefault="00A07DA0" w:rsidP="00E844A0"/>
  <w:p w:rsidR="00A07DA0" w:rsidRDefault="00A07DA0" w:rsidP="00E844A0"/>
  <w:p w:rsidR="00A07DA0" w:rsidRDefault="00A07DA0" w:rsidP="00E844A0"/>
  <w:p w:rsidR="00A07DA0" w:rsidRDefault="00A07DA0" w:rsidP="00E844A0"/>
  <w:p w:rsidR="00A07DA0" w:rsidRDefault="00A07DA0"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8B"/>
    <w:multiLevelType w:val="multilevel"/>
    <w:tmpl w:val="5D8655B8"/>
    <w:numStyleLink w:val="AHPRANumberedheadinglist"/>
  </w:abstractNum>
  <w:abstractNum w:abstractNumId="1" w15:restartNumberingAfterBreak="0">
    <w:nsid w:val="06A93195"/>
    <w:multiLevelType w:val="hybridMultilevel"/>
    <w:tmpl w:val="A5A09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8C50CD"/>
    <w:multiLevelType w:val="multilevel"/>
    <w:tmpl w:val="A8240A3C"/>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737" w:hanging="368"/>
      </w:pPr>
      <w:rPr>
        <w:rFonts w:ascii="Arial" w:hAnsi="Arial" w:hint="default"/>
        <w:b w:val="0"/>
        <w:i w:val="0"/>
        <w:color w:val="auto"/>
        <w:sz w:val="20"/>
      </w:rPr>
    </w:lvl>
    <w:lvl w:ilvl="2">
      <w:start w:val="1"/>
      <w:numFmt w:val="decimal"/>
      <w:pStyle w:val="AHPRANumberedlistlevel3"/>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62165"/>
    <w:multiLevelType w:val="multilevel"/>
    <w:tmpl w:val="5D8655B8"/>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3CF1084"/>
    <w:multiLevelType w:val="hybridMultilevel"/>
    <w:tmpl w:val="6F1C0D34"/>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9F1186"/>
    <w:multiLevelType w:val="hybridMultilevel"/>
    <w:tmpl w:val="C91CBAB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EC0530"/>
    <w:multiLevelType w:val="hybridMultilevel"/>
    <w:tmpl w:val="ECF8857A"/>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B1525B"/>
    <w:multiLevelType w:val="hybridMultilevel"/>
    <w:tmpl w:val="4A7CF37A"/>
    <w:lvl w:ilvl="0" w:tplc="F2E49A44">
      <w:start w:val="1"/>
      <w:numFmt w:val="bullet"/>
      <w:pStyle w:val="AHPRABulletlevel2"/>
      <w:lvlText w:val=""/>
      <w:lvlJc w:val="left"/>
      <w:pPr>
        <w:ind w:left="720" w:hanging="360"/>
      </w:pPr>
      <w:rPr>
        <w:rFonts w:ascii="Symbol" w:hAnsi="Symbol" w:hint="default"/>
      </w:rPr>
    </w:lvl>
    <w:lvl w:ilvl="1" w:tplc="CB8E8D2E" w:tentative="1">
      <w:start w:val="1"/>
      <w:numFmt w:val="bullet"/>
      <w:lvlText w:val="o"/>
      <w:lvlJc w:val="left"/>
      <w:pPr>
        <w:ind w:left="1440" w:hanging="360"/>
      </w:pPr>
      <w:rPr>
        <w:rFonts w:ascii="Courier New" w:hAnsi="Courier New" w:cs="Courier New" w:hint="default"/>
      </w:rPr>
    </w:lvl>
    <w:lvl w:ilvl="2" w:tplc="BDE69D5A" w:tentative="1">
      <w:start w:val="1"/>
      <w:numFmt w:val="bullet"/>
      <w:lvlText w:val=""/>
      <w:lvlJc w:val="left"/>
      <w:pPr>
        <w:ind w:left="2160" w:hanging="360"/>
      </w:pPr>
      <w:rPr>
        <w:rFonts w:ascii="Wingdings" w:hAnsi="Wingdings" w:hint="default"/>
      </w:rPr>
    </w:lvl>
    <w:lvl w:ilvl="3" w:tplc="2D7EB5CE" w:tentative="1">
      <w:start w:val="1"/>
      <w:numFmt w:val="bullet"/>
      <w:lvlText w:val=""/>
      <w:lvlJc w:val="left"/>
      <w:pPr>
        <w:ind w:left="2880" w:hanging="360"/>
      </w:pPr>
      <w:rPr>
        <w:rFonts w:ascii="Symbol" w:hAnsi="Symbol" w:hint="default"/>
      </w:rPr>
    </w:lvl>
    <w:lvl w:ilvl="4" w:tplc="2E583280" w:tentative="1">
      <w:start w:val="1"/>
      <w:numFmt w:val="bullet"/>
      <w:lvlText w:val="o"/>
      <w:lvlJc w:val="left"/>
      <w:pPr>
        <w:ind w:left="3600" w:hanging="360"/>
      </w:pPr>
      <w:rPr>
        <w:rFonts w:ascii="Courier New" w:hAnsi="Courier New" w:cs="Courier New" w:hint="default"/>
      </w:rPr>
    </w:lvl>
    <w:lvl w:ilvl="5" w:tplc="DAF21A52" w:tentative="1">
      <w:start w:val="1"/>
      <w:numFmt w:val="bullet"/>
      <w:lvlText w:val=""/>
      <w:lvlJc w:val="left"/>
      <w:pPr>
        <w:ind w:left="4320" w:hanging="360"/>
      </w:pPr>
      <w:rPr>
        <w:rFonts w:ascii="Wingdings" w:hAnsi="Wingdings" w:hint="default"/>
      </w:rPr>
    </w:lvl>
    <w:lvl w:ilvl="6" w:tplc="27FEA692" w:tentative="1">
      <w:start w:val="1"/>
      <w:numFmt w:val="bullet"/>
      <w:lvlText w:val=""/>
      <w:lvlJc w:val="left"/>
      <w:pPr>
        <w:ind w:left="5040" w:hanging="360"/>
      </w:pPr>
      <w:rPr>
        <w:rFonts w:ascii="Symbol" w:hAnsi="Symbol" w:hint="default"/>
      </w:rPr>
    </w:lvl>
    <w:lvl w:ilvl="7" w:tplc="D06E907A" w:tentative="1">
      <w:start w:val="1"/>
      <w:numFmt w:val="bullet"/>
      <w:lvlText w:val="o"/>
      <w:lvlJc w:val="left"/>
      <w:pPr>
        <w:ind w:left="5760" w:hanging="360"/>
      </w:pPr>
      <w:rPr>
        <w:rFonts w:ascii="Courier New" w:hAnsi="Courier New" w:cs="Courier New" w:hint="default"/>
      </w:rPr>
    </w:lvl>
    <w:lvl w:ilvl="8" w:tplc="1B88AE7A" w:tentative="1">
      <w:start w:val="1"/>
      <w:numFmt w:val="bullet"/>
      <w:lvlText w:val=""/>
      <w:lvlJc w:val="left"/>
      <w:pPr>
        <w:ind w:left="6480" w:hanging="360"/>
      </w:pPr>
      <w:rPr>
        <w:rFonts w:ascii="Wingdings" w:hAnsi="Wingdings" w:hint="default"/>
      </w:rPr>
    </w:lvl>
  </w:abstractNum>
  <w:abstractNum w:abstractNumId="8" w15:restartNumberingAfterBreak="0">
    <w:nsid w:val="3C235295"/>
    <w:multiLevelType w:val="hybridMultilevel"/>
    <w:tmpl w:val="F020B3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181F33"/>
    <w:multiLevelType w:val="hybridMultilevel"/>
    <w:tmpl w:val="D3EC8F34"/>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57E8E922">
      <w:start w:val="1"/>
      <w:numFmt w:val="lowerLetter"/>
      <w:lvlText w:val="(%3)"/>
      <w:lvlJc w:val="left"/>
      <w:pPr>
        <w:ind w:left="2406" w:hanging="360"/>
      </w:pPr>
      <w:rPr>
        <w:rFonts w:eastAsiaTheme="majorEastAsia"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72D39E5"/>
    <w:multiLevelType w:val="hybridMultilevel"/>
    <w:tmpl w:val="A4DC0E8E"/>
    <w:lvl w:ilvl="0" w:tplc="04090019">
      <w:start w:val="1"/>
      <w:numFmt w:val="lowerLetter"/>
      <w:lvlText w:val="%1."/>
      <w:lvlJc w:val="left"/>
      <w:pPr>
        <w:ind w:left="360" w:hanging="360"/>
      </w:pPr>
    </w:lvl>
    <w:lvl w:ilvl="1" w:tplc="0C090019">
      <w:start w:val="1"/>
      <w:numFmt w:val="lowerLetter"/>
      <w:lvlText w:val="%2."/>
      <w:lvlJc w:val="left"/>
      <w:pPr>
        <w:ind w:left="1080" w:hanging="360"/>
      </w:pPr>
    </w:lvl>
    <w:lvl w:ilvl="2" w:tplc="04090019">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8192FC6"/>
    <w:multiLevelType w:val="hybridMultilevel"/>
    <w:tmpl w:val="068A29CC"/>
    <w:lvl w:ilvl="0" w:tplc="20409728">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F4A54"/>
    <w:multiLevelType w:val="hybridMultilevel"/>
    <w:tmpl w:val="5302F88A"/>
    <w:lvl w:ilvl="0" w:tplc="823493D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9B9498F"/>
    <w:multiLevelType w:val="hybridMultilevel"/>
    <w:tmpl w:val="4F4C6F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2959A7"/>
    <w:multiLevelType w:val="hybridMultilevel"/>
    <w:tmpl w:val="79D2FB38"/>
    <w:lvl w:ilvl="0" w:tplc="B268E038">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0EF028A"/>
    <w:multiLevelType w:val="hybridMultilevel"/>
    <w:tmpl w:val="4260D11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043568"/>
    <w:multiLevelType w:val="hybridMultilevel"/>
    <w:tmpl w:val="2016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CC55E0"/>
    <w:multiLevelType w:val="hybridMultilevel"/>
    <w:tmpl w:val="C96835DA"/>
    <w:lvl w:ilvl="0" w:tplc="BBCC252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A22896"/>
    <w:multiLevelType w:val="hybridMultilevel"/>
    <w:tmpl w:val="62B0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D02E4"/>
    <w:multiLevelType w:val="multilevel"/>
    <w:tmpl w:val="A8240A3C"/>
    <w:numStyleLink w:val="AHPRANumberedlist"/>
  </w:abstractNum>
  <w:num w:numId="1">
    <w:abstractNumId w:val="17"/>
  </w:num>
  <w:num w:numId="2">
    <w:abstractNumId w:val="11"/>
  </w:num>
  <w:num w:numId="3">
    <w:abstractNumId w:val="2"/>
  </w:num>
  <w:num w:numId="4">
    <w:abstractNumId w:val="3"/>
  </w:num>
  <w:num w:numId="5">
    <w:abstractNumId w:val="7"/>
  </w:num>
  <w:num w:numId="6">
    <w:abstractNumId w:val="0"/>
  </w:num>
  <w:num w:numId="7">
    <w:abstractNumId w:val="19"/>
  </w:num>
  <w:num w:numId="8">
    <w:abstractNumId w:val="16"/>
  </w:num>
  <w:num w:numId="9">
    <w:abstractNumId w:val="12"/>
  </w:num>
  <w:num w:numId="10">
    <w:abstractNumId w:val="14"/>
  </w:num>
  <w:num w:numId="11">
    <w:abstractNumId w:val="6"/>
  </w:num>
  <w:num w:numId="12">
    <w:abstractNumId w:val="9"/>
  </w:num>
  <w:num w:numId="13">
    <w:abstractNumId w:val="15"/>
  </w:num>
  <w:num w:numId="14">
    <w:abstractNumId w:val="4"/>
  </w:num>
  <w:num w:numId="15">
    <w:abstractNumId w:val="8"/>
  </w:num>
  <w:num w:numId="16">
    <w:abstractNumId w:val="5"/>
  </w:num>
  <w:num w:numId="17">
    <w:abstractNumId w:val="10"/>
  </w:num>
  <w:num w:numId="18">
    <w:abstractNumId w:val="13"/>
  </w:num>
  <w:num w:numId="19">
    <w:abstractNumId w:val="18"/>
  </w:num>
  <w:num w:numId="20">
    <w:abstractNumId w:val="11"/>
  </w:num>
  <w:num w:numId="21">
    <w:abstractNumId w:val="11"/>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92447"/>
    <w:rsid w:val="00000033"/>
    <w:rsid w:val="00006922"/>
    <w:rsid w:val="000334D7"/>
    <w:rsid w:val="00036FD2"/>
    <w:rsid w:val="00071439"/>
    <w:rsid w:val="00077685"/>
    <w:rsid w:val="0007776F"/>
    <w:rsid w:val="000945FB"/>
    <w:rsid w:val="00095CEB"/>
    <w:rsid w:val="000A52BD"/>
    <w:rsid w:val="000A6BF7"/>
    <w:rsid w:val="000B232A"/>
    <w:rsid w:val="0010139F"/>
    <w:rsid w:val="001017A4"/>
    <w:rsid w:val="00126A7D"/>
    <w:rsid w:val="00136998"/>
    <w:rsid w:val="00144DEF"/>
    <w:rsid w:val="00155550"/>
    <w:rsid w:val="001736DB"/>
    <w:rsid w:val="00182581"/>
    <w:rsid w:val="001C425C"/>
    <w:rsid w:val="001E1E31"/>
    <w:rsid w:val="001E2849"/>
    <w:rsid w:val="001E4A94"/>
    <w:rsid w:val="001E5621"/>
    <w:rsid w:val="001F5069"/>
    <w:rsid w:val="00220A3B"/>
    <w:rsid w:val="00251B7F"/>
    <w:rsid w:val="002767AC"/>
    <w:rsid w:val="00277E77"/>
    <w:rsid w:val="0028013F"/>
    <w:rsid w:val="00292447"/>
    <w:rsid w:val="00295B44"/>
    <w:rsid w:val="002B2D48"/>
    <w:rsid w:val="002C08FB"/>
    <w:rsid w:val="002C34EA"/>
    <w:rsid w:val="002F7416"/>
    <w:rsid w:val="00303BE1"/>
    <w:rsid w:val="00305AFC"/>
    <w:rsid w:val="00315E47"/>
    <w:rsid w:val="003354E4"/>
    <w:rsid w:val="003471D5"/>
    <w:rsid w:val="003855BC"/>
    <w:rsid w:val="003950BC"/>
    <w:rsid w:val="003C13F1"/>
    <w:rsid w:val="003C15DD"/>
    <w:rsid w:val="003C5EBD"/>
    <w:rsid w:val="003C610F"/>
    <w:rsid w:val="003D6DBD"/>
    <w:rsid w:val="003E00B5"/>
    <w:rsid w:val="003E3268"/>
    <w:rsid w:val="003F2F06"/>
    <w:rsid w:val="00405C0A"/>
    <w:rsid w:val="00411C23"/>
    <w:rsid w:val="00414F2C"/>
    <w:rsid w:val="00450B34"/>
    <w:rsid w:val="004606A7"/>
    <w:rsid w:val="00487FA0"/>
    <w:rsid w:val="004960FA"/>
    <w:rsid w:val="004A4D2E"/>
    <w:rsid w:val="004A5E5D"/>
    <w:rsid w:val="004B747B"/>
    <w:rsid w:val="004D7537"/>
    <w:rsid w:val="004F5C05"/>
    <w:rsid w:val="005330A7"/>
    <w:rsid w:val="00553A4C"/>
    <w:rsid w:val="00554335"/>
    <w:rsid w:val="005565CE"/>
    <w:rsid w:val="005708AE"/>
    <w:rsid w:val="005A0FA9"/>
    <w:rsid w:val="005A0FBD"/>
    <w:rsid w:val="005C5932"/>
    <w:rsid w:val="005C6817"/>
    <w:rsid w:val="00616043"/>
    <w:rsid w:val="00640B2C"/>
    <w:rsid w:val="00667CAD"/>
    <w:rsid w:val="006770E9"/>
    <w:rsid w:val="00681D5E"/>
    <w:rsid w:val="00697850"/>
    <w:rsid w:val="006C0257"/>
    <w:rsid w:val="006C0E29"/>
    <w:rsid w:val="006D30FE"/>
    <w:rsid w:val="006D3757"/>
    <w:rsid w:val="006E38F0"/>
    <w:rsid w:val="006F7348"/>
    <w:rsid w:val="006F796D"/>
    <w:rsid w:val="0070155F"/>
    <w:rsid w:val="007321E5"/>
    <w:rsid w:val="007372A4"/>
    <w:rsid w:val="00741B04"/>
    <w:rsid w:val="00756838"/>
    <w:rsid w:val="0076115C"/>
    <w:rsid w:val="007664F3"/>
    <w:rsid w:val="00780B87"/>
    <w:rsid w:val="007A35B9"/>
    <w:rsid w:val="007B77D6"/>
    <w:rsid w:val="007C0B6E"/>
    <w:rsid w:val="007D4836"/>
    <w:rsid w:val="007E2C84"/>
    <w:rsid w:val="007E77D6"/>
    <w:rsid w:val="007F0095"/>
    <w:rsid w:val="008338F7"/>
    <w:rsid w:val="00836397"/>
    <w:rsid w:val="00845054"/>
    <w:rsid w:val="00852D1C"/>
    <w:rsid w:val="008557B9"/>
    <w:rsid w:val="00856147"/>
    <w:rsid w:val="00860F40"/>
    <w:rsid w:val="008615C9"/>
    <w:rsid w:val="00864020"/>
    <w:rsid w:val="00865386"/>
    <w:rsid w:val="0089239C"/>
    <w:rsid w:val="00895BEB"/>
    <w:rsid w:val="008979D5"/>
    <w:rsid w:val="008A4C3B"/>
    <w:rsid w:val="008B2AD7"/>
    <w:rsid w:val="008C738C"/>
    <w:rsid w:val="008D6B7E"/>
    <w:rsid w:val="008D7845"/>
    <w:rsid w:val="008E5424"/>
    <w:rsid w:val="00915CA3"/>
    <w:rsid w:val="00923B23"/>
    <w:rsid w:val="0092765E"/>
    <w:rsid w:val="00937ED0"/>
    <w:rsid w:val="00952797"/>
    <w:rsid w:val="00955108"/>
    <w:rsid w:val="00960701"/>
    <w:rsid w:val="00970832"/>
    <w:rsid w:val="009777D3"/>
    <w:rsid w:val="009859E6"/>
    <w:rsid w:val="00986EED"/>
    <w:rsid w:val="00997D7B"/>
    <w:rsid w:val="009A0A5D"/>
    <w:rsid w:val="009A7C5E"/>
    <w:rsid w:val="009B5BBE"/>
    <w:rsid w:val="009C6933"/>
    <w:rsid w:val="009D3846"/>
    <w:rsid w:val="00A04C7A"/>
    <w:rsid w:val="00A04DDE"/>
    <w:rsid w:val="00A058E5"/>
    <w:rsid w:val="00A07DA0"/>
    <w:rsid w:val="00A10C1A"/>
    <w:rsid w:val="00A2072E"/>
    <w:rsid w:val="00A237BB"/>
    <w:rsid w:val="00A56377"/>
    <w:rsid w:val="00A82078"/>
    <w:rsid w:val="00A838C8"/>
    <w:rsid w:val="00A91C42"/>
    <w:rsid w:val="00A9516B"/>
    <w:rsid w:val="00A9780A"/>
    <w:rsid w:val="00AA00AF"/>
    <w:rsid w:val="00AA1FA9"/>
    <w:rsid w:val="00AA2DEC"/>
    <w:rsid w:val="00AA2FC9"/>
    <w:rsid w:val="00AB283D"/>
    <w:rsid w:val="00AD312E"/>
    <w:rsid w:val="00AE3EAF"/>
    <w:rsid w:val="00B024B0"/>
    <w:rsid w:val="00B43772"/>
    <w:rsid w:val="00B51748"/>
    <w:rsid w:val="00B57198"/>
    <w:rsid w:val="00B85023"/>
    <w:rsid w:val="00B91200"/>
    <w:rsid w:val="00BA469B"/>
    <w:rsid w:val="00BB4A5B"/>
    <w:rsid w:val="00BD1D0E"/>
    <w:rsid w:val="00BD70FC"/>
    <w:rsid w:val="00BF2534"/>
    <w:rsid w:val="00BF79DC"/>
    <w:rsid w:val="00C35DE1"/>
    <w:rsid w:val="00C524AA"/>
    <w:rsid w:val="00C54689"/>
    <w:rsid w:val="00C609E2"/>
    <w:rsid w:val="00C81B3A"/>
    <w:rsid w:val="00C83C59"/>
    <w:rsid w:val="00C911C8"/>
    <w:rsid w:val="00CB6C08"/>
    <w:rsid w:val="00CD0DCA"/>
    <w:rsid w:val="00D12F61"/>
    <w:rsid w:val="00D201C6"/>
    <w:rsid w:val="00D24BF6"/>
    <w:rsid w:val="00D306B6"/>
    <w:rsid w:val="00D31FF2"/>
    <w:rsid w:val="00D50C3E"/>
    <w:rsid w:val="00D638E0"/>
    <w:rsid w:val="00D716BA"/>
    <w:rsid w:val="00D8404D"/>
    <w:rsid w:val="00D94CC1"/>
    <w:rsid w:val="00D953B2"/>
    <w:rsid w:val="00D97E36"/>
    <w:rsid w:val="00DC2952"/>
    <w:rsid w:val="00DC6936"/>
    <w:rsid w:val="00DD1451"/>
    <w:rsid w:val="00DD3889"/>
    <w:rsid w:val="00DD53D1"/>
    <w:rsid w:val="00DE3431"/>
    <w:rsid w:val="00DE4E5B"/>
    <w:rsid w:val="00DF1AB7"/>
    <w:rsid w:val="00E07C02"/>
    <w:rsid w:val="00E12B06"/>
    <w:rsid w:val="00E15BF6"/>
    <w:rsid w:val="00E7075F"/>
    <w:rsid w:val="00E71CB9"/>
    <w:rsid w:val="00E73698"/>
    <w:rsid w:val="00E8251C"/>
    <w:rsid w:val="00E844A0"/>
    <w:rsid w:val="00ED226D"/>
    <w:rsid w:val="00EF4D65"/>
    <w:rsid w:val="00F13ED2"/>
    <w:rsid w:val="00F27ACB"/>
    <w:rsid w:val="00F3616F"/>
    <w:rsid w:val="00F6204B"/>
    <w:rsid w:val="00F6618F"/>
    <w:rsid w:val="00F66578"/>
    <w:rsid w:val="00F70DD5"/>
    <w:rsid w:val="00F73165"/>
    <w:rsid w:val="00F80035"/>
    <w:rsid w:val="00F90BCE"/>
    <w:rsid w:val="00F95C30"/>
    <w:rsid w:val="00FC2881"/>
    <w:rsid w:val="00FD0659"/>
    <w:rsid w:val="00FD7DC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rules v:ext="edit">
        <o:r id="V:Rule2" type="connector" idref="#AutoShape 3"/>
      </o:rules>
    </o:shapelayout>
  </w:shapeDefaults>
  <w:decimalSymbol w:val="."/>
  <w:listSeparator w:val=","/>
  <w15:docId w15:val="{24A91595-FB05-4E95-9A74-6535853F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nhideWhenUsed/>
    <w:qFormat/>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D31FF2"/>
    <w:pPr>
      <w:spacing w:before="200"/>
      <w:outlineLvl w:val="0"/>
    </w:pPr>
    <w:rPr>
      <w:rFonts w:cs="Arial"/>
      <w:color w:val="00BCE4"/>
      <w:sz w:val="32"/>
      <w:szCs w:val="52"/>
    </w:rPr>
  </w:style>
  <w:style w:type="paragraph" w:styleId="Footer">
    <w:name w:val="footer"/>
    <w:basedOn w:val="Normal"/>
    <w:link w:val="FooterChar"/>
    <w:uiPriority w:val="1"/>
    <w:unhideWhenUsed/>
    <w:rsid w:val="00860F40"/>
    <w:pPr>
      <w:tabs>
        <w:tab w:val="center" w:pos="4320"/>
        <w:tab w:val="right" w:pos="8640"/>
      </w:tabs>
      <w:spacing w:after="0"/>
    </w:pPr>
  </w:style>
  <w:style w:type="character" w:customStyle="1" w:styleId="FooterChar">
    <w:name w:val="Footer Char"/>
    <w:basedOn w:val="DefaultParagraphFont"/>
    <w:link w:val="Footer"/>
    <w:uiPriority w:val="1"/>
    <w:rsid w:val="001E4A94"/>
    <w:rPr>
      <w:sz w:val="24"/>
      <w:szCs w:val="24"/>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D31FF2"/>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D8404D"/>
    <w:pPr>
      <w:numPr>
        <w:numId w:val="2"/>
      </w:numPr>
      <w:spacing w:after="0"/>
    </w:pPr>
    <w:rPr>
      <w:sz w:val="20"/>
    </w:rPr>
  </w:style>
  <w:style w:type="paragraph" w:customStyle="1" w:styleId="AHPRABulletlevel2">
    <w:name w:val="AHPRA Bullet level 2"/>
    <w:basedOn w:val="AHPRABulletlevel1"/>
    <w:rsid w:val="00D31FF2"/>
    <w:pPr>
      <w:numPr>
        <w:numId w:val="5"/>
      </w:numPr>
      <w:ind w:left="738" w:hanging="369"/>
    </w:pPr>
  </w:style>
  <w:style w:type="paragraph" w:customStyle="1" w:styleId="AHPRABulletlevel3">
    <w:name w:val="AHPRA Bullet level 3"/>
    <w:basedOn w:val="AHPRABulletlevel2"/>
    <w:rsid w:val="00D31FF2"/>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D31FF2"/>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AHPRASubheadinglevel2"/>
    <w:rsid w:val="00A10C1A"/>
    <w:pPr>
      <w:spacing w:before="120" w:after="120"/>
      <w:jc w:val="center"/>
    </w:pPr>
  </w:style>
  <w:style w:type="paragraph" w:customStyle="1" w:styleId="AHPRABulletlevel1last">
    <w:name w:val="AHPRA Bullet level 1 last"/>
    <w:basedOn w:val="AHPRABulletlevel1"/>
    <w:next w:val="Normal"/>
    <w:rsid w:val="00D8404D"/>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D31FF2"/>
    <w:pPr>
      <w:jc w:val="right"/>
    </w:pPr>
    <w:rPr>
      <w:szCs w:val="18"/>
    </w:r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1"/>
    <w:semiHidden/>
    <w:unhideWhenUsed/>
    <w:rsid w:val="00E73698"/>
    <w:rPr>
      <w:vertAlign w:val="superscript"/>
    </w:rPr>
  </w:style>
  <w:style w:type="paragraph" w:customStyle="1" w:styleId="AHPRAfooter">
    <w:name w:val="AHPRA footer"/>
    <w:basedOn w:val="FootnoteText"/>
    <w:rsid w:val="00D31FF2"/>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Normal"/>
    <w:next w:val="Normal"/>
    <w:autoRedefine/>
    <w:uiPriority w:val="1"/>
    <w:semiHidden/>
    <w:unhideWhenUsed/>
    <w:rsid w:val="00E73698"/>
    <w:pPr>
      <w:ind w:left="240"/>
    </w:pPr>
  </w:style>
  <w:style w:type="paragraph" w:styleId="TOC1">
    <w:name w:val="toc 1"/>
    <w:aliases w:val="AHPRA table of contents"/>
    <w:basedOn w:val="Normal"/>
    <w:next w:val="Normal"/>
    <w:autoRedefine/>
    <w:uiPriority w:val="1"/>
    <w:semiHidden/>
    <w:unhideWhenUsed/>
    <w:rsid w:val="00E73698"/>
    <w:pPr>
      <w:tabs>
        <w:tab w:val="right" w:leader="dot" w:pos="9488"/>
      </w:tabs>
    </w:pPr>
    <w:rPr>
      <w:b/>
      <w:noProof/>
      <w:color w:val="008EC4"/>
      <w:sz w:val="20"/>
    </w:rPr>
  </w:style>
  <w:style w:type="paragraph" w:styleId="TOC3">
    <w:name w:val="toc 3"/>
    <w:basedOn w:val="Normal"/>
    <w:next w:val="Normal"/>
    <w:autoRedefine/>
    <w:uiPriority w:val="1"/>
    <w:semiHidden/>
    <w:unhideWhenUsed/>
    <w:rsid w:val="00E73698"/>
    <w:pPr>
      <w:ind w:left="480"/>
    </w:pPr>
  </w:style>
  <w:style w:type="character" w:styleId="Hyperlink">
    <w:name w:val="Hyperlink"/>
    <w:uiPriority w:val="1"/>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D31FF2"/>
    <w:pPr>
      <w:numPr>
        <w:numId w:val="3"/>
      </w:numPr>
    </w:pPr>
  </w:style>
  <w:style w:type="numbering" w:customStyle="1" w:styleId="AHPRANumberedheadinglist">
    <w:name w:val="AHPRA Numbered heading list"/>
    <w:uiPriority w:val="99"/>
    <w:rsid w:val="00D31FF2"/>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D8404D"/>
    <w:pPr>
      <w:spacing w:after="200"/>
    </w:pPr>
  </w:style>
  <w:style w:type="paragraph" w:customStyle="1" w:styleId="AHPRABulletlevel3last">
    <w:name w:val="AHPRA Bullet level 3 last"/>
    <w:basedOn w:val="AHPRABulletlevel3"/>
    <w:next w:val="AHPRAbody"/>
    <w:rsid w:val="00D8404D"/>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D31FF2"/>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D31FF2"/>
    <w:pPr>
      <w:numPr>
        <w:numId w:val="7"/>
      </w:numPr>
    </w:pPr>
  </w:style>
  <w:style w:type="paragraph" w:customStyle="1" w:styleId="AHPRANumberedlistlevel3">
    <w:name w:val="AHPRA Numbered list level 3"/>
    <w:basedOn w:val="AHPRANumberedlistlevel1"/>
    <w:rsid w:val="00D31FF2"/>
    <w:pPr>
      <w:numPr>
        <w:ilvl w:val="2"/>
      </w:numPr>
      <w:ind w:left="1106" w:hanging="369"/>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F80035"/>
    <w:rPr>
      <w:rFonts w:cs="Arial"/>
      <w:szCs w:val="24"/>
    </w:rPr>
  </w:style>
  <w:style w:type="character" w:customStyle="1" w:styleId="AHPRAbodyboldChar">
    <w:name w:val="AHPRA body bold Char"/>
    <w:basedOn w:val="AHPRAbodyChar"/>
    <w:link w:val="AHPRAbodybold"/>
    <w:rsid w:val="00F80035"/>
    <w:rPr>
      <w:rFonts w:cs="Arial"/>
      <w:b/>
      <w:szCs w:val="24"/>
    </w:rPr>
  </w:style>
  <w:style w:type="character" w:customStyle="1" w:styleId="AHPRAbodyitalicsChar">
    <w:name w:val="AHPRA body italics Char"/>
    <w:basedOn w:val="AHPRAbodyboldChar"/>
    <w:link w:val="AHPRAbodyitalics"/>
    <w:rsid w:val="00F80035"/>
    <w:rPr>
      <w:rFonts w:cs="Arial"/>
      <w:b/>
      <w:i/>
      <w:szCs w:val="24"/>
    </w:rPr>
  </w:style>
  <w:style w:type="character" w:customStyle="1" w:styleId="AHPRAbodyunderlineChar">
    <w:name w:val="AHPRA body underline Char"/>
    <w:basedOn w:val="AHPRAbodyitalicsChar"/>
    <w:link w:val="AHPRAbodyunderline"/>
    <w:rsid w:val="00F80035"/>
    <w:rPr>
      <w:rFonts w:cs="Arial"/>
      <w:b/>
      <w:i/>
      <w:szCs w:val="24"/>
      <w:u w:val="single"/>
    </w:rPr>
  </w:style>
  <w:style w:type="paragraph" w:styleId="ListParagraph">
    <w:name w:val="List Paragraph"/>
    <w:basedOn w:val="Normal"/>
    <w:uiPriority w:val="34"/>
    <w:qFormat/>
    <w:rsid w:val="00182581"/>
    <w:pPr>
      <w:spacing w:line="276" w:lineRule="auto"/>
      <w:ind w:left="720"/>
      <w:contextualSpacing/>
    </w:pPr>
    <w:rPr>
      <w:rFonts w:ascii="Calibri" w:eastAsia="Times New Roman" w:hAnsi="Calibri"/>
      <w:sz w:val="22"/>
      <w:szCs w:val="22"/>
    </w:rPr>
  </w:style>
  <w:style w:type="paragraph" w:customStyle="1" w:styleId="AHPRASubhead">
    <w:name w:val="AHPRA Subhead"/>
    <w:basedOn w:val="Normal"/>
    <w:qFormat/>
    <w:rsid w:val="00182581"/>
    <w:rPr>
      <w:rFonts w:eastAsia="Times New Roman"/>
      <w:b/>
      <w:color w:val="008EC4"/>
      <w:sz w:val="20"/>
      <w:lang w:val="en-US"/>
    </w:rPr>
  </w:style>
  <w:style w:type="character" w:styleId="CommentReference">
    <w:name w:val="annotation reference"/>
    <w:basedOn w:val="DefaultParagraphFont"/>
    <w:uiPriority w:val="1"/>
    <w:semiHidden/>
    <w:unhideWhenUsed/>
    <w:rsid w:val="007321E5"/>
    <w:rPr>
      <w:sz w:val="16"/>
      <w:szCs w:val="16"/>
    </w:rPr>
  </w:style>
  <w:style w:type="paragraph" w:styleId="CommentText">
    <w:name w:val="annotation text"/>
    <w:basedOn w:val="Normal"/>
    <w:link w:val="CommentTextChar"/>
    <w:uiPriority w:val="1"/>
    <w:semiHidden/>
    <w:unhideWhenUsed/>
    <w:rsid w:val="007321E5"/>
    <w:rPr>
      <w:sz w:val="20"/>
      <w:szCs w:val="20"/>
    </w:rPr>
  </w:style>
  <w:style w:type="character" w:customStyle="1" w:styleId="CommentTextChar">
    <w:name w:val="Comment Text Char"/>
    <w:basedOn w:val="DefaultParagraphFont"/>
    <w:link w:val="CommentText"/>
    <w:uiPriority w:val="1"/>
    <w:semiHidden/>
    <w:rsid w:val="007321E5"/>
    <w:rPr>
      <w:lang w:val="en-AU"/>
    </w:rPr>
  </w:style>
  <w:style w:type="paragraph" w:styleId="CommentSubject">
    <w:name w:val="annotation subject"/>
    <w:basedOn w:val="CommentText"/>
    <w:next w:val="CommentText"/>
    <w:link w:val="CommentSubjectChar"/>
    <w:uiPriority w:val="1"/>
    <w:semiHidden/>
    <w:unhideWhenUsed/>
    <w:rsid w:val="007321E5"/>
    <w:rPr>
      <w:b/>
      <w:bCs/>
    </w:rPr>
  </w:style>
  <w:style w:type="character" w:customStyle="1" w:styleId="CommentSubjectChar">
    <w:name w:val="Comment Subject Char"/>
    <w:basedOn w:val="CommentTextChar"/>
    <w:link w:val="CommentSubject"/>
    <w:uiPriority w:val="1"/>
    <w:semiHidden/>
    <w:rsid w:val="007321E5"/>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p\AppData\Local\Microsoft\Windows\Temporary%20Internet%20Files\Content.IE5\4NWEO32V\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94A3-F22E-46BF-995B-B8B1C9DA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Template>
  <TotalTime>0</TotalTime>
  <Pages>3</Pages>
  <Words>1196</Words>
  <Characters>6819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Blank template</vt:lpstr>
    </vt:vector>
  </TitlesOfParts>
  <Company>Johanna Villani Design</Company>
  <LinksUpToDate>false</LinksUpToDate>
  <CharactersWithSpaces>8000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standard: Endorsement for scheduled medicines for midwives</dc:title>
  <dc:subject>Registration standard</dc:subject>
  <dc:creator>Nursing and Midwifery Board</dc:creator>
  <cp:lastModifiedBy>Sheryl Kamath</cp:lastModifiedBy>
  <cp:revision>2</cp:revision>
  <cp:lastPrinted>2016-01-17T22:13:00Z</cp:lastPrinted>
  <dcterms:created xsi:type="dcterms:W3CDTF">2016-02-04T21:48:00Z</dcterms:created>
  <dcterms:modified xsi:type="dcterms:W3CDTF">2016-02-04T21:48:00Z</dcterms:modified>
</cp:coreProperties>
</file>