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B3" w:rsidRPr="007011BB" w:rsidRDefault="00775125" w:rsidP="00D70CB3">
      <w:pPr>
        <w:pStyle w:val="AHPRADocumenttitle"/>
        <w:rPr>
          <w:rFonts w:cs="Times New Roman"/>
          <w:color w:val="008EC4"/>
          <w:szCs w:val="32"/>
          <w:lang w:val="en-US"/>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59.95pt;margin-top:70.8pt;width:319.8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94089600,-162"/>
        </w:pict>
      </w:r>
      <w:bookmarkStart w:id="0" w:name="_Toc518640437"/>
      <w:r w:rsidR="00D70CB3">
        <w:rPr>
          <w:rFonts w:cs="Times New Roman"/>
          <w:color w:val="008EC4"/>
          <w:szCs w:val="32"/>
          <w:lang w:val="en-US"/>
        </w:rPr>
        <w:t>National Board’s Statement of a</w:t>
      </w:r>
      <w:r w:rsidR="00D70CB3" w:rsidRPr="007011BB">
        <w:rPr>
          <w:rFonts w:cs="Times New Roman"/>
          <w:color w:val="008EC4"/>
          <w:szCs w:val="32"/>
          <w:lang w:val="en-US"/>
        </w:rPr>
        <w:t xml:space="preserve">ssessment against </w:t>
      </w:r>
      <w:r w:rsidR="00D70CB3">
        <w:rPr>
          <w:rFonts w:cs="Times New Roman"/>
          <w:color w:val="008EC4"/>
          <w:szCs w:val="32"/>
          <w:lang w:val="en-US"/>
        </w:rPr>
        <w:t xml:space="preserve">the </w:t>
      </w:r>
      <w:r w:rsidR="00D70CB3" w:rsidRPr="007011BB">
        <w:rPr>
          <w:rFonts w:cs="Times New Roman"/>
          <w:color w:val="008EC4"/>
          <w:szCs w:val="32"/>
          <w:lang w:val="en-US"/>
        </w:rPr>
        <w:t xml:space="preserve">AHPRA </w:t>
      </w:r>
      <w:r w:rsidR="00D70CB3" w:rsidRPr="00751163">
        <w:rPr>
          <w:rFonts w:cs="Times New Roman"/>
          <w:i/>
          <w:color w:val="008EC4"/>
          <w:szCs w:val="32"/>
          <w:lang w:val="en-US"/>
        </w:rPr>
        <w:t>Procedures for development of registration standards</w:t>
      </w:r>
      <w:r w:rsidR="00D70CB3">
        <w:rPr>
          <w:rFonts w:cs="Times New Roman"/>
          <w:color w:val="008EC4"/>
          <w:szCs w:val="32"/>
          <w:lang w:val="en-US"/>
        </w:rPr>
        <w:t xml:space="preserve"> and </w:t>
      </w:r>
      <w:r w:rsidR="00D70CB3" w:rsidRPr="00047F45">
        <w:rPr>
          <w:rFonts w:cs="Times New Roman"/>
          <w:i/>
          <w:color w:val="008EC4"/>
          <w:szCs w:val="32"/>
          <w:lang w:val="en-US"/>
        </w:rPr>
        <w:t>COA</w:t>
      </w:r>
      <w:bookmarkStart w:id="1" w:name="_GoBack"/>
      <w:bookmarkEnd w:id="1"/>
      <w:r w:rsidR="00D70CB3" w:rsidRPr="00047F45">
        <w:rPr>
          <w:rFonts w:cs="Times New Roman"/>
          <w:i/>
          <w:color w:val="008EC4"/>
          <w:szCs w:val="32"/>
          <w:lang w:val="en-US"/>
        </w:rPr>
        <w:t>G principles for best practice regulation</w:t>
      </w:r>
      <w:bookmarkEnd w:id="0"/>
    </w:p>
    <w:p w:rsidR="00D70CB3" w:rsidRPr="007011BB" w:rsidRDefault="00D70CB3" w:rsidP="00D70CB3">
      <w:pPr>
        <w:pStyle w:val="AHPRAHeadline"/>
        <w:spacing w:before="360"/>
        <w:outlineLvl w:val="0"/>
        <w:rPr>
          <w:color w:val="31849B"/>
        </w:rPr>
      </w:pPr>
      <w:r w:rsidRPr="007011BB">
        <w:rPr>
          <w:rFonts w:cs="Arial"/>
          <w:color w:val="000000"/>
          <w:sz w:val="20"/>
          <w:szCs w:val="20"/>
          <w:lang w:val="en-AU"/>
        </w:rPr>
        <w:t xml:space="preserve">The Australian Health Practitioner Regulation Agency (AHPRA) has </w:t>
      </w:r>
      <w:r w:rsidRPr="007011BB">
        <w:rPr>
          <w:rFonts w:cs="Arial"/>
          <w:i/>
          <w:color w:val="000000"/>
          <w:sz w:val="20"/>
          <w:szCs w:val="20"/>
          <w:lang w:val="en-AU"/>
        </w:rPr>
        <w:t xml:space="preserve">Procedures for the </w:t>
      </w:r>
      <w:r>
        <w:rPr>
          <w:rFonts w:cs="Arial"/>
          <w:i/>
          <w:color w:val="000000"/>
          <w:sz w:val="20"/>
          <w:szCs w:val="20"/>
          <w:lang w:val="en-AU"/>
        </w:rPr>
        <w:t>d</w:t>
      </w:r>
      <w:r w:rsidRPr="007011BB">
        <w:rPr>
          <w:rFonts w:cs="Arial"/>
          <w:i/>
          <w:color w:val="000000"/>
          <w:sz w:val="20"/>
          <w:szCs w:val="20"/>
          <w:lang w:val="en-AU"/>
        </w:rPr>
        <w:t xml:space="preserve">evelopment of </w:t>
      </w:r>
      <w:r>
        <w:rPr>
          <w:rFonts w:cs="Arial"/>
          <w:i/>
          <w:color w:val="000000"/>
          <w:sz w:val="20"/>
          <w:szCs w:val="20"/>
          <w:lang w:val="en-AU"/>
        </w:rPr>
        <w:t>r</w:t>
      </w:r>
      <w:r w:rsidRPr="007011BB">
        <w:rPr>
          <w:rFonts w:cs="Arial"/>
          <w:i/>
          <w:color w:val="000000"/>
          <w:sz w:val="20"/>
          <w:szCs w:val="20"/>
          <w:lang w:val="en-AU"/>
        </w:rPr>
        <w:t xml:space="preserve">egistration </w:t>
      </w:r>
      <w:r>
        <w:rPr>
          <w:rFonts w:cs="Arial"/>
          <w:i/>
          <w:color w:val="000000"/>
          <w:sz w:val="20"/>
          <w:szCs w:val="20"/>
          <w:lang w:val="en-AU"/>
        </w:rPr>
        <w:t>s</w:t>
      </w:r>
      <w:r w:rsidRPr="007011BB">
        <w:rPr>
          <w:rFonts w:cs="Arial"/>
          <w:i/>
          <w:color w:val="000000"/>
          <w:sz w:val="20"/>
          <w:szCs w:val="20"/>
          <w:lang w:val="en-AU"/>
        </w:rPr>
        <w:t>tandards</w:t>
      </w:r>
      <w:r w:rsidRPr="007011BB">
        <w:rPr>
          <w:rFonts w:cs="Arial"/>
          <w:color w:val="000000"/>
          <w:sz w:val="20"/>
          <w:szCs w:val="20"/>
          <w:lang w:val="en-AU"/>
        </w:rPr>
        <w:t xml:space="preserve"> which are available at:  </w:t>
      </w:r>
      <w:hyperlink r:id="rId8" w:history="1">
        <w:r w:rsidRPr="00525EAE">
          <w:rPr>
            <w:rStyle w:val="Hyperlink"/>
            <w:rFonts w:cs="Arial"/>
            <w:sz w:val="20"/>
            <w:szCs w:val="20"/>
            <w:lang w:val="en-AU"/>
          </w:rPr>
          <w:t>www.ahpra.gov.au</w:t>
        </w:r>
      </w:hyperlink>
    </w:p>
    <w:p w:rsidR="00D70CB3" w:rsidRDefault="00D70CB3" w:rsidP="00D70CB3">
      <w:pPr>
        <w:pStyle w:val="AHPRAHeadline"/>
        <w:outlineLvl w:val="0"/>
        <w:rPr>
          <w:rFonts w:cs="Arial"/>
          <w:color w:val="000000"/>
          <w:sz w:val="20"/>
          <w:szCs w:val="20"/>
          <w:lang w:val="en-AU"/>
        </w:rPr>
      </w:pPr>
      <w:r>
        <w:rPr>
          <w:rFonts w:cs="Arial"/>
          <w:color w:val="000000"/>
          <w:sz w:val="20"/>
          <w:szCs w:val="20"/>
          <w:lang w:val="en-AU"/>
        </w:rPr>
        <w:t xml:space="preserve">These procedures have been developed by AHPRA in accordance with section 25 of the </w:t>
      </w:r>
      <w:r w:rsidRPr="00047F45">
        <w:rPr>
          <w:rFonts w:cs="Arial"/>
          <w:color w:val="000000"/>
          <w:sz w:val="20"/>
          <w:szCs w:val="20"/>
          <w:lang w:val="en-AU"/>
        </w:rPr>
        <w:t>Health Practitioner Regulation National Law</w:t>
      </w:r>
      <w:r>
        <w:rPr>
          <w:rFonts w:cs="Arial"/>
          <w:color w:val="000000"/>
          <w:sz w:val="20"/>
          <w:szCs w:val="20"/>
          <w:lang w:val="en-AU"/>
        </w:rPr>
        <w:t>,</w:t>
      </w:r>
      <w:r w:rsidRPr="00047F45">
        <w:rPr>
          <w:rFonts w:cs="Arial"/>
          <w:color w:val="000000"/>
          <w:sz w:val="20"/>
          <w:szCs w:val="20"/>
          <w:lang w:val="en-AU"/>
        </w:rPr>
        <w:t xml:space="preserve"> </w:t>
      </w:r>
      <w:r>
        <w:rPr>
          <w:rFonts w:cs="Arial"/>
          <w:color w:val="000000"/>
          <w:sz w:val="20"/>
          <w:szCs w:val="20"/>
          <w:lang w:val="en-AU"/>
        </w:rPr>
        <w:t>as in force in each state and territory (the National Law) which requires AHPRA to establish procedures for the purpose of ensuring that the National Registration and Accreditation Scheme (National Scheme) operates in accordance with good regulatory practice.</w:t>
      </w:r>
    </w:p>
    <w:p w:rsidR="00D70CB3" w:rsidRPr="007011BB" w:rsidRDefault="00D70CB3" w:rsidP="00D70CB3">
      <w:pPr>
        <w:pStyle w:val="AHPRAHeadline"/>
        <w:outlineLvl w:val="0"/>
        <w:rPr>
          <w:rFonts w:cs="Arial"/>
          <w:color w:val="000000"/>
          <w:sz w:val="20"/>
          <w:szCs w:val="20"/>
          <w:lang w:val="en-AU"/>
        </w:rPr>
      </w:pPr>
      <w:r w:rsidRPr="007011BB">
        <w:rPr>
          <w:rFonts w:cs="Arial"/>
          <w:color w:val="000000"/>
          <w:sz w:val="20"/>
          <w:szCs w:val="20"/>
          <w:lang w:val="en-AU"/>
        </w:rPr>
        <w:t xml:space="preserve">Below is the </w:t>
      </w:r>
      <w:r>
        <w:rPr>
          <w:rFonts w:cs="Arial"/>
          <w:color w:val="000000"/>
          <w:sz w:val="20"/>
          <w:szCs w:val="20"/>
          <w:lang w:val="en-AU"/>
        </w:rPr>
        <w:t xml:space="preserve">Nursing and Midwifery </w:t>
      </w:r>
      <w:r w:rsidRPr="007011BB">
        <w:rPr>
          <w:rFonts w:cs="Arial"/>
          <w:color w:val="000000"/>
          <w:sz w:val="20"/>
          <w:szCs w:val="20"/>
          <w:lang w:val="en-AU"/>
        </w:rPr>
        <w:t xml:space="preserve">Board of Australia’s </w:t>
      </w:r>
      <w:r w:rsidR="00D312E5">
        <w:rPr>
          <w:rFonts w:cs="Arial"/>
          <w:color w:val="000000"/>
          <w:sz w:val="20"/>
          <w:szCs w:val="20"/>
          <w:lang w:val="en-AU"/>
        </w:rPr>
        <w:t xml:space="preserve">(the National Board) </w:t>
      </w:r>
      <w:r w:rsidRPr="007011BB">
        <w:rPr>
          <w:rFonts w:cs="Arial"/>
          <w:color w:val="000000"/>
          <w:sz w:val="20"/>
          <w:szCs w:val="20"/>
          <w:lang w:val="en-AU"/>
        </w:rPr>
        <w:t xml:space="preserve">assessment of </w:t>
      </w:r>
      <w:r>
        <w:rPr>
          <w:rFonts w:cs="Arial"/>
          <w:color w:val="000000"/>
          <w:sz w:val="20"/>
          <w:szCs w:val="20"/>
          <w:lang w:val="en-AU"/>
        </w:rPr>
        <w:t>the</w:t>
      </w:r>
      <w:r w:rsidRPr="007011BB">
        <w:rPr>
          <w:rFonts w:cs="Arial"/>
          <w:color w:val="000000"/>
          <w:sz w:val="20"/>
          <w:szCs w:val="20"/>
          <w:lang w:val="en-AU"/>
        </w:rPr>
        <w:t xml:space="preserve"> proposed </w:t>
      </w:r>
      <w:r w:rsidRPr="00472DB9">
        <w:rPr>
          <w:rFonts w:cs="Arial"/>
          <w:color w:val="000000"/>
          <w:sz w:val="20"/>
          <w:szCs w:val="20"/>
          <w:lang w:val="en-AU"/>
        </w:rPr>
        <w:t xml:space="preserve">the </w:t>
      </w:r>
      <w:r w:rsidR="00E70162" w:rsidRPr="00E70162">
        <w:rPr>
          <w:rFonts w:cs="Arial"/>
          <w:b/>
          <w:color w:val="000000"/>
          <w:sz w:val="20"/>
          <w:szCs w:val="20"/>
          <w:lang w:val="en-AU"/>
        </w:rPr>
        <w:t xml:space="preserve">Registration Standard: </w:t>
      </w:r>
      <w:r w:rsidRPr="00E70162">
        <w:rPr>
          <w:rFonts w:cs="Arial"/>
          <w:b/>
          <w:color w:val="000000"/>
          <w:sz w:val="20"/>
          <w:szCs w:val="20"/>
          <w:lang w:val="en-AU"/>
        </w:rPr>
        <w:t>Endorsement</w:t>
      </w:r>
      <w:r w:rsidRPr="00472DB9">
        <w:rPr>
          <w:rFonts w:cs="Arial"/>
          <w:b/>
          <w:color w:val="000000"/>
          <w:sz w:val="20"/>
          <w:szCs w:val="20"/>
          <w:lang w:val="en-AU"/>
        </w:rPr>
        <w:t xml:space="preserve"> for scheduled medicines for registered nurses prescribing in partnership</w:t>
      </w:r>
      <w:r w:rsidRPr="00472DB9" w:rsidDel="00472DB9">
        <w:rPr>
          <w:rFonts w:cs="Arial"/>
          <w:color w:val="000000"/>
          <w:sz w:val="20"/>
          <w:szCs w:val="20"/>
          <w:lang w:val="en-AU"/>
        </w:rPr>
        <w:t xml:space="preserve"> </w:t>
      </w:r>
      <w:r w:rsidR="00D312E5">
        <w:rPr>
          <w:rFonts w:cs="Arial"/>
          <w:color w:val="000000"/>
          <w:sz w:val="20"/>
          <w:szCs w:val="20"/>
          <w:lang w:val="en-AU"/>
        </w:rPr>
        <w:t xml:space="preserve">(the </w:t>
      </w:r>
      <w:r>
        <w:rPr>
          <w:rFonts w:cs="Arial"/>
          <w:color w:val="000000"/>
          <w:sz w:val="20"/>
          <w:szCs w:val="20"/>
          <w:lang w:val="en-AU"/>
        </w:rPr>
        <w:t xml:space="preserve">registration standard) </w:t>
      </w:r>
      <w:r w:rsidRPr="007011BB">
        <w:rPr>
          <w:rFonts w:cs="Arial"/>
          <w:color w:val="000000"/>
          <w:sz w:val="20"/>
          <w:szCs w:val="20"/>
          <w:lang w:val="en-AU"/>
        </w:rPr>
        <w:t>against the three elements outlined in the AHPRA procedures.</w:t>
      </w:r>
    </w:p>
    <w:tbl>
      <w:tblPr>
        <w:tblW w:w="0" w:type="auto"/>
        <w:tblLook w:val="00A0" w:firstRow="1" w:lastRow="0" w:firstColumn="1" w:lastColumn="0" w:noHBand="0" w:noVBand="0"/>
      </w:tblPr>
      <w:tblGrid>
        <w:gridCol w:w="9242"/>
      </w:tblGrid>
      <w:tr w:rsidR="00D70CB3" w:rsidRPr="007011BB" w:rsidTr="0078630E">
        <w:tc>
          <w:tcPr>
            <w:tcW w:w="92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D70CB3" w:rsidTr="0078630E">
              <w:tc>
                <w:tcPr>
                  <w:tcW w:w="9011" w:type="dxa"/>
                  <w:tcBorders>
                    <w:top w:val="single" w:sz="4" w:space="0" w:color="auto"/>
                    <w:left w:val="single" w:sz="4" w:space="0" w:color="auto"/>
                    <w:bottom w:val="single" w:sz="4" w:space="0" w:color="auto"/>
                    <w:right w:val="single" w:sz="4" w:space="0" w:color="auto"/>
                  </w:tcBorders>
                </w:tcPr>
                <w:p w:rsidR="00D70CB3" w:rsidRPr="00CF171D" w:rsidRDefault="00D70CB3" w:rsidP="00D70CB3">
                  <w:pPr>
                    <w:pStyle w:val="AHPRAHeadline"/>
                    <w:numPr>
                      <w:ilvl w:val="0"/>
                      <w:numId w:val="19"/>
                    </w:numPr>
                    <w:spacing w:before="60" w:after="60"/>
                    <w:ind w:left="454" w:hanging="454"/>
                    <w:outlineLvl w:val="0"/>
                    <w:rPr>
                      <w:b/>
                      <w:sz w:val="20"/>
                      <w:szCs w:val="20"/>
                    </w:rPr>
                  </w:pPr>
                  <w:r w:rsidRPr="00CF171D">
                    <w:rPr>
                      <w:b/>
                      <w:color w:val="365F91"/>
                      <w:sz w:val="20"/>
                      <w:szCs w:val="20"/>
                    </w:rPr>
                    <w:t>The proposal takes into account the National Scheme’s objectives and guiding principles set out in section 3 of the National Law</w:t>
                  </w:r>
                </w:p>
              </w:tc>
            </w:tr>
          </w:tbl>
          <w:p w:rsidR="00D70CB3" w:rsidRPr="007011BB" w:rsidRDefault="00D70CB3" w:rsidP="0078630E">
            <w:pPr>
              <w:pStyle w:val="AHPRAHeadline"/>
              <w:spacing w:before="120" w:after="120"/>
              <w:ind w:left="142"/>
              <w:outlineLvl w:val="0"/>
              <w:rPr>
                <w:rFonts w:cs="Arial"/>
                <w:b/>
                <w:color w:val="auto"/>
                <w:sz w:val="20"/>
                <w:szCs w:val="20"/>
              </w:rPr>
            </w:pPr>
            <w:r w:rsidRPr="007011BB">
              <w:rPr>
                <w:rFonts w:cs="Arial"/>
                <w:b/>
                <w:color w:val="auto"/>
                <w:sz w:val="20"/>
                <w:szCs w:val="20"/>
              </w:rPr>
              <w:t>Board assessment</w:t>
            </w:r>
          </w:p>
          <w:p w:rsidR="00D70CB3" w:rsidRDefault="00D70CB3" w:rsidP="0078630E">
            <w:pPr>
              <w:pStyle w:val="AHPRAHeadline"/>
              <w:spacing w:before="120" w:after="120"/>
              <w:ind w:left="142"/>
              <w:outlineLvl w:val="0"/>
              <w:rPr>
                <w:color w:val="auto"/>
                <w:sz w:val="20"/>
                <w:szCs w:val="20"/>
              </w:rPr>
            </w:pPr>
            <w:r w:rsidRPr="00047F45">
              <w:rPr>
                <w:color w:val="auto"/>
                <w:sz w:val="20"/>
                <w:szCs w:val="20"/>
              </w:rPr>
              <w:t xml:space="preserve">The </w:t>
            </w:r>
            <w:r w:rsidRPr="00047F45">
              <w:rPr>
                <w:rFonts w:cs="Arial"/>
                <w:color w:val="auto"/>
                <w:sz w:val="20"/>
                <w:szCs w:val="20"/>
              </w:rPr>
              <w:t>National</w:t>
            </w:r>
            <w:r>
              <w:rPr>
                <w:rFonts w:cs="Arial"/>
                <w:sz w:val="20"/>
                <w:szCs w:val="20"/>
              </w:rPr>
              <w:t xml:space="preserve"> </w:t>
            </w:r>
            <w:r w:rsidRPr="007011BB">
              <w:rPr>
                <w:color w:val="auto"/>
                <w:sz w:val="20"/>
                <w:szCs w:val="20"/>
              </w:rPr>
              <w:t xml:space="preserve">Board considers </w:t>
            </w:r>
            <w:r>
              <w:rPr>
                <w:color w:val="auto"/>
                <w:sz w:val="20"/>
                <w:szCs w:val="20"/>
              </w:rPr>
              <w:t>that the development of the registration standard meets the objectives and guiding principles of the National Law and will support workforce flexibility.</w:t>
            </w:r>
          </w:p>
          <w:p w:rsidR="00D70CB3" w:rsidRPr="00541CEF" w:rsidRDefault="00D70CB3" w:rsidP="0078630E">
            <w:pPr>
              <w:pStyle w:val="AHPRAHeadline"/>
              <w:spacing w:before="120" w:after="120"/>
              <w:ind w:left="142"/>
              <w:outlineLvl w:val="0"/>
              <w:rPr>
                <w:color w:val="auto"/>
                <w:sz w:val="20"/>
                <w:szCs w:val="20"/>
              </w:rPr>
            </w:pPr>
            <w:r w:rsidRPr="00541CEF">
              <w:rPr>
                <w:color w:val="auto"/>
                <w:sz w:val="20"/>
                <w:szCs w:val="20"/>
              </w:rPr>
              <w:t>In addition, the following we</w:t>
            </w:r>
            <w:r>
              <w:rPr>
                <w:color w:val="auto"/>
                <w:sz w:val="20"/>
                <w:szCs w:val="20"/>
              </w:rPr>
              <w:t>re considered in determining if there is a</w:t>
            </w:r>
            <w:r w:rsidRPr="00541CEF">
              <w:rPr>
                <w:color w:val="auto"/>
                <w:sz w:val="20"/>
                <w:szCs w:val="20"/>
              </w:rPr>
              <w:t xml:space="preserve"> need for the endorsement:</w:t>
            </w:r>
          </w:p>
          <w:p w:rsidR="00D70CB3" w:rsidRPr="00FB1194" w:rsidRDefault="00D70CB3" w:rsidP="00D312E5">
            <w:pPr>
              <w:numPr>
                <w:ilvl w:val="0"/>
                <w:numId w:val="21"/>
              </w:numPr>
              <w:spacing w:before="120" w:after="0"/>
              <w:ind w:left="369" w:hanging="227"/>
              <w:outlineLvl w:val="0"/>
              <w:rPr>
                <w:rFonts w:cs="Arial"/>
                <w:sz w:val="20"/>
                <w:szCs w:val="20"/>
              </w:rPr>
            </w:pPr>
            <w:r w:rsidRPr="00FB1194">
              <w:rPr>
                <w:rFonts w:cs="Arial"/>
                <w:sz w:val="20"/>
                <w:szCs w:val="20"/>
              </w:rPr>
              <w:t xml:space="preserve">circumstances in which a </w:t>
            </w:r>
            <w:r>
              <w:rPr>
                <w:rFonts w:cs="Arial"/>
                <w:sz w:val="20"/>
                <w:szCs w:val="20"/>
              </w:rPr>
              <w:t xml:space="preserve">registered </w:t>
            </w:r>
            <w:r w:rsidRPr="00FB1194">
              <w:rPr>
                <w:rFonts w:cs="Arial"/>
                <w:sz w:val="20"/>
                <w:szCs w:val="20"/>
              </w:rPr>
              <w:t>nurse</w:t>
            </w:r>
            <w:r w:rsidR="00D312E5">
              <w:rPr>
                <w:rFonts w:cs="Arial"/>
                <w:sz w:val="20"/>
                <w:szCs w:val="20"/>
              </w:rPr>
              <w:t xml:space="preserve"> (RN) w</w:t>
            </w:r>
            <w:r>
              <w:rPr>
                <w:rFonts w:cs="Arial"/>
                <w:sz w:val="20"/>
                <w:szCs w:val="20"/>
              </w:rPr>
              <w:t xml:space="preserve">ould prescribe </w:t>
            </w:r>
            <w:r w:rsidR="00D312E5">
              <w:rPr>
                <w:rFonts w:cs="Arial"/>
                <w:sz w:val="20"/>
                <w:szCs w:val="20"/>
              </w:rPr>
              <w:t>medicine</w:t>
            </w:r>
          </w:p>
          <w:p w:rsidR="00D70CB3" w:rsidRDefault="00D70CB3" w:rsidP="00D312E5">
            <w:pPr>
              <w:numPr>
                <w:ilvl w:val="0"/>
                <w:numId w:val="21"/>
              </w:numPr>
              <w:spacing w:before="120" w:after="0"/>
              <w:ind w:left="369" w:hanging="227"/>
              <w:outlineLvl w:val="0"/>
              <w:rPr>
                <w:rFonts w:cs="Arial"/>
                <w:sz w:val="20"/>
                <w:szCs w:val="20"/>
              </w:rPr>
            </w:pPr>
            <w:r w:rsidRPr="00FB1194">
              <w:rPr>
                <w:rFonts w:cs="Arial"/>
                <w:sz w:val="20"/>
                <w:szCs w:val="20"/>
              </w:rPr>
              <w:t>the</w:t>
            </w:r>
            <w:r>
              <w:rPr>
                <w:rFonts w:cs="Arial"/>
                <w:sz w:val="20"/>
                <w:szCs w:val="20"/>
              </w:rPr>
              <w:t xml:space="preserve"> drugs and poisons</w:t>
            </w:r>
            <w:r w:rsidRPr="00FB1194">
              <w:rPr>
                <w:rFonts w:cs="Arial"/>
                <w:sz w:val="20"/>
                <w:szCs w:val="20"/>
              </w:rPr>
              <w:t xml:space="preserve"> legislative requiremen</w:t>
            </w:r>
            <w:r>
              <w:rPr>
                <w:rFonts w:cs="Arial"/>
                <w:sz w:val="20"/>
                <w:szCs w:val="20"/>
              </w:rPr>
              <w:t>ts in the states and territories</w:t>
            </w:r>
            <w:r w:rsidR="00D312E5">
              <w:rPr>
                <w:rFonts w:cs="Arial"/>
                <w:sz w:val="20"/>
                <w:szCs w:val="20"/>
              </w:rPr>
              <w:t>, and</w:t>
            </w:r>
          </w:p>
          <w:p w:rsidR="00D70CB3" w:rsidRPr="00D24877" w:rsidRDefault="00097C57" w:rsidP="00D312E5">
            <w:pPr>
              <w:numPr>
                <w:ilvl w:val="0"/>
                <w:numId w:val="21"/>
              </w:numPr>
              <w:spacing w:before="120" w:after="0"/>
              <w:ind w:left="369" w:hanging="227"/>
              <w:outlineLvl w:val="0"/>
              <w:rPr>
                <w:rFonts w:cs="Arial"/>
                <w:sz w:val="20"/>
                <w:szCs w:val="20"/>
              </w:rPr>
            </w:pPr>
            <w:r>
              <w:rPr>
                <w:rFonts w:cs="Arial"/>
                <w:sz w:val="20"/>
                <w:szCs w:val="20"/>
              </w:rPr>
              <w:t>the education required to prescribe medicines</w:t>
            </w:r>
            <w:r w:rsidR="00D70CB3" w:rsidRPr="00280A3B">
              <w:rPr>
                <w:rFonts w:cs="Arial"/>
                <w:sz w:val="20"/>
                <w:szCs w:val="20"/>
              </w:rPr>
              <w:t>.</w:t>
            </w:r>
          </w:p>
        </w:tc>
      </w:tr>
      <w:tr w:rsidR="00D70CB3" w:rsidRPr="007011BB" w:rsidTr="0078630E">
        <w:tc>
          <w:tcPr>
            <w:tcW w:w="9242" w:type="dxa"/>
          </w:tcPr>
          <w:p w:rsidR="00D70CB3" w:rsidRDefault="00D70CB3" w:rsidP="0078630E">
            <w:pPr>
              <w:pStyle w:val="AHPRAHeadline"/>
              <w:spacing w:before="120" w:after="0"/>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D70CB3" w:rsidTr="0078630E">
              <w:tc>
                <w:tcPr>
                  <w:tcW w:w="9011" w:type="dxa"/>
                  <w:tcBorders>
                    <w:top w:val="single" w:sz="4" w:space="0" w:color="auto"/>
                    <w:left w:val="single" w:sz="4" w:space="0" w:color="auto"/>
                    <w:bottom w:val="single" w:sz="4" w:space="0" w:color="auto"/>
                    <w:right w:val="single" w:sz="4" w:space="0" w:color="auto"/>
                  </w:tcBorders>
                </w:tcPr>
                <w:p w:rsidR="00D70CB3" w:rsidRPr="00CF171D" w:rsidRDefault="00D70CB3" w:rsidP="00D70CB3">
                  <w:pPr>
                    <w:pStyle w:val="AHPRAHeadline"/>
                    <w:numPr>
                      <w:ilvl w:val="0"/>
                      <w:numId w:val="19"/>
                    </w:numPr>
                    <w:spacing w:before="60" w:after="60"/>
                    <w:ind w:left="454" w:hanging="425"/>
                    <w:outlineLvl w:val="0"/>
                    <w:rPr>
                      <w:b/>
                      <w:color w:val="365F91"/>
                      <w:sz w:val="20"/>
                      <w:szCs w:val="20"/>
                    </w:rPr>
                  </w:pPr>
                  <w:r w:rsidRPr="00CF171D">
                    <w:rPr>
                      <w:b/>
                      <w:color w:val="365F91"/>
                      <w:sz w:val="20"/>
                      <w:szCs w:val="20"/>
                    </w:rPr>
                    <w:t>The consultation requirements of the National Law are met</w:t>
                  </w:r>
                </w:p>
              </w:tc>
            </w:tr>
          </w:tbl>
          <w:p w:rsidR="00D70CB3" w:rsidRPr="007011BB" w:rsidRDefault="00D70CB3" w:rsidP="0078630E">
            <w:pPr>
              <w:pStyle w:val="AHPRAHeadline"/>
              <w:spacing w:before="120" w:after="120"/>
              <w:ind w:left="142"/>
              <w:outlineLvl w:val="0"/>
              <w:rPr>
                <w:rFonts w:cs="Arial"/>
                <w:b/>
                <w:color w:val="auto"/>
                <w:sz w:val="20"/>
                <w:szCs w:val="20"/>
              </w:rPr>
            </w:pPr>
            <w:r w:rsidRPr="007011BB">
              <w:rPr>
                <w:rFonts w:cs="Arial"/>
                <w:b/>
                <w:color w:val="auto"/>
                <w:sz w:val="20"/>
                <w:szCs w:val="20"/>
              </w:rPr>
              <w:t>Board assessment</w:t>
            </w:r>
          </w:p>
          <w:p w:rsidR="00D70CB3" w:rsidRPr="00961979" w:rsidRDefault="00D70CB3" w:rsidP="0078630E">
            <w:pPr>
              <w:pStyle w:val="AHPRAHeadline"/>
              <w:spacing w:before="120" w:after="0"/>
              <w:ind w:left="142"/>
              <w:outlineLvl w:val="0"/>
              <w:rPr>
                <w:i/>
                <w:color w:val="auto"/>
                <w:sz w:val="20"/>
                <w:szCs w:val="20"/>
              </w:rPr>
            </w:pPr>
            <w:r w:rsidRPr="007011BB">
              <w:rPr>
                <w:color w:val="auto"/>
                <w:sz w:val="20"/>
                <w:szCs w:val="20"/>
              </w:rPr>
              <w:t>The National Law requires wide-ranging consultation on proposed registration standards</w:t>
            </w:r>
            <w:r w:rsidRPr="00961979">
              <w:rPr>
                <w:i/>
                <w:color w:val="auto"/>
                <w:sz w:val="20"/>
                <w:szCs w:val="20"/>
              </w:rPr>
              <w:t>.  The National Law also requires the National Board to consult other National Boards on matters of shared interest.</w:t>
            </w:r>
          </w:p>
          <w:p w:rsidR="00D70CB3" w:rsidRDefault="00D70CB3" w:rsidP="0078630E">
            <w:pPr>
              <w:pStyle w:val="AHPRAHeadline"/>
              <w:spacing w:before="120" w:after="0"/>
              <w:ind w:left="142"/>
              <w:outlineLvl w:val="0"/>
              <w:rPr>
                <w:color w:val="auto"/>
                <w:sz w:val="20"/>
                <w:szCs w:val="20"/>
              </w:rPr>
            </w:pPr>
            <w:r w:rsidRPr="00961979">
              <w:rPr>
                <w:i/>
                <w:color w:val="auto"/>
                <w:sz w:val="20"/>
                <w:szCs w:val="20"/>
              </w:rPr>
              <w:t>The Nat</w:t>
            </w:r>
            <w:r>
              <w:rPr>
                <w:color w:val="auto"/>
                <w:sz w:val="20"/>
                <w:szCs w:val="20"/>
              </w:rPr>
              <w:t xml:space="preserve">ional </w:t>
            </w:r>
            <w:r w:rsidRPr="007011BB">
              <w:rPr>
                <w:color w:val="auto"/>
                <w:sz w:val="20"/>
                <w:szCs w:val="20"/>
              </w:rPr>
              <w:t xml:space="preserve">Board </w:t>
            </w:r>
            <w:r>
              <w:rPr>
                <w:color w:val="auto"/>
                <w:sz w:val="20"/>
                <w:szCs w:val="20"/>
              </w:rPr>
              <w:t>will ensure</w:t>
            </w:r>
            <w:r w:rsidRPr="007011BB">
              <w:rPr>
                <w:color w:val="auto"/>
                <w:sz w:val="20"/>
                <w:szCs w:val="20"/>
              </w:rPr>
              <w:t xml:space="preserve"> that there is public exposure of its proposal and the</w:t>
            </w:r>
            <w:r>
              <w:rPr>
                <w:color w:val="auto"/>
                <w:sz w:val="20"/>
                <w:szCs w:val="20"/>
              </w:rPr>
              <w:t>re is the</w:t>
            </w:r>
            <w:r w:rsidRPr="007011BB">
              <w:rPr>
                <w:color w:val="auto"/>
                <w:sz w:val="20"/>
                <w:szCs w:val="20"/>
              </w:rPr>
              <w:t xml:space="preserve"> opportunity for public comment by undertaking a</w:t>
            </w:r>
            <w:r>
              <w:rPr>
                <w:color w:val="auto"/>
                <w:sz w:val="20"/>
                <w:szCs w:val="20"/>
              </w:rPr>
              <w:t xml:space="preserve">n eight </w:t>
            </w:r>
            <w:r w:rsidRPr="007011BB">
              <w:rPr>
                <w:color w:val="auto"/>
                <w:sz w:val="20"/>
                <w:szCs w:val="20"/>
              </w:rPr>
              <w:t xml:space="preserve">week public consultation process.  This process includes the publication of the consultation paper </w:t>
            </w:r>
            <w:r>
              <w:rPr>
                <w:color w:val="auto"/>
                <w:sz w:val="20"/>
                <w:szCs w:val="20"/>
              </w:rPr>
              <w:t xml:space="preserve">(and attachments) </w:t>
            </w:r>
            <w:r w:rsidRPr="007011BB">
              <w:rPr>
                <w:color w:val="auto"/>
                <w:sz w:val="20"/>
                <w:szCs w:val="20"/>
              </w:rPr>
              <w:t xml:space="preserve">on its website.  </w:t>
            </w:r>
          </w:p>
          <w:p w:rsidR="00D70CB3" w:rsidRPr="00D24877" w:rsidRDefault="00D70CB3" w:rsidP="0078630E">
            <w:pPr>
              <w:pStyle w:val="AHPRAHeadline"/>
              <w:spacing w:before="120" w:after="0"/>
              <w:ind w:left="142"/>
              <w:outlineLvl w:val="0"/>
              <w:rPr>
                <w:color w:val="auto"/>
                <w:sz w:val="20"/>
                <w:szCs w:val="20"/>
              </w:rPr>
            </w:pPr>
            <w:r w:rsidRPr="007011BB">
              <w:rPr>
                <w:color w:val="auto"/>
                <w:sz w:val="20"/>
                <w:szCs w:val="20"/>
              </w:rPr>
              <w:t xml:space="preserve">The </w:t>
            </w:r>
            <w:r>
              <w:rPr>
                <w:color w:val="auto"/>
                <w:sz w:val="20"/>
                <w:szCs w:val="20"/>
              </w:rPr>
              <w:t xml:space="preserve">National </w:t>
            </w:r>
            <w:r w:rsidRPr="007011BB">
              <w:rPr>
                <w:color w:val="auto"/>
                <w:sz w:val="20"/>
                <w:szCs w:val="20"/>
              </w:rPr>
              <w:t xml:space="preserve">Board has drawn this paper to the attention </w:t>
            </w:r>
            <w:r>
              <w:rPr>
                <w:color w:val="auto"/>
                <w:sz w:val="20"/>
                <w:szCs w:val="20"/>
              </w:rPr>
              <w:t>of the 14 other National Boards, and key stakeholders</w:t>
            </w:r>
            <w:r w:rsidRPr="007011BB">
              <w:rPr>
                <w:color w:val="auto"/>
                <w:sz w:val="20"/>
                <w:szCs w:val="20"/>
              </w:rPr>
              <w:t xml:space="preserve">. The </w:t>
            </w:r>
            <w:r>
              <w:rPr>
                <w:color w:val="auto"/>
                <w:sz w:val="20"/>
                <w:szCs w:val="20"/>
              </w:rPr>
              <w:t xml:space="preserve">National </w:t>
            </w:r>
            <w:r w:rsidRPr="007011BB">
              <w:rPr>
                <w:color w:val="auto"/>
                <w:sz w:val="20"/>
                <w:szCs w:val="20"/>
              </w:rPr>
              <w:t xml:space="preserve">Board will take into account the </w:t>
            </w:r>
            <w:r>
              <w:rPr>
                <w:color w:val="auto"/>
                <w:sz w:val="20"/>
                <w:szCs w:val="20"/>
              </w:rPr>
              <w:t>feedback i</w:t>
            </w:r>
            <w:r w:rsidRPr="007011BB">
              <w:rPr>
                <w:color w:val="auto"/>
                <w:sz w:val="20"/>
                <w:szCs w:val="20"/>
              </w:rPr>
              <w:t>t receives when finalising its</w:t>
            </w:r>
            <w:r>
              <w:rPr>
                <w:color w:val="auto"/>
                <w:sz w:val="20"/>
                <w:szCs w:val="20"/>
              </w:rPr>
              <w:t xml:space="preserve"> proposal </w:t>
            </w:r>
            <w:r w:rsidRPr="007011BB">
              <w:rPr>
                <w:color w:val="auto"/>
                <w:sz w:val="20"/>
                <w:szCs w:val="20"/>
              </w:rPr>
              <w:t>f</w:t>
            </w:r>
            <w:r>
              <w:rPr>
                <w:color w:val="auto"/>
                <w:sz w:val="20"/>
                <w:szCs w:val="20"/>
              </w:rPr>
              <w:t>or submission to the COAG Health</w:t>
            </w:r>
            <w:r w:rsidRPr="007011BB">
              <w:rPr>
                <w:color w:val="auto"/>
                <w:sz w:val="20"/>
                <w:szCs w:val="20"/>
              </w:rPr>
              <w:t xml:space="preserve"> Council for approval</w:t>
            </w:r>
            <w:r>
              <w:rPr>
                <w:color w:val="auto"/>
                <w:sz w:val="20"/>
                <w:szCs w:val="20"/>
              </w:rPr>
              <w:t>.</w:t>
            </w:r>
          </w:p>
        </w:tc>
      </w:tr>
      <w:tr w:rsidR="00D70CB3" w:rsidRPr="0084584D" w:rsidTr="0078630E">
        <w:tc>
          <w:tcPr>
            <w:tcW w:w="9242" w:type="dxa"/>
          </w:tcPr>
          <w:p w:rsidR="00D70CB3" w:rsidRDefault="00D70CB3" w:rsidP="0078630E">
            <w:pPr>
              <w:pStyle w:val="AHPRAHeadline"/>
              <w:spacing w:before="120" w:after="0"/>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D70CB3" w:rsidTr="0078630E">
              <w:tc>
                <w:tcPr>
                  <w:tcW w:w="9011" w:type="dxa"/>
                  <w:tcBorders>
                    <w:top w:val="single" w:sz="4" w:space="0" w:color="auto"/>
                    <w:left w:val="single" w:sz="4" w:space="0" w:color="auto"/>
                    <w:bottom w:val="single" w:sz="4" w:space="0" w:color="auto"/>
                    <w:right w:val="single" w:sz="4" w:space="0" w:color="auto"/>
                  </w:tcBorders>
                </w:tcPr>
                <w:p w:rsidR="00D70CB3" w:rsidRPr="00CF171D" w:rsidRDefault="00D70CB3" w:rsidP="00D70CB3">
                  <w:pPr>
                    <w:pStyle w:val="AHPRAHeadline"/>
                    <w:numPr>
                      <w:ilvl w:val="0"/>
                      <w:numId w:val="19"/>
                    </w:numPr>
                    <w:spacing w:before="60" w:after="60"/>
                    <w:ind w:left="454" w:hanging="425"/>
                    <w:outlineLvl w:val="0"/>
                    <w:rPr>
                      <w:b/>
                      <w:color w:val="365F91"/>
                      <w:sz w:val="20"/>
                      <w:szCs w:val="20"/>
                    </w:rPr>
                  </w:pPr>
                  <w:r w:rsidRPr="00CF171D">
                    <w:rPr>
                      <w:b/>
                      <w:color w:val="365F91"/>
                      <w:sz w:val="20"/>
                      <w:szCs w:val="20"/>
                    </w:rPr>
                    <w:t>The proposal takes into account the COAG Principles for Best Practice Regulation</w:t>
                  </w:r>
                </w:p>
              </w:tc>
            </w:tr>
          </w:tbl>
          <w:p w:rsidR="00D70CB3" w:rsidRPr="007011BB" w:rsidRDefault="00D70CB3" w:rsidP="0078630E">
            <w:pPr>
              <w:pStyle w:val="AHPRAHeadline"/>
              <w:spacing w:before="120" w:after="0"/>
              <w:ind w:left="426" w:hanging="284"/>
              <w:outlineLvl w:val="0"/>
              <w:rPr>
                <w:rFonts w:cs="Arial"/>
                <w:b/>
                <w:i/>
                <w:color w:val="7F7F7F"/>
                <w:sz w:val="20"/>
                <w:szCs w:val="20"/>
              </w:rPr>
            </w:pPr>
            <w:r w:rsidRPr="007011BB">
              <w:rPr>
                <w:rFonts w:cs="Arial"/>
                <w:b/>
                <w:color w:val="auto"/>
                <w:sz w:val="20"/>
                <w:szCs w:val="20"/>
              </w:rPr>
              <w:t>Board assessment</w:t>
            </w:r>
          </w:p>
          <w:p w:rsidR="00D70CB3" w:rsidRPr="00D312E5" w:rsidRDefault="00D70CB3" w:rsidP="00D312E5">
            <w:pPr>
              <w:pStyle w:val="AHPRAHeadline"/>
              <w:spacing w:before="120" w:after="0"/>
              <w:ind w:left="142"/>
              <w:outlineLvl w:val="0"/>
              <w:rPr>
                <w:rFonts w:cs="Arial"/>
                <w:i/>
                <w:color w:val="000000"/>
                <w:sz w:val="20"/>
                <w:szCs w:val="20"/>
                <w:lang w:val="en-AU" w:eastAsia="en-AU"/>
              </w:rPr>
            </w:pPr>
            <w:r w:rsidRPr="007011BB">
              <w:rPr>
                <w:rFonts w:cs="Arial"/>
                <w:color w:val="auto"/>
                <w:sz w:val="20"/>
                <w:szCs w:val="20"/>
              </w:rPr>
              <w:t xml:space="preserve">In </w:t>
            </w:r>
            <w:r>
              <w:rPr>
                <w:rFonts w:cs="Arial"/>
                <w:color w:val="auto"/>
                <w:sz w:val="20"/>
                <w:szCs w:val="20"/>
              </w:rPr>
              <w:t xml:space="preserve">considering the development of the </w:t>
            </w:r>
            <w:r w:rsidR="00D312E5" w:rsidRPr="00D312E5">
              <w:rPr>
                <w:rFonts w:cs="Arial"/>
                <w:color w:val="000000"/>
                <w:sz w:val="20"/>
                <w:szCs w:val="20"/>
                <w:lang w:eastAsia="en-AU"/>
              </w:rPr>
              <w:t>registration standard</w:t>
            </w:r>
            <w:r>
              <w:rPr>
                <w:rFonts w:cs="Arial"/>
                <w:i/>
                <w:color w:val="000000"/>
                <w:sz w:val="20"/>
                <w:szCs w:val="20"/>
                <w:lang w:val="en-AU" w:eastAsia="en-AU"/>
              </w:rPr>
              <w:t xml:space="preserve"> </w:t>
            </w:r>
            <w:r w:rsidRPr="007011BB">
              <w:rPr>
                <w:rFonts w:cs="Arial"/>
                <w:color w:val="auto"/>
                <w:sz w:val="20"/>
                <w:szCs w:val="20"/>
              </w:rPr>
              <w:t xml:space="preserve">the </w:t>
            </w:r>
            <w:r>
              <w:rPr>
                <w:color w:val="auto"/>
                <w:sz w:val="20"/>
                <w:szCs w:val="20"/>
              </w:rPr>
              <w:t xml:space="preserve">National </w:t>
            </w:r>
            <w:r w:rsidRPr="007011BB">
              <w:rPr>
                <w:rFonts w:cs="Arial"/>
                <w:color w:val="auto"/>
                <w:sz w:val="20"/>
                <w:szCs w:val="20"/>
              </w:rPr>
              <w:t xml:space="preserve">Board has taken into account the Council of Australian Governments (COAG) </w:t>
            </w:r>
            <w:r w:rsidRPr="007011BB">
              <w:rPr>
                <w:rFonts w:cs="Arial"/>
                <w:i/>
                <w:color w:val="auto"/>
                <w:sz w:val="20"/>
                <w:szCs w:val="20"/>
              </w:rPr>
              <w:t>Principles for Best Practice Regulation</w:t>
            </w:r>
            <w:r w:rsidRPr="007011BB">
              <w:rPr>
                <w:rFonts w:cs="Arial"/>
                <w:color w:val="auto"/>
                <w:sz w:val="20"/>
                <w:szCs w:val="20"/>
              </w:rPr>
              <w:t xml:space="preserve">.  </w:t>
            </w:r>
          </w:p>
          <w:p w:rsidR="00D70CB3" w:rsidRDefault="00D70CB3" w:rsidP="0078630E">
            <w:pPr>
              <w:pStyle w:val="AHPRAHeadline"/>
              <w:spacing w:before="120" w:after="0"/>
              <w:ind w:left="142"/>
              <w:outlineLvl w:val="0"/>
              <w:rPr>
                <w:rFonts w:cs="Arial"/>
                <w:color w:val="auto"/>
                <w:sz w:val="20"/>
                <w:szCs w:val="20"/>
              </w:rPr>
            </w:pPr>
            <w:r w:rsidRPr="007011BB">
              <w:rPr>
                <w:rFonts w:cs="Arial"/>
                <w:color w:val="auto"/>
                <w:sz w:val="20"/>
                <w:szCs w:val="20"/>
              </w:rPr>
              <w:lastRenderedPageBreak/>
              <w:t xml:space="preserve">As an overall statement, the </w:t>
            </w:r>
            <w:r>
              <w:rPr>
                <w:color w:val="auto"/>
                <w:sz w:val="20"/>
                <w:szCs w:val="20"/>
              </w:rPr>
              <w:t xml:space="preserve">National </w:t>
            </w:r>
            <w:r w:rsidRPr="007011BB">
              <w:rPr>
                <w:rFonts w:cs="Arial"/>
                <w:color w:val="auto"/>
                <w:sz w:val="20"/>
                <w:szCs w:val="20"/>
              </w:rPr>
              <w:t xml:space="preserve">Board has taken care not to propose unnecessary regulatory burdens that would create unjustified costs for the profession or the community.  </w:t>
            </w:r>
          </w:p>
          <w:p w:rsidR="00D70CB3" w:rsidRDefault="00D70CB3" w:rsidP="0078630E">
            <w:pPr>
              <w:pStyle w:val="AHPRAHeadline"/>
              <w:spacing w:before="120" w:after="0"/>
              <w:ind w:left="142"/>
              <w:outlineLvl w:val="0"/>
              <w:rPr>
                <w:rFonts w:cs="Arial"/>
                <w:color w:val="000000"/>
                <w:sz w:val="20"/>
                <w:szCs w:val="20"/>
              </w:rPr>
            </w:pPr>
            <w:r w:rsidRPr="007011BB">
              <w:rPr>
                <w:rFonts w:cs="Arial"/>
                <w:color w:val="auto"/>
                <w:sz w:val="20"/>
                <w:szCs w:val="20"/>
              </w:rPr>
              <w:t xml:space="preserve">The </w:t>
            </w:r>
            <w:r>
              <w:rPr>
                <w:color w:val="auto"/>
                <w:sz w:val="20"/>
                <w:szCs w:val="20"/>
              </w:rPr>
              <w:t xml:space="preserve">National </w:t>
            </w:r>
            <w:r w:rsidRPr="007011BB">
              <w:rPr>
                <w:rFonts w:cs="Arial"/>
                <w:color w:val="auto"/>
                <w:sz w:val="20"/>
                <w:szCs w:val="20"/>
              </w:rPr>
              <w:t xml:space="preserve">Board makes the </w:t>
            </w:r>
            <w:r w:rsidRPr="007011BB">
              <w:rPr>
                <w:rFonts w:cs="Arial"/>
                <w:color w:val="000000"/>
                <w:sz w:val="20"/>
                <w:szCs w:val="20"/>
              </w:rPr>
              <w:t xml:space="preserve">following assessment specific to each of the </w:t>
            </w:r>
            <w:r>
              <w:rPr>
                <w:rFonts w:cs="Arial"/>
                <w:color w:val="000000"/>
                <w:sz w:val="20"/>
                <w:szCs w:val="20"/>
              </w:rPr>
              <w:t>COAG Principles expressed in the AHPRA procedures.</w:t>
            </w:r>
          </w:p>
          <w:p w:rsidR="00D70CB3" w:rsidRPr="00AE450D" w:rsidRDefault="00D70CB3" w:rsidP="00D70CB3">
            <w:pPr>
              <w:pStyle w:val="AHPRAHeadline"/>
              <w:numPr>
                <w:ilvl w:val="0"/>
                <w:numId w:val="20"/>
              </w:numPr>
              <w:spacing w:before="120" w:after="0"/>
              <w:ind w:left="567" w:hanging="425"/>
              <w:outlineLvl w:val="0"/>
              <w:rPr>
                <w:rFonts w:cs="Arial"/>
                <w:b/>
                <w:color w:val="365F91"/>
                <w:sz w:val="20"/>
                <w:szCs w:val="20"/>
              </w:rPr>
            </w:pPr>
            <w:r w:rsidRPr="00AE450D">
              <w:rPr>
                <w:rFonts w:cs="Arial"/>
                <w:b/>
                <w:color w:val="365F91"/>
                <w:sz w:val="20"/>
                <w:szCs w:val="20"/>
              </w:rPr>
              <w:t xml:space="preserve">Whether </w:t>
            </w:r>
            <w:r>
              <w:rPr>
                <w:rFonts w:cs="Arial"/>
                <w:b/>
                <w:color w:val="365F91"/>
                <w:sz w:val="20"/>
                <w:szCs w:val="20"/>
              </w:rPr>
              <w:t>the proposal</w:t>
            </w:r>
            <w:r w:rsidRPr="00AE450D">
              <w:rPr>
                <w:rFonts w:cs="Arial"/>
                <w:b/>
                <w:color w:val="365F91"/>
                <w:sz w:val="20"/>
                <w:szCs w:val="20"/>
              </w:rPr>
              <w:t xml:space="preserve"> is the best option for achieving the </w:t>
            </w:r>
            <w:r>
              <w:rPr>
                <w:rFonts w:cs="Arial"/>
                <w:b/>
                <w:color w:val="365F91"/>
                <w:sz w:val="20"/>
                <w:szCs w:val="20"/>
              </w:rPr>
              <w:t xml:space="preserve">proposal’s </w:t>
            </w:r>
            <w:r w:rsidRPr="00AE450D">
              <w:rPr>
                <w:rFonts w:cs="Arial"/>
                <w:b/>
                <w:color w:val="365F91"/>
                <w:sz w:val="20"/>
                <w:szCs w:val="20"/>
              </w:rPr>
              <w:t xml:space="preserve">stated </w:t>
            </w:r>
            <w:r>
              <w:rPr>
                <w:rFonts w:cs="Arial"/>
                <w:b/>
                <w:color w:val="365F91"/>
                <w:sz w:val="20"/>
                <w:szCs w:val="20"/>
              </w:rPr>
              <w:t>purpose</w:t>
            </w:r>
            <w:r w:rsidRPr="00AE450D">
              <w:rPr>
                <w:rFonts w:cs="Arial"/>
                <w:b/>
                <w:color w:val="365F91"/>
                <w:sz w:val="20"/>
                <w:szCs w:val="20"/>
              </w:rPr>
              <w:t xml:space="preserve"> and protection of the public</w:t>
            </w:r>
            <w:r>
              <w:rPr>
                <w:rFonts w:cs="Arial"/>
                <w:b/>
                <w:color w:val="365F91"/>
                <w:sz w:val="20"/>
                <w:szCs w:val="20"/>
              </w:rPr>
              <w:t xml:space="preserve">  </w:t>
            </w:r>
          </w:p>
          <w:p w:rsidR="00D70CB3" w:rsidRPr="00AE450D" w:rsidRDefault="00D70CB3" w:rsidP="0078630E">
            <w:pPr>
              <w:pStyle w:val="AHPRAHeadline"/>
              <w:spacing w:before="120" w:after="120"/>
              <w:ind w:left="142"/>
              <w:outlineLvl w:val="0"/>
              <w:rPr>
                <w:rFonts w:cs="Arial"/>
                <w:b/>
                <w:color w:val="auto"/>
                <w:sz w:val="20"/>
                <w:szCs w:val="20"/>
              </w:rPr>
            </w:pPr>
            <w:r w:rsidRPr="00AE450D">
              <w:rPr>
                <w:rFonts w:cs="Arial"/>
                <w:b/>
                <w:color w:val="auto"/>
                <w:sz w:val="20"/>
                <w:szCs w:val="20"/>
              </w:rPr>
              <w:t>Board assessment</w:t>
            </w:r>
          </w:p>
          <w:p w:rsidR="00D70CB3" w:rsidRDefault="00D70CB3" w:rsidP="0078630E">
            <w:pPr>
              <w:pStyle w:val="AHPRAHeadline"/>
              <w:spacing w:before="120" w:after="0"/>
              <w:ind w:left="142"/>
              <w:outlineLvl w:val="0"/>
              <w:rPr>
                <w:rFonts w:cs="Arial"/>
                <w:color w:val="auto"/>
                <w:sz w:val="20"/>
                <w:szCs w:val="20"/>
              </w:rPr>
            </w:pPr>
            <w:r>
              <w:rPr>
                <w:rFonts w:cs="Arial"/>
                <w:color w:val="auto"/>
                <w:sz w:val="20"/>
                <w:szCs w:val="20"/>
              </w:rPr>
              <w:t xml:space="preserve">It is the </w:t>
            </w:r>
            <w:r>
              <w:rPr>
                <w:color w:val="auto"/>
                <w:sz w:val="20"/>
                <w:szCs w:val="20"/>
              </w:rPr>
              <w:t xml:space="preserve">National </w:t>
            </w:r>
            <w:r>
              <w:rPr>
                <w:rFonts w:cs="Arial"/>
                <w:color w:val="auto"/>
                <w:sz w:val="20"/>
                <w:szCs w:val="20"/>
              </w:rPr>
              <w:t>Board’s view that the development of the registration standard is the best option for achieving the stated purposes.</w:t>
            </w:r>
          </w:p>
          <w:p w:rsidR="00D70CB3" w:rsidRPr="003B307E" w:rsidRDefault="00D70CB3" w:rsidP="0078630E">
            <w:pPr>
              <w:pStyle w:val="AHPRAHeadline"/>
              <w:spacing w:before="120" w:after="0"/>
              <w:ind w:left="142"/>
              <w:outlineLvl w:val="0"/>
              <w:rPr>
                <w:rFonts w:cs="Arial"/>
                <w:color w:val="auto"/>
                <w:szCs w:val="20"/>
              </w:rPr>
            </w:pPr>
            <w:r>
              <w:rPr>
                <w:rFonts w:cs="Arial"/>
                <w:color w:val="auto"/>
                <w:sz w:val="20"/>
                <w:szCs w:val="20"/>
              </w:rPr>
              <w:t xml:space="preserve">The </w:t>
            </w:r>
            <w:r>
              <w:rPr>
                <w:color w:val="auto"/>
                <w:sz w:val="20"/>
                <w:szCs w:val="20"/>
              </w:rPr>
              <w:t xml:space="preserve">National </w:t>
            </w:r>
            <w:r>
              <w:rPr>
                <w:rFonts w:cs="Arial"/>
                <w:color w:val="auto"/>
                <w:sz w:val="20"/>
                <w:szCs w:val="20"/>
              </w:rPr>
              <w:t>Board considers the</w:t>
            </w:r>
            <w:r w:rsidRPr="000B11DC">
              <w:rPr>
                <w:rFonts w:cs="Arial"/>
                <w:color w:val="auto"/>
                <w:sz w:val="20"/>
                <w:szCs w:val="20"/>
              </w:rPr>
              <w:t xml:space="preserve"> </w:t>
            </w:r>
            <w:r>
              <w:rPr>
                <w:rFonts w:cs="Arial"/>
                <w:color w:val="auto"/>
                <w:sz w:val="20"/>
                <w:szCs w:val="20"/>
              </w:rPr>
              <w:t xml:space="preserve">development of the registration </w:t>
            </w:r>
            <w:r w:rsidRPr="000B11DC">
              <w:rPr>
                <w:rFonts w:cs="Arial"/>
                <w:color w:val="auto"/>
                <w:sz w:val="20"/>
                <w:szCs w:val="20"/>
              </w:rPr>
              <w:t>standard</w:t>
            </w:r>
            <w:r>
              <w:rPr>
                <w:rFonts w:cs="Arial"/>
                <w:color w:val="auto"/>
                <w:sz w:val="20"/>
                <w:szCs w:val="20"/>
              </w:rPr>
              <w:t xml:space="preserve">, if approved, would allow </w:t>
            </w:r>
            <w:r w:rsidR="00D312E5">
              <w:rPr>
                <w:rFonts w:cs="Arial"/>
                <w:color w:val="auto"/>
                <w:sz w:val="20"/>
                <w:szCs w:val="20"/>
              </w:rPr>
              <w:t>RN</w:t>
            </w:r>
            <w:r>
              <w:rPr>
                <w:rFonts w:cs="Arial"/>
                <w:color w:val="auto"/>
                <w:sz w:val="20"/>
                <w:szCs w:val="20"/>
              </w:rPr>
              <w:t xml:space="preserve">s to prescribe medicines in partnership to members of the public in accordance with relevant state and territory drugs and poisons legislation.  Enabling endorsed RNs to prescribe in partnership will safely and appropriately improve timely access to medicines for consumers and contribute to meeting the increased demand for health services. </w:t>
            </w:r>
          </w:p>
        </w:tc>
      </w:tr>
    </w:tbl>
    <w:p w:rsidR="00D70CB3" w:rsidRPr="00AE450D" w:rsidRDefault="00D70CB3" w:rsidP="00D70CB3">
      <w:pPr>
        <w:pStyle w:val="AHPRAHeadline"/>
        <w:numPr>
          <w:ilvl w:val="0"/>
          <w:numId w:val="20"/>
        </w:numPr>
        <w:spacing w:before="120" w:after="0"/>
        <w:ind w:left="567" w:hanging="425"/>
        <w:outlineLvl w:val="0"/>
        <w:rPr>
          <w:rFonts w:cs="Arial"/>
          <w:b/>
          <w:color w:val="365F91"/>
          <w:sz w:val="20"/>
          <w:szCs w:val="20"/>
        </w:rPr>
      </w:pPr>
      <w:r w:rsidRPr="00AE450D">
        <w:rPr>
          <w:rFonts w:cs="Arial"/>
          <w:b/>
          <w:color w:val="365F91"/>
          <w:sz w:val="20"/>
          <w:szCs w:val="20"/>
        </w:rPr>
        <w:lastRenderedPageBreak/>
        <w:t xml:space="preserve">Whether </w:t>
      </w:r>
      <w:r>
        <w:rPr>
          <w:rFonts w:cs="Arial"/>
          <w:b/>
          <w:color w:val="365F91"/>
          <w:sz w:val="20"/>
          <w:szCs w:val="20"/>
        </w:rPr>
        <w:t>the</w:t>
      </w:r>
      <w:r w:rsidRPr="00AE450D">
        <w:rPr>
          <w:rFonts w:cs="Arial"/>
          <w:b/>
          <w:color w:val="365F91"/>
          <w:sz w:val="20"/>
          <w:szCs w:val="20"/>
        </w:rPr>
        <w:t xml:space="preserve"> </w:t>
      </w:r>
      <w:r>
        <w:rPr>
          <w:rFonts w:cs="Arial"/>
          <w:b/>
          <w:color w:val="365F91"/>
          <w:sz w:val="20"/>
          <w:szCs w:val="20"/>
        </w:rPr>
        <w:t xml:space="preserve">proposal results in an unnecessary restriction of competition among health practitioners </w:t>
      </w:r>
    </w:p>
    <w:p w:rsidR="00D70CB3" w:rsidRPr="00AE450D" w:rsidRDefault="00D70CB3" w:rsidP="00D70CB3">
      <w:pPr>
        <w:pStyle w:val="AHPRAHeadline"/>
        <w:spacing w:before="120" w:after="120"/>
        <w:ind w:left="142"/>
        <w:outlineLvl w:val="0"/>
        <w:rPr>
          <w:rFonts w:cs="Arial"/>
          <w:b/>
          <w:color w:val="auto"/>
          <w:sz w:val="20"/>
          <w:szCs w:val="20"/>
        </w:rPr>
      </w:pPr>
      <w:r w:rsidRPr="00AE450D">
        <w:rPr>
          <w:rFonts w:cs="Arial"/>
          <w:b/>
          <w:color w:val="auto"/>
          <w:sz w:val="20"/>
          <w:szCs w:val="20"/>
        </w:rPr>
        <w:t>Board assessment</w:t>
      </w:r>
    </w:p>
    <w:p w:rsidR="00D70CB3" w:rsidRPr="00FF0F56" w:rsidRDefault="00D70CB3" w:rsidP="00D70CB3">
      <w:pPr>
        <w:pStyle w:val="AHPRAHeadline"/>
        <w:spacing w:before="120" w:after="0"/>
        <w:ind w:left="142"/>
        <w:outlineLvl w:val="0"/>
        <w:rPr>
          <w:rFonts w:cs="Arial"/>
          <w:color w:val="auto"/>
          <w:sz w:val="20"/>
          <w:szCs w:val="20"/>
        </w:rPr>
      </w:pPr>
      <w:r w:rsidRPr="000B11DC">
        <w:rPr>
          <w:rFonts w:cs="Arial"/>
          <w:color w:val="auto"/>
          <w:sz w:val="20"/>
          <w:szCs w:val="20"/>
        </w:rPr>
        <w:t xml:space="preserve">The </w:t>
      </w:r>
      <w:r>
        <w:rPr>
          <w:color w:val="auto"/>
          <w:sz w:val="20"/>
          <w:szCs w:val="20"/>
        </w:rPr>
        <w:t xml:space="preserve">National </w:t>
      </w:r>
      <w:r w:rsidRPr="000B11DC">
        <w:rPr>
          <w:rFonts w:cs="Arial"/>
          <w:color w:val="auto"/>
          <w:sz w:val="20"/>
          <w:szCs w:val="20"/>
        </w:rPr>
        <w:t xml:space="preserve">Board considered whether </w:t>
      </w:r>
      <w:r>
        <w:rPr>
          <w:rFonts w:cs="Arial"/>
          <w:color w:val="auto"/>
          <w:sz w:val="20"/>
          <w:szCs w:val="20"/>
        </w:rPr>
        <w:t>the development of the</w:t>
      </w:r>
      <w:r w:rsidRPr="000B11DC">
        <w:rPr>
          <w:rFonts w:cs="Arial"/>
          <w:color w:val="auto"/>
          <w:sz w:val="20"/>
          <w:szCs w:val="20"/>
        </w:rPr>
        <w:t xml:space="preserve"> </w:t>
      </w:r>
      <w:r w:rsidR="00D312E5" w:rsidRPr="00D312E5">
        <w:rPr>
          <w:rFonts w:cs="Arial"/>
          <w:color w:val="auto"/>
          <w:sz w:val="20"/>
          <w:szCs w:val="20"/>
        </w:rPr>
        <w:t>registration standard</w:t>
      </w:r>
      <w:r w:rsidRPr="00D312E5">
        <w:rPr>
          <w:rFonts w:cs="Arial"/>
          <w:color w:val="auto"/>
          <w:sz w:val="20"/>
          <w:szCs w:val="20"/>
          <w:lang w:val="en-AU"/>
        </w:rPr>
        <w:t xml:space="preserve"> </w:t>
      </w:r>
      <w:r w:rsidRPr="00D312E5">
        <w:rPr>
          <w:rFonts w:cs="Arial"/>
          <w:color w:val="auto"/>
          <w:sz w:val="20"/>
          <w:szCs w:val="20"/>
        </w:rPr>
        <w:t>could</w:t>
      </w:r>
      <w:r w:rsidRPr="000B11DC">
        <w:rPr>
          <w:rFonts w:cs="Arial"/>
          <w:color w:val="auto"/>
          <w:sz w:val="20"/>
          <w:szCs w:val="20"/>
        </w:rPr>
        <w:t xml:space="preserve"> result in an unnecessary restriction of </w:t>
      </w:r>
      <w:r w:rsidRPr="002B5E4B">
        <w:rPr>
          <w:rFonts w:cs="Arial"/>
          <w:color w:val="auto"/>
          <w:sz w:val="20"/>
          <w:szCs w:val="20"/>
        </w:rPr>
        <w:t xml:space="preserve">competition among </w:t>
      </w:r>
      <w:r>
        <w:rPr>
          <w:rFonts w:cs="Arial"/>
          <w:color w:val="auto"/>
          <w:sz w:val="20"/>
          <w:szCs w:val="20"/>
        </w:rPr>
        <w:t>health practitioners</w:t>
      </w:r>
      <w:r w:rsidRPr="000B11DC">
        <w:rPr>
          <w:rFonts w:cs="Arial"/>
          <w:color w:val="auto"/>
          <w:sz w:val="20"/>
          <w:szCs w:val="20"/>
        </w:rPr>
        <w:t xml:space="preserve">. </w:t>
      </w:r>
      <w:r w:rsidRPr="002B5E4B">
        <w:rPr>
          <w:rFonts w:cs="Arial"/>
          <w:color w:val="auto"/>
          <w:sz w:val="20"/>
          <w:szCs w:val="20"/>
        </w:rPr>
        <w:t xml:space="preserve">The </w:t>
      </w:r>
      <w:r>
        <w:rPr>
          <w:color w:val="auto"/>
          <w:sz w:val="20"/>
          <w:szCs w:val="20"/>
        </w:rPr>
        <w:t xml:space="preserve">National </w:t>
      </w:r>
      <w:r w:rsidRPr="002B5E4B">
        <w:rPr>
          <w:rFonts w:cs="Arial"/>
          <w:color w:val="auto"/>
          <w:sz w:val="20"/>
          <w:szCs w:val="20"/>
        </w:rPr>
        <w:t xml:space="preserve">Board </w:t>
      </w:r>
      <w:r>
        <w:rPr>
          <w:rFonts w:cs="Arial"/>
          <w:color w:val="auto"/>
          <w:sz w:val="20"/>
          <w:szCs w:val="20"/>
        </w:rPr>
        <w:t xml:space="preserve">considers </w:t>
      </w:r>
      <w:r w:rsidRPr="000B11DC">
        <w:rPr>
          <w:rFonts w:cs="Arial"/>
          <w:color w:val="auto"/>
          <w:sz w:val="20"/>
          <w:szCs w:val="20"/>
        </w:rPr>
        <w:t xml:space="preserve">the </w:t>
      </w:r>
      <w:r>
        <w:rPr>
          <w:rFonts w:cs="Arial"/>
          <w:color w:val="auto"/>
          <w:sz w:val="20"/>
          <w:szCs w:val="20"/>
        </w:rPr>
        <w:t xml:space="preserve">development of the </w:t>
      </w:r>
      <w:r w:rsidRPr="000B11DC">
        <w:rPr>
          <w:rFonts w:cs="Arial"/>
          <w:color w:val="auto"/>
          <w:sz w:val="20"/>
          <w:szCs w:val="20"/>
        </w:rPr>
        <w:t xml:space="preserve">standard will </w:t>
      </w:r>
      <w:r>
        <w:rPr>
          <w:rFonts w:cs="Arial"/>
          <w:color w:val="auto"/>
          <w:sz w:val="20"/>
          <w:szCs w:val="20"/>
        </w:rPr>
        <w:t xml:space="preserve">not result in a restriction of competition. </w:t>
      </w:r>
    </w:p>
    <w:p w:rsidR="00D70CB3" w:rsidRPr="00AE450D" w:rsidRDefault="00D70CB3" w:rsidP="00D70CB3">
      <w:pPr>
        <w:pStyle w:val="AHPRAHeadline"/>
        <w:numPr>
          <w:ilvl w:val="0"/>
          <w:numId w:val="20"/>
        </w:numPr>
        <w:spacing w:before="120" w:after="0"/>
        <w:ind w:left="567" w:hanging="425"/>
        <w:outlineLvl w:val="0"/>
        <w:rPr>
          <w:rFonts w:cs="Arial"/>
          <w:b/>
          <w:color w:val="365F91"/>
          <w:sz w:val="20"/>
          <w:szCs w:val="20"/>
        </w:rPr>
      </w:pPr>
      <w:r w:rsidRPr="00AE450D">
        <w:rPr>
          <w:rFonts w:cs="Arial"/>
          <w:b/>
          <w:color w:val="365F91"/>
          <w:sz w:val="20"/>
          <w:szCs w:val="20"/>
        </w:rPr>
        <w:t xml:space="preserve">Whether </w:t>
      </w:r>
      <w:r>
        <w:rPr>
          <w:rFonts w:cs="Arial"/>
          <w:b/>
          <w:color w:val="365F91"/>
          <w:sz w:val="20"/>
          <w:szCs w:val="20"/>
        </w:rPr>
        <w:t>the</w:t>
      </w:r>
      <w:r w:rsidRPr="00AE450D">
        <w:rPr>
          <w:rFonts w:cs="Arial"/>
          <w:b/>
          <w:color w:val="365F91"/>
          <w:sz w:val="20"/>
          <w:szCs w:val="20"/>
        </w:rPr>
        <w:t xml:space="preserve"> </w:t>
      </w:r>
      <w:r>
        <w:rPr>
          <w:rFonts w:cs="Arial"/>
          <w:b/>
          <w:color w:val="365F91"/>
          <w:sz w:val="20"/>
          <w:szCs w:val="20"/>
        </w:rPr>
        <w:t xml:space="preserve">proposal results in an unnecessary restriction of consumer choice </w:t>
      </w:r>
    </w:p>
    <w:p w:rsidR="00D70CB3" w:rsidRPr="00AE450D" w:rsidRDefault="00D70CB3" w:rsidP="00D70CB3">
      <w:pPr>
        <w:pStyle w:val="AHPRAHeadline"/>
        <w:spacing w:before="120" w:after="120"/>
        <w:ind w:left="142"/>
        <w:outlineLvl w:val="0"/>
        <w:rPr>
          <w:rFonts w:cs="Arial"/>
          <w:b/>
          <w:color w:val="auto"/>
          <w:sz w:val="20"/>
          <w:szCs w:val="20"/>
        </w:rPr>
      </w:pPr>
      <w:r w:rsidRPr="00AE450D">
        <w:rPr>
          <w:rFonts w:cs="Arial"/>
          <w:b/>
          <w:color w:val="auto"/>
          <w:sz w:val="20"/>
          <w:szCs w:val="20"/>
        </w:rPr>
        <w:t>Board assessment</w:t>
      </w:r>
    </w:p>
    <w:p w:rsidR="00D70CB3" w:rsidRPr="003B307E" w:rsidRDefault="00D70CB3" w:rsidP="00D70CB3">
      <w:pPr>
        <w:pStyle w:val="TableText"/>
        <w:keepNext w:val="0"/>
        <w:ind w:left="142"/>
        <w:rPr>
          <w:rFonts w:ascii="Arial" w:hAnsi="Arial" w:cs="Arial"/>
          <w:color w:val="auto"/>
          <w:szCs w:val="20"/>
        </w:rPr>
      </w:pPr>
      <w:r w:rsidRPr="00AE450D">
        <w:rPr>
          <w:rFonts w:ascii="Arial" w:hAnsi="Arial" w:cs="Arial"/>
          <w:color w:val="auto"/>
          <w:szCs w:val="20"/>
        </w:rPr>
        <w:t>The</w:t>
      </w:r>
      <w:r w:rsidRPr="00DF2D6D">
        <w:rPr>
          <w:rFonts w:ascii="Arial" w:hAnsi="Arial" w:cs="Arial"/>
          <w:color w:val="auto"/>
          <w:szCs w:val="20"/>
        </w:rPr>
        <w:t xml:space="preserve"> National</w:t>
      </w:r>
      <w:r>
        <w:rPr>
          <w:color w:val="auto"/>
          <w:szCs w:val="20"/>
        </w:rPr>
        <w:t xml:space="preserve"> </w:t>
      </w:r>
      <w:r w:rsidRPr="00AE450D">
        <w:rPr>
          <w:rFonts w:ascii="Arial" w:hAnsi="Arial" w:cs="Arial"/>
          <w:color w:val="auto"/>
          <w:szCs w:val="20"/>
        </w:rPr>
        <w:t xml:space="preserve">Board considers </w:t>
      </w:r>
      <w:r>
        <w:rPr>
          <w:rFonts w:ascii="Arial" w:hAnsi="Arial" w:cs="Arial"/>
          <w:color w:val="auto"/>
          <w:szCs w:val="20"/>
        </w:rPr>
        <w:t>consumer choice will be improved by the development of the registration standard</w:t>
      </w:r>
      <w:r w:rsidRPr="00DF2D6D">
        <w:rPr>
          <w:rFonts w:ascii="Arial" w:hAnsi="Arial" w:cs="Arial"/>
          <w:color w:val="auto"/>
          <w:szCs w:val="20"/>
        </w:rPr>
        <w:t xml:space="preserve">. Consumers will have the opportunity to have medicines </w:t>
      </w:r>
      <w:r>
        <w:rPr>
          <w:rFonts w:ascii="Arial" w:hAnsi="Arial" w:cs="Arial"/>
          <w:color w:val="auto"/>
          <w:szCs w:val="20"/>
        </w:rPr>
        <w:t xml:space="preserve">safely and </w:t>
      </w:r>
      <w:r w:rsidRPr="00DF2D6D">
        <w:rPr>
          <w:rFonts w:ascii="Arial" w:hAnsi="Arial" w:cs="Arial"/>
          <w:color w:val="auto"/>
          <w:szCs w:val="20"/>
        </w:rPr>
        <w:t xml:space="preserve">appropriately </w:t>
      </w:r>
      <w:r>
        <w:rPr>
          <w:rFonts w:ascii="Arial" w:hAnsi="Arial" w:cs="Arial"/>
          <w:color w:val="auto"/>
          <w:szCs w:val="20"/>
        </w:rPr>
        <w:t xml:space="preserve">prescribed </w:t>
      </w:r>
      <w:r w:rsidRPr="00DF2D6D">
        <w:rPr>
          <w:rFonts w:ascii="Arial" w:hAnsi="Arial" w:cs="Arial"/>
          <w:color w:val="auto"/>
          <w:szCs w:val="20"/>
        </w:rPr>
        <w:t>by a</w:t>
      </w:r>
      <w:r>
        <w:rPr>
          <w:rFonts w:ascii="Arial" w:hAnsi="Arial" w:cs="Arial"/>
          <w:color w:val="auto"/>
          <w:szCs w:val="20"/>
        </w:rPr>
        <w:t>n endorsed RN in partnership with an authorised health practitioner in accordance with state and territory legislation.</w:t>
      </w:r>
    </w:p>
    <w:p w:rsidR="00D70CB3" w:rsidRPr="00AE450D" w:rsidRDefault="00D70CB3" w:rsidP="00D70CB3">
      <w:pPr>
        <w:pStyle w:val="AHPRAHeadline"/>
        <w:numPr>
          <w:ilvl w:val="0"/>
          <w:numId w:val="20"/>
        </w:numPr>
        <w:spacing w:before="120" w:after="0"/>
        <w:ind w:left="567" w:hanging="425"/>
        <w:outlineLvl w:val="0"/>
        <w:rPr>
          <w:rFonts w:cs="Arial"/>
          <w:b/>
          <w:color w:val="365F91"/>
          <w:sz w:val="20"/>
          <w:szCs w:val="20"/>
        </w:rPr>
      </w:pPr>
      <w:r w:rsidRPr="00AE450D">
        <w:rPr>
          <w:rFonts w:cs="Arial"/>
          <w:b/>
          <w:color w:val="365F91"/>
          <w:sz w:val="20"/>
          <w:szCs w:val="20"/>
        </w:rPr>
        <w:t xml:space="preserve">Whether </w:t>
      </w:r>
      <w:r>
        <w:rPr>
          <w:rFonts w:cs="Arial"/>
          <w:b/>
          <w:color w:val="365F91"/>
          <w:sz w:val="20"/>
          <w:szCs w:val="20"/>
        </w:rPr>
        <w:t>the</w:t>
      </w:r>
      <w:r w:rsidRPr="00AE450D">
        <w:rPr>
          <w:rFonts w:cs="Arial"/>
          <w:b/>
          <w:color w:val="365F91"/>
          <w:sz w:val="20"/>
          <w:szCs w:val="20"/>
        </w:rPr>
        <w:t xml:space="preserve"> </w:t>
      </w:r>
      <w:r>
        <w:rPr>
          <w:rFonts w:cs="Arial"/>
          <w:b/>
          <w:color w:val="365F91"/>
          <w:sz w:val="20"/>
          <w:szCs w:val="20"/>
        </w:rPr>
        <w:t xml:space="preserve">overall costs of the proposal to members of the public and/or registrants and/or governments are reasonable in relation to the benefits to be achieved </w:t>
      </w:r>
    </w:p>
    <w:p w:rsidR="00D70CB3" w:rsidRPr="00AE450D" w:rsidRDefault="00D70CB3" w:rsidP="00D70CB3">
      <w:pPr>
        <w:pStyle w:val="AHPRAHeadline"/>
        <w:spacing w:before="120" w:after="120"/>
        <w:ind w:left="142"/>
        <w:outlineLvl w:val="0"/>
        <w:rPr>
          <w:rFonts w:cs="Arial"/>
          <w:b/>
          <w:color w:val="auto"/>
          <w:sz w:val="20"/>
          <w:szCs w:val="20"/>
        </w:rPr>
      </w:pPr>
      <w:r w:rsidRPr="00AE450D">
        <w:rPr>
          <w:rFonts w:cs="Arial"/>
          <w:b/>
          <w:color w:val="auto"/>
          <w:sz w:val="20"/>
          <w:szCs w:val="20"/>
        </w:rPr>
        <w:t>Board assessment</w:t>
      </w:r>
    </w:p>
    <w:p w:rsidR="00D70CB3" w:rsidRDefault="00D70CB3" w:rsidP="00D70CB3">
      <w:pPr>
        <w:pStyle w:val="AHPRAHeadline"/>
        <w:spacing w:before="120" w:after="0"/>
        <w:ind w:left="142"/>
        <w:outlineLvl w:val="0"/>
        <w:rPr>
          <w:rFonts w:cs="Arial"/>
          <w:color w:val="auto"/>
          <w:sz w:val="20"/>
          <w:szCs w:val="20"/>
        </w:rPr>
      </w:pPr>
      <w:r>
        <w:rPr>
          <w:rFonts w:cs="Arial"/>
          <w:color w:val="auto"/>
          <w:sz w:val="20"/>
          <w:szCs w:val="20"/>
        </w:rPr>
        <w:t>The NMBA considered that the overall costs of the proposal to members of the public, registrants and governments will be minimal.  Any likely costs are appropriate when offset against the cost benefits realised as a result of the development of the registration standard such as improved timely and appropriate access to medicines</w:t>
      </w:r>
      <w:r w:rsidRPr="000B11DC">
        <w:rPr>
          <w:rFonts w:cs="Arial"/>
          <w:color w:val="auto"/>
          <w:sz w:val="20"/>
          <w:szCs w:val="20"/>
        </w:rPr>
        <w:t xml:space="preserve">. </w:t>
      </w:r>
    </w:p>
    <w:p w:rsidR="00D70CB3" w:rsidRPr="00AE450D" w:rsidRDefault="00D70CB3" w:rsidP="00D70CB3">
      <w:pPr>
        <w:pStyle w:val="AHPRAHeadline"/>
        <w:numPr>
          <w:ilvl w:val="0"/>
          <w:numId w:val="20"/>
        </w:numPr>
        <w:spacing w:before="120" w:after="0"/>
        <w:ind w:left="567" w:hanging="425"/>
        <w:outlineLvl w:val="0"/>
        <w:rPr>
          <w:rFonts w:cs="Arial"/>
          <w:b/>
          <w:color w:val="365F91"/>
          <w:sz w:val="20"/>
          <w:szCs w:val="20"/>
        </w:rPr>
      </w:pPr>
      <w:r w:rsidRPr="00AE450D">
        <w:rPr>
          <w:rFonts w:cs="Arial"/>
          <w:b/>
          <w:color w:val="365F91"/>
          <w:sz w:val="20"/>
          <w:szCs w:val="20"/>
        </w:rPr>
        <w:t xml:space="preserve">Whether </w:t>
      </w:r>
      <w:r>
        <w:rPr>
          <w:rFonts w:cs="Arial"/>
          <w:b/>
          <w:color w:val="365F91"/>
          <w:sz w:val="20"/>
          <w:szCs w:val="20"/>
        </w:rPr>
        <w:t>the</w:t>
      </w:r>
      <w:r w:rsidRPr="00AE450D">
        <w:rPr>
          <w:rFonts w:cs="Arial"/>
          <w:b/>
          <w:color w:val="365F91"/>
          <w:sz w:val="20"/>
          <w:szCs w:val="20"/>
        </w:rPr>
        <w:t xml:space="preserve"> </w:t>
      </w:r>
      <w:r>
        <w:rPr>
          <w:rFonts w:cs="Arial"/>
          <w:b/>
          <w:color w:val="365F91"/>
          <w:sz w:val="20"/>
          <w:szCs w:val="20"/>
        </w:rPr>
        <w:t>requirements are clearly stated using ‘plain language’ to reduce uncertainty, enable the public to understand the requirements, and enable understanding and compliance by registrants</w:t>
      </w:r>
      <w:r w:rsidRPr="004875CA">
        <w:rPr>
          <w:rFonts w:cs="Arial"/>
          <w:b/>
          <w:i/>
          <w:color w:val="365F91"/>
          <w:sz w:val="20"/>
          <w:szCs w:val="20"/>
        </w:rPr>
        <w:t xml:space="preserve">   </w:t>
      </w:r>
    </w:p>
    <w:p w:rsidR="00D70CB3" w:rsidRPr="00AE450D" w:rsidRDefault="00D70CB3" w:rsidP="00D70CB3">
      <w:pPr>
        <w:pStyle w:val="AHPRAHeadline"/>
        <w:spacing w:before="120" w:after="120"/>
        <w:ind w:left="142"/>
        <w:outlineLvl w:val="0"/>
        <w:rPr>
          <w:rFonts w:cs="Arial"/>
          <w:b/>
          <w:color w:val="auto"/>
          <w:sz w:val="20"/>
          <w:szCs w:val="20"/>
        </w:rPr>
      </w:pPr>
      <w:r w:rsidRPr="00AE450D">
        <w:rPr>
          <w:rFonts w:cs="Arial"/>
          <w:b/>
          <w:color w:val="auto"/>
          <w:sz w:val="20"/>
          <w:szCs w:val="20"/>
        </w:rPr>
        <w:t>Board assessment</w:t>
      </w:r>
    </w:p>
    <w:p w:rsidR="00D70CB3" w:rsidRPr="003B307E" w:rsidRDefault="00D70CB3" w:rsidP="00D70CB3">
      <w:pPr>
        <w:pStyle w:val="TableText"/>
        <w:keepNext w:val="0"/>
        <w:ind w:left="142"/>
        <w:rPr>
          <w:rFonts w:ascii="Arial" w:hAnsi="Arial" w:cs="Arial"/>
          <w:color w:val="auto"/>
          <w:szCs w:val="20"/>
        </w:rPr>
      </w:pPr>
      <w:r w:rsidRPr="00DF2D6D">
        <w:rPr>
          <w:rFonts w:ascii="Arial" w:hAnsi="Arial" w:cs="Arial"/>
          <w:color w:val="auto"/>
          <w:szCs w:val="20"/>
        </w:rPr>
        <w:t xml:space="preserve">The </w:t>
      </w:r>
      <w:r>
        <w:rPr>
          <w:rFonts w:ascii="Arial" w:hAnsi="Arial" w:cs="Arial"/>
          <w:color w:val="auto"/>
          <w:szCs w:val="20"/>
        </w:rPr>
        <w:t xml:space="preserve">National </w:t>
      </w:r>
      <w:r w:rsidRPr="00DF2D6D">
        <w:rPr>
          <w:rFonts w:ascii="Arial" w:hAnsi="Arial" w:cs="Arial"/>
          <w:color w:val="auto"/>
          <w:szCs w:val="20"/>
        </w:rPr>
        <w:t xml:space="preserve">Board considers that the </w:t>
      </w:r>
      <w:r>
        <w:rPr>
          <w:rFonts w:ascii="Arial" w:hAnsi="Arial" w:cs="Arial"/>
          <w:color w:val="auto"/>
          <w:szCs w:val="20"/>
        </w:rPr>
        <w:t xml:space="preserve">information about the </w:t>
      </w:r>
      <w:r w:rsidR="00D312E5">
        <w:rPr>
          <w:rFonts w:ascii="Arial" w:hAnsi="Arial" w:cs="Arial"/>
          <w:color w:val="auto"/>
          <w:szCs w:val="20"/>
        </w:rPr>
        <w:t xml:space="preserve">registration </w:t>
      </w:r>
      <w:r w:rsidRPr="00DF2D6D">
        <w:rPr>
          <w:rFonts w:ascii="Arial" w:hAnsi="Arial" w:cs="Arial"/>
          <w:color w:val="auto"/>
          <w:szCs w:val="20"/>
        </w:rPr>
        <w:t>standard has been written in plain English that will enable</w:t>
      </w:r>
      <w:r>
        <w:rPr>
          <w:rFonts w:ascii="Arial" w:hAnsi="Arial" w:cs="Arial"/>
          <w:color w:val="auto"/>
          <w:szCs w:val="20"/>
        </w:rPr>
        <w:t xml:space="preserve"> the public and</w:t>
      </w:r>
      <w:r w:rsidRPr="00DF2D6D">
        <w:rPr>
          <w:rFonts w:ascii="Arial" w:hAnsi="Arial" w:cs="Arial"/>
          <w:color w:val="auto"/>
          <w:szCs w:val="20"/>
        </w:rPr>
        <w:t xml:space="preserve"> </w:t>
      </w:r>
      <w:r>
        <w:rPr>
          <w:rFonts w:ascii="Arial" w:hAnsi="Arial" w:cs="Arial"/>
          <w:color w:val="auto"/>
          <w:szCs w:val="20"/>
        </w:rPr>
        <w:t>health practitioners to understand</w:t>
      </w:r>
      <w:r w:rsidRPr="00DF2D6D">
        <w:rPr>
          <w:rFonts w:ascii="Arial" w:hAnsi="Arial" w:cs="Arial"/>
          <w:color w:val="auto"/>
          <w:szCs w:val="20"/>
        </w:rPr>
        <w:t xml:space="preserve">. However, the </w:t>
      </w:r>
      <w:r>
        <w:rPr>
          <w:rFonts w:ascii="Arial" w:hAnsi="Arial" w:cs="Arial"/>
          <w:color w:val="auto"/>
          <w:szCs w:val="20"/>
        </w:rPr>
        <w:t xml:space="preserve">National Board </w:t>
      </w:r>
      <w:r w:rsidRPr="00DF2D6D">
        <w:rPr>
          <w:rFonts w:ascii="Arial" w:hAnsi="Arial" w:cs="Arial"/>
          <w:color w:val="auto"/>
          <w:szCs w:val="20"/>
        </w:rPr>
        <w:t>is open to hearing from stakeholders about whether the clarity can be improved.</w:t>
      </w:r>
    </w:p>
    <w:p w:rsidR="00D70CB3" w:rsidRPr="00AE450D" w:rsidRDefault="00D70CB3" w:rsidP="00D70CB3">
      <w:pPr>
        <w:pStyle w:val="AHPRAHeadline"/>
        <w:numPr>
          <w:ilvl w:val="0"/>
          <w:numId w:val="20"/>
        </w:numPr>
        <w:spacing w:before="120" w:after="0"/>
        <w:ind w:left="567" w:hanging="425"/>
        <w:outlineLvl w:val="0"/>
        <w:rPr>
          <w:rFonts w:cs="Arial"/>
          <w:b/>
          <w:color w:val="365F91"/>
          <w:sz w:val="20"/>
          <w:szCs w:val="20"/>
        </w:rPr>
      </w:pPr>
      <w:r w:rsidRPr="00AE450D">
        <w:rPr>
          <w:rFonts w:cs="Arial"/>
          <w:b/>
          <w:color w:val="365F91"/>
          <w:sz w:val="20"/>
          <w:szCs w:val="20"/>
        </w:rPr>
        <w:t xml:space="preserve">Whether </w:t>
      </w:r>
      <w:r>
        <w:rPr>
          <w:rFonts w:cs="Arial"/>
          <w:b/>
          <w:color w:val="365F91"/>
          <w:sz w:val="20"/>
          <w:szCs w:val="20"/>
        </w:rPr>
        <w:t xml:space="preserve">the Board has procedures in place to ensure that the proposed registration standard, code or guideline remains relevant and effective over time </w:t>
      </w:r>
    </w:p>
    <w:p w:rsidR="00D70CB3" w:rsidRPr="00AE450D" w:rsidRDefault="00D70CB3" w:rsidP="00D70CB3">
      <w:pPr>
        <w:pStyle w:val="AHPRAHeadline"/>
        <w:spacing w:before="120" w:after="120"/>
        <w:ind w:left="142"/>
        <w:outlineLvl w:val="0"/>
        <w:rPr>
          <w:rFonts w:cs="Arial"/>
          <w:b/>
          <w:color w:val="auto"/>
          <w:sz w:val="20"/>
          <w:szCs w:val="20"/>
        </w:rPr>
      </w:pPr>
      <w:r w:rsidRPr="00AE450D">
        <w:rPr>
          <w:rFonts w:cs="Arial"/>
          <w:b/>
          <w:color w:val="auto"/>
          <w:sz w:val="20"/>
          <w:szCs w:val="20"/>
        </w:rPr>
        <w:t>Board assessment</w:t>
      </w:r>
    </w:p>
    <w:p w:rsidR="001273BD" w:rsidRPr="00D70CB3" w:rsidRDefault="00D70CB3" w:rsidP="00D70CB3">
      <w:pPr>
        <w:pStyle w:val="TableText"/>
        <w:keepNext w:val="0"/>
        <w:ind w:left="142"/>
        <w:rPr>
          <w:rFonts w:ascii="Arial" w:hAnsi="Arial" w:cs="Arial"/>
          <w:color w:val="auto"/>
          <w:szCs w:val="20"/>
        </w:rPr>
      </w:pPr>
      <w:r>
        <w:rPr>
          <w:rFonts w:ascii="Arial" w:hAnsi="Arial" w:cs="Arial"/>
          <w:color w:val="auto"/>
          <w:szCs w:val="20"/>
        </w:rPr>
        <w:t>If approved, t</w:t>
      </w:r>
      <w:r w:rsidRPr="004875CA">
        <w:rPr>
          <w:rFonts w:ascii="Arial" w:hAnsi="Arial" w:cs="Arial"/>
          <w:color w:val="auto"/>
          <w:szCs w:val="20"/>
        </w:rPr>
        <w:t xml:space="preserve">he </w:t>
      </w:r>
      <w:r w:rsidRPr="00DF2D6D">
        <w:rPr>
          <w:rFonts w:ascii="Arial" w:hAnsi="Arial" w:cs="Arial"/>
          <w:color w:val="auto"/>
          <w:szCs w:val="20"/>
        </w:rPr>
        <w:t>National</w:t>
      </w:r>
      <w:r>
        <w:rPr>
          <w:color w:val="auto"/>
          <w:szCs w:val="20"/>
        </w:rPr>
        <w:t xml:space="preserve"> </w:t>
      </w:r>
      <w:r w:rsidRPr="004875CA">
        <w:rPr>
          <w:rFonts w:ascii="Arial" w:hAnsi="Arial" w:cs="Arial"/>
          <w:color w:val="auto"/>
          <w:szCs w:val="20"/>
        </w:rPr>
        <w:t xml:space="preserve">Board will </w:t>
      </w:r>
      <w:r>
        <w:rPr>
          <w:rFonts w:ascii="Arial" w:hAnsi="Arial" w:cs="Arial"/>
          <w:color w:val="auto"/>
          <w:szCs w:val="20"/>
        </w:rPr>
        <w:t xml:space="preserve">monitor the impact of the </w:t>
      </w:r>
      <w:r w:rsidR="00D312E5">
        <w:rPr>
          <w:rFonts w:ascii="Arial" w:hAnsi="Arial" w:cs="Arial"/>
          <w:color w:val="auto"/>
          <w:szCs w:val="20"/>
        </w:rPr>
        <w:t xml:space="preserve">registration </w:t>
      </w:r>
      <w:r w:rsidR="00D312E5" w:rsidRPr="00DF2D6D">
        <w:rPr>
          <w:rFonts w:ascii="Arial" w:hAnsi="Arial" w:cs="Arial"/>
          <w:color w:val="auto"/>
          <w:szCs w:val="20"/>
        </w:rPr>
        <w:t xml:space="preserve">standard </w:t>
      </w:r>
      <w:r>
        <w:rPr>
          <w:rFonts w:ascii="Arial" w:hAnsi="Arial" w:cs="Arial"/>
          <w:szCs w:val="20"/>
        </w:rPr>
        <w:t>and will revise the standard at regular intervals to ensure it remains current.</w:t>
      </w:r>
      <w:r w:rsidRPr="004875CA">
        <w:rPr>
          <w:rFonts w:ascii="Arial" w:hAnsi="Arial" w:cs="Arial"/>
          <w:color w:val="auto"/>
          <w:szCs w:val="20"/>
        </w:rPr>
        <w:t xml:space="preserve">  </w:t>
      </w:r>
    </w:p>
    <w:sectPr w:rsidR="001273BD" w:rsidRPr="00D70CB3" w:rsidSect="00D70CB3">
      <w:headerReference w:type="default" r:id="rId9"/>
      <w:footerReference w:type="even" r:id="rId10"/>
      <w:footerReference w:type="default" r:id="rId11"/>
      <w:headerReference w:type="first" r:id="rId12"/>
      <w:footerReference w:type="first" r:id="rId13"/>
      <w:pgSz w:w="11900" w:h="16840"/>
      <w:pgMar w:top="1397" w:right="1253" w:bottom="720" w:left="1253" w:header="288" w:footer="69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B0" w:rsidRDefault="004B68B0" w:rsidP="00FC2881">
      <w:pPr>
        <w:spacing w:after="0"/>
      </w:pPr>
      <w:r>
        <w:separator/>
      </w:r>
    </w:p>
    <w:p w:rsidR="004B68B0" w:rsidRDefault="004B68B0"/>
  </w:endnote>
  <w:endnote w:type="continuationSeparator" w:id="0">
    <w:p w:rsidR="004B68B0" w:rsidRDefault="004B68B0" w:rsidP="00FC2881">
      <w:pPr>
        <w:spacing w:after="0"/>
      </w:pPr>
      <w:r>
        <w:continuationSeparator/>
      </w:r>
    </w:p>
    <w:p w:rsidR="004B68B0" w:rsidRDefault="004B6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B0" w:rsidRDefault="00CE6360" w:rsidP="00FC2881">
    <w:pPr>
      <w:pStyle w:val="AHPRAfootnote"/>
      <w:framePr w:wrap="around" w:vAnchor="text" w:hAnchor="margin" w:xAlign="right" w:y="1"/>
    </w:pPr>
    <w:r>
      <w:fldChar w:fldCharType="begin"/>
    </w:r>
    <w:r w:rsidR="004B68B0">
      <w:instrText xml:space="preserve">PAGE  </w:instrText>
    </w:r>
    <w:r>
      <w:fldChar w:fldCharType="end"/>
    </w:r>
  </w:p>
  <w:p w:rsidR="004B68B0" w:rsidRDefault="004B68B0" w:rsidP="00FC2881">
    <w:pPr>
      <w:pStyle w:val="AHPRAfootnote"/>
      <w:ind w:right="360"/>
    </w:pPr>
  </w:p>
  <w:p w:rsidR="004B68B0" w:rsidRDefault="004B68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B0" w:rsidRPr="00D70CB3" w:rsidRDefault="00D70CB3" w:rsidP="00D70CB3">
    <w:pPr>
      <w:pStyle w:val="AHPRADocumenttitle"/>
      <w:rPr>
        <w:color w:val="5F6062"/>
        <w:sz w:val="18"/>
        <w:szCs w:val="20"/>
      </w:rPr>
    </w:pPr>
    <w:r w:rsidRPr="00D70CB3">
      <w:rPr>
        <w:color w:val="5F6062"/>
        <w:sz w:val="18"/>
        <w:szCs w:val="20"/>
      </w:rPr>
      <w:t>National Board’s Statement of assessment against the AHPRA Procedures for development of registration standards and COAG principles for best practice regulation</w:t>
    </w:r>
    <w:r>
      <w:rPr>
        <w:color w:val="5F6062"/>
        <w:sz w:val="18"/>
        <w:szCs w:val="20"/>
      </w:rPr>
      <w:t xml:space="preserve"> </w:t>
    </w:r>
    <w:sdt>
      <w:sdtPr>
        <w:rPr>
          <w:color w:val="5F6062"/>
          <w:sz w:val="18"/>
          <w:szCs w:val="20"/>
        </w:rPr>
        <w:id w:val="16333165"/>
        <w:docPartObj>
          <w:docPartGallery w:val="Page Numbers (Top of Page)"/>
          <w:docPartUnique/>
        </w:docPartObj>
      </w:sdtPr>
      <w:sdtEndPr/>
      <w:sdtContent>
        <w:r>
          <w:rPr>
            <w:color w:val="5F6062"/>
            <w:sz w:val="18"/>
            <w:szCs w:val="20"/>
          </w:rPr>
          <w:tab/>
        </w:r>
        <w:r>
          <w:rPr>
            <w:color w:val="5F6062"/>
            <w:sz w:val="18"/>
            <w:szCs w:val="20"/>
          </w:rPr>
          <w:tab/>
        </w:r>
        <w:r>
          <w:rPr>
            <w:color w:val="5F6062"/>
            <w:sz w:val="18"/>
            <w:szCs w:val="20"/>
          </w:rPr>
          <w:tab/>
        </w:r>
        <w:r>
          <w:rPr>
            <w:color w:val="5F6062"/>
            <w:sz w:val="18"/>
            <w:szCs w:val="20"/>
          </w:rPr>
          <w:tab/>
        </w:r>
        <w:r>
          <w:rPr>
            <w:color w:val="5F6062"/>
            <w:sz w:val="18"/>
            <w:szCs w:val="20"/>
          </w:rPr>
          <w:tab/>
        </w:r>
        <w:r>
          <w:rPr>
            <w:color w:val="5F6062"/>
            <w:sz w:val="18"/>
            <w:szCs w:val="20"/>
          </w:rPr>
          <w:tab/>
        </w:r>
        <w:r w:rsidR="004B68B0" w:rsidRPr="00D70CB3">
          <w:rPr>
            <w:color w:val="5F6062"/>
            <w:sz w:val="18"/>
            <w:szCs w:val="20"/>
          </w:rPr>
          <w:t xml:space="preserve">Page </w:t>
        </w:r>
        <w:r w:rsidR="00CE6360" w:rsidRPr="00D70CB3">
          <w:rPr>
            <w:color w:val="5F6062"/>
            <w:sz w:val="18"/>
            <w:szCs w:val="20"/>
          </w:rPr>
          <w:fldChar w:fldCharType="begin"/>
        </w:r>
        <w:r w:rsidR="00892FBC" w:rsidRPr="00D70CB3">
          <w:rPr>
            <w:color w:val="5F6062"/>
            <w:sz w:val="18"/>
            <w:szCs w:val="20"/>
          </w:rPr>
          <w:instrText xml:space="preserve"> PAGE </w:instrText>
        </w:r>
        <w:r w:rsidR="00CE6360" w:rsidRPr="00D70CB3">
          <w:rPr>
            <w:color w:val="5F6062"/>
            <w:sz w:val="18"/>
            <w:szCs w:val="20"/>
          </w:rPr>
          <w:fldChar w:fldCharType="separate"/>
        </w:r>
        <w:r w:rsidR="00775125">
          <w:rPr>
            <w:noProof/>
            <w:color w:val="5F6062"/>
            <w:sz w:val="18"/>
            <w:szCs w:val="20"/>
          </w:rPr>
          <w:t>2</w:t>
        </w:r>
        <w:r w:rsidR="00CE6360" w:rsidRPr="00D70CB3">
          <w:rPr>
            <w:color w:val="5F6062"/>
            <w:sz w:val="18"/>
            <w:szCs w:val="20"/>
          </w:rPr>
          <w:fldChar w:fldCharType="end"/>
        </w:r>
        <w:r w:rsidR="004B68B0" w:rsidRPr="00D70CB3">
          <w:rPr>
            <w:color w:val="5F6062"/>
            <w:sz w:val="18"/>
            <w:szCs w:val="20"/>
          </w:rPr>
          <w:t xml:space="preserve"> of </w:t>
        </w:r>
        <w:r w:rsidR="00CE6360" w:rsidRPr="00D70CB3">
          <w:rPr>
            <w:color w:val="5F6062"/>
            <w:sz w:val="18"/>
            <w:szCs w:val="20"/>
          </w:rPr>
          <w:fldChar w:fldCharType="begin"/>
        </w:r>
        <w:r w:rsidR="00892FBC" w:rsidRPr="00D70CB3">
          <w:rPr>
            <w:color w:val="5F6062"/>
            <w:sz w:val="18"/>
            <w:szCs w:val="20"/>
          </w:rPr>
          <w:instrText xml:space="preserve"> NUMPAGES  </w:instrText>
        </w:r>
        <w:r w:rsidR="00CE6360" w:rsidRPr="00D70CB3">
          <w:rPr>
            <w:color w:val="5F6062"/>
            <w:sz w:val="18"/>
            <w:szCs w:val="20"/>
          </w:rPr>
          <w:fldChar w:fldCharType="separate"/>
        </w:r>
        <w:r w:rsidR="00775125">
          <w:rPr>
            <w:noProof/>
            <w:color w:val="5F6062"/>
            <w:sz w:val="18"/>
            <w:szCs w:val="20"/>
          </w:rPr>
          <w:t>2</w:t>
        </w:r>
        <w:r w:rsidR="00CE6360" w:rsidRPr="00D70CB3">
          <w:rPr>
            <w:color w:val="5F6062"/>
            <w:sz w:val="18"/>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B0" w:rsidRPr="00E77E23" w:rsidRDefault="004B68B0" w:rsidP="005D3406">
    <w:pPr>
      <w:pStyle w:val="AHPRAfirstpagefooter"/>
    </w:pPr>
    <w:r>
      <w:rPr>
        <w:color w:val="007DC3"/>
      </w:rPr>
      <w:t>Nursing and Midwifery</w:t>
    </w:r>
    <w:r w:rsidRPr="00E77E23">
      <w:t xml:space="preserve"> </w:t>
    </w:r>
    <w:r>
      <w:t>Board of Australia</w:t>
    </w:r>
  </w:p>
  <w:p w:rsidR="004B68B0" w:rsidRPr="005D3406" w:rsidRDefault="004B68B0" w:rsidP="00D70CB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B0" w:rsidRDefault="004B68B0" w:rsidP="000E7E28">
      <w:pPr>
        <w:spacing w:after="0"/>
      </w:pPr>
      <w:r>
        <w:separator/>
      </w:r>
    </w:p>
  </w:footnote>
  <w:footnote w:type="continuationSeparator" w:id="0">
    <w:p w:rsidR="004B68B0" w:rsidRDefault="004B68B0" w:rsidP="00FC2881">
      <w:pPr>
        <w:spacing w:after="0"/>
      </w:pPr>
      <w:r>
        <w:continuationSeparator/>
      </w:r>
    </w:p>
    <w:p w:rsidR="004B68B0" w:rsidRDefault="004B68B0"/>
  </w:footnote>
  <w:footnote w:type="continuationNotice" w:id="1">
    <w:p w:rsidR="004B68B0" w:rsidRDefault="004B68B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B0" w:rsidRPr="00315933" w:rsidRDefault="004B68B0" w:rsidP="00D638E0">
    <w:pPr>
      <w:ind w:left="-1134" w:right="-567"/>
      <w:jc w:val="right"/>
    </w:pPr>
  </w:p>
  <w:p w:rsidR="004B68B0" w:rsidRDefault="004B68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B0" w:rsidRDefault="004B68B0" w:rsidP="00E844A0">
    <w:r>
      <w:rPr>
        <w:noProof/>
        <w:lang w:eastAsia="en-AU"/>
      </w:rPr>
      <w:drawing>
        <wp:anchor distT="0" distB="0" distL="114300" distR="114300" simplePos="0" relativeHeight="251659264" behindDoc="0" locked="0" layoutInCell="1" allowOverlap="1">
          <wp:simplePos x="0" y="0"/>
          <wp:positionH relativeFrom="margin">
            <wp:posOffset>4812665</wp:posOffset>
          </wp:positionH>
          <wp:positionV relativeFrom="margin">
            <wp:posOffset>-1424940</wp:posOffset>
          </wp:positionV>
          <wp:extent cx="1652270" cy="1318260"/>
          <wp:effectExtent l="0" t="0" r="0" b="0"/>
          <wp:wrapSquare wrapText="bothSides"/>
          <wp:docPr id="8" name="Picture 2" descr="The 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2270" cy="1318260"/>
                  </a:xfrm>
                  <a:prstGeom prst="rect">
                    <a:avLst/>
                  </a:prstGeom>
                </pic:spPr>
              </pic:pic>
            </a:graphicData>
          </a:graphic>
        </wp:anchor>
      </w:drawing>
    </w:r>
  </w:p>
  <w:p w:rsidR="004B68B0" w:rsidRDefault="004B68B0" w:rsidP="00E844A0"/>
  <w:p w:rsidR="004B68B0" w:rsidRDefault="004B68B0" w:rsidP="00E844A0"/>
  <w:p w:rsidR="004B68B0" w:rsidRDefault="004B68B0" w:rsidP="00E844A0"/>
  <w:p w:rsidR="004B68B0" w:rsidRDefault="004B68B0" w:rsidP="00E844A0">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2C6D7F2A"/>
    <w:multiLevelType w:val="hybridMultilevel"/>
    <w:tmpl w:val="6D446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16B28"/>
    <w:multiLevelType w:val="hybridMultilevel"/>
    <w:tmpl w:val="3000D84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06AD3"/>
    <w:multiLevelType w:val="hybridMultilevel"/>
    <w:tmpl w:val="DBA00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04433A"/>
    <w:multiLevelType w:val="multilevel"/>
    <w:tmpl w:val="C4183F12"/>
    <w:numStyleLink w:val="AHPRANumberedlist"/>
  </w:abstractNum>
  <w:abstractNum w:abstractNumId="12" w15:restartNumberingAfterBreak="0">
    <w:nsid w:val="5F5753EC"/>
    <w:multiLevelType w:val="hybridMultilevel"/>
    <w:tmpl w:val="29620FB8"/>
    <w:lvl w:ilvl="0" w:tplc="79344F8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7C0DF9"/>
    <w:multiLevelType w:val="hybridMultilevel"/>
    <w:tmpl w:val="87FA2278"/>
    <w:lvl w:ilvl="0" w:tplc="0C090001">
      <w:start w:val="1"/>
      <w:numFmt w:val="bullet"/>
      <w:lvlText w:val=""/>
      <w:lvlJc w:val="left"/>
      <w:pPr>
        <w:ind w:left="986" w:hanging="360"/>
      </w:pPr>
      <w:rPr>
        <w:rFonts w:ascii="Symbol" w:hAnsi="Symbol" w:hint="default"/>
      </w:rPr>
    </w:lvl>
    <w:lvl w:ilvl="1" w:tplc="0C090003" w:tentative="1">
      <w:start w:val="1"/>
      <w:numFmt w:val="bullet"/>
      <w:lvlText w:val="o"/>
      <w:lvlJc w:val="left"/>
      <w:pPr>
        <w:ind w:left="1706" w:hanging="360"/>
      </w:pPr>
      <w:rPr>
        <w:rFonts w:ascii="Courier New" w:hAnsi="Courier New" w:cs="Courier New" w:hint="default"/>
      </w:rPr>
    </w:lvl>
    <w:lvl w:ilvl="2" w:tplc="0C090005" w:tentative="1">
      <w:start w:val="1"/>
      <w:numFmt w:val="bullet"/>
      <w:lvlText w:val=""/>
      <w:lvlJc w:val="left"/>
      <w:pPr>
        <w:ind w:left="2426" w:hanging="360"/>
      </w:pPr>
      <w:rPr>
        <w:rFonts w:ascii="Wingdings" w:hAnsi="Wingdings" w:hint="default"/>
      </w:rPr>
    </w:lvl>
    <w:lvl w:ilvl="3" w:tplc="0C090001" w:tentative="1">
      <w:start w:val="1"/>
      <w:numFmt w:val="bullet"/>
      <w:lvlText w:val=""/>
      <w:lvlJc w:val="left"/>
      <w:pPr>
        <w:ind w:left="3146" w:hanging="360"/>
      </w:pPr>
      <w:rPr>
        <w:rFonts w:ascii="Symbol" w:hAnsi="Symbol" w:hint="default"/>
      </w:rPr>
    </w:lvl>
    <w:lvl w:ilvl="4" w:tplc="0C090003" w:tentative="1">
      <w:start w:val="1"/>
      <w:numFmt w:val="bullet"/>
      <w:lvlText w:val="o"/>
      <w:lvlJc w:val="left"/>
      <w:pPr>
        <w:ind w:left="3866" w:hanging="360"/>
      </w:pPr>
      <w:rPr>
        <w:rFonts w:ascii="Courier New" w:hAnsi="Courier New" w:cs="Courier New" w:hint="default"/>
      </w:rPr>
    </w:lvl>
    <w:lvl w:ilvl="5" w:tplc="0C090005" w:tentative="1">
      <w:start w:val="1"/>
      <w:numFmt w:val="bullet"/>
      <w:lvlText w:val=""/>
      <w:lvlJc w:val="left"/>
      <w:pPr>
        <w:ind w:left="4586" w:hanging="360"/>
      </w:pPr>
      <w:rPr>
        <w:rFonts w:ascii="Wingdings" w:hAnsi="Wingdings" w:hint="default"/>
      </w:rPr>
    </w:lvl>
    <w:lvl w:ilvl="6" w:tplc="0C090001" w:tentative="1">
      <w:start w:val="1"/>
      <w:numFmt w:val="bullet"/>
      <w:lvlText w:val=""/>
      <w:lvlJc w:val="left"/>
      <w:pPr>
        <w:ind w:left="5306" w:hanging="360"/>
      </w:pPr>
      <w:rPr>
        <w:rFonts w:ascii="Symbol" w:hAnsi="Symbol" w:hint="default"/>
      </w:rPr>
    </w:lvl>
    <w:lvl w:ilvl="7" w:tplc="0C090003" w:tentative="1">
      <w:start w:val="1"/>
      <w:numFmt w:val="bullet"/>
      <w:lvlText w:val="o"/>
      <w:lvlJc w:val="left"/>
      <w:pPr>
        <w:ind w:left="6026" w:hanging="360"/>
      </w:pPr>
      <w:rPr>
        <w:rFonts w:ascii="Courier New" w:hAnsi="Courier New" w:cs="Courier New" w:hint="default"/>
      </w:rPr>
    </w:lvl>
    <w:lvl w:ilvl="8" w:tplc="0C090005" w:tentative="1">
      <w:start w:val="1"/>
      <w:numFmt w:val="bullet"/>
      <w:lvlText w:val=""/>
      <w:lvlJc w:val="left"/>
      <w:pPr>
        <w:ind w:left="6746" w:hanging="360"/>
      </w:pPr>
      <w:rPr>
        <w:rFonts w:ascii="Wingdings" w:hAnsi="Wingdings" w:hint="default"/>
      </w:rPr>
    </w:lvl>
  </w:abstractNum>
  <w:abstractNum w:abstractNumId="14" w15:restartNumberingAfterBreak="0">
    <w:nsid w:val="69BB0053"/>
    <w:multiLevelType w:val="hybridMultilevel"/>
    <w:tmpl w:val="964C782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1F3DBB"/>
    <w:multiLevelType w:val="hybridMultilevel"/>
    <w:tmpl w:val="FAA29F96"/>
    <w:lvl w:ilvl="0" w:tplc="FE86F960">
      <w:start w:val="1"/>
      <w:numFmt w:val="lowerLetter"/>
      <w:lvlText w:val="%1."/>
      <w:lvlJc w:val="left"/>
      <w:pPr>
        <w:ind w:left="720" w:hanging="360"/>
      </w:pPr>
    </w:lvl>
    <w:lvl w:ilvl="1" w:tplc="68E8E450" w:tentative="1">
      <w:start w:val="1"/>
      <w:numFmt w:val="lowerLetter"/>
      <w:lvlText w:val="%2."/>
      <w:lvlJc w:val="left"/>
      <w:pPr>
        <w:ind w:left="1440" w:hanging="360"/>
      </w:pPr>
    </w:lvl>
    <w:lvl w:ilvl="2" w:tplc="5324E152" w:tentative="1">
      <w:start w:val="1"/>
      <w:numFmt w:val="lowerRoman"/>
      <w:lvlText w:val="%3."/>
      <w:lvlJc w:val="right"/>
      <w:pPr>
        <w:ind w:left="2160" w:hanging="180"/>
      </w:pPr>
    </w:lvl>
    <w:lvl w:ilvl="3" w:tplc="C1DED56E" w:tentative="1">
      <w:start w:val="1"/>
      <w:numFmt w:val="decimal"/>
      <w:lvlText w:val="%4."/>
      <w:lvlJc w:val="left"/>
      <w:pPr>
        <w:ind w:left="2880" w:hanging="360"/>
      </w:pPr>
    </w:lvl>
    <w:lvl w:ilvl="4" w:tplc="944A81F6" w:tentative="1">
      <w:start w:val="1"/>
      <w:numFmt w:val="lowerLetter"/>
      <w:lvlText w:val="%5."/>
      <w:lvlJc w:val="left"/>
      <w:pPr>
        <w:ind w:left="3600" w:hanging="360"/>
      </w:pPr>
    </w:lvl>
    <w:lvl w:ilvl="5" w:tplc="64242078" w:tentative="1">
      <w:start w:val="1"/>
      <w:numFmt w:val="lowerRoman"/>
      <w:lvlText w:val="%6."/>
      <w:lvlJc w:val="right"/>
      <w:pPr>
        <w:ind w:left="4320" w:hanging="180"/>
      </w:pPr>
    </w:lvl>
    <w:lvl w:ilvl="6" w:tplc="E81E8762" w:tentative="1">
      <w:start w:val="1"/>
      <w:numFmt w:val="decimal"/>
      <w:lvlText w:val="%7."/>
      <w:lvlJc w:val="left"/>
      <w:pPr>
        <w:ind w:left="5040" w:hanging="360"/>
      </w:pPr>
    </w:lvl>
    <w:lvl w:ilvl="7" w:tplc="652CDA38" w:tentative="1">
      <w:start w:val="1"/>
      <w:numFmt w:val="lowerLetter"/>
      <w:lvlText w:val="%8."/>
      <w:lvlJc w:val="left"/>
      <w:pPr>
        <w:ind w:left="5760" w:hanging="360"/>
      </w:pPr>
    </w:lvl>
    <w:lvl w:ilvl="8" w:tplc="4CE8D88E" w:tentative="1">
      <w:start w:val="1"/>
      <w:numFmt w:val="lowerRoman"/>
      <w:lvlText w:val="%9."/>
      <w:lvlJc w:val="right"/>
      <w:pPr>
        <w:ind w:left="6480" w:hanging="180"/>
      </w:pPr>
    </w:lvl>
  </w:abstractNum>
  <w:abstractNum w:abstractNumId="17" w15:restartNumberingAfterBreak="0">
    <w:nsid w:val="76E154B0"/>
    <w:multiLevelType w:val="multilevel"/>
    <w:tmpl w:val="C4183F12"/>
    <w:numStyleLink w:val="AHPRANumberedlist"/>
  </w:abstractNum>
  <w:abstractNum w:abstractNumId="18" w15:restartNumberingAfterBreak="0">
    <w:nsid w:val="7B8B5821"/>
    <w:multiLevelType w:val="hybridMultilevel"/>
    <w:tmpl w:val="7AD48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2610BB"/>
    <w:multiLevelType w:val="hybridMultilevel"/>
    <w:tmpl w:val="FF68D3AC"/>
    <w:lvl w:ilvl="0" w:tplc="D244268C">
      <w:start w:val="1"/>
      <w:numFmt w:val="bullet"/>
      <w:pStyle w:val="AHPRABulletlevel2"/>
      <w:lvlText w:val=""/>
      <w:lvlJc w:val="left"/>
      <w:pPr>
        <w:ind w:left="720" w:hanging="360"/>
      </w:pPr>
      <w:rPr>
        <w:rFonts w:ascii="Symbol" w:hAnsi="Symbol" w:hint="default"/>
      </w:rPr>
    </w:lvl>
    <w:lvl w:ilvl="1" w:tplc="365A952C" w:tentative="1">
      <w:start w:val="1"/>
      <w:numFmt w:val="bullet"/>
      <w:lvlText w:val="o"/>
      <w:lvlJc w:val="left"/>
      <w:pPr>
        <w:ind w:left="1440" w:hanging="360"/>
      </w:pPr>
      <w:rPr>
        <w:rFonts w:ascii="Courier New" w:hAnsi="Courier New" w:cs="Courier New" w:hint="default"/>
      </w:rPr>
    </w:lvl>
    <w:lvl w:ilvl="2" w:tplc="59F0D2B0" w:tentative="1">
      <w:start w:val="1"/>
      <w:numFmt w:val="bullet"/>
      <w:lvlText w:val=""/>
      <w:lvlJc w:val="left"/>
      <w:pPr>
        <w:ind w:left="2160" w:hanging="360"/>
      </w:pPr>
      <w:rPr>
        <w:rFonts w:ascii="Wingdings" w:hAnsi="Wingdings" w:hint="default"/>
      </w:rPr>
    </w:lvl>
    <w:lvl w:ilvl="3" w:tplc="659ED8C8" w:tentative="1">
      <w:start w:val="1"/>
      <w:numFmt w:val="bullet"/>
      <w:lvlText w:val=""/>
      <w:lvlJc w:val="left"/>
      <w:pPr>
        <w:ind w:left="2880" w:hanging="360"/>
      </w:pPr>
      <w:rPr>
        <w:rFonts w:ascii="Symbol" w:hAnsi="Symbol" w:hint="default"/>
      </w:rPr>
    </w:lvl>
    <w:lvl w:ilvl="4" w:tplc="FDBCCE5C" w:tentative="1">
      <w:start w:val="1"/>
      <w:numFmt w:val="bullet"/>
      <w:lvlText w:val="o"/>
      <w:lvlJc w:val="left"/>
      <w:pPr>
        <w:ind w:left="3600" w:hanging="360"/>
      </w:pPr>
      <w:rPr>
        <w:rFonts w:ascii="Courier New" w:hAnsi="Courier New" w:cs="Courier New" w:hint="default"/>
      </w:rPr>
    </w:lvl>
    <w:lvl w:ilvl="5" w:tplc="24FEA478" w:tentative="1">
      <w:start w:val="1"/>
      <w:numFmt w:val="bullet"/>
      <w:lvlText w:val=""/>
      <w:lvlJc w:val="left"/>
      <w:pPr>
        <w:ind w:left="4320" w:hanging="360"/>
      </w:pPr>
      <w:rPr>
        <w:rFonts w:ascii="Wingdings" w:hAnsi="Wingdings" w:hint="default"/>
      </w:rPr>
    </w:lvl>
    <w:lvl w:ilvl="6" w:tplc="421A438C" w:tentative="1">
      <w:start w:val="1"/>
      <w:numFmt w:val="bullet"/>
      <w:lvlText w:val=""/>
      <w:lvlJc w:val="left"/>
      <w:pPr>
        <w:ind w:left="5040" w:hanging="360"/>
      </w:pPr>
      <w:rPr>
        <w:rFonts w:ascii="Symbol" w:hAnsi="Symbol" w:hint="default"/>
      </w:rPr>
    </w:lvl>
    <w:lvl w:ilvl="7" w:tplc="DAB4AB9A" w:tentative="1">
      <w:start w:val="1"/>
      <w:numFmt w:val="bullet"/>
      <w:lvlText w:val="o"/>
      <w:lvlJc w:val="left"/>
      <w:pPr>
        <w:ind w:left="5760" w:hanging="360"/>
      </w:pPr>
      <w:rPr>
        <w:rFonts w:ascii="Courier New" w:hAnsi="Courier New" w:cs="Courier New" w:hint="default"/>
      </w:rPr>
    </w:lvl>
    <w:lvl w:ilvl="8" w:tplc="B0564A06"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5"/>
  </w:num>
  <w:num w:numId="2">
    <w:abstractNumId w:val="9"/>
  </w:num>
  <w:num w:numId="3">
    <w:abstractNumId w:val="1"/>
  </w:num>
  <w:num w:numId="4">
    <w:abstractNumId w:val="3"/>
  </w:num>
  <w:num w:numId="5">
    <w:abstractNumId w:val="4"/>
  </w:num>
  <w:num w:numId="6">
    <w:abstractNumId w:val="5"/>
  </w:num>
  <w:num w:numId="7">
    <w:abstractNumId w:val="0"/>
  </w:num>
  <w:num w:numId="8">
    <w:abstractNumId w:val="7"/>
  </w:num>
  <w:num w:numId="9">
    <w:abstractNumId w:val="19"/>
  </w:num>
  <w:num w:numId="10">
    <w:abstractNumId w:val="11"/>
  </w:num>
  <w:num w:numId="11">
    <w:abstractNumId w:val="2"/>
  </w:num>
  <w:num w:numId="12">
    <w:abstractNumId w:val="17"/>
  </w:num>
  <w:num w:numId="13">
    <w:abstractNumId w:val="20"/>
  </w:num>
  <w:num w:numId="14">
    <w:abstractNumId w:val="16"/>
  </w:num>
  <w:num w:numId="15">
    <w:abstractNumId w:val="12"/>
  </w:num>
  <w:num w:numId="16">
    <w:abstractNumId w:val="18"/>
  </w:num>
  <w:num w:numId="17">
    <w:abstractNumId w:val="6"/>
  </w:num>
  <w:num w:numId="18">
    <w:abstractNumId w:val="10"/>
  </w:num>
  <w:num w:numId="19">
    <w:abstractNumId w:val="14"/>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2"/>
  </w:compat>
  <w:rsids>
    <w:rsidRoot w:val="00A175E2"/>
    <w:rsid w:val="00000033"/>
    <w:rsid w:val="00006922"/>
    <w:rsid w:val="000334D7"/>
    <w:rsid w:val="00071439"/>
    <w:rsid w:val="000945FB"/>
    <w:rsid w:val="00097C57"/>
    <w:rsid w:val="000A6BF7"/>
    <w:rsid w:val="000E7E28"/>
    <w:rsid w:val="000F5D90"/>
    <w:rsid w:val="0010139F"/>
    <w:rsid w:val="001273BD"/>
    <w:rsid w:val="00144DEF"/>
    <w:rsid w:val="001506FE"/>
    <w:rsid w:val="00161074"/>
    <w:rsid w:val="00190BD5"/>
    <w:rsid w:val="00196F14"/>
    <w:rsid w:val="001C425C"/>
    <w:rsid w:val="001D5708"/>
    <w:rsid w:val="001E1E31"/>
    <w:rsid w:val="001E2849"/>
    <w:rsid w:val="001E4A94"/>
    <w:rsid w:val="001E5621"/>
    <w:rsid w:val="00220A3B"/>
    <w:rsid w:val="00224708"/>
    <w:rsid w:val="0028013F"/>
    <w:rsid w:val="002947B6"/>
    <w:rsid w:val="00295899"/>
    <w:rsid w:val="00295B44"/>
    <w:rsid w:val="002B2D48"/>
    <w:rsid w:val="002B5E3D"/>
    <w:rsid w:val="002C08FB"/>
    <w:rsid w:val="002C34EA"/>
    <w:rsid w:val="002C5554"/>
    <w:rsid w:val="00303BE1"/>
    <w:rsid w:val="00305AFC"/>
    <w:rsid w:val="003354E4"/>
    <w:rsid w:val="003803C6"/>
    <w:rsid w:val="00393516"/>
    <w:rsid w:val="003D6DBD"/>
    <w:rsid w:val="003E00B5"/>
    <w:rsid w:val="003E3268"/>
    <w:rsid w:val="003F2F06"/>
    <w:rsid w:val="00402E8D"/>
    <w:rsid w:val="00405C0A"/>
    <w:rsid w:val="00414F2C"/>
    <w:rsid w:val="00450B34"/>
    <w:rsid w:val="004606A7"/>
    <w:rsid w:val="004A5E5D"/>
    <w:rsid w:val="004B438E"/>
    <w:rsid w:val="004B68B0"/>
    <w:rsid w:val="004B747B"/>
    <w:rsid w:val="004D7537"/>
    <w:rsid w:val="004E3C27"/>
    <w:rsid w:val="004F5C05"/>
    <w:rsid w:val="00516EF2"/>
    <w:rsid w:val="0053749F"/>
    <w:rsid w:val="00546B56"/>
    <w:rsid w:val="00553A4C"/>
    <w:rsid w:val="00554335"/>
    <w:rsid w:val="005565CE"/>
    <w:rsid w:val="005708AE"/>
    <w:rsid w:val="005A0FA9"/>
    <w:rsid w:val="005B014B"/>
    <w:rsid w:val="005C5932"/>
    <w:rsid w:val="005C6817"/>
    <w:rsid w:val="005D3406"/>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75125"/>
    <w:rsid w:val="0079197C"/>
    <w:rsid w:val="007A35B9"/>
    <w:rsid w:val="007B77D6"/>
    <w:rsid w:val="007C0B6E"/>
    <w:rsid w:val="007D274C"/>
    <w:rsid w:val="007D4836"/>
    <w:rsid w:val="007E2C84"/>
    <w:rsid w:val="007E3545"/>
    <w:rsid w:val="007F0095"/>
    <w:rsid w:val="00807EE4"/>
    <w:rsid w:val="008338F7"/>
    <w:rsid w:val="00836397"/>
    <w:rsid w:val="00845054"/>
    <w:rsid w:val="00852D1C"/>
    <w:rsid w:val="00856147"/>
    <w:rsid w:val="00860F40"/>
    <w:rsid w:val="008615C9"/>
    <w:rsid w:val="00864020"/>
    <w:rsid w:val="00892FBC"/>
    <w:rsid w:val="008979D5"/>
    <w:rsid w:val="008A4C3B"/>
    <w:rsid w:val="008B2AD7"/>
    <w:rsid w:val="008D6B7E"/>
    <w:rsid w:val="008D7845"/>
    <w:rsid w:val="009031EA"/>
    <w:rsid w:val="00913145"/>
    <w:rsid w:val="00923B23"/>
    <w:rsid w:val="00937ED0"/>
    <w:rsid w:val="00952797"/>
    <w:rsid w:val="009764EA"/>
    <w:rsid w:val="009777D3"/>
    <w:rsid w:val="009859E6"/>
    <w:rsid w:val="009A0A5D"/>
    <w:rsid w:val="009C6933"/>
    <w:rsid w:val="00A04C7A"/>
    <w:rsid w:val="00A058E5"/>
    <w:rsid w:val="00A10C1A"/>
    <w:rsid w:val="00A175E2"/>
    <w:rsid w:val="00A2072E"/>
    <w:rsid w:val="00A237BB"/>
    <w:rsid w:val="00A458ED"/>
    <w:rsid w:val="00A47BE1"/>
    <w:rsid w:val="00A509AB"/>
    <w:rsid w:val="00A82078"/>
    <w:rsid w:val="00A838C8"/>
    <w:rsid w:val="00A91C42"/>
    <w:rsid w:val="00A9516B"/>
    <w:rsid w:val="00A9780A"/>
    <w:rsid w:val="00AA00AF"/>
    <w:rsid w:val="00AA2FC9"/>
    <w:rsid w:val="00AB283D"/>
    <w:rsid w:val="00AD312E"/>
    <w:rsid w:val="00AE3EAF"/>
    <w:rsid w:val="00B024B0"/>
    <w:rsid w:val="00B14388"/>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B6C08"/>
    <w:rsid w:val="00CD0DCA"/>
    <w:rsid w:val="00CE6360"/>
    <w:rsid w:val="00D12F61"/>
    <w:rsid w:val="00D201C6"/>
    <w:rsid w:val="00D312E5"/>
    <w:rsid w:val="00D638E0"/>
    <w:rsid w:val="00D70CB3"/>
    <w:rsid w:val="00D716BA"/>
    <w:rsid w:val="00D8404D"/>
    <w:rsid w:val="00D87C12"/>
    <w:rsid w:val="00DC2952"/>
    <w:rsid w:val="00DF1AB7"/>
    <w:rsid w:val="00E07C02"/>
    <w:rsid w:val="00E12B06"/>
    <w:rsid w:val="00E15BF6"/>
    <w:rsid w:val="00E54005"/>
    <w:rsid w:val="00E70162"/>
    <w:rsid w:val="00E71CB9"/>
    <w:rsid w:val="00E73698"/>
    <w:rsid w:val="00E77E23"/>
    <w:rsid w:val="00E8251C"/>
    <w:rsid w:val="00E844A0"/>
    <w:rsid w:val="00F13ED2"/>
    <w:rsid w:val="00F27ACB"/>
    <w:rsid w:val="00F3616F"/>
    <w:rsid w:val="00F6618F"/>
    <w:rsid w:val="00F70DD5"/>
    <w:rsid w:val="00F73165"/>
    <w:rsid w:val="00F90BCE"/>
    <w:rsid w:val="00FC2881"/>
    <w:rsid w:val="00FD1FB8"/>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rules v:ext="edit">
        <o:r id="V:Rule2" type="connector" idref="#AutoShape 3"/>
      </o:rules>
    </o:shapelayout>
  </w:shapeDefaults>
  <w:decimalSymbol w:val="."/>
  <w:listSeparator w:val=","/>
  <w15:docId w15:val="{52EC715B-98D6-46A4-8237-09977920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5D3406"/>
    <w:pPr>
      <w:tabs>
        <w:tab w:val="center" w:pos="4513"/>
        <w:tab w:val="right" w:pos="9026"/>
      </w:tabs>
      <w:spacing w:after="0"/>
    </w:pPr>
  </w:style>
  <w:style w:type="character" w:customStyle="1" w:styleId="FooterChar">
    <w:name w:val="Footer Char"/>
    <w:basedOn w:val="DefaultParagraphFont"/>
    <w:link w:val="Footer"/>
    <w:uiPriority w:val="99"/>
    <w:rsid w:val="005D3406"/>
    <w:rPr>
      <w:sz w:val="24"/>
      <w:szCs w:val="24"/>
      <w:lang w:val="en-AU"/>
    </w:rPr>
  </w:style>
  <w:style w:type="paragraph" w:customStyle="1" w:styleId="AHPRASubhead">
    <w:name w:val="AHPRA Subhead"/>
    <w:basedOn w:val="Normal"/>
    <w:qFormat/>
    <w:rsid w:val="001273BD"/>
    <w:rPr>
      <w:rFonts w:eastAsia="Times New Roman"/>
      <w:b/>
      <w:color w:val="008EC4"/>
      <w:sz w:val="20"/>
      <w:lang w:val="en-US"/>
    </w:rPr>
  </w:style>
  <w:style w:type="character" w:styleId="CommentReference">
    <w:name w:val="annotation reference"/>
    <w:basedOn w:val="DefaultParagraphFont"/>
    <w:uiPriority w:val="1"/>
    <w:semiHidden/>
    <w:unhideWhenUsed/>
    <w:rsid w:val="00807EE4"/>
    <w:rPr>
      <w:sz w:val="16"/>
      <w:szCs w:val="16"/>
    </w:rPr>
  </w:style>
  <w:style w:type="paragraph" w:styleId="CommentText">
    <w:name w:val="annotation text"/>
    <w:basedOn w:val="Normal"/>
    <w:link w:val="CommentTextChar"/>
    <w:uiPriority w:val="1"/>
    <w:semiHidden/>
    <w:unhideWhenUsed/>
    <w:rsid w:val="00807EE4"/>
    <w:rPr>
      <w:sz w:val="20"/>
      <w:szCs w:val="20"/>
    </w:rPr>
  </w:style>
  <w:style w:type="character" w:customStyle="1" w:styleId="CommentTextChar">
    <w:name w:val="Comment Text Char"/>
    <w:basedOn w:val="DefaultParagraphFont"/>
    <w:link w:val="CommentText"/>
    <w:uiPriority w:val="1"/>
    <w:semiHidden/>
    <w:rsid w:val="00807EE4"/>
    <w:rPr>
      <w:lang w:val="en-AU"/>
    </w:rPr>
  </w:style>
  <w:style w:type="paragraph" w:styleId="CommentSubject">
    <w:name w:val="annotation subject"/>
    <w:basedOn w:val="CommentText"/>
    <w:next w:val="CommentText"/>
    <w:link w:val="CommentSubjectChar"/>
    <w:uiPriority w:val="1"/>
    <w:semiHidden/>
    <w:unhideWhenUsed/>
    <w:rsid w:val="00807EE4"/>
    <w:rPr>
      <w:b/>
      <w:bCs/>
    </w:rPr>
  </w:style>
  <w:style w:type="character" w:customStyle="1" w:styleId="CommentSubjectChar">
    <w:name w:val="Comment Subject Char"/>
    <w:basedOn w:val="CommentTextChar"/>
    <w:link w:val="CommentSubject"/>
    <w:uiPriority w:val="1"/>
    <w:semiHidden/>
    <w:rsid w:val="00807EE4"/>
    <w:rPr>
      <w:b/>
      <w:bCs/>
      <w:lang w:val="en-AU"/>
    </w:rPr>
  </w:style>
  <w:style w:type="paragraph" w:customStyle="1" w:styleId="AHPRAHeadline">
    <w:name w:val="AHPRA Headline"/>
    <w:basedOn w:val="Normal"/>
    <w:qFormat/>
    <w:rsid w:val="00D70CB3"/>
    <w:rPr>
      <w:rFonts w:eastAsia="Times New Roman"/>
      <w:color w:val="008EC4"/>
      <w:sz w:val="28"/>
      <w:lang w:val="en-US"/>
    </w:rPr>
  </w:style>
  <w:style w:type="paragraph" w:customStyle="1" w:styleId="AHPRATitle">
    <w:name w:val="AHPRA Title"/>
    <w:basedOn w:val="Normal"/>
    <w:next w:val="AHPRAHeadline"/>
    <w:uiPriority w:val="99"/>
    <w:rsid w:val="00D70CB3"/>
    <w:pPr>
      <w:outlineLvl w:val="0"/>
    </w:pPr>
    <w:rPr>
      <w:rFonts w:eastAsia="Times New Roman" w:cs="Arial"/>
      <w:color w:val="808080"/>
      <w:sz w:val="44"/>
      <w:szCs w:val="52"/>
    </w:rPr>
  </w:style>
  <w:style w:type="paragraph" w:customStyle="1" w:styleId="TableText">
    <w:name w:val="TableText"/>
    <w:basedOn w:val="Normal"/>
    <w:uiPriority w:val="99"/>
    <w:rsid w:val="00D70CB3"/>
    <w:pPr>
      <w:keepNext/>
      <w:spacing w:before="120" w:after="120"/>
    </w:pPr>
    <w:rPr>
      <w:rFonts w:ascii="Helvetica Narrow" w:eastAsia="Calibri" w:hAnsi="Helvetica Narrow"/>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B5FGDUPX\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F9C4-3EF8-41C7-84A3-24008E42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5994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NMBA - Consultation - Attachment 3- National Board 's Statement of assessment</dc:title>
  <dc:subject>Consultation</dc:subject>
  <dc:creator>Nursing and Midwifery Board</dc:creator>
  <cp:lastModifiedBy>Sheryl Kamath</cp:lastModifiedBy>
  <cp:revision>2</cp:revision>
  <cp:lastPrinted>2012-02-10T00:45:00Z</cp:lastPrinted>
  <dcterms:created xsi:type="dcterms:W3CDTF">2018-07-24T01:36:00Z</dcterms:created>
  <dcterms:modified xsi:type="dcterms:W3CDTF">2018-07-24T01:36:00Z</dcterms:modified>
</cp:coreProperties>
</file>